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199C0213" w:rsidR="0074696E" w:rsidRPr="004C6EEE" w:rsidRDefault="00420A83" w:rsidP="00AD784C">
      <w:pPr>
        <w:pStyle w:val="Spacerparatopoffirstpage"/>
      </w:pPr>
      <w:r>
        <w:drawing>
          <wp:anchor distT="0" distB="0" distL="114300" distR="114300" simplePos="0" relativeHeight="251658240" behindDoc="1" locked="1" layoutInCell="1" allowOverlap="1" wp14:anchorId="11085A2A" wp14:editId="438529DC">
            <wp:simplePos x="0" y="0"/>
            <wp:positionH relativeFrom="page">
              <wp:posOffset>0</wp:posOffset>
            </wp:positionH>
            <wp:positionV relativeFrom="page">
              <wp:posOffset>7620</wp:posOffset>
            </wp:positionV>
            <wp:extent cx="7559675" cy="208026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stretch>
                      <a:fillRect/>
                    </a:stretch>
                  </pic:blipFill>
                  <pic:spPr>
                    <a:xfrm>
                      <a:off x="0" y="0"/>
                      <a:ext cx="7559675" cy="208026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A02255">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1417" w:gutter="0"/>
          <w:cols w:space="708"/>
          <w:docGrid w:linePitch="360"/>
        </w:sectPr>
      </w:pP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531BB8">
        <w:trPr>
          <w:trHeight w:val="1418"/>
        </w:trPr>
        <w:tc>
          <w:tcPr>
            <w:tcW w:w="7825" w:type="dxa"/>
            <w:vAlign w:val="bottom"/>
          </w:tcPr>
          <w:p w14:paraId="1B06FE4C" w14:textId="53BBD9B1" w:rsidR="00AD784C" w:rsidRPr="00161AA0" w:rsidRDefault="00F03FF9" w:rsidP="00531BB8">
            <w:pPr>
              <w:pStyle w:val="Documenttitle"/>
            </w:pPr>
            <w:r w:rsidRPr="00F03FF9">
              <w:t>Young people on permanent care orders</w:t>
            </w:r>
          </w:p>
        </w:tc>
      </w:tr>
      <w:tr w:rsidR="000B2117" w14:paraId="5DF317EC" w14:textId="77777777" w:rsidTr="001015B1">
        <w:trPr>
          <w:trHeight w:val="834"/>
        </w:trPr>
        <w:tc>
          <w:tcPr>
            <w:tcW w:w="7825" w:type="dxa"/>
          </w:tcPr>
          <w:p w14:paraId="69C24C39" w14:textId="7E04D3DA" w:rsidR="000B2117" w:rsidRPr="00A1389F" w:rsidRDefault="00F03FF9" w:rsidP="00531BB8">
            <w:pPr>
              <w:pStyle w:val="Documentsubtitle"/>
            </w:pPr>
            <w:r>
              <w:t>I</w:t>
            </w:r>
            <w:r w:rsidRPr="00F03FF9">
              <w:t xml:space="preserve">nformation for Better Futures providers </w:t>
            </w:r>
          </w:p>
        </w:tc>
      </w:tr>
      <w:tr w:rsidR="00CF4148" w14:paraId="5F5E6105" w14:textId="77777777" w:rsidTr="00531BB8">
        <w:trPr>
          <w:trHeight w:val="284"/>
        </w:trPr>
        <w:tc>
          <w:tcPr>
            <w:tcW w:w="7825" w:type="dxa"/>
          </w:tcPr>
          <w:p w14:paraId="45D389E8" w14:textId="74334762" w:rsidR="00CF4148" w:rsidRPr="00250DC4" w:rsidRDefault="00002E23" w:rsidP="008F13CA">
            <w:pPr>
              <w:pStyle w:val="Bannermarking"/>
              <w:spacing w:after="240"/>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5AD874B0" w:rsidR="00AD784C" w:rsidRPr="00B57329" w:rsidRDefault="00531BB8" w:rsidP="008F13CA">
      <w:pPr>
        <w:pStyle w:val="TOCheadingfactsheet"/>
        <w:spacing w:before="600"/>
      </w:pPr>
      <w:r>
        <w:br w:type="textWrapping" w:clear="all"/>
      </w:r>
      <w:r w:rsidR="00AD784C" w:rsidRPr="00B57329">
        <w:t>Contents</w:t>
      </w:r>
    </w:p>
    <w:p w14:paraId="3F91FF68" w14:textId="3B8538E8" w:rsidR="00E672A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6146258" w:history="1">
        <w:r w:rsidR="00E672A4" w:rsidRPr="00F113DA">
          <w:rPr>
            <w:rStyle w:val="Hyperlink"/>
          </w:rPr>
          <w:t>Purpose</w:t>
        </w:r>
        <w:r w:rsidR="00E672A4">
          <w:rPr>
            <w:webHidden/>
          </w:rPr>
          <w:tab/>
        </w:r>
        <w:r w:rsidR="00E672A4">
          <w:rPr>
            <w:webHidden/>
          </w:rPr>
          <w:fldChar w:fldCharType="begin"/>
        </w:r>
        <w:r w:rsidR="00E672A4">
          <w:rPr>
            <w:webHidden/>
          </w:rPr>
          <w:instrText xml:space="preserve"> PAGEREF _Toc86146258 \h </w:instrText>
        </w:r>
        <w:r w:rsidR="00E672A4">
          <w:rPr>
            <w:webHidden/>
          </w:rPr>
        </w:r>
        <w:r w:rsidR="00E672A4">
          <w:rPr>
            <w:webHidden/>
          </w:rPr>
          <w:fldChar w:fldCharType="separate"/>
        </w:r>
        <w:r w:rsidR="00E672A4">
          <w:rPr>
            <w:webHidden/>
          </w:rPr>
          <w:t>1</w:t>
        </w:r>
        <w:r w:rsidR="00E672A4">
          <w:rPr>
            <w:webHidden/>
          </w:rPr>
          <w:fldChar w:fldCharType="end"/>
        </w:r>
      </w:hyperlink>
    </w:p>
    <w:p w14:paraId="5F000E6C" w14:textId="33B60663" w:rsidR="00E672A4" w:rsidRDefault="00002E23">
      <w:pPr>
        <w:pStyle w:val="TOC1"/>
        <w:rPr>
          <w:rFonts w:asciiTheme="minorHAnsi" w:eastAsiaTheme="minorEastAsia" w:hAnsiTheme="minorHAnsi" w:cstheme="minorBidi"/>
          <w:b w:val="0"/>
          <w:sz w:val="22"/>
          <w:szCs w:val="22"/>
          <w:lang w:eastAsia="en-AU"/>
        </w:rPr>
      </w:pPr>
      <w:hyperlink w:anchor="_Toc86146259" w:history="1">
        <w:r w:rsidR="00E672A4" w:rsidRPr="00F113DA">
          <w:rPr>
            <w:rStyle w:val="Hyperlink"/>
          </w:rPr>
          <w:t>Background</w:t>
        </w:r>
        <w:r w:rsidR="00E672A4">
          <w:rPr>
            <w:webHidden/>
          </w:rPr>
          <w:tab/>
        </w:r>
        <w:r w:rsidR="00E672A4">
          <w:rPr>
            <w:webHidden/>
          </w:rPr>
          <w:fldChar w:fldCharType="begin"/>
        </w:r>
        <w:r w:rsidR="00E672A4">
          <w:rPr>
            <w:webHidden/>
          </w:rPr>
          <w:instrText xml:space="preserve"> PAGEREF _Toc86146259 \h </w:instrText>
        </w:r>
        <w:r w:rsidR="00E672A4">
          <w:rPr>
            <w:webHidden/>
          </w:rPr>
        </w:r>
        <w:r w:rsidR="00E672A4">
          <w:rPr>
            <w:webHidden/>
          </w:rPr>
          <w:fldChar w:fldCharType="separate"/>
        </w:r>
        <w:r w:rsidR="00E672A4">
          <w:rPr>
            <w:webHidden/>
          </w:rPr>
          <w:t>1</w:t>
        </w:r>
        <w:r w:rsidR="00E672A4">
          <w:rPr>
            <w:webHidden/>
          </w:rPr>
          <w:fldChar w:fldCharType="end"/>
        </w:r>
      </w:hyperlink>
    </w:p>
    <w:p w14:paraId="203636AE" w14:textId="199F0666" w:rsidR="00E672A4" w:rsidRDefault="00002E23">
      <w:pPr>
        <w:pStyle w:val="TOC1"/>
        <w:rPr>
          <w:rFonts w:asciiTheme="minorHAnsi" w:eastAsiaTheme="minorEastAsia" w:hAnsiTheme="minorHAnsi" w:cstheme="minorBidi"/>
          <w:b w:val="0"/>
          <w:sz w:val="22"/>
          <w:szCs w:val="22"/>
          <w:lang w:eastAsia="en-AU"/>
        </w:rPr>
      </w:pPr>
      <w:hyperlink w:anchor="_Toc86146260" w:history="1">
        <w:r w:rsidR="00E672A4" w:rsidRPr="00F113DA">
          <w:rPr>
            <w:rStyle w:val="Hyperlink"/>
          </w:rPr>
          <w:t>How the process differs for young people on permanent care orders</w:t>
        </w:r>
        <w:r w:rsidR="00E672A4">
          <w:rPr>
            <w:webHidden/>
          </w:rPr>
          <w:tab/>
        </w:r>
        <w:r w:rsidR="00E672A4">
          <w:rPr>
            <w:webHidden/>
          </w:rPr>
          <w:fldChar w:fldCharType="begin"/>
        </w:r>
        <w:r w:rsidR="00E672A4">
          <w:rPr>
            <w:webHidden/>
          </w:rPr>
          <w:instrText xml:space="preserve"> PAGEREF _Toc86146260 \h </w:instrText>
        </w:r>
        <w:r w:rsidR="00E672A4">
          <w:rPr>
            <w:webHidden/>
          </w:rPr>
        </w:r>
        <w:r w:rsidR="00E672A4">
          <w:rPr>
            <w:webHidden/>
          </w:rPr>
          <w:fldChar w:fldCharType="separate"/>
        </w:r>
        <w:r w:rsidR="00E672A4">
          <w:rPr>
            <w:webHidden/>
          </w:rPr>
          <w:t>1</w:t>
        </w:r>
        <w:r w:rsidR="00E672A4">
          <w:rPr>
            <w:webHidden/>
          </w:rPr>
          <w:fldChar w:fldCharType="end"/>
        </w:r>
      </w:hyperlink>
    </w:p>
    <w:p w14:paraId="5ADC64D6" w14:textId="52EF5AC4" w:rsidR="00E672A4" w:rsidRDefault="00002E23">
      <w:pPr>
        <w:pStyle w:val="TOC2"/>
        <w:rPr>
          <w:rFonts w:asciiTheme="minorHAnsi" w:eastAsiaTheme="minorEastAsia" w:hAnsiTheme="minorHAnsi" w:cstheme="minorBidi"/>
          <w:sz w:val="22"/>
          <w:szCs w:val="22"/>
          <w:lang w:eastAsia="en-AU"/>
        </w:rPr>
      </w:pPr>
      <w:hyperlink w:anchor="_Toc86146261" w:history="1">
        <w:r w:rsidR="00E672A4" w:rsidRPr="00F113DA">
          <w:rPr>
            <w:rStyle w:val="Hyperlink"/>
          </w:rPr>
          <w:t>What is PCA Families’ role?</w:t>
        </w:r>
        <w:r w:rsidR="00E672A4">
          <w:rPr>
            <w:webHidden/>
          </w:rPr>
          <w:tab/>
        </w:r>
        <w:r w:rsidR="00E672A4" w:rsidRPr="00580EE4">
          <w:rPr>
            <w:b/>
            <w:bCs/>
            <w:webHidden/>
          </w:rPr>
          <w:fldChar w:fldCharType="begin"/>
        </w:r>
        <w:r w:rsidR="00E672A4" w:rsidRPr="00580EE4">
          <w:rPr>
            <w:b/>
            <w:bCs/>
            <w:webHidden/>
          </w:rPr>
          <w:instrText xml:space="preserve"> PAGEREF _Toc86146261 \h </w:instrText>
        </w:r>
        <w:r w:rsidR="00E672A4" w:rsidRPr="00580EE4">
          <w:rPr>
            <w:b/>
            <w:bCs/>
            <w:webHidden/>
          </w:rPr>
        </w:r>
        <w:r w:rsidR="00E672A4" w:rsidRPr="00580EE4">
          <w:rPr>
            <w:b/>
            <w:bCs/>
            <w:webHidden/>
          </w:rPr>
          <w:fldChar w:fldCharType="separate"/>
        </w:r>
        <w:r w:rsidR="00E672A4" w:rsidRPr="00580EE4">
          <w:rPr>
            <w:b/>
            <w:bCs/>
            <w:webHidden/>
          </w:rPr>
          <w:t>2</w:t>
        </w:r>
        <w:r w:rsidR="00E672A4" w:rsidRPr="00580EE4">
          <w:rPr>
            <w:b/>
            <w:bCs/>
            <w:webHidden/>
          </w:rPr>
          <w:fldChar w:fldCharType="end"/>
        </w:r>
      </w:hyperlink>
    </w:p>
    <w:p w14:paraId="5415455A" w14:textId="057D7C85" w:rsidR="00E672A4" w:rsidRDefault="00002E23">
      <w:pPr>
        <w:pStyle w:val="TOC2"/>
        <w:rPr>
          <w:rFonts w:asciiTheme="minorHAnsi" w:eastAsiaTheme="minorEastAsia" w:hAnsiTheme="minorHAnsi" w:cstheme="minorBidi"/>
          <w:sz w:val="22"/>
          <w:szCs w:val="22"/>
          <w:lang w:eastAsia="en-AU"/>
        </w:rPr>
      </w:pPr>
      <w:hyperlink w:anchor="_Toc86146262" w:history="1">
        <w:r w:rsidR="00E672A4" w:rsidRPr="00F113DA">
          <w:rPr>
            <w:rStyle w:val="Hyperlink"/>
          </w:rPr>
          <w:t>What will this mean for Better Futures providers?</w:t>
        </w:r>
        <w:r w:rsidR="00E672A4">
          <w:rPr>
            <w:webHidden/>
          </w:rPr>
          <w:tab/>
        </w:r>
        <w:r w:rsidR="00E672A4" w:rsidRPr="00580EE4">
          <w:rPr>
            <w:b/>
            <w:bCs/>
            <w:webHidden/>
          </w:rPr>
          <w:fldChar w:fldCharType="begin"/>
        </w:r>
        <w:r w:rsidR="00E672A4" w:rsidRPr="00580EE4">
          <w:rPr>
            <w:b/>
            <w:bCs/>
            <w:webHidden/>
          </w:rPr>
          <w:instrText xml:space="preserve"> PAGEREF _Toc86146262 \h </w:instrText>
        </w:r>
        <w:r w:rsidR="00E672A4" w:rsidRPr="00580EE4">
          <w:rPr>
            <w:b/>
            <w:bCs/>
            <w:webHidden/>
          </w:rPr>
        </w:r>
        <w:r w:rsidR="00E672A4" w:rsidRPr="00580EE4">
          <w:rPr>
            <w:b/>
            <w:bCs/>
            <w:webHidden/>
          </w:rPr>
          <w:fldChar w:fldCharType="separate"/>
        </w:r>
        <w:r w:rsidR="00E672A4" w:rsidRPr="00580EE4">
          <w:rPr>
            <w:b/>
            <w:bCs/>
            <w:webHidden/>
          </w:rPr>
          <w:t>2</w:t>
        </w:r>
        <w:r w:rsidR="00E672A4" w:rsidRPr="00580EE4">
          <w:rPr>
            <w:b/>
            <w:bCs/>
            <w:webHidden/>
          </w:rPr>
          <w:fldChar w:fldCharType="end"/>
        </w:r>
      </w:hyperlink>
    </w:p>
    <w:p w14:paraId="4F125ED8" w14:textId="46052C32" w:rsidR="00E672A4" w:rsidRDefault="00002E23">
      <w:pPr>
        <w:pStyle w:val="TOC1"/>
        <w:rPr>
          <w:rFonts w:asciiTheme="minorHAnsi" w:eastAsiaTheme="minorEastAsia" w:hAnsiTheme="minorHAnsi" w:cstheme="minorBidi"/>
          <w:b w:val="0"/>
          <w:sz w:val="22"/>
          <w:szCs w:val="22"/>
          <w:lang w:eastAsia="en-AU"/>
        </w:rPr>
      </w:pPr>
      <w:hyperlink w:anchor="_Toc86146263" w:history="1">
        <w:r w:rsidR="00E672A4" w:rsidRPr="00F113DA">
          <w:rPr>
            <w:rStyle w:val="Hyperlink"/>
          </w:rPr>
          <w:t>Roles and responsibilities for young people on permanent care orders</w:t>
        </w:r>
        <w:r w:rsidR="00E672A4">
          <w:rPr>
            <w:webHidden/>
          </w:rPr>
          <w:tab/>
        </w:r>
        <w:r w:rsidR="00E672A4">
          <w:rPr>
            <w:webHidden/>
          </w:rPr>
          <w:fldChar w:fldCharType="begin"/>
        </w:r>
        <w:r w:rsidR="00E672A4">
          <w:rPr>
            <w:webHidden/>
          </w:rPr>
          <w:instrText xml:space="preserve"> PAGEREF _Toc86146263 \h </w:instrText>
        </w:r>
        <w:r w:rsidR="00E672A4">
          <w:rPr>
            <w:webHidden/>
          </w:rPr>
        </w:r>
        <w:r w:rsidR="00E672A4">
          <w:rPr>
            <w:webHidden/>
          </w:rPr>
          <w:fldChar w:fldCharType="separate"/>
        </w:r>
        <w:r w:rsidR="00E672A4">
          <w:rPr>
            <w:webHidden/>
          </w:rPr>
          <w:t>2</w:t>
        </w:r>
        <w:r w:rsidR="00E672A4">
          <w:rPr>
            <w:webHidden/>
          </w:rPr>
          <w:fldChar w:fldCharType="end"/>
        </w:r>
      </w:hyperlink>
    </w:p>
    <w:p w14:paraId="0ECD5372" w14:textId="5109F0EE" w:rsidR="00E672A4" w:rsidRDefault="00002E23">
      <w:pPr>
        <w:pStyle w:val="TOC1"/>
        <w:rPr>
          <w:rFonts w:asciiTheme="minorHAnsi" w:eastAsiaTheme="minorEastAsia" w:hAnsiTheme="minorHAnsi" w:cstheme="minorBidi"/>
          <w:b w:val="0"/>
          <w:sz w:val="22"/>
          <w:szCs w:val="22"/>
          <w:lang w:eastAsia="en-AU"/>
        </w:rPr>
      </w:pPr>
      <w:hyperlink w:anchor="_Toc86146264" w:history="1">
        <w:r w:rsidR="00E672A4" w:rsidRPr="00F113DA">
          <w:rPr>
            <w:rStyle w:val="Hyperlink"/>
            <w:shd w:val="clear" w:color="auto" w:fill="FFFFFF"/>
          </w:rPr>
          <w:t>Who to contact for more information</w:t>
        </w:r>
        <w:r w:rsidR="00E672A4">
          <w:rPr>
            <w:webHidden/>
          </w:rPr>
          <w:tab/>
        </w:r>
        <w:r w:rsidR="00E672A4">
          <w:rPr>
            <w:webHidden/>
          </w:rPr>
          <w:fldChar w:fldCharType="begin"/>
        </w:r>
        <w:r w:rsidR="00E672A4">
          <w:rPr>
            <w:webHidden/>
          </w:rPr>
          <w:instrText xml:space="preserve"> PAGEREF _Toc86146264 \h </w:instrText>
        </w:r>
        <w:r w:rsidR="00E672A4">
          <w:rPr>
            <w:webHidden/>
          </w:rPr>
        </w:r>
        <w:r w:rsidR="00E672A4">
          <w:rPr>
            <w:webHidden/>
          </w:rPr>
          <w:fldChar w:fldCharType="separate"/>
        </w:r>
        <w:r w:rsidR="00E672A4">
          <w:rPr>
            <w:webHidden/>
          </w:rPr>
          <w:t>3</w:t>
        </w:r>
        <w:r w:rsidR="00E672A4">
          <w:rPr>
            <w:webHidden/>
          </w:rPr>
          <w:fldChar w:fldCharType="end"/>
        </w:r>
      </w:hyperlink>
    </w:p>
    <w:p w14:paraId="7607011F" w14:textId="49929D76" w:rsidR="00E672A4" w:rsidRDefault="00002E23">
      <w:pPr>
        <w:pStyle w:val="TOC1"/>
        <w:rPr>
          <w:rFonts w:asciiTheme="minorHAnsi" w:eastAsiaTheme="minorEastAsia" w:hAnsiTheme="minorHAnsi" w:cstheme="minorBidi"/>
          <w:b w:val="0"/>
          <w:sz w:val="22"/>
          <w:szCs w:val="22"/>
          <w:lang w:eastAsia="en-AU"/>
        </w:rPr>
      </w:pPr>
      <w:hyperlink w:anchor="_Toc86146265" w:history="1">
        <w:r w:rsidR="00E672A4" w:rsidRPr="00F113DA">
          <w:rPr>
            <w:rStyle w:val="Hyperlink"/>
            <w:shd w:val="clear" w:color="auto" w:fill="FFFFFF"/>
          </w:rPr>
          <w:t>Resources available for Better Futures providers</w:t>
        </w:r>
        <w:r w:rsidR="00E672A4">
          <w:rPr>
            <w:webHidden/>
          </w:rPr>
          <w:tab/>
        </w:r>
        <w:r w:rsidR="00E672A4">
          <w:rPr>
            <w:webHidden/>
          </w:rPr>
          <w:fldChar w:fldCharType="begin"/>
        </w:r>
        <w:r w:rsidR="00E672A4">
          <w:rPr>
            <w:webHidden/>
          </w:rPr>
          <w:instrText xml:space="preserve"> PAGEREF _Toc86146265 \h </w:instrText>
        </w:r>
        <w:r w:rsidR="00E672A4">
          <w:rPr>
            <w:webHidden/>
          </w:rPr>
        </w:r>
        <w:r w:rsidR="00E672A4">
          <w:rPr>
            <w:webHidden/>
          </w:rPr>
          <w:fldChar w:fldCharType="separate"/>
        </w:r>
        <w:r w:rsidR="00E672A4">
          <w:rPr>
            <w:webHidden/>
          </w:rPr>
          <w:t>3</w:t>
        </w:r>
        <w:r w:rsidR="00E672A4">
          <w:rPr>
            <w:webHidden/>
          </w:rPr>
          <w:fldChar w:fldCharType="end"/>
        </w:r>
      </w:hyperlink>
    </w:p>
    <w:p w14:paraId="58A2692B" w14:textId="4990B56C" w:rsidR="00F03FF9" w:rsidRDefault="00AD784C" w:rsidP="008F13CA">
      <w:pPr>
        <w:pStyle w:val="Heading1"/>
      </w:pPr>
      <w:r>
        <w:fldChar w:fldCharType="end"/>
      </w:r>
      <w:bookmarkStart w:id="0" w:name="_Toc86146258"/>
      <w:bookmarkStart w:id="1" w:name="_Toc66794860"/>
      <w:r w:rsidR="00F03FF9">
        <w:t>Purpose</w:t>
      </w:r>
      <w:bookmarkEnd w:id="0"/>
    </w:p>
    <w:p w14:paraId="69A96B37" w14:textId="6C8B8B3E" w:rsidR="00F03FF9" w:rsidRDefault="00F03FF9" w:rsidP="00F03FF9">
      <w:pPr>
        <w:pStyle w:val="Body"/>
      </w:pPr>
      <w:r>
        <w:t>This document provide</w:t>
      </w:r>
      <w:r w:rsidR="00CD3B36">
        <w:t xml:space="preserve">s </w:t>
      </w:r>
      <w:r>
        <w:t xml:space="preserve">an overview for Better Futures providers on the new referral pathway for young people on </w:t>
      </w:r>
      <w:r w:rsidR="0094574E">
        <w:t>a p</w:t>
      </w:r>
      <w:r>
        <w:t xml:space="preserve">ermanent </w:t>
      </w:r>
      <w:r w:rsidR="0094574E">
        <w:t>c</w:t>
      </w:r>
      <w:r>
        <w:t xml:space="preserve">are </w:t>
      </w:r>
      <w:r w:rsidR="0094574E">
        <w:t>o</w:t>
      </w:r>
      <w:r>
        <w:t>rder to access Better Futures and Home Stretch</w:t>
      </w:r>
      <w:r w:rsidR="0094574E">
        <w:t>.</w:t>
      </w:r>
      <w:bookmarkStart w:id="2" w:name="_Hlk75765926"/>
    </w:p>
    <w:p w14:paraId="2382F998" w14:textId="77777777" w:rsidR="00F03FF9" w:rsidRDefault="00F03FF9" w:rsidP="00F03FF9">
      <w:pPr>
        <w:pStyle w:val="Heading1"/>
      </w:pPr>
      <w:bookmarkStart w:id="3" w:name="_Toc86146259"/>
      <w:bookmarkEnd w:id="2"/>
      <w:r w:rsidRPr="008338F6">
        <w:t>Background</w:t>
      </w:r>
      <w:bookmarkEnd w:id="3"/>
    </w:p>
    <w:p w14:paraId="72AE032C" w14:textId="2E621FEE" w:rsidR="00F03FF9" w:rsidRPr="00F03FF9" w:rsidRDefault="00F03FF9" w:rsidP="00F03FF9">
      <w:pPr>
        <w:pStyle w:val="Body"/>
      </w:pPr>
      <w:r>
        <w:t>The Victorian Government is committed to ensuring young people who are, or who have been</w:t>
      </w:r>
      <w:r w:rsidR="000F0FC0">
        <w:t>,</w:t>
      </w:r>
      <w:r>
        <w:t xml:space="preserve"> on </w:t>
      </w:r>
      <w:r w:rsidR="0094574E">
        <w:t xml:space="preserve">a </w:t>
      </w:r>
      <w:r w:rsidR="00FE4E4E">
        <w:t xml:space="preserve">permanent care order </w:t>
      </w:r>
      <w:r>
        <w:t>are supported to transition to adulthood</w:t>
      </w:r>
      <w:r w:rsidR="0094574E">
        <w:t>. Th</w:t>
      </w:r>
      <w:r w:rsidR="000F0FC0">
        <w:t xml:space="preserve">is </w:t>
      </w:r>
      <w:r w:rsidR="0094574E">
        <w:t>is via two programs:</w:t>
      </w:r>
      <w:r>
        <w:t xml:space="preserve"> Better Futures (</w:t>
      </w:r>
      <w:r w:rsidR="0094574E">
        <w:t>for</w:t>
      </w:r>
      <w:r w:rsidR="00EB612C">
        <w:t xml:space="preserve"> young</w:t>
      </w:r>
      <w:r w:rsidR="0094574E">
        <w:t xml:space="preserve"> people aged </w:t>
      </w:r>
      <w:r>
        <w:t xml:space="preserve">from 15 years and </w:t>
      </w:r>
      <w:r w:rsidR="0094574E">
        <w:t>nine</w:t>
      </w:r>
      <w:r>
        <w:t xml:space="preserve"> months) and Home Stretch (from 18 years). The government will invest</w:t>
      </w:r>
      <w:r w:rsidRPr="004C5C87">
        <w:t xml:space="preserve"> $38.9 million over the next four years and $13.8 million ongoing </w:t>
      </w:r>
      <w:r>
        <w:t>to ensure</w:t>
      </w:r>
      <w:r w:rsidRPr="004C5C87">
        <w:t xml:space="preserve"> young people </w:t>
      </w:r>
      <w:r>
        <w:t>subject to</w:t>
      </w:r>
      <w:r w:rsidR="00FE4E4E">
        <w:t xml:space="preserve"> permanent care orders</w:t>
      </w:r>
      <w:r w:rsidR="0094574E">
        <w:t xml:space="preserve"> can </w:t>
      </w:r>
      <w:r w:rsidR="00EB612C">
        <w:t xml:space="preserve">access </w:t>
      </w:r>
      <w:r w:rsidRPr="00F03FF9">
        <w:t>these supports.</w:t>
      </w:r>
    </w:p>
    <w:p w14:paraId="18BCAFB7" w14:textId="5F3C0F69" w:rsidR="00F03FF9" w:rsidRDefault="00F03FF9" w:rsidP="00F03FF9">
      <w:pPr>
        <w:pStyle w:val="Body"/>
      </w:pPr>
      <w:r w:rsidRPr="00F03FF9">
        <w:t>Young</w:t>
      </w:r>
      <w:r>
        <w:t xml:space="preserve"> people who turned 18 </w:t>
      </w:r>
      <w:r w:rsidR="0094574E">
        <w:t>before</w:t>
      </w:r>
      <w:r>
        <w:t xml:space="preserve"> 1 July </w:t>
      </w:r>
      <w:r w:rsidR="0094574E">
        <w:t xml:space="preserve">2021 </w:t>
      </w:r>
      <w:r>
        <w:t>are not eligible</w:t>
      </w:r>
      <w:r w:rsidR="0094574E">
        <w:t xml:space="preserve"> </w:t>
      </w:r>
      <w:r>
        <w:t xml:space="preserve">for Better Futures </w:t>
      </w:r>
      <w:r w:rsidR="0094574E">
        <w:t xml:space="preserve">or </w:t>
      </w:r>
      <w:r>
        <w:t>Home Stretch.</w:t>
      </w:r>
    </w:p>
    <w:p w14:paraId="19ADB55B" w14:textId="05916C3F" w:rsidR="00F03FF9" w:rsidRPr="00DD7113" w:rsidRDefault="00F03FF9" w:rsidP="00F03FF9">
      <w:pPr>
        <w:pStyle w:val="Heading1"/>
      </w:pPr>
      <w:bookmarkStart w:id="4" w:name="_Toc86146260"/>
      <w:r>
        <w:t xml:space="preserve">How the process differs for young people on </w:t>
      </w:r>
      <w:r w:rsidR="00AF2861">
        <w:t>permanent care orders</w:t>
      </w:r>
      <w:bookmarkEnd w:id="4"/>
    </w:p>
    <w:p w14:paraId="38132E8A" w14:textId="21991E7F" w:rsidR="00F03FF9" w:rsidRDefault="008D21FE" w:rsidP="00F03FF9">
      <w:pPr>
        <w:pStyle w:val="Body"/>
      </w:pPr>
      <w:r>
        <w:t>Y</w:t>
      </w:r>
      <w:r w:rsidR="00F03FF9">
        <w:t>oung people eligible for Better Futures and Home Stretch</w:t>
      </w:r>
      <w:r>
        <w:t xml:space="preserve"> are</w:t>
      </w:r>
      <w:r w:rsidR="00F03FF9">
        <w:t xml:space="preserve"> referred through their child protection case </w:t>
      </w:r>
      <w:r>
        <w:t>manager</w:t>
      </w:r>
      <w:r w:rsidR="00F03FF9">
        <w:t xml:space="preserve">. </w:t>
      </w:r>
      <w:r w:rsidR="0094574E">
        <w:t xml:space="preserve">Because </w:t>
      </w:r>
      <w:r w:rsidR="00F03FF9">
        <w:t xml:space="preserve">young people on </w:t>
      </w:r>
      <w:r w:rsidR="00AF2861">
        <w:t xml:space="preserve">permanent care orders </w:t>
      </w:r>
      <w:r w:rsidR="00F03FF9">
        <w:t>no longer have child protection involvement, Permanent Carers and Adoptive Families (PCA</w:t>
      </w:r>
      <w:r w:rsidR="0094574E">
        <w:t xml:space="preserve"> </w:t>
      </w:r>
      <w:r w:rsidR="00F03FF9">
        <w:t>F</w:t>
      </w:r>
      <w:r w:rsidR="0094574E">
        <w:t>amilies</w:t>
      </w:r>
      <w:r w:rsidR="00F03FF9">
        <w:t>) have been engaged</w:t>
      </w:r>
      <w:r w:rsidR="00100E74">
        <w:t xml:space="preserve"> as the key agency</w:t>
      </w:r>
      <w:r w:rsidR="00F03FF9">
        <w:t xml:space="preserve"> to support the</w:t>
      </w:r>
      <w:r w:rsidR="00514D49">
        <w:t xml:space="preserve"> new</w:t>
      </w:r>
      <w:r w:rsidR="00F03FF9">
        <w:t xml:space="preserve"> referral process. </w:t>
      </w:r>
    </w:p>
    <w:p w14:paraId="34FE2585" w14:textId="2D3D9C0D" w:rsidR="00100E74" w:rsidRDefault="00100E74" w:rsidP="00100E74">
      <w:pPr>
        <w:pStyle w:val="Body"/>
      </w:pPr>
      <w:r>
        <w:lastRenderedPageBreak/>
        <w:t xml:space="preserve">The Victorian </w:t>
      </w:r>
      <w:r w:rsidRPr="0048659B">
        <w:t xml:space="preserve">Aboriginal </w:t>
      </w:r>
      <w:r>
        <w:t xml:space="preserve">Child Care Agency (VACCA) have been engaged as the key agency to refer Aboriginal young people on permanent care orders into these programs. VACCA will refer young people to an Aboriginal </w:t>
      </w:r>
      <w:r w:rsidR="00D97126">
        <w:t>c</w:t>
      </w:r>
      <w:r>
        <w:t>ommunity-</w:t>
      </w:r>
      <w:r w:rsidR="00D97126">
        <w:t>c</w:t>
      </w:r>
      <w:r>
        <w:t xml:space="preserve">ontrolled </w:t>
      </w:r>
      <w:r w:rsidR="00D97126">
        <w:t>o</w:t>
      </w:r>
      <w:r>
        <w:t>rganisation for Better Futures and Home Stretch support</w:t>
      </w:r>
      <w:r w:rsidRPr="0048659B">
        <w:t>.</w:t>
      </w:r>
      <w:r>
        <w:t xml:space="preserve"> The young person can also choose to get support from a mainstream Better Futures provider.</w:t>
      </w:r>
    </w:p>
    <w:p w14:paraId="6FDA28DF" w14:textId="3D2A5DDA" w:rsidR="00F03FF9" w:rsidRPr="00D97126" w:rsidRDefault="00F03FF9" w:rsidP="00F03FF9">
      <w:pPr>
        <w:pStyle w:val="Heading2"/>
        <w:rPr>
          <w:sz w:val="28"/>
        </w:rPr>
      </w:pPr>
      <w:bookmarkStart w:id="5" w:name="_Toc86146261"/>
      <w:r w:rsidRPr="00D97126">
        <w:rPr>
          <w:sz w:val="28"/>
        </w:rPr>
        <w:t>What is PCA</w:t>
      </w:r>
      <w:r w:rsidR="0094574E" w:rsidRPr="00D97126">
        <w:rPr>
          <w:sz w:val="28"/>
        </w:rPr>
        <w:t xml:space="preserve"> </w:t>
      </w:r>
      <w:r w:rsidRPr="00D97126">
        <w:rPr>
          <w:sz w:val="28"/>
        </w:rPr>
        <w:t>F</w:t>
      </w:r>
      <w:r w:rsidR="0094574E" w:rsidRPr="00D97126">
        <w:rPr>
          <w:sz w:val="28"/>
        </w:rPr>
        <w:t>amilies’</w:t>
      </w:r>
      <w:r w:rsidR="008D21FE" w:rsidRPr="00D97126">
        <w:rPr>
          <w:sz w:val="28"/>
        </w:rPr>
        <w:t xml:space="preserve"> and VACCA’s</w:t>
      </w:r>
      <w:r w:rsidRPr="00D97126">
        <w:rPr>
          <w:sz w:val="28"/>
        </w:rPr>
        <w:t xml:space="preserve"> role?</w:t>
      </w:r>
      <w:bookmarkEnd w:id="5"/>
    </w:p>
    <w:p w14:paraId="1F5EE787" w14:textId="287E523D" w:rsidR="00F03FF9" w:rsidRDefault="00F03FF9" w:rsidP="00F03FF9">
      <w:pPr>
        <w:pStyle w:val="Body"/>
      </w:pPr>
      <w:r>
        <w:t>PCA</w:t>
      </w:r>
      <w:r w:rsidR="0094574E">
        <w:t xml:space="preserve"> </w:t>
      </w:r>
      <w:r>
        <w:t>F</w:t>
      </w:r>
      <w:r w:rsidR="0094574E">
        <w:t>amilies</w:t>
      </w:r>
      <w:r w:rsidR="008D21FE">
        <w:t xml:space="preserve"> and VACCA</w:t>
      </w:r>
      <w:r>
        <w:t xml:space="preserve"> play an </w:t>
      </w:r>
      <w:r w:rsidR="00E61538">
        <w:t xml:space="preserve">administrative and </w:t>
      </w:r>
      <w:r>
        <w:t xml:space="preserve">information sharing role for young people on </w:t>
      </w:r>
      <w:r w:rsidR="00AF2861">
        <w:t>permanent care order</w:t>
      </w:r>
      <w:r>
        <w:t>s. PCA</w:t>
      </w:r>
      <w:r w:rsidR="0094574E">
        <w:t xml:space="preserve"> </w:t>
      </w:r>
      <w:r>
        <w:t>F</w:t>
      </w:r>
      <w:r w:rsidR="0094574E">
        <w:t>amilies</w:t>
      </w:r>
      <w:r w:rsidR="008D21FE">
        <w:t xml:space="preserve"> and VACCA</w:t>
      </w:r>
      <w:r>
        <w:t xml:space="preserve"> will proactively communicate with young people on </w:t>
      </w:r>
      <w:r w:rsidR="00AF2861">
        <w:t>permanent care orders</w:t>
      </w:r>
      <w:r>
        <w:t xml:space="preserve"> and their carers to let them know they are eligible for the program</w:t>
      </w:r>
      <w:r w:rsidR="00721CB2">
        <w:t>s</w:t>
      </w:r>
      <w:r>
        <w:t>. They are also the first point of contact for any young person or carer wanting to find out more information about Better Futures and Home Stretch.</w:t>
      </w:r>
    </w:p>
    <w:p w14:paraId="671476FC" w14:textId="459EC7D9" w:rsidR="00F03FF9" w:rsidRDefault="00F03FF9" w:rsidP="00F03FF9">
      <w:pPr>
        <w:pStyle w:val="Bullet1"/>
        <w:numPr>
          <w:ilvl w:val="0"/>
          <w:numId w:val="0"/>
        </w:numPr>
      </w:pPr>
      <w:r>
        <w:t>PCA</w:t>
      </w:r>
      <w:r w:rsidR="0094574E">
        <w:t xml:space="preserve"> </w:t>
      </w:r>
      <w:r>
        <w:t>F</w:t>
      </w:r>
      <w:r w:rsidR="0094574E">
        <w:t>amilies</w:t>
      </w:r>
      <w:r>
        <w:t xml:space="preserve"> will also refer young people who are ineligible for Better Futures and Home Stretch to other supports</w:t>
      </w:r>
      <w:r w:rsidR="00514D49">
        <w:t xml:space="preserve"> where appropriate. </w:t>
      </w:r>
    </w:p>
    <w:p w14:paraId="17257DF0" w14:textId="77777777" w:rsidR="00F03FF9" w:rsidRPr="00D97126" w:rsidRDefault="00F03FF9" w:rsidP="00F03FF9">
      <w:pPr>
        <w:pStyle w:val="Heading2"/>
        <w:rPr>
          <w:sz w:val="28"/>
        </w:rPr>
      </w:pPr>
      <w:bookmarkStart w:id="6" w:name="_Toc86146262"/>
      <w:r w:rsidRPr="00D97126">
        <w:rPr>
          <w:sz w:val="28"/>
        </w:rPr>
        <w:t>What will this mean for Better Futures providers?</w:t>
      </w:r>
      <w:bookmarkEnd w:id="6"/>
    </w:p>
    <w:p w14:paraId="145D123E" w14:textId="54DB746A" w:rsidR="00F03FF9" w:rsidRDefault="00F03FF9" w:rsidP="00F03FF9">
      <w:pPr>
        <w:pStyle w:val="Body"/>
      </w:pPr>
      <w:r>
        <w:t>PCA</w:t>
      </w:r>
      <w:r w:rsidR="0094574E">
        <w:t xml:space="preserve"> </w:t>
      </w:r>
      <w:r>
        <w:t>F</w:t>
      </w:r>
      <w:r w:rsidR="0094574E">
        <w:t>amilies</w:t>
      </w:r>
      <w:r>
        <w:t xml:space="preserve"> </w:t>
      </w:r>
      <w:r w:rsidR="008D21FE">
        <w:t xml:space="preserve">and VACCA </w:t>
      </w:r>
      <w:r>
        <w:t xml:space="preserve">will take on the role for young people on </w:t>
      </w:r>
      <w:r w:rsidR="00FE4E4E">
        <w:t xml:space="preserve">permanent care orders </w:t>
      </w:r>
      <w:r w:rsidR="00721CB2">
        <w:t xml:space="preserve">that </w:t>
      </w:r>
      <w:r>
        <w:t xml:space="preserve">is currently being done by child protection case workers for all other types of care orders. Once a young person </w:t>
      </w:r>
      <w:r w:rsidR="00721CB2">
        <w:t>expresses</w:t>
      </w:r>
      <w:r>
        <w:t xml:space="preserve"> interest in accessing Better Futures and Home Stretch, PCA</w:t>
      </w:r>
      <w:r w:rsidR="0094574E">
        <w:t xml:space="preserve"> </w:t>
      </w:r>
      <w:r>
        <w:t>F</w:t>
      </w:r>
      <w:r w:rsidR="0094574E">
        <w:t>amilies</w:t>
      </w:r>
      <w:r w:rsidR="008942D2">
        <w:t xml:space="preserve"> and VACCA</w:t>
      </w:r>
      <w:r>
        <w:t xml:space="preserve"> will complete the Better Futures checklist</w:t>
      </w:r>
      <w:r w:rsidR="00721CB2">
        <w:t>. They will then</w:t>
      </w:r>
      <w:r>
        <w:t xml:space="preserve"> </w:t>
      </w:r>
      <w:r w:rsidR="00AF2861">
        <w:t xml:space="preserve">send </w:t>
      </w:r>
      <w:r>
        <w:t xml:space="preserve">the referral to </w:t>
      </w:r>
      <w:r w:rsidR="00E61538">
        <w:t xml:space="preserve">a </w:t>
      </w:r>
      <w:r>
        <w:t xml:space="preserve">Better Futures provider (either directly or via </w:t>
      </w:r>
      <w:r w:rsidR="00C210DC">
        <w:t xml:space="preserve">a </w:t>
      </w:r>
      <w:r>
        <w:t>triage organisation).</w:t>
      </w:r>
    </w:p>
    <w:p w14:paraId="5909A36D" w14:textId="4C04F1ED" w:rsidR="00F03FF9" w:rsidRDefault="00F03FF9" w:rsidP="00F03FF9">
      <w:pPr>
        <w:pStyle w:val="Body"/>
      </w:pPr>
      <w:r>
        <w:t>PCA</w:t>
      </w:r>
      <w:r w:rsidR="0094574E">
        <w:t xml:space="preserve"> </w:t>
      </w:r>
      <w:r>
        <w:t>F</w:t>
      </w:r>
      <w:r w:rsidR="0094574E">
        <w:t>amilies</w:t>
      </w:r>
      <w:r w:rsidR="008942D2">
        <w:t xml:space="preserve"> and VACCA</w:t>
      </w:r>
      <w:r>
        <w:t xml:space="preserve"> only complete sections 1 </w:t>
      </w:r>
      <w:r w:rsidR="0094574E">
        <w:t>to</w:t>
      </w:r>
      <w:r>
        <w:t xml:space="preserve"> 4 of the Better Futures checklist</w:t>
      </w:r>
      <w:r w:rsidR="00C210DC">
        <w:t>. This</w:t>
      </w:r>
      <w:r w:rsidR="00E61538">
        <w:t xml:space="preserve"> is</w:t>
      </w:r>
      <w:r w:rsidR="00C210DC">
        <w:t xml:space="preserve"> because</w:t>
      </w:r>
      <w:r>
        <w:t xml:space="preserve"> they do not have an existing relationship with the young person or access to extensive information about them. It is also to reduce the young person needing to share their story and experience with multiple people.</w:t>
      </w:r>
    </w:p>
    <w:p w14:paraId="6F8AC679" w14:textId="11652A76" w:rsidR="00F03FF9" w:rsidRPr="008A4406" w:rsidRDefault="00F03FF9" w:rsidP="00F03FF9">
      <w:pPr>
        <w:pStyle w:val="Body"/>
      </w:pPr>
      <w:r>
        <w:t xml:space="preserve">Better Futures provider, through their </w:t>
      </w:r>
      <w:r w:rsidR="00C210DC">
        <w:t xml:space="preserve">contact </w:t>
      </w:r>
      <w:r>
        <w:t xml:space="preserve">with the young person, </w:t>
      </w:r>
      <w:r w:rsidR="00AF2861">
        <w:t>will develop</w:t>
      </w:r>
      <w:r>
        <w:t xml:space="preserve"> an understanding of their goals and aspirations</w:t>
      </w:r>
      <w:r w:rsidR="00C210DC">
        <w:t>.</w:t>
      </w:r>
      <w:r w:rsidR="00A42C77">
        <w:t xml:space="preserve"> Better Futures</w:t>
      </w:r>
      <w:r w:rsidR="00C210DC">
        <w:t xml:space="preserve"> will</w:t>
      </w:r>
      <w:r>
        <w:t xml:space="preserve"> work with that young person to develop an individual plan for support.</w:t>
      </w:r>
    </w:p>
    <w:p w14:paraId="39ED0A2A" w14:textId="54989AF3" w:rsidR="00F03FF9" w:rsidRPr="00DD7113" w:rsidRDefault="00F03FF9" w:rsidP="00F03FF9">
      <w:pPr>
        <w:pStyle w:val="Heading1"/>
      </w:pPr>
      <w:bookmarkStart w:id="7" w:name="_Toc86146263"/>
      <w:r>
        <w:t xml:space="preserve">Roles and responsibilities for young people on </w:t>
      </w:r>
      <w:r w:rsidR="00FE4E4E">
        <w:t>permanent care orders</w:t>
      </w:r>
      <w:bookmarkEnd w:id="7"/>
    </w:p>
    <w:p w14:paraId="12CAFD53" w14:textId="74C1DD99" w:rsidR="008942D2" w:rsidRDefault="00F03FF9" w:rsidP="008942D2">
      <w:pPr>
        <w:pStyle w:val="Bodyafterbullets"/>
        <w:rPr>
          <w:shd w:val="clear" w:color="auto" w:fill="FFFFFF"/>
          <w:lang w:val="en-US"/>
        </w:rPr>
      </w:pPr>
      <w:r>
        <w:rPr>
          <w:shd w:val="clear" w:color="auto" w:fill="FFFFFF"/>
        </w:rPr>
        <w:t>PCA</w:t>
      </w:r>
      <w:r w:rsidR="0094574E">
        <w:rPr>
          <w:shd w:val="clear" w:color="auto" w:fill="FFFFFF"/>
        </w:rPr>
        <w:t xml:space="preserve"> </w:t>
      </w:r>
      <w:r>
        <w:rPr>
          <w:shd w:val="clear" w:color="auto" w:fill="FFFFFF"/>
        </w:rPr>
        <w:t>F</w:t>
      </w:r>
      <w:r w:rsidR="0094574E">
        <w:rPr>
          <w:shd w:val="clear" w:color="auto" w:fill="FFFFFF"/>
        </w:rPr>
        <w:t>amilies</w:t>
      </w:r>
      <w:r w:rsidR="008D21FE">
        <w:rPr>
          <w:shd w:val="clear" w:color="auto" w:fill="FFFFFF"/>
        </w:rPr>
        <w:t xml:space="preserve"> and VACCA</w:t>
      </w:r>
      <w:r>
        <w:rPr>
          <w:shd w:val="clear" w:color="auto" w:fill="FFFFFF"/>
        </w:rPr>
        <w:t xml:space="preserve"> ha</w:t>
      </w:r>
      <w:r w:rsidR="008942D2">
        <w:rPr>
          <w:shd w:val="clear" w:color="auto" w:fill="FFFFFF"/>
        </w:rPr>
        <w:t>s</w:t>
      </w:r>
      <w:r>
        <w:rPr>
          <w:shd w:val="clear" w:color="auto" w:fill="FFFFFF"/>
        </w:rPr>
        <w:t xml:space="preserve"> an administrative and information sharing role in the referral pathway for young people on </w:t>
      </w:r>
      <w:r w:rsidR="00FE4E4E">
        <w:rPr>
          <w:shd w:val="clear" w:color="auto" w:fill="FFFFFF"/>
        </w:rPr>
        <w:t>permanent care orders</w:t>
      </w:r>
      <w:r>
        <w:rPr>
          <w:shd w:val="clear" w:color="auto" w:fill="FFFFFF"/>
        </w:rPr>
        <w:t xml:space="preserve"> to access Better Futures supports.</w:t>
      </w:r>
      <w:r w:rsidR="008942D2" w:rsidRPr="008942D2">
        <w:rPr>
          <w:shd w:val="clear" w:color="auto" w:fill="FFFFFF"/>
          <w:lang w:val="en-US"/>
        </w:rPr>
        <w:t xml:space="preserve"> </w:t>
      </w:r>
      <w:r w:rsidR="008942D2">
        <w:rPr>
          <w:shd w:val="clear" w:color="auto" w:fill="FFFFFF"/>
          <w:lang w:val="en-US"/>
        </w:rPr>
        <w:t>They will ensure</w:t>
      </w:r>
      <w:r w:rsidR="008942D2" w:rsidRPr="008F365D">
        <w:rPr>
          <w:shd w:val="clear" w:color="auto" w:fill="FFFFFF"/>
          <w:lang w:val="en-US"/>
        </w:rPr>
        <w:t xml:space="preserve"> Better Futures providers get the information they need to start </w:t>
      </w:r>
      <w:r w:rsidR="008942D2">
        <w:rPr>
          <w:shd w:val="clear" w:color="auto" w:fill="FFFFFF"/>
          <w:lang w:val="en-US"/>
        </w:rPr>
        <w:t xml:space="preserve">connecting </w:t>
      </w:r>
      <w:r w:rsidR="008942D2" w:rsidRPr="008F365D">
        <w:rPr>
          <w:shd w:val="clear" w:color="auto" w:fill="FFFFFF"/>
          <w:lang w:val="en-US"/>
        </w:rPr>
        <w:t xml:space="preserve">the young person </w:t>
      </w:r>
      <w:r w:rsidR="008942D2">
        <w:rPr>
          <w:shd w:val="clear" w:color="auto" w:fill="FFFFFF"/>
          <w:lang w:val="en-US"/>
        </w:rPr>
        <w:t>to</w:t>
      </w:r>
      <w:r w:rsidR="008942D2" w:rsidRPr="008F365D">
        <w:rPr>
          <w:shd w:val="clear" w:color="auto" w:fill="FFFFFF"/>
          <w:lang w:val="en-US"/>
        </w:rPr>
        <w:t xml:space="preserve"> supports.</w:t>
      </w:r>
    </w:p>
    <w:p w14:paraId="55ABD0FD" w14:textId="106506A3" w:rsidR="00F03FF9" w:rsidRPr="008F365D" w:rsidRDefault="00F03FF9" w:rsidP="00F03FF9">
      <w:pPr>
        <w:pStyle w:val="Body"/>
        <w:rPr>
          <w:shd w:val="clear" w:color="auto" w:fill="FFFFFF"/>
        </w:rPr>
      </w:pPr>
      <w:r>
        <w:rPr>
          <w:shd w:val="clear" w:color="auto" w:fill="FFFFFF"/>
        </w:rPr>
        <w:t xml:space="preserve"> </w:t>
      </w:r>
      <w:r w:rsidRPr="008F365D">
        <w:rPr>
          <w:shd w:val="clear" w:color="auto" w:fill="FFFFFF"/>
          <w:lang w:val="en-US"/>
        </w:rPr>
        <w:t xml:space="preserve">There are two key components to </w:t>
      </w:r>
      <w:r w:rsidR="00580EE4">
        <w:rPr>
          <w:shd w:val="clear" w:color="auto" w:fill="FFFFFF"/>
          <w:lang w:val="en-US"/>
        </w:rPr>
        <w:t xml:space="preserve">the </w:t>
      </w:r>
      <w:r w:rsidR="00580EE4" w:rsidRPr="008F365D">
        <w:rPr>
          <w:shd w:val="clear" w:color="auto" w:fill="FFFFFF"/>
          <w:lang w:val="en-US"/>
        </w:rPr>
        <w:t>role</w:t>
      </w:r>
      <w:r w:rsidRPr="008F365D">
        <w:rPr>
          <w:shd w:val="clear" w:color="auto" w:fill="FFFFFF"/>
          <w:lang w:val="en-US"/>
        </w:rPr>
        <w:t>:</w:t>
      </w:r>
    </w:p>
    <w:p w14:paraId="3B7D4AAF" w14:textId="7F9E81A7" w:rsidR="00F03FF9" w:rsidRPr="008F365D" w:rsidRDefault="0094574E" w:rsidP="00F03FF9">
      <w:pPr>
        <w:pStyle w:val="Bullet1"/>
        <w:rPr>
          <w:shd w:val="clear" w:color="auto" w:fill="FFFFFF"/>
        </w:rPr>
      </w:pPr>
      <w:r>
        <w:rPr>
          <w:shd w:val="clear" w:color="auto" w:fill="FFFFFF"/>
          <w:lang w:val="en-US"/>
        </w:rPr>
        <w:t>c</w:t>
      </w:r>
      <w:r w:rsidR="00F03FF9" w:rsidRPr="008F365D">
        <w:rPr>
          <w:shd w:val="clear" w:color="auto" w:fill="FFFFFF"/>
          <w:lang w:val="en-US"/>
        </w:rPr>
        <w:t>ommunication about Better Futures and Home Stretch with young people and carers/</w:t>
      </w:r>
      <w:r w:rsidR="00AF2861">
        <w:rPr>
          <w:shd w:val="clear" w:color="auto" w:fill="FFFFFF"/>
          <w:lang w:val="en-US"/>
        </w:rPr>
        <w:t>guardians</w:t>
      </w:r>
    </w:p>
    <w:p w14:paraId="50A6EE12" w14:textId="1CE2B5CC" w:rsidR="00F03FF9" w:rsidRPr="008F365D" w:rsidRDefault="0094574E" w:rsidP="00F03FF9">
      <w:pPr>
        <w:pStyle w:val="Bullet1"/>
        <w:rPr>
          <w:shd w:val="clear" w:color="auto" w:fill="FFFFFF"/>
        </w:rPr>
      </w:pPr>
      <w:r>
        <w:rPr>
          <w:shd w:val="clear" w:color="auto" w:fill="FFFFFF"/>
          <w:lang w:val="en-US"/>
        </w:rPr>
        <w:t>c</w:t>
      </w:r>
      <w:r w:rsidR="00F03FF9" w:rsidRPr="008F365D">
        <w:rPr>
          <w:shd w:val="clear" w:color="auto" w:fill="FFFFFF"/>
          <w:lang w:val="en-US"/>
        </w:rPr>
        <w:t>ompleti</w:t>
      </w:r>
      <w:r w:rsidR="00C210DC">
        <w:rPr>
          <w:shd w:val="clear" w:color="auto" w:fill="FFFFFF"/>
          <w:lang w:val="en-US"/>
        </w:rPr>
        <w:t>ng</w:t>
      </w:r>
      <w:r w:rsidR="00F03FF9" w:rsidRPr="008F365D">
        <w:rPr>
          <w:shd w:val="clear" w:color="auto" w:fill="FFFFFF"/>
          <w:lang w:val="en-US"/>
        </w:rPr>
        <w:t xml:space="preserve"> administrative/system processes to refer all eligible young people on </w:t>
      </w:r>
      <w:r w:rsidR="00AF2861">
        <w:rPr>
          <w:shd w:val="clear" w:color="auto" w:fill="FFFFFF"/>
          <w:lang w:val="en-US"/>
        </w:rPr>
        <w:t>permanent care orders</w:t>
      </w:r>
      <w:r w:rsidR="00F03FF9" w:rsidRPr="008F365D">
        <w:rPr>
          <w:shd w:val="clear" w:color="auto" w:fill="FFFFFF"/>
          <w:lang w:val="en-US"/>
        </w:rPr>
        <w:t xml:space="preserve"> to Better Futures</w:t>
      </w:r>
      <w:r w:rsidR="00580EE4">
        <w:rPr>
          <w:shd w:val="clear" w:color="auto" w:fill="FFFFFF"/>
          <w:lang w:val="en-US"/>
        </w:rPr>
        <w:t xml:space="preserve"> and Home Stretch.</w:t>
      </w:r>
    </w:p>
    <w:p w14:paraId="613BF5D0" w14:textId="738FA46D" w:rsidR="00F03FF9" w:rsidRDefault="00F03FF9" w:rsidP="00F03FF9">
      <w:pPr>
        <w:pStyle w:val="Body"/>
        <w:rPr>
          <w:shd w:val="clear" w:color="auto" w:fill="FFFFFF"/>
          <w:lang w:val="en-US"/>
        </w:rPr>
      </w:pPr>
      <w:r>
        <w:rPr>
          <w:shd w:val="clear" w:color="auto" w:fill="FFFFFF"/>
          <w:lang w:val="en-US"/>
        </w:rPr>
        <w:t>Before a young person on a</w:t>
      </w:r>
      <w:r w:rsidR="00FE4E4E">
        <w:rPr>
          <w:shd w:val="clear" w:color="auto" w:fill="FFFFFF"/>
          <w:lang w:val="en-US"/>
        </w:rPr>
        <w:t xml:space="preserve"> permanent care order</w:t>
      </w:r>
      <w:r>
        <w:rPr>
          <w:shd w:val="clear" w:color="auto" w:fill="FFFFFF"/>
          <w:lang w:val="en-US"/>
        </w:rPr>
        <w:t xml:space="preserve"> is referred to a Better Futures provider, PCA</w:t>
      </w:r>
      <w:r w:rsidR="0094574E">
        <w:rPr>
          <w:shd w:val="clear" w:color="auto" w:fill="FFFFFF"/>
          <w:lang w:val="en-US"/>
        </w:rPr>
        <w:t xml:space="preserve"> </w:t>
      </w:r>
      <w:r>
        <w:rPr>
          <w:shd w:val="clear" w:color="auto" w:fill="FFFFFF"/>
          <w:lang w:val="en-US"/>
        </w:rPr>
        <w:t>F</w:t>
      </w:r>
      <w:r w:rsidR="0094574E">
        <w:rPr>
          <w:shd w:val="clear" w:color="auto" w:fill="FFFFFF"/>
          <w:lang w:val="en-US"/>
        </w:rPr>
        <w:t>amilies</w:t>
      </w:r>
      <w:r w:rsidR="0035565A">
        <w:rPr>
          <w:shd w:val="clear" w:color="auto" w:fill="FFFFFF"/>
          <w:lang w:val="en-US"/>
        </w:rPr>
        <w:t xml:space="preserve"> and VACCA</w:t>
      </w:r>
      <w:r>
        <w:rPr>
          <w:shd w:val="clear" w:color="auto" w:fill="FFFFFF"/>
          <w:lang w:val="en-US"/>
        </w:rPr>
        <w:t xml:space="preserve"> will:</w:t>
      </w:r>
    </w:p>
    <w:p w14:paraId="545222CC" w14:textId="1E2835DF" w:rsidR="00F03FF9" w:rsidRPr="00A23074" w:rsidRDefault="00F03FF9" w:rsidP="001F1F5B">
      <w:pPr>
        <w:pStyle w:val="Numberdigit"/>
        <w:rPr>
          <w:shd w:val="clear" w:color="auto" w:fill="FFFFFF"/>
        </w:rPr>
      </w:pPr>
      <w:r>
        <w:rPr>
          <w:shd w:val="clear" w:color="auto" w:fill="FFFFFF"/>
          <w:lang w:val="en-US"/>
        </w:rPr>
        <w:t>Confirm their eligibility for Better Futures support</w:t>
      </w:r>
      <w:r w:rsidR="0048472F">
        <w:rPr>
          <w:shd w:val="clear" w:color="auto" w:fill="FFFFFF"/>
          <w:lang w:val="en-US"/>
        </w:rPr>
        <w:t>.</w:t>
      </w:r>
    </w:p>
    <w:p w14:paraId="6E0DDE13" w14:textId="64ABEA87" w:rsidR="00F03FF9" w:rsidRPr="009C4B84" w:rsidRDefault="00F03FF9" w:rsidP="001F1F5B">
      <w:pPr>
        <w:pStyle w:val="Numberdigit"/>
        <w:rPr>
          <w:shd w:val="clear" w:color="auto" w:fill="FFFFFF"/>
        </w:rPr>
      </w:pPr>
      <w:r>
        <w:rPr>
          <w:shd w:val="clear" w:color="auto" w:fill="FFFFFF"/>
          <w:lang w:val="en-US"/>
        </w:rPr>
        <w:t>Complete (with the information available) the Better Futures checklist (section</w:t>
      </w:r>
      <w:r w:rsidR="0048472F">
        <w:rPr>
          <w:shd w:val="clear" w:color="auto" w:fill="FFFFFF"/>
          <w:lang w:val="en-US"/>
        </w:rPr>
        <w:t>s</w:t>
      </w:r>
      <w:r>
        <w:rPr>
          <w:shd w:val="clear" w:color="auto" w:fill="FFFFFF"/>
          <w:lang w:val="en-US"/>
        </w:rPr>
        <w:t xml:space="preserve"> 1–4).</w:t>
      </w:r>
      <w:r w:rsidR="0048472F">
        <w:rPr>
          <w:shd w:val="clear" w:color="auto" w:fill="FFFFFF"/>
          <w:lang w:val="en-US"/>
        </w:rPr>
        <w:t xml:space="preserve"> </w:t>
      </w:r>
      <w:r>
        <w:rPr>
          <w:shd w:val="clear" w:color="auto" w:fill="FFFFFF"/>
          <w:lang w:val="en-US"/>
        </w:rPr>
        <w:t xml:space="preserve">Better Futures providers will need to </w:t>
      </w:r>
      <w:r w:rsidR="00E41BCE">
        <w:rPr>
          <w:shd w:val="clear" w:color="auto" w:fill="FFFFFF"/>
          <w:lang w:val="en-US"/>
        </w:rPr>
        <w:t xml:space="preserve">engage </w:t>
      </w:r>
      <w:r>
        <w:rPr>
          <w:shd w:val="clear" w:color="auto" w:fill="FFFFFF"/>
          <w:lang w:val="en-US"/>
        </w:rPr>
        <w:t>with the young person to build rapport and understand their goals and aspirations.</w:t>
      </w:r>
    </w:p>
    <w:p w14:paraId="250D634F" w14:textId="31709EA4" w:rsidR="00F03FF9" w:rsidRPr="001C1FBB" w:rsidRDefault="00F03FF9" w:rsidP="001F1F5B">
      <w:pPr>
        <w:pStyle w:val="Numberdigit"/>
        <w:rPr>
          <w:shd w:val="clear" w:color="auto" w:fill="FFFFFF"/>
        </w:rPr>
      </w:pPr>
      <w:r>
        <w:rPr>
          <w:shd w:val="clear" w:color="auto" w:fill="FFFFFF"/>
          <w:lang w:val="en-US"/>
        </w:rPr>
        <w:lastRenderedPageBreak/>
        <w:t xml:space="preserve">Allocate the young person to </w:t>
      </w:r>
      <w:r w:rsidR="00C210DC">
        <w:rPr>
          <w:shd w:val="clear" w:color="auto" w:fill="FFFFFF"/>
          <w:lang w:val="en-US"/>
        </w:rPr>
        <w:t xml:space="preserve">a </w:t>
      </w:r>
      <w:r>
        <w:rPr>
          <w:shd w:val="clear" w:color="auto" w:fill="FFFFFF"/>
          <w:lang w:val="en-US"/>
        </w:rPr>
        <w:t>Better Futures provider (or</w:t>
      </w:r>
      <w:r w:rsidR="00580EE4">
        <w:rPr>
          <w:shd w:val="clear" w:color="auto" w:fill="FFFFFF"/>
          <w:lang w:val="en-US"/>
        </w:rPr>
        <w:t xml:space="preserve"> Better Futures</w:t>
      </w:r>
      <w:r>
        <w:rPr>
          <w:shd w:val="clear" w:color="auto" w:fill="FFFFFF"/>
          <w:lang w:val="en-US"/>
        </w:rPr>
        <w:t xml:space="preserve"> triage organi</w:t>
      </w:r>
      <w:r w:rsidR="0048472F">
        <w:rPr>
          <w:shd w:val="clear" w:color="auto" w:fill="FFFFFF"/>
          <w:lang w:val="en-US"/>
        </w:rPr>
        <w:t>s</w:t>
      </w:r>
      <w:r>
        <w:rPr>
          <w:shd w:val="clear" w:color="auto" w:fill="FFFFFF"/>
          <w:lang w:val="en-US"/>
        </w:rPr>
        <w:t>ation) through</w:t>
      </w:r>
      <w:r w:rsidR="00580EE4">
        <w:rPr>
          <w:shd w:val="clear" w:color="auto" w:fill="FFFFFF"/>
          <w:lang w:val="en-US"/>
        </w:rPr>
        <w:t xml:space="preserve"> the</w:t>
      </w:r>
      <w:r>
        <w:rPr>
          <w:shd w:val="clear" w:color="auto" w:fill="FFFFFF"/>
          <w:lang w:val="en-US"/>
        </w:rPr>
        <w:t xml:space="preserve"> </w:t>
      </w:r>
      <w:r w:rsidR="00580EE4">
        <w:rPr>
          <w:shd w:val="clear" w:color="auto" w:fill="FFFFFF"/>
          <w:lang w:val="en-US"/>
        </w:rPr>
        <w:t xml:space="preserve">Client Relationship Information System for Service Providers. </w:t>
      </w:r>
    </w:p>
    <w:p w14:paraId="0DA79077" w14:textId="2C6DA5B2" w:rsidR="00F03FF9" w:rsidRDefault="00F03FF9" w:rsidP="00F03FF9">
      <w:pPr>
        <w:pStyle w:val="Bodyafterbullets"/>
        <w:rPr>
          <w:shd w:val="clear" w:color="auto" w:fill="FFFFFF"/>
          <w:lang w:val="en-US"/>
        </w:rPr>
      </w:pPr>
      <w:r>
        <w:rPr>
          <w:shd w:val="clear" w:color="auto" w:fill="FFFFFF"/>
          <w:lang w:val="en-US"/>
        </w:rPr>
        <w:t xml:space="preserve">Once the Better Futures referral is made, the provider </w:t>
      </w:r>
      <w:r w:rsidR="00C210DC">
        <w:rPr>
          <w:shd w:val="clear" w:color="auto" w:fill="FFFFFF"/>
          <w:lang w:val="en-US"/>
        </w:rPr>
        <w:t xml:space="preserve">must </w:t>
      </w:r>
      <w:r>
        <w:rPr>
          <w:shd w:val="clear" w:color="auto" w:fill="FFFFFF"/>
          <w:lang w:val="en-US"/>
        </w:rPr>
        <w:t>ensur</w:t>
      </w:r>
      <w:r w:rsidR="00C210DC">
        <w:rPr>
          <w:shd w:val="clear" w:color="auto" w:fill="FFFFFF"/>
          <w:lang w:val="en-US"/>
        </w:rPr>
        <w:t>e</w:t>
      </w:r>
      <w:r>
        <w:rPr>
          <w:shd w:val="clear" w:color="auto" w:fill="FFFFFF"/>
          <w:lang w:val="en-US"/>
        </w:rPr>
        <w:t xml:space="preserve"> the young person </w:t>
      </w:r>
      <w:r w:rsidR="00C210DC">
        <w:rPr>
          <w:shd w:val="clear" w:color="auto" w:fill="FFFFFF"/>
          <w:lang w:val="en-US"/>
        </w:rPr>
        <w:t xml:space="preserve">receives </w:t>
      </w:r>
      <w:r>
        <w:rPr>
          <w:shd w:val="clear" w:color="auto" w:fill="FFFFFF"/>
          <w:lang w:val="en-US"/>
        </w:rPr>
        <w:t xml:space="preserve">Better Futures support. </w:t>
      </w:r>
      <w:r w:rsidR="00B00CA1">
        <w:rPr>
          <w:shd w:val="clear" w:color="auto" w:fill="FFFFFF"/>
          <w:lang w:val="en-US"/>
        </w:rPr>
        <w:t xml:space="preserve">The </w:t>
      </w:r>
      <w:r>
        <w:rPr>
          <w:shd w:val="clear" w:color="auto" w:fill="FFFFFF"/>
          <w:lang w:val="en-US"/>
        </w:rPr>
        <w:t xml:space="preserve">Better Futures provider </w:t>
      </w:r>
      <w:r w:rsidR="00B00CA1">
        <w:rPr>
          <w:shd w:val="clear" w:color="auto" w:fill="FFFFFF"/>
          <w:lang w:val="en-US"/>
        </w:rPr>
        <w:t xml:space="preserve">is responsible for </w:t>
      </w:r>
      <w:r>
        <w:rPr>
          <w:shd w:val="clear" w:color="auto" w:fill="FFFFFF"/>
          <w:lang w:val="en-US"/>
        </w:rPr>
        <w:t>initiat</w:t>
      </w:r>
      <w:r w:rsidR="00B00CA1">
        <w:rPr>
          <w:shd w:val="clear" w:color="auto" w:fill="FFFFFF"/>
          <w:lang w:val="en-US"/>
        </w:rPr>
        <w:t>ing</w:t>
      </w:r>
      <w:r>
        <w:rPr>
          <w:shd w:val="clear" w:color="auto" w:fill="FFFFFF"/>
          <w:lang w:val="en-US"/>
        </w:rPr>
        <w:t xml:space="preserve"> the Home Stretch application.</w:t>
      </w:r>
    </w:p>
    <w:p w14:paraId="705DD2A2" w14:textId="5AE47F7C" w:rsidR="00F03FF9" w:rsidRDefault="00F03FF9" w:rsidP="00F03FF9">
      <w:pPr>
        <w:pStyle w:val="Heading1"/>
        <w:rPr>
          <w:shd w:val="clear" w:color="auto" w:fill="FFFFFF"/>
        </w:rPr>
      </w:pPr>
      <w:bookmarkStart w:id="8" w:name="_Toc86146264"/>
      <w:r>
        <w:rPr>
          <w:shd w:val="clear" w:color="auto" w:fill="FFFFFF"/>
        </w:rPr>
        <w:t xml:space="preserve">Who to contact for more </w:t>
      </w:r>
      <w:bookmarkEnd w:id="8"/>
      <w:r w:rsidR="008D21FE">
        <w:rPr>
          <w:shd w:val="clear" w:color="auto" w:fill="FFFFFF"/>
        </w:rPr>
        <w:t>information?</w:t>
      </w:r>
    </w:p>
    <w:p w14:paraId="5A6693E6" w14:textId="057A6BAB" w:rsidR="00F03FF9" w:rsidRDefault="00F03FF9" w:rsidP="00F03FF9">
      <w:pPr>
        <w:pStyle w:val="Body"/>
      </w:pPr>
      <w:r>
        <w:t xml:space="preserve">Better Futures providers can </w:t>
      </w:r>
      <w:r w:rsidR="00B00CA1">
        <w:t xml:space="preserve">get </w:t>
      </w:r>
      <w:r>
        <w:t>support through two avenues:</w:t>
      </w:r>
    </w:p>
    <w:p w14:paraId="2C44D2EB" w14:textId="72633613" w:rsidR="00F03FF9" w:rsidRDefault="00002E23" w:rsidP="00F03FF9">
      <w:pPr>
        <w:pStyle w:val="Bullet1"/>
      </w:pPr>
      <w:hyperlink r:id="rId15" w:history="1">
        <w:r w:rsidR="0048472F" w:rsidRPr="0048472F">
          <w:rPr>
            <w:rStyle w:val="Hyperlink"/>
          </w:rPr>
          <w:t xml:space="preserve">Email </w:t>
        </w:r>
        <w:r w:rsidR="00F03FF9" w:rsidRPr="0048472F">
          <w:rPr>
            <w:rStyle w:val="Hyperlink"/>
          </w:rPr>
          <w:t>PCA</w:t>
        </w:r>
        <w:r w:rsidR="0048472F" w:rsidRPr="0048472F">
          <w:rPr>
            <w:rStyle w:val="Hyperlink"/>
          </w:rPr>
          <w:t xml:space="preserve"> </w:t>
        </w:r>
        <w:r w:rsidR="00F03FF9" w:rsidRPr="0048472F">
          <w:rPr>
            <w:rStyle w:val="Hyperlink"/>
          </w:rPr>
          <w:t>F</w:t>
        </w:r>
        <w:r w:rsidR="0048472F" w:rsidRPr="0048472F">
          <w:rPr>
            <w:rStyle w:val="Hyperlink"/>
          </w:rPr>
          <w:t>amilies</w:t>
        </w:r>
      </w:hyperlink>
      <w:r w:rsidR="00F03FF9">
        <w:t xml:space="preserve"> </w:t>
      </w:r>
      <w:r w:rsidR="0048472F">
        <w:t>&lt;</w:t>
      </w:r>
      <w:r w:rsidR="0048472F" w:rsidRPr="00DC3083">
        <w:t>info@pcafamilies.org.au</w:t>
      </w:r>
      <w:r w:rsidR="0048472F">
        <w:t xml:space="preserve">&gt; or phone them </w:t>
      </w:r>
      <w:r w:rsidR="00F03FF9">
        <w:t xml:space="preserve">on </w:t>
      </w:r>
      <w:r w:rsidR="00F03FF9" w:rsidRPr="00E13FE9">
        <w:t>9020 1833</w:t>
      </w:r>
      <w:r w:rsidR="00F03FF9">
        <w:t>.</w:t>
      </w:r>
      <w:r w:rsidR="0048472F">
        <w:t xml:space="preserve"> </w:t>
      </w:r>
      <w:r w:rsidR="00F03FF9">
        <w:t>PCA</w:t>
      </w:r>
      <w:r w:rsidR="0048472F">
        <w:t xml:space="preserve"> </w:t>
      </w:r>
      <w:r w:rsidR="00F03FF9">
        <w:t>F</w:t>
      </w:r>
      <w:r w:rsidR="0048472F">
        <w:t>amilies</w:t>
      </w:r>
      <w:r w:rsidR="00F03FF9">
        <w:t xml:space="preserve"> </w:t>
      </w:r>
      <w:r w:rsidR="00B00CA1">
        <w:t xml:space="preserve">can help you </w:t>
      </w:r>
      <w:r w:rsidR="00F03FF9" w:rsidRPr="00E13FE9">
        <w:t>understand the referral process</w:t>
      </w:r>
      <w:r w:rsidR="00B00CA1">
        <w:t>.</w:t>
      </w:r>
    </w:p>
    <w:p w14:paraId="631E78D4" w14:textId="386419EC" w:rsidR="00A33FE0" w:rsidRPr="00AC4A33" w:rsidRDefault="00A33FE0" w:rsidP="00F03FF9">
      <w:pPr>
        <w:pStyle w:val="Bullet1"/>
      </w:pPr>
      <w:r>
        <w:t xml:space="preserve">Email VACCA </w:t>
      </w:r>
      <w:hyperlink r:id="rId16" w:history="1">
        <w:r w:rsidR="008F51D3" w:rsidRPr="008F51D3">
          <w:rPr>
            <w:rFonts w:eastAsia="Times New Roman"/>
            <w:color w:val="0563C1"/>
            <w:u w:val="single"/>
          </w:rPr>
          <w:t>pcopathways@vacca.org</w:t>
        </w:r>
      </w:hyperlink>
      <w:r w:rsidR="008F51D3">
        <w:rPr>
          <w:rFonts w:eastAsia="Times New Roman"/>
        </w:rPr>
        <w:t xml:space="preserve"> .</w:t>
      </w:r>
      <w:r>
        <w:t>VACCA can help you understand the referral process.</w:t>
      </w:r>
    </w:p>
    <w:p w14:paraId="0FA49E19" w14:textId="3D7495EB" w:rsidR="00100E74" w:rsidRDefault="0048472F" w:rsidP="005F30F7">
      <w:pPr>
        <w:pStyle w:val="Bullet1"/>
        <w:rPr>
          <w:shd w:val="clear" w:color="auto" w:fill="FFFFFF"/>
        </w:rPr>
      </w:pPr>
      <w:r>
        <w:t xml:space="preserve">Speak to </w:t>
      </w:r>
      <w:r w:rsidR="008D21FE">
        <w:t>the</w:t>
      </w:r>
      <w:r w:rsidR="00580EE4">
        <w:t xml:space="preserve"> Better Futures and Home Stretch</w:t>
      </w:r>
      <w:r w:rsidR="008D21FE">
        <w:t xml:space="preserve"> senior </w:t>
      </w:r>
      <w:r w:rsidR="00580EE4">
        <w:t>project worker</w:t>
      </w:r>
      <w:r w:rsidR="008D21FE">
        <w:t xml:space="preserve"> in each departmental operation division</w:t>
      </w:r>
      <w:r w:rsidR="00F03FF9">
        <w:t xml:space="preserve">, who </w:t>
      </w:r>
      <w:r>
        <w:t>can</w:t>
      </w:r>
      <w:r w:rsidR="00F03FF9">
        <w:t xml:space="preserve"> </w:t>
      </w:r>
      <w:r>
        <w:t>answer</w:t>
      </w:r>
      <w:r w:rsidR="00F03FF9">
        <w:t xml:space="preserve"> any questions </w:t>
      </w:r>
      <w:r>
        <w:t xml:space="preserve">about </w:t>
      </w:r>
      <w:r w:rsidR="00F03FF9">
        <w:t xml:space="preserve">Better Futures funding and </w:t>
      </w:r>
      <w:r>
        <w:t xml:space="preserve">other departmental </w:t>
      </w:r>
      <w:r w:rsidR="00F03FF9">
        <w:t>supports</w:t>
      </w:r>
      <w:r>
        <w:t xml:space="preserve">. </w:t>
      </w:r>
      <w:bookmarkStart w:id="9" w:name="_Toc86146265"/>
      <w:r w:rsidR="00100E74" w:rsidRPr="008D21FE">
        <w:rPr>
          <w:shd w:val="clear" w:color="auto" w:fill="FFFFFF"/>
        </w:rPr>
        <w:t>Resources available for Better Futures providers</w:t>
      </w:r>
      <w:bookmarkEnd w:id="9"/>
      <w:r w:rsidR="00A7300B">
        <w:rPr>
          <w:shd w:val="clear" w:color="auto" w:fill="FFFFFF"/>
        </w:rPr>
        <w:t>:</w:t>
      </w:r>
    </w:p>
    <w:p w14:paraId="3CA81D15" w14:textId="697930C6" w:rsidR="00A7300B" w:rsidRDefault="00A7300B" w:rsidP="00A7300B">
      <w:pPr>
        <w:pStyle w:val="Bullet2"/>
        <w:rPr>
          <w:shd w:val="clear" w:color="auto" w:fill="FFFFFF"/>
        </w:rPr>
      </w:pPr>
      <w:r>
        <w:rPr>
          <w:shd w:val="clear" w:color="auto" w:fill="FFFFFF"/>
        </w:rPr>
        <w:t>West Division</w:t>
      </w:r>
      <w:r w:rsidR="000A3C2A">
        <w:rPr>
          <w:shd w:val="clear" w:color="auto" w:fill="FFFFFF"/>
        </w:rPr>
        <w:t>:</w:t>
      </w:r>
      <w:r>
        <w:rPr>
          <w:shd w:val="clear" w:color="auto" w:fill="FFFFFF"/>
        </w:rPr>
        <w:t xml:space="preserve"> </w:t>
      </w:r>
      <w:hyperlink r:id="rId17" w:history="1">
        <w:r w:rsidRPr="00DA54D7">
          <w:rPr>
            <w:rStyle w:val="Hyperlink"/>
            <w:shd w:val="clear" w:color="auto" w:fill="FFFFFF"/>
          </w:rPr>
          <w:t>betterfutureswest@dffh.vic.gov.au</w:t>
        </w:r>
      </w:hyperlink>
    </w:p>
    <w:p w14:paraId="0730A6B0" w14:textId="6BBE1EE7" w:rsidR="00A7300B" w:rsidRDefault="00A7300B" w:rsidP="00A7300B">
      <w:pPr>
        <w:pStyle w:val="Bullet2"/>
        <w:rPr>
          <w:shd w:val="clear" w:color="auto" w:fill="FFFFFF"/>
        </w:rPr>
      </w:pPr>
      <w:r>
        <w:rPr>
          <w:shd w:val="clear" w:color="auto" w:fill="FFFFFF"/>
        </w:rPr>
        <w:t>South Division</w:t>
      </w:r>
      <w:r w:rsidR="000A3C2A">
        <w:rPr>
          <w:shd w:val="clear" w:color="auto" w:fill="FFFFFF"/>
        </w:rPr>
        <w:t>:</w:t>
      </w:r>
      <w:r>
        <w:rPr>
          <w:shd w:val="clear" w:color="auto" w:fill="FFFFFF"/>
        </w:rPr>
        <w:t xml:space="preserve"> </w:t>
      </w:r>
      <w:hyperlink r:id="rId18" w:history="1">
        <w:r w:rsidRPr="00DA54D7">
          <w:rPr>
            <w:rStyle w:val="Hyperlink"/>
            <w:shd w:val="clear" w:color="auto" w:fill="FFFFFF"/>
          </w:rPr>
          <w:t>betterfuturessouth@dffh.vic..gov.au</w:t>
        </w:r>
      </w:hyperlink>
    </w:p>
    <w:p w14:paraId="6B021012" w14:textId="63404ACD" w:rsidR="000A3C2A" w:rsidRPr="000A3C2A" w:rsidRDefault="00A7300B" w:rsidP="000A3C2A">
      <w:pPr>
        <w:pStyle w:val="Bullet2"/>
        <w:rPr>
          <w:shd w:val="clear" w:color="auto" w:fill="FFFFFF"/>
        </w:rPr>
      </w:pPr>
      <w:r>
        <w:rPr>
          <w:shd w:val="clear" w:color="auto" w:fill="FFFFFF"/>
        </w:rPr>
        <w:t>East Division</w:t>
      </w:r>
      <w:r w:rsidR="000A3C2A">
        <w:rPr>
          <w:shd w:val="clear" w:color="auto" w:fill="FFFFFF"/>
        </w:rPr>
        <w:t>:</w:t>
      </w:r>
      <w:r>
        <w:rPr>
          <w:shd w:val="clear" w:color="auto" w:fill="FFFFFF"/>
        </w:rPr>
        <w:t xml:space="preserve"> </w:t>
      </w:r>
      <w:hyperlink r:id="rId19" w:history="1">
        <w:r w:rsidR="000A3C2A" w:rsidRPr="002E3BC3">
          <w:rPr>
            <w:rStyle w:val="Hyperlink"/>
            <w:shd w:val="clear" w:color="auto" w:fill="FFFFFF"/>
          </w:rPr>
          <w:t>betterfutureseast@dffh.vic.gov.au</w:t>
        </w:r>
      </w:hyperlink>
      <w:r w:rsidR="000A3C2A">
        <w:rPr>
          <w:shd w:val="clear" w:color="auto" w:fill="FFFFFF"/>
        </w:rPr>
        <w:t xml:space="preserve"> </w:t>
      </w:r>
    </w:p>
    <w:p w14:paraId="5FCF897E" w14:textId="10C83848" w:rsidR="00A7300B" w:rsidRDefault="00A7300B" w:rsidP="00A7300B">
      <w:pPr>
        <w:pStyle w:val="Bullet2"/>
        <w:rPr>
          <w:shd w:val="clear" w:color="auto" w:fill="FFFFFF"/>
        </w:rPr>
      </w:pPr>
      <w:r>
        <w:rPr>
          <w:shd w:val="clear" w:color="auto" w:fill="FFFFFF"/>
        </w:rPr>
        <w:t>North Division</w:t>
      </w:r>
      <w:r w:rsidR="000A3C2A">
        <w:rPr>
          <w:shd w:val="clear" w:color="auto" w:fill="FFFFFF"/>
        </w:rPr>
        <w:t>:</w:t>
      </w:r>
      <w:r>
        <w:rPr>
          <w:shd w:val="clear" w:color="auto" w:fill="FFFFFF"/>
        </w:rPr>
        <w:t xml:space="preserve"> </w:t>
      </w:r>
      <w:hyperlink r:id="rId20" w:history="1">
        <w:r w:rsidRPr="00DA54D7">
          <w:rPr>
            <w:rStyle w:val="Hyperlink"/>
            <w:shd w:val="clear" w:color="auto" w:fill="FFFFFF"/>
          </w:rPr>
          <w:t>betterfuturesnorth@dffh.vic.gov.au</w:t>
        </w:r>
      </w:hyperlink>
    </w:p>
    <w:p w14:paraId="2EDACCAB" w14:textId="6D65C829" w:rsidR="003B1BDC" w:rsidRPr="003B1BDC" w:rsidRDefault="0048472F" w:rsidP="008F13CA">
      <w:pPr>
        <w:pStyle w:val="Body"/>
        <w:spacing w:before="360" w:after="360"/>
      </w:pPr>
      <w:r>
        <w:t>Find m</w:t>
      </w:r>
      <w:r w:rsidR="00F03FF9">
        <w:t xml:space="preserve">ore information on the </w:t>
      </w:r>
      <w:r>
        <w:t xml:space="preserve">department’s </w:t>
      </w:r>
      <w:hyperlink r:id="rId21" w:history="1">
        <w:r w:rsidR="00F03FF9" w:rsidRPr="0048472F">
          <w:rPr>
            <w:rStyle w:val="Hyperlink"/>
          </w:rPr>
          <w:t xml:space="preserve">Better Futures </w:t>
        </w:r>
        <w:r w:rsidRPr="0048472F">
          <w:rPr>
            <w:rStyle w:val="Hyperlink"/>
          </w:rPr>
          <w:t>p</w:t>
        </w:r>
        <w:r w:rsidR="00F03FF9" w:rsidRPr="0048472F">
          <w:rPr>
            <w:rStyle w:val="Hyperlink"/>
          </w:rPr>
          <w:t xml:space="preserve">roviders </w:t>
        </w:r>
        <w:r w:rsidR="00C900BB">
          <w:rPr>
            <w:rStyle w:val="Hyperlink"/>
          </w:rPr>
          <w:t>web</w:t>
        </w:r>
        <w:r w:rsidR="00F03FF9" w:rsidRPr="0048472F">
          <w:rPr>
            <w:rStyle w:val="Hyperlink"/>
          </w:rPr>
          <w:t>page</w:t>
        </w:r>
      </w:hyperlink>
      <w:r w:rsidR="00F03FF9">
        <w:t xml:space="preserve"> </w:t>
      </w:r>
      <w:r>
        <w:t>&lt;</w:t>
      </w:r>
      <w:r w:rsidRPr="001F1F5B">
        <w:t>https://providers.dffh.vic.gov.au/better-futures</w:t>
      </w:r>
      <w:r>
        <w:t>&gt;.</w:t>
      </w:r>
      <w:bookmarkEnd w:id="1"/>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4030BB8E" w14:textId="77777777" w:rsidR="005D5BAA" w:rsidRPr="00254F58" w:rsidRDefault="005D5BAA" w:rsidP="005D5BAA">
            <w:pPr>
              <w:pStyle w:val="DHHSaccessibilitypara"/>
            </w:pPr>
            <w:bookmarkStart w:id="10" w:name="_Hlk37240926"/>
            <w:r w:rsidRPr="00254F58">
              <w:t xml:space="preserve">To receive this publication in </w:t>
            </w:r>
            <w:r w:rsidRPr="00770F37">
              <w:t>an</w:t>
            </w:r>
            <w:r w:rsidRPr="00254F58">
              <w:t xml:space="preserve"> accessible format phone </w:t>
            </w:r>
            <w:r>
              <w:t>9096 7257</w:t>
            </w:r>
            <w:r w:rsidRPr="00254F58">
              <w:t xml:space="preserve">, using the National Relay Service 13 36 77 if required, or </w:t>
            </w:r>
            <w:hyperlink r:id="rId22" w:history="1">
              <w:r w:rsidRPr="00754980">
                <w:rPr>
                  <w:rStyle w:val="Hyperlink"/>
                </w:rPr>
                <w:t>email the Children and Families Policy Branch</w:t>
              </w:r>
            </w:hyperlink>
            <w:r>
              <w:t xml:space="preserve"> &lt;childrenyouthfamilies@dffh.vic.gov.au&gt;</w:t>
            </w:r>
          </w:p>
          <w:p w14:paraId="28981A51" w14:textId="77777777" w:rsidR="005D5BAA" w:rsidRPr="0055119B" w:rsidRDefault="005D5BAA" w:rsidP="005D5BAA">
            <w:pPr>
              <w:pStyle w:val="Imprint"/>
            </w:pPr>
            <w:r w:rsidRPr="0055119B">
              <w:t>Authorised and published by the Victorian Government, 1 Treasury Place, Melbourne.</w:t>
            </w:r>
          </w:p>
          <w:p w14:paraId="6E366632" w14:textId="79D619EE" w:rsidR="005D5BAA" w:rsidRPr="008338F6" w:rsidRDefault="005D5BAA" w:rsidP="005D5BAA">
            <w:pPr>
              <w:pStyle w:val="Imprint"/>
              <w:rPr>
                <w:color w:val="auto"/>
              </w:rPr>
            </w:pPr>
            <w:r w:rsidRPr="008338F6">
              <w:rPr>
                <w:color w:val="auto"/>
              </w:rPr>
              <w:t>© State of Victoria, Australia, Department of Families, Fairness and Housing,</w:t>
            </w:r>
            <w:r>
              <w:rPr>
                <w:color w:val="auto"/>
              </w:rPr>
              <w:t xml:space="preserve"> </w:t>
            </w:r>
            <w:r w:rsidR="00CD2F7A">
              <w:rPr>
                <w:color w:val="auto"/>
              </w:rPr>
              <w:t>November</w:t>
            </w:r>
            <w:r>
              <w:rPr>
                <w:color w:val="auto"/>
              </w:rPr>
              <w:t xml:space="preserve"> 2021.</w:t>
            </w:r>
          </w:p>
          <w:p w14:paraId="0C92739F" w14:textId="472B1092" w:rsidR="0055119B" w:rsidRDefault="005D5BAA" w:rsidP="005D5BAA">
            <w:pPr>
              <w:pStyle w:val="Imprint"/>
            </w:pPr>
            <w:bookmarkStart w:id="11" w:name="_Hlk62746129"/>
            <w:r w:rsidRPr="00CE2BFC">
              <w:rPr>
                <w:color w:val="auto"/>
              </w:rPr>
              <w:t xml:space="preserve">Available at the </w:t>
            </w:r>
            <w:hyperlink r:id="rId23" w:history="1">
              <w:r w:rsidRPr="00CE2BFC">
                <w:rPr>
                  <w:rStyle w:val="Hyperlink"/>
                </w:rPr>
                <w:t>DFFH Providers website</w:t>
              </w:r>
            </w:hyperlink>
            <w:r w:rsidRPr="00CE2BFC">
              <w:rPr>
                <w:color w:val="auto"/>
              </w:rPr>
              <w:t xml:space="preserve"> &lt;</w:t>
            </w:r>
            <w:bookmarkEnd w:id="11"/>
            <w:r w:rsidRPr="00CE2BFC">
              <w:rPr>
                <w:color w:val="auto"/>
              </w:rPr>
              <w:t>https://providers.dffh.vic.gov.au/better-futures</w:t>
            </w:r>
            <w:r>
              <w:rPr>
                <w:color w:val="auto"/>
              </w:rPr>
              <w:t>&gt;.</w:t>
            </w:r>
          </w:p>
        </w:tc>
      </w:tr>
      <w:bookmarkEnd w:id="10"/>
    </w:tbl>
    <w:p w14:paraId="312DEA78" w14:textId="77777777" w:rsidR="00162CA9" w:rsidRDefault="00162CA9" w:rsidP="008F13CA">
      <w:pPr>
        <w:pStyle w:val="Body"/>
      </w:pPr>
    </w:p>
    <w:sectPr w:rsidR="00162CA9" w:rsidSect="00531BB8">
      <w:headerReference w:type="default" r:id="rId24"/>
      <w:footerReference w:type="default" r:id="rId25"/>
      <w:type w:val="continuous"/>
      <w:pgSz w:w="11906" w:h="16838" w:code="9"/>
      <w:pgMar w:top="1418" w:right="851" w:bottom="851"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D958" w14:textId="77777777" w:rsidR="004858F0" w:rsidRDefault="004858F0">
      <w:r>
        <w:separator/>
      </w:r>
    </w:p>
    <w:p w14:paraId="60FAE10E" w14:textId="77777777" w:rsidR="004858F0" w:rsidRDefault="004858F0"/>
  </w:endnote>
  <w:endnote w:type="continuationSeparator" w:id="0">
    <w:p w14:paraId="64FDB91E" w14:textId="77777777" w:rsidR="004858F0" w:rsidRDefault="004858F0">
      <w:r>
        <w:continuationSeparator/>
      </w:r>
    </w:p>
    <w:p w14:paraId="74B3B3B9" w14:textId="77777777" w:rsidR="004858F0" w:rsidRDefault="00485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FB901" w14:textId="77777777" w:rsidR="00002E23" w:rsidRDefault="0000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9F6" w14:textId="7DD217CB" w:rsidR="00E261B3" w:rsidRPr="00F65AA9" w:rsidRDefault="002572E6" w:rsidP="00A02255">
    <w:pPr>
      <w:pStyle w:val="Footer"/>
    </w:pPr>
    <w:r>
      <w:rPr>
        <w:noProof/>
        <w:lang w:eastAsia="en-AU"/>
      </w:rPr>
      <w:drawing>
        <wp:anchor distT="0" distB="0" distL="114300" distR="114300" simplePos="0" relativeHeight="251666432" behindDoc="1" locked="1" layoutInCell="1" allowOverlap="1" wp14:anchorId="7FE7BAA8" wp14:editId="00AFC223">
          <wp:simplePos x="539087" y="8291015"/>
          <wp:positionH relativeFrom="page">
            <wp:align>left</wp:align>
          </wp:positionH>
          <wp:positionV relativeFrom="page">
            <wp:align>bottom</wp:align>
          </wp:positionV>
          <wp:extent cx="7560000" cy="1749600"/>
          <wp:effectExtent l="0" t="0" r="3175" b="0"/>
          <wp:wrapNone/>
          <wp:docPr id="3" name="Picture 3" descr="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toria State Government, Department of Families, Fairness and Housing"/>
                  <pic:cNvPicPr/>
                </pic:nvPicPr>
                <pic:blipFill>
                  <a:blip r:embed="rId1"/>
                  <a:stretch>
                    <a:fillRect/>
                  </a:stretch>
                </pic:blipFill>
                <pic:spPr>
                  <a:xfrm>
                    <a:off x="0" y="0"/>
                    <a:ext cx="7560000" cy="17496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3F220AE8" wp14:editId="3EFCB2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7A31"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736E1" w14:textId="2A89CA25" w:rsidR="004D7431" w:rsidRPr="00F65AA9" w:rsidRDefault="001F1F5B" w:rsidP="00EF2C72">
    <w:pPr>
      <w:pStyle w:val="Footer"/>
    </w:pPr>
    <w:r>
      <w:rPr>
        <w:noProof/>
      </w:rPr>
      <mc:AlternateContent>
        <mc:Choice Requires="wps">
          <w:drawing>
            <wp:anchor distT="0" distB="0" distL="114300" distR="114300" simplePos="0" relativeHeight="251664384" behindDoc="0" locked="0" layoutInCell="0" allowOverlap="1" wp14:anchorId="031CB4DA" wp14:editId="268B5C5D">
              <wp:simplePos x="0" y="0"/>
              <wp:positionH relativeFrom="page">
                <wp:posOffset>0</wp:posOffset>
              </wp:positionH>
              <wp:positionV relativeFrom="page">
                <wp:posOffset>10189210</wp:posOffset>
              </wp:positionV>
              <wp:extent cx="7560310" cy="311785"/>
              <wp:effectExtent l="0" t="0" r="0" b="12065"/>
              <wp:wrapNone/>
              <wp:docPr id="1" name="MSIPCM4b984dfc88f72ca2fc43a76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06521" w14:textId="06188104" w:rsidR="001F1F5B" w:rsidRPr="001F1F5B" w:rsidRDefault="001F1F5B" w:rsidP="001F1F5B">
                          <w:pPr>
                            <w:spacing w:after="0"/>
                            <w:jc w:val="center"/>
                            <w:rPr>
                              <w:rFonts w:ascii="Arial Black" w:hAnsi="Arial Black"/>
                              <w:color w:val="000000"/>
                              <w:sz w:val="20"/>
                            </w:rPr>
                          </w:pPr>
                          <w:r w:rsidRPr="001F1F5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1CB4DA" id="_x0000_t202" coordsize="21600,21600" o:spt="202" path="m,l,21600r21600,l21600,xe">
              <v:stroke joinstyle="miter"/>
              <v:path gradientshapeok="t" o:connecttype="rect"/>
            </v:shapetype>
            <v:shape id="MSIPCM4b984dfc88f72ca2fc43a762"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7WGEmwAgAATAUAAA4A&#10;AAAAAAAAAAAAAAAALgIAAGRycy9lMm9Eb2MueG1sUEsBAi0AFAAGAAgAAAAhAEgNXprfAAAACwEA&#10;AA8AAAAAAAAAAAAAAAAACgUAAGRycy9kb3ducmV2LnhtbFBLBQYAAAAABAAEAPMAAAAWBgAAAAA=&#10;" o:allowincell="f" filled="f" stroked="f" strokeweight=".5pt">
              <v:textbox inset=",0,,0">
                <w:txbxContent>
                  <w:p w14:paraId="56706521" w14:textId="06188104" w:rsidR="001F1F5B" w:rsidRPr="001F1F5B" w:rsidRDefault="001F1F5B" w:rsidP="001F1F5B">
                    <w:pPr>
                      <w:spacing w:after="0"/>
                      <w:jc w:val="center"/>
                      <w:rPr>
                        <w:rFonts w:ascii="Arial Black" w:hAnsi="Arial Black"/>
                        <w:color w:val="000000"/>
                        <w:sz w:val="20"/>
                      </w:rPr>
                    </w:pPr>
                    <w:r w:rsidRPr="001F1F5B">
                      <w:rPr>
                        <w:rFonts w:ascii="Arial Black" w:hAnsi="Arial Black"/>
                        <w:color w:val="000000"/>
                        <w:sz w:val="20"/>
                      </w:rPr>
                      <w:t>OFFICIAL</w:t>
                    </w:r>
                  </w:p>
                </w:txbxContent>
              </v:textbox>
              <w10:wrap anchorx="page" anchory="page"/>
            </v:shape>
          </w:pict>
        </mc:Fallback>
      </mc:AlternateContent>
    </w:r>
    <w:r w:rsidR="004D7431">
      <w:rPr>
        <w:noProof/>
      </w:rPr>
      <mc:AlternateContent>
        <mc:Choice Requires="wps">
          <w:drawing>
            <wp:anchor distT="0" distB="0" distL="114300" distR="114300" simplePos="0" relativeHeight="251662336" behindDoc="0" locked="0" layoutInCell="0" allowOverlap="1" wp14:anchorId="46892DAB" wp14:editId="703367B9">
              <wp:simplePos x="0" y="0"/>
              <wp:positionH relativeFrom="page">
                <wp:posOffset>0</wp:posOffset>
              </wp:positionH>
              <wp:positionV relativeFrom="page">
                <wp:posOffset>10189210</wp:posOffset>
              </wp:positionV>
              <wp:extent cx="7560310" cy="311785"/>
              <wp:effectExtent l="0" t="0" r="0" b="12065"/>
              <wp:wrapNone/>
              <wp:docPr id="10" name="MSIPCMbfdd41028848715893d5798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B2ECB" w14:textId="21115F44" w:rsidR="004D7431" w:rsidRPr="004D7431" w:rsidRDefault="004D7431" w:rsidP="004D7431">
                          <w:pPr>
                            <w:spacing w:after="0"/>
                            <w:jc w:val="center"/>
                            <w:rPr>
                              <w:rFonts w:ascii="Arial Black" w:hAnsi="Arial Black"/>
                              <w:color w:val="000000"/>
                              <w:sz w:val="20"/>
                            </w:rPr>
                          </w:pPr>
                          <w:r w:rsidRPr="004D74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892DAB" id="MSIPCMbfdd41028848715893d5798c"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nJHxsQIAAE0FAAAO&#10;AAAAAAAAAAAAAAAAAC4CAABkcnMvZTJvRG9jLnhtbFBLAQItABQABgAIAAAAIQBIDV6a3wAAAAsB&#10;AAAPAAAAAAAAAAAAAAAAAAsFAABkcnMvZG93bnJldi54bWxQSwUGAAAAAAQABADzAAAAFwYAAAAA&#10;" o:allowincell="f" filled="f" stroked="f" strokeweight=".5pt">
              <v:textbox inset=",0,,0">
                <w:txbxContent>
                  <w:p w14:paraId="686B2ECB" w14:textId="21115F44" w:rsidR="004D7431" w:rsidRPr="004D7431" w:rsidRDefault="004D7431" w:rsidP="004D7431">
                    <w:pPr>
                      <w:spacing w:after="0"/>
                      <w:jc w:val="center"/>
                      <w:rPr>
                        <w:rFonts w:ascii="Arial Black" w:hAnsi="Arial Black"/>
                        <w:color w:val="000000"/>
                        <w:sz w:val="20"/>
                      </w:rPr>
                    </w:pPr>
                    <w:r w:rsidRPr="004D743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4A1B6" w14:textId="77777777" w:rsidR="004858F0" w:rsidRDefault="004858F0" w:rsidP="00207717">
      <w:pPr>
        <w:spacing w:before="120"/>
      </w:pPr>
      <w:r>
        <w:separator/>
      </w:r>
    </w:p>
  </w:footnote>
  <w:footnote w:type="continuationSeparator" w:id="0">
    <w:p w14:paraId="57DCC9F1" w14:textId="77777777" w:rsidR="004858F0" w:rsidRDefault="004858F0">
      <w:r>
        <w:continuationSeparator/>
      </w:r>
    </w:p>
    <w:p w14:paraId="4C3BFF29" w14:textId="77777777" w:rsidR="004858F0" w:rsidRDefault="00485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1353" w14:textId="77777777" w:rsidR="00002E23" w:rsidRDefault="00002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56DFD" w14:textId="77777777" w:rsidR="00002E23" w:rsidRDefault="00002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EA08" w14:textId="77777777" w:rsidR="00002E23" w:rsidRDefault="00002E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4DF60" w14:textId="0515E4C5" w:rsidR="00F236EC" w:rsidRDefault="00F03FF9">
    <w:pPr>
      <w:pStyle w:val="Header"/>
    </w:pPr>
    <w:r w:rsidRPr="00F03FF9">
      <w:t>Young people on permanent care orders: information for Better Futures providers</w:t>
    </w:r>
    <w:r w:rsidR="00F236EC">
      <w:ptab w:relativeTo="margin" w:alignment="right" w:leader="none"/>
    </w:r>
    <w:r w:rsidR="00F236EC" w:rsidRPr="00DE6C85">
      <w:rPr>
        <w:b w:val="0"/>
        <w:bCs/>
      </w:rPr>
      <w:fldChar w:fldCharType="begin"/>
    </w:r>
    <w:r w:rsidR="00F236EC" w:rsidRPr="00DE6C85">
      <w:rPr>
        <w:bCs/>
      </w:rPr>
      <w:instrText xml:space="preserve"> PAGE </w:instrText>
    </w:r>
    <w:r w:rsidR="00F236EC" w:rsidRPr="00DE6C85">
      <w:rPr>
        <w:b w:val="0"/>
        <w:bCs/>
      </w:rPr>
      <w:fldChar w:fldCharType="separate"/>
    </w:r>
    <w:r w:rsidR="00F236EC">
      <w:rPr>
        <w:b w:val="0"/>
        <w:bCs/>
      </w:rPr>
      <w:t>2</w:t>
    </w:r>
    <w:r w:rsidR="00F236E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E2FAE"/>
    <w:multiLevelType w:val="hybridMultilevel"/>
    <w:tmpl w:val="CA4EC52A"/>
    <w:lvl w:ilvl="0" w:tplc="90D4BE62">
      <w:start w:val="1"/>
      <w:numFmt w:val="bullet"/>
      <w:lvlText w:val="•"/>
      <w:lvlJc w:val="left"/>
      <w:pPr>
        <w:tabs>
          <w:tab w:val="num" w:pos="720"/>
        </w:tabs>
        <w:ind w:left="720" w:hanging="360"/>
      </w:pPr>
      <w:rPr>
        <w:rFonts w:ascii="Arial" w:hAnsi="Arial" w:hint="default"/>
      </w:rPr>
    </w:lvl>
    <w:lvl w:ilvl="1" w:tplc="5D724BB0" w:tentative="1">
      <w:start w:val="1"/>
      <w:numFmt w:val="bullet"/>
      <w:lvlText w:val="•"/>
      <w:lvlJc w:val="left"/>
      <w:pPr>
        <w:tabs>
          <w:tab w:val="num" w:pos="1440"/>
        </w:tabs>
        <w:ind w:left="1440" w:hanging="360"/>
      </w:pPr>
      <w:rPr>
        <w:rFonts w:ascii="Arial" w:hAnsi="Arial" w:hint="default"/>
      </w:rPr>
    </w:lvl>
    <w:lvl w:ilvl="2" w:tplc="3378CC9C" w:tentative="1">
      <w:start w:val="1"/>
      <w:numFmt w:val="bullet"/>
      <w:lvlText w:val="•"/>
      <w:lvlJc w:val="left"/>
      <w:pPr>
        <w:tabs>
          <w:tab w:val="num" w:pos="2160"/>
        </w:tabs>
        <w:ind w:left="2160" w:hanging="360"/>
      </w:pPr>
      <w:rPr>
        <w:rFonts w:ascii="Arial" w:hAnsi="Arial" w:hint="default"/>
      </w:rPr>
    </w:lvl>
    <w:lvl w:ilvl="3" w:tplc="20D05428" w:tentative="1">
      <w:start w:val="1"/>
      <w:numFmt w:val="bullet"/>
      <w:lvlText w:val="•"/>
      <w:lvlJc w:val="left"/>
      <w:pPr>
        <w:tabs>
          <w:tab w:val="num" w:pos="2880"/>
        </w:tabs>
        <w:ind w:left="2880" w:hanging="360"/>
      </w:pPr>
      <w:rPr>
        <w:rFonts w:ascii="Arial" w:hAnsi="Arial" w:hint="default"/>
      </w:rPr>
    </w:lvl>
    <w:lvl w:ilvl="4" w:tplc="179C3A04" w:tentative="1">
      <w:start w:val="1"/>
      <w:numFmt w:val="bullet"/>
      <w:lvlText w:val="•"/>
      <w:lvlJc w:val="left"/>
      <w:pPr>
        <w:tabs>
          <w:tab w:val="num" w:pos="3600"/>
        </w:tabs>
        <w:ind w:left="3600" w:hanging="360"/>
      </w:pPr>
      <w:rPr>
        <w:rFonts w:ascii="Arial" w:hAnsi="Arial" w:hint="default"/>
      </w:rPr>
    </w:lvl>
    <w:lvl w:ilvl="5" w:tplc="297CE712" w:tentative="1">
      <w:start w:val="1"/>
      <w:numFmt w:val="bullet"/>
      <w:lvlText w:val="•"/>
      <w:lvlJc w:val="left"/>
      <w:pPr>
        <w:tabs>
          <w:tab w:val="num" w:pos="4320"/>
        </w:tabs>
        <w:ind w:left="4320" w:hanging="360"/>
      </w:pPr>
      <w:rPr>
        <w:rFonts w:ascii="Arial" w:hAnsi="Arial" w:hint="default"/>
      </w:rPr>
    </w:lvl>
    <w:lvl w:ilvl="6" w:tplc="5AEC71C2" w:tentative="1">
      <w:start w:val="1"/>
      <w:numFmt w:val="bullet"/>
      <w:lvlText w:val="•"/>
      <w:lvlJc w:val="left"/>
      <w:pPr>
        <w:tabs>
          <w:tab w:val="num" w:pos="5040"/>
        </w:tabs>
        <w:ind w:left="5040" w:hanging="360"/>
      </w:pPr>
      <w:rPr>
        <w:rFonts w:ascii="Arial" w:hAnsi="Arial" w:hint="default"/>
      </w:rPr>
    </w:lvl>
    <w:lvl w:ilvl="7" w:tplc="889438CA" w:tentative="1">
      <w:start w:val="1"/>
      <w:numFmt w:val="bullet"/>
      <w:lvlText w:val="•"/>
      <w:lvlJc w:val="left"/>
      <w:pPr>
        <w:tabs>
          <w:tab w:val="num" w:pos="5760"/>
        </w:tabs>
        <w:ind w:left="5760" w:hanging="360"/>
      </w:pPr>
      <w:rPr>
        <w:rFonts w:ascii="Arial" w:hAnsi="Arial" w:hint="default"/>
      </w:rPr>
    </w:lvl>
    <w:lvl w:ilvl="8" w:tplc="1F72A7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067CFE"/>
    <w:multiLevelType w:val="hybridMultilevel"/>
    <w:tmpl w:val="3678FC1C"/>
    <w:lvl w:ilvl="0" w:tplc="C410192C">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4"/>
  </w:num>
  <w:num w:numId="26">
    <w:abstractNumId w:val="20"/>
  </w:num>
  <w:num w:numId="27">
    <w:abstractNumId w:val="12"/>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2E23"/>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1E31"/>
    <w:rsid w:val="0008508E"/>
    <w:rsid w:val="00086557"/>
    <w:rsid w:val="00087951"/>
    <w:rsid w:val="0009113B"/>
    <w:rsid w:val="00093402"/>
    <w:rsid w:val="00094DA3"/>
    <w:rsid w:val="00096CD1"/>
    <w:rsid w:val="000A012C"/>
    <w:rsid w:val="000A0EB9"/>
    <w:rsid w:val="000A186C"/>
    <w:rsid w:val="000A1EA4"/>
    <w:rsid w:val="000A2476"/>
    <w:rsid w:val="000A3C2A"/>
    <w:rsid w:val="000A641A"/>
    <w:rsid w:val="000B2117"/>
    <w:rsid w:val="000B3EDB"/>
    <w:rsid w:val="000B543D"/>
    <w:rsid w:val="000B55F9"/>
    <w:rsid w:val="000B5BF7"/>
    <w:rsid w:val="000B6BC8"/>
    <w:rsid w:val="000C0303"/>
    <w:rsid w:val="000C0636"/>
    <w:rsid w:val="000C42EA"/>
    <w:rsid w:val="000C4546"/>
    <w:rsid w:val="000D1242"/>
    <w:rsid w:val="000E0970"/>
    <w:rsid w:val="000E3CC7"/>
    <w:rsid w:val="000E6BD4"/>
    <w:rsid w:val="000E6D6D"/>
    <w:rsid w:val="000F0FC0"/>
    <w:rsid w:val="000F1F1E"/>
    <w:rsid w:val="000F2259"/>
    <w:rsid w:val="000F2DDA"/>
    <w:rsid w:val="000F2EA0"/>
    <w:rsid w:val="000F5213"/>
    <w:rsid w:val="00100E74"/>
    <w:rsid w:val="00101001"/>
    <w:rsid w:val="001015B1"/>
    <w:rsid w:val="0010212F"/>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F5B"/>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170"/>
    <w:rsid w:val="002432E1"/>
    <w:rsid w:val="00246207"/>
    <w:rsid w:val="00246C5E"/>
    <w:rsid w:val="00250960"/>
    <w:rsid w:val="00250DC4"/>
    <w:rsid w:val="00251343"/>
    <w:rsid w:val="002536A4"/>
    <w:rsid w:val="00254F58"/>
    <w:rsid w:val="002572E6"/>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A5DC6"/>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13F"/>
    <w:rsid w:val="00305CC1"/>
    <w:rsid w:val="00306E5F"/>
    <w:rsid w:val="00307E14"/>
    <w:rsid w:val="00314054"/>
    <w:rsid w:val="00316F27"/>
    <w:rsid w:val="003214F1"/>
    <w:rsid w:val="00322E4B"/>
    <w:rsid w:val="003252EE"/>
    <w:rsid w:val="00327870"/>
    <w:rsid w:val="0033259D"/>
    <w:rsid w:val="003333D2"/>
    <w:rsid w:val="003369AF"/>
    <w:rsid w:val="00337339"/>
    <w:rsid w:val="003406C6"/>
    <w:rsid w:val="003418CC"/>
    <w:rsid w:val="003459BD"/>
    <w:rsid w:val="00350D38"/>
    <w:rsid w:val="00351B36"/>
    <w:rsid w:val="0035565A"/>
    <w:rsid w:val="00357B4E"/>
    <w:rsid w:val="003716FD"/>
    <w:rsid w:val="0037204B"/>
    <w:rsid w:val="003744CF"/>
    <w:rsid w:val="00374717"/>
    <w:rsid w:val="003759CD"/>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483"/>
    <w:rsid w:val="003B670D"/>
    <w:rsid w:val="003C08A2"/>
    <w:rsid w:val="003C2045"/>
    <w:rsid w:val="003C43A1"/>
    <w:rsid w:val="003C4FC0"/>
    <w:rsid w:val="003C55F4"/>
    <w:rsid w:val="003C7897"/>
    <w:rsid w:val="003C7A3F"/>
    <w:rsid w:val="003D2766"/>
    <w:rsid w:val="003D2A74"/>
    <w:rsid w:val="003D3E8F"/>
    <w:rsid w:val="003D6475"/>
    <w:rsid w:val="003D6EE6"/>
    <w:rsid w:val="003E303D"/>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E4"/>
    <w:rsid w:val="004148F9"/>
    <w:rsid w:val="0042084E"/>
    <w:rsid w:val="00420A83"/>
    <w:rsid w:val="00421EEF"/>
    <w:rsid w:val="00424D65"/>
    <w:rsid w:val="00426AB2"/>
    <w:rsid w:val="00430393"/>
    <w:rsid w:val="00431806"/>
    <w:rsid w:val="00437AC5"/>
    <w:rsid w:val="00442C6C"/>
    <w:rsid w:val="00443CBE"/>
    <w:rsid w:val="00443E8A"/>
    <w:rsid w:val="004441BC"/>
    <w:rsid w:val="004468B4"/>
    <w:rsid w:val="0045230A"/>
    <w:rsid w:val="00454AD0"/>
    <w:rsid w:val="0045692F"/>
    <w:rsid w:val="00457337"/>
    <w:rsid w:val="00462E3D"/>
    <w:rsid w:val="00466E79"/>
    <w:rsid w:val="00470D7D"/>
    <w:rsid w:val="0047372D"/>
    <w:rsid w:val="00473BA3"/>
    <w:rsid w:val="004743DD"/>
    <w:rsid w:val="00474CEA"/>
    <w:rsid w:val="00483968"/>
    <w:rsid w:val="004841BE"/>
    <w:rsid w:val="0048472F"/>
    <w:rsid w:val="00484F86"/>
    <w:rsid w:val="004858F0"/>
    <w:rsid w:val="00487ECA"/>
    <w:rsid w:val="00490746"/>
    <w:rsid w:val="00490852"/>
    <w:rsid w:val="00491C9C"/>
    <w:rsid w:val="00492F30"/>
    <w:rsid w:val="004946F4"/>
    <w:rsid w:val="0049487E"/>
    <w:rsid w:val="004A160D"/>
    <w:rsid w:val="004A3E81"/>
    <w:rsid w:val="004A4195"/>
    <w:rsid w:val="004A5C62"/>
    <w:rsid w:val="004A5CE5"/>
    <w:rsid w:val="004A707D"/>
    <w:rsid w:val="004B16DE"/>
    <w:rsid w:val="004B4185"/>
    <w:rsid w:val="004C5541"/>
    <w:rsid w:val="004C6EEE"/>
    <w:rsid w:val="004C702B"/>
    <w:rsid w:val="004D0033"/>
    <w:rsid w:val="004D016B"/>
    <w:rsid w:val="004D1B22"/>
    <w:rsid w:val="004D23CC"/>
    <w:rsid w:val="004D36F2"/>
    <w:rsid w:val="004D7431"/>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4D49"/>
    <w:rsid w:val="0051568D"/>
    <w:rsid w:val="00526AC7"/>
    <w:rsid w:val="00526C15"/>
    <w:rsid w:val="00531BB8"/>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0EE4"/>
    <w:rsid w:val="00582B8C"/>
    <w:rsid w:val="00583EDC"/>
    <w:rsid w:val="0058757E"/>
    <w:rsid w:val="00590D6B"/>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125"/>
    <w:rsid w:val="005D5BAA"/>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9B"/>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B4D"/>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D8A"/>
    <w:rsid w:val="007055BD"/>
    <w:rsid w:val="007173CA"/>
    <w:rsid w:val="007216AA"/>
    <w:rsid w:val="00721AB5"/>
    <w:rsid w:val="00721CB2"/>
    <w:rsid w:val="00721CFB"/>
    <w:rsid w:val="00721DEF"/>
    <w:rsid w:val="00724A43"/>
    <w:rsid w:val="007273AC"/>
    <w:rsid w:val="00731AD4"/>
    <w:rsid w:val="007346E4"/>
    <w:rsid w:val="00735E35"/>
    <w:rsid w:val="007361DD"/>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00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497"/>
    <w:rsid w:val="00872C54"/>
    <w:rsid w:val="00872E0A"/>
    <w:rsid w:val="00873594"/>
    <w:rsid w:val="00875285"/>
    <w:rsid w:val="00884B62"/>
    <w:rsid w:val="0088529C"/>
    <w:rsid w:val="00887903"/>
    <w:rsid w:val="0089270A"/>
    <w:rsid w:val="00893AF6"/>
    <w:rsid w:val="008942D2"/>
    <w:rsid w:val="00894BC4"/>
    <w:rsid w:val="008A28A8"/>
    <w:rsid w:val="008A5B32"/>
    <w:rsid w:val="008A5D60"/>
    <w:rsid w:val="008B2029"/>
    <w:rsid w:val="008B2EE4"/>
    <w:rsid w:val="008B3821"/>
    <w:rsid w:val="008B4D3D"/>
    <w:rsid w:val="008B57C7"/>
    <w:rsid w:val="008C2F92"/>
    <w:rsid w:val="008C589D"/>
    <w:rsid w:val="008C6D51"/>
    <w:rsid w:val="008C721F"/>
    <w:rsid w:val="008D21FE"/>
    <w:rsid w:val="008D2846"/>
    <w:rsid w:val="008D4236"/>
    <w:rsid w:val="008D462F"/>
    <w:rsid w:val="008D5C45"/>
    <w:rsid w:val="008D6DCF"/>
    <w:rsid w:val="008D7E26"/>
    <w:rsid w:val="008E4376"/>
    <w:rsid w:val="008E7A0A"/>
    <w:rsid w:val="008E7B49"/>
    <w:rsid w:val="008F13CA"/>
    <w:rsid w:val="008F51D3"/>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91E"/>
    <w:rsid w:val="00937BD9"/>
    <w:rsid w:val="0094574E"/>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6AB9"/>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255"/>
    <w:rsid w:val="00A02FA1"/>
    <w:rsid w:val="00A04CCE"/>
    <w:rsid w:val="00A07421"/>
    <w:rsid w:val="00A0776B"/>
    <w:rsid w:val="00A10FB9"/>
    <w:rsid w:val="00A11421"/>
    <w:rsid w:val="00A11FD8"/>
    <w:rsid w:val="00A1389F"/>
    <w:rsid w:val="00A1426E"/>
    <w:rsid w:val="00A157B1"/>
    <w:rsid w:val="00A22229"/>
    <w:rsid w:val="00A24442"/>
    <w:rsid w:val="00A32577"/>
    <w:rsid w:val="00A330BB"/>
    <w:rsid w:val="00A33FE0"/>
    <w:rsid w:val="00A34ACD"/>
    <w:rsid w:val="00A42C77"/>
    <w:rsid w:val="00A44882"/>
    <w:rsid w:val="00A45125"/>
    <w:rsid w:val="00A54715"/>
    <w:rsid w:val="00A6061C"/>
    <w:rsid w:val="00A62D44"/>
    <w:rsid w:val="00A67263"/>
    <w:rsid w:val="00A7161C"/>
    <w:rsid w:val="00A7300B"/>
    <w:rsid w:val="00A7422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44A0"/>
    <w:rsid w:val="00AD784C"/>
    <w:rsid w:val="00AE126A"/>
    <w:rsid w:val="00AE1BAE"/>
    <w:rsid w:val="00AE3005"/>
    <w:rsid w:val="00AE3BD5"/>
    <w:rsid w:val="00AE59A0"/>
    <w:rsid w:val="00AE7145"/>
    <w:rsid w:val="00AF0C57"/>
    <w:rsid w:val="00AF26F3"/>
    <w:rsid w:val="00AF2861"/>
    <w:rsid w:val="00AF5F04"/>
    <w:rsid w:val="00B00672"/>
    <w:rsid w:val="00B00CA1"/>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3960"/>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0DC"/>
    <w:rsid w:val="00C231A0"/>
    <w:rsid w:val="00C26588"/>
    <w:rsid w:val="00C27DE9"/>
    <w:rsid w:val="00C32989"/>
    <w:rsid w:val="00C33388"/>
    <w:rsid w:val="00C35484"/>
    <w:rsid w:val="00C358B8"/>
    <w:rsid w:val="00C35BC4"/>
    <w:rsid w:val="00C36E23"/>
    <w:rsid w:val="00C4173A"/>
    <w:rsid w:val="00C50DED"/>
    <w:rsid w:val="00C52217"/>
    <w:rsid w:val="00C602FF"/>
    <w:rsid w:val="00C61174"/>
    <w:rsid w:val="00C6148F"/>
    <w:rsid w:val="00C621B1"/>
    <w:rsid w:val="00C62F7A"/>
    <w:rsid w:val="00C63B9C"/>
    <w:rsid w:val="00C6682F"/>
    <w:rsid w:val="00C67BF4"/>
    <w:rsid w:val="00C7275E"/>
    <w:rsid w:val="00C74C5D"/>
    <w:rsid w:val="00C85CD0"/>
    <w:rsid w:val="00C863C4"/>
    <w:rsid w:val="00C900BB"/>
    <w:rsid w:val="00C912F9"/>
    <w:rsid w:val="00C920EA"/>
    <w:rsid w:val="00C93C3E"/>
    <w:rsid w:val="00CA12E3"/>
    <w:rsid w:val="00CA1476"/>
    <w:rsid w:val="00CA6611"/>
    <w:rsid w:val="00CA6AE6"/>
    <w:rsid w:val="00CA782F"/>
    <w:rsid w:val="00CB187B"/>
    <w:rsid w:val="00CB26AC"/>
    <w:rsid w:val="00CB2835"/>
    <w:rsid w:val="00CB3285"/>
    <w:rsid w:val="00CB4500"/>
    <w:rsid w:val="00CC0C72"/>
    <w:rsid w:val="00CC0D10"/>
    <w:rsid w:val="00CC2BFD"/>
    <w:rsid w:val="00CD126C"/>
    <w:rsid w:val="00CD2F7A"/>
    <w:rsid w:val="00CD3476"/>
    <w:rsid w:val="00CD3B3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40E5"/>
    <w:rsid w:val="00D56B20"/>
    <w:rsid w:val="00D578B3"/>
    <w:rsid w:val="00D618F4"/>
    <w:rsid w:val="00D714CC"/>
    <w:rsid w:val="00D75EA7"/>
    <w:rsid w:val="00D769E4"/>
    <w:rsid w:val="00D81ADF"/>
    <w:rsid w:val="00D81F21"/>
    <w:rsid w:val="00D864F2"/>
    <w:rsid w:val="00D943F8"/>
    <w:rsid w:val="00D95470"/>
    <w:rsid w:val="00D96B55"/>
    <w:rsid w:val="00D97126"/>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1BCE"/>
    <w:rsid w:val="00E54950"/>
    <w:rsid w:val="00E55FB3"/>
    <w:rsid w:val="00E56A01"/>
    <w:rsid w:val="00E61538"/>
    <w:rsid w:val="00E629A1"/>
    <w:rsid w:val="00E672A4"/>
    <w:rsid w:val="00E6794C"/>
    <w:rsid w:val="00E71591"/>
    <w:rsid w:val="00E71CEB"/>
    <w:rsid w:val="00E7474F"/>
    <w:rsid w:val="00E80DE3"/>
    <w:rsid w:val="00E82C55"/>
    <w:rsid w:val="00E8787E"/>
    <w:rsid w:val="00E92AC3"/>
    <w:rsid w:val="00EA2F6A"/>
    <w:rsid w:val="00EA5FBC"/>
    <w:rsid w:val="00EB00E0"/>
    <w:rsid w:val="00EB05D5"/>
    <w:rsid w:val="00EB1931"/>
    <w:rsid w:val="00EB612C"/>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FF9"/>
    <w:rsid w:val="00F0437A"/>
    <w:rsid w:val="00F101B8"/>
    <w:rsid w:val="00F10C7D"/>
    <w:rsid w:val="00F11037"/>
    <w:rsid w:val="00F16F1B"/>
    <w:rsid w:val="00F236EC"/>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3867"/>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E4E4E"/>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accessibilitypara">
    <w:name w:val="DHHS accessibility para"/>
    <w:uiPriority w:val="8"/>
    <w:rsid w:val="005D5BA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10"/>
    <w:rsid w:val="00F236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betterfuturessouth@dffh.vic..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oviders.dffh.vic.gov.au/better-futur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etterfutureswest@dffh.vic.gov.a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copathways@vacca.org" TargetMode="External"/><Relationship Id="rId20" Type="http://schemas.openxmlformats.org/officeDocument/2006/relationships/hyperlink" Target="mailto:betterfuturesnorth@dffh.vic.gov.a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nfo@pcafamilies.org.au" TargetMode="External"/><Relationship Id="rId23" Type="http://schemas.openxmlformats.org/officeDocument/2006/relationships/hyperlink" Target="mailto:https://providers.dffh.vic.gov.au/better-futures"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mailto:betterfutureseast@dffh.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hildrenyouthfamilies@dffh.vic.gov.au"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0FFEAC9B-9183-4B0A-AAB0-6ACE7E77A170}"/>
</file>

<file path=customXml/itemProps3.xml><?xml version="1.0" encoding="utf-8"?>
<ds:datastoreItem xmlns:ds="http://schemas.openxmlformats.org/officeDocument/2006/customXml" ds:itemID="{D9C3EECD-37DA-4077-983C-581F2F0DBD17}"/>
</file>

<file path=customXml/itemProps4.xml><?xml version="1.0" encoding="utf-8"?>
<ds:datastoreItem xmlns:ds="http://schemas.openxmlformats.org/officeDocument/2006/customXml" ds:itemID="{84D95DA4-4E67-4BE6-80D7-D82F65C842AA}"/>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Young people on permanent care orders</vt:lpstr>
    </vt:vector>
  </TitlesOfParts>
  <Company/>
  <LinksUpToDate>false</LinksUpToDate>
  <CharactersWithSpaces>7513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people on permanent care orders</dc:title>
  <dc:subject/>
  <dc:creator/>
  <cp:keywords/>
  <cp:lastModifiedBy/>
  <cp:revision>1</cp:revision>
  <dcterms:created xsi:type="dcterms:W3CDTF">2021-12-01T22:48:00Z</dcterms:created>
  <dcterms:modified xsi:type="dcterms:W3CDTF">2021-12-01T22:48:00Z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2021-12-01T22:48:23Z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74ab73fc-a877-4738-8286-0c17d11195f3</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