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7A086E5C"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r w:rsidR="00C51979">
        <w:t xml:space="preserve">  </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2FA8EC57" w:rsidR="00AD784C" w:rsidRPr="00431F42" w:rsidRDefault="00BF7596" w:rsidP="00431F42">
            <w:pPr>
              <w:pStyle w:val="Documenttitle"/>
            </w:pPr>
            <w:r>
              <w:t xml:space="preserve">Vacant </w:t>
            </w:r>
            <w:r w:rsidR="00EE1BBA">
              <w:t xml:space="preserve">Unit Maintenance Operational Guidelines </w:t>
            </w:r>
          </w:p>
        </w:tc>
      </w:tr>
      <w:tr w:rsidR="00AD784C" w14:paraId="246F9CB0" w14:textId="77777777" w:rsidTr="00431F42">
        <w:trPr>
          <w:cantSplit/>
        </w:trPr>
        <w:tc>
          <w:tcPr>
            <w:tcW w:w="0" w:type="auto"/>
          </w:tcPr>
          <w:p w14:paraId="14EEB3AC" w14:textId="0C89C72F" w:rsidR="00386109" w:rsidRPr="00A1389F" w:rsidRDefault="007276B2" w:rsidP="00C12B05">
            <w:pPr>
              <w:pStyle w:val="Documentsubtitle"/>
            </w:pPr>
            <w:r>
              <w:t>March</w:t>
            </w:r>
            <w:r w:rsidR="00D311C3">
              <w:t xml:space="preserve"> 2026</w:t>
            </w:r>
          </w:p>
        </w:tc>
      </w:tr>
      <w:tr w:rsidR="00430393" w14:paraId="2AE57792" w14:textId="77777777" w:rsidTr="00431F42">
        <w:trPr>
          <w:cantSplit/>
        </w:trPr>
        <w:tc>
          <w:tcPr>
            <w:tcW w:w="0" w:type="auto"/>
          </w:tcPr>
          <w:p w14:paraId="68DABF30" w14:textId="77777777" w:rsidR="00430393" w:rsidRDefault="001A6272" w:rsidP="00430393">
            <w:pPr>
              <w:pStyle w:val="Bannermarking"/>
            </w:pPr>
            <w:r>
              <w:fldChar w:fldCharType="begin"/>
            </w:r>
            <w:r>
              <w:instrText>FILLIN  "Type the protective marking" \d OFFICIAL \o  \* MERGEFORMAT</w:instrText>
            </w:r>
            <w:r>
              <w:fldChar w:fldCharType="separate"/>
            </w:r>
            <w:r>
              <w:t>OFFICIAL</w:t>
            </w:r>
            <w:r>
              <w:fldChar w:fldCharType="end"/>
            </w:r>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default" r:id="rId12"/>
          <w:footerReference w:type="even" r:id="rId13"/>
          <w:footerReference w:type="default" r:id="rId14"/>
          <w:footerReference w:type="first" r:id="rId15"/>
          <w:type w:val="continuous"/>
          <w:pgSz w:w="11906" w:h="16838" w:code="9"/>
          <w:pgMar w:top="3969" w:right="1304" w:bottom="851" w:left="1304" w:header="680" w:footer="567" w:gutter="0"/>
          <w:cols w:space="340"/>
          <w:titlePg/>
          <w:docGrid w:linePitch="360"/>
        </w:sectPr>
      </w:pPr>
    </w:p>
    <w:p w14:paraId="6C2632DE" w14:textId="0CB0EA31" w:rsidR="00CF230C" w:rsidRDefault="00CF230C">
      <w:pPr>
        <w:spacing w:after="0" w:line="240" w:lineRule="auto"/>
        <w:rPr>
          <w:rFonts w:eastAsia="Times"/>
        </w:r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3E76E9F8" w:rsidR="00431F42" w:rsidRDefault="00547F70" w:rsidP="00431F42">
            <w:pPr>
              <w:pStyle w:val="Documenttitle"/>
            </w:pPr>
            <w:r>
              <w:t>Vacant Unit Maintenance Operational Guideline</w:t>
            </w:r>
            <w:r w:rsidR="001B163C">
              <w:t>s</w:t>
            </w:r>
          </w:p>
          <w:p w14:paraId="482C3FE9" w14:textId="5E70E558" w:rsidR="00431F42" w:rsidRDefault="007276B2" w:rsidP="00431F42">
            <w:pPr>
              <w:pStyle w:val="Documentsubtitle"/>
            </w:pPr>
            <w:r>
              <w:t>March</w:t>
            </w:r>
            <w:r w:rsidR="00D311C3">
              <w:t xml:space="preserve"> 2026</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45A9006C">
        <w:trPr>
          <w:cantSplit/>
          <w:trHeight w:val="7088"/>
        </w:trPr>
        <w:tc>
          <w:tcPr>
            <w:tcW w:w="9288" w:type="dxa"/>
          </w:tcPr>
          <w:p w14:paraId="48A49346" w14:textId="02DB85E5" w:rsidR="009F2182" w:rsidRPr="006A2717" w:rsidRDefault="009F2182" w:rsidP="001C7128">
            <w:pPr>
              <w:pStyle w:val="Body"/>
              <w:spacing w:before="120"/>
              <w:rPr>
                <w:rFonts w:eastAsia="Times New Roman"/>
                <w:color w:val="87189D"/>
                <w:sz w:val="24"/>
                <w:szCs w:val="24"/>
              </w:rPr>
            </w:pPr>
          </w:p>
        </w:tc>
      </w:tr>
      <w:tr w:rsidR="009F2182" w14:paraId="2657A1D9" w14:textId="77777777" w:rsidTr="45A9006C">
        <w:trPr>
          <w:cantSplit/>
          <w:trHeight w:val="5103"/>
        </w:trPr>
        <w:tc>
          <w:tcPr>
            <w:tcW w:w="9288" w:type="dxa"/>
            <w:vAlign w:val="bottom"/>
          </w:tcPr>
          <w:p w14:paraId="3251AFA2" w14:textId="77777777" w:rsidR="00E83EE5" w:rsidRPr="00E83EE5" w:rsidRDefault="00E83EE5" w:rsidP="00E83EE5">
            <w:pPr>
              <w:keepNext/>
              <w:keepLines/>
              <w:spacing w:before="360" w:line="360" w:lineRule="atLeast"/>
              <w:ind w:left="576" w:hanging="576"/>
              <w:outlineLvl w:val="1"/>
              <w:rPr>
                <w:b/>
                <w:color w:val="201547"/>
                <w:sz w:val="32"/>
                <w:szCs w:val="28"/>
              </w:rPr>
            </w:pPr>
            <w:bookmarkStart w:id="0" w:name="_Toc159340408"/>
            <w:bookmarkStart w:id="1" w:name="_Toc181781613"/>
            <w:r w:rsidRPr="00E83EE5">
              <w:rPr>
                <w:b/>
                <w:color w:val="201547"/>
                <w:sz w:val="32"/>
                <w:szCs w:val="28"/>
              </w:rPr>
              <w:t>More Information</w:t>
            </w:r>
            <w:bookmarkEnd w:id="0"/>
            <w:bookmarkEnd w:id="1"/>
          </w:p>
          <w:p w14:paraId="02CBB139" w14:textId="28B62C28" w:rsidR="00E83EE5" w:rsidRPr="00E83EE5" w:rsidRDefault="00E83EE5" w:rsidP="00E83EE5">
            <w:pPr>
              <w:rPr>
                <w:rFonts w:eastAsia="Times"/>
              </w:rPr>
            </w:pPr>
            <w:r w:rsidRPr="00E83EE5">
              <w:rPr>
                <w:rFonts w:eastAsia="Times"/>
              </w:rPr>
              <w:t xml:space="preserve">To find out about housing options visit the </w:t>
            </w:r>
            <w:hyperlink r:id="rId16" w:history="1">
              <w:r w:rsidRPr="00E83EE5">
                <w:rPr>
                  <w:rFonts w:eastAsia="Times"/>
                  <w:color w:val="3366FF"/>
                  <w:u w:val="dotted"/>
                </w:rPr>
                <w:t>Housing website</w:t>
              </w:r>
            </w:hyperlink>
            <w:r w:rsidRPr="00E83EE5">
              <w:rPr>
                <w:rFonts w:eastAsia="Times"/>
              </w:rPr>
              <w:t xml:space="preserve"> </w:t>
            </w:r>
            <w:r w:rsidRPr="00E83EE5">
              <w:rPr>
                <w:rFonts w:eastAsia="Times" w:cs="Arial"/>
              </w:rPr>
              <w:t>http://www.housing.vic.gov.au</w:t>
            </w:r>
            <w:r w:rsidRPr="00E83EE5">
              <w:rPr>
                <w:rFonts w:eastAsia="Times"/>
              </w:rPr>
              <w:t xml:space="preserve"> or contact your local </w:t>
            </w:r>
            <w:hyperlink r:id="rId17" w:history="1">
              <w:r w:rsidRPr="00E83EE5">
                <w:rPr>
                  <w:rFonts w:eastAsia="Times"/>
                  <w:u w:val="dotted"/>
                </w:rPr>
                <w:t>Housing Office</w:t>
              </w:r>
            </w:hyperlink>
            <w:r w:rsidRPr="00E83EE5">
              <w:rPr>
                <w:rFonts w:eastAsia="Times"/>
              </w:rPr>
              <w:t xml:space="preserve"> http://www.housing.vic.gov.au/contact-a-housing-office.</w:t>
            </w:r>
          </w:p>
          <w:p w14:paraId="5B5A833D" w14:textId="02EA7BD5" w:rsidR="00E83EE5" w:rsidRPr="00E83EE5" w:rsidRDefault="00E83EE5" w:rsidP="00E83EE5">
            <w:pPr>
              <w:rPr>
                <w:rFonts w:eastAsia="Times"/>
              </w:rPr>
            </w:pPr>
            <w:r w:rsidRPr="00E83EE5">
              <w:rPr>
                <w:rFonts w:eastAsia="Times"/>
              </w:rPr>
              <w:t xml:space="preserve">To receive this publication in an accessible format contact </w:t>
            </w:r>
            <w:hyperlink r:id="rId18" w:history="1">
              <w:r w:rsidRPr="00E83EE5">
                <w:rPr>
                  <w:rFonts w:eastAsia="Times"/>
                  <w:color w:val="004C97"/>
                  <w:u w:val="dotted"/>
                </w:rPr>
                <w:t>Homes Victoria</w:t>
              </w:r>
            </w:hyperlink>
            <w:r w:rsidRPr="00E83EE5">
              <w:rPr>
                <w:rFonts w:eastAsia="Times"/>
              </w:rPr>
              <w:t xml:space="preserve"> enquiries@homes.vic.gov.au.</w:t>
            </w:r>
          </w:p>
          <w:p w14:paraId="3A69A975" w14:textId="77777777" w:rsidR="00E83EE5" w:rsidRPr="00E83EE5" w:rsidRDefault="00E83EE5" w:rsidP="00E83EE5">
            <w:pPr>
              <w:rPr>
                <w:rFonts w:eastAsia="Times"/>
              </w:rPr>
            </w:pPr>
            <w:r w:rsidRPr="00E83EE5">
              <w:rPr>
                <w:rFonts w:eastAsia="Times"/>
              </w:rPr>
              <w:t>This guideline contains some links to internal resources which will not be accessible for external parties reading this document.</w:t>
            </w:r>
          </w:p>
          <w:p w14:paraId="16F54DB2" w14:textId="77777777" w:rsidR="00E83EE5" w:rsidRPr="00E83EE5" w:rsidRDefault="00E83EE5" w:rsidP="00E83EE5">
            <w:r w:rsidRPr="00E83EE5">
              <w:t>Authorised and published by the Victorian Government, 1 Treasury Place, Melbourne.</w:t>
            </w:r>
          </w:p>
          <w:p w14:paraId="6D44EE52" w14:textId="194256F9" w:rsidR="00E83EE5" w:rsidRPr="00E83EE5" w:rsidRDefault="00E83EE5" w:rsidP="00E83EE5">
            <w:pPr>
              <w:rPr>
                <w:rFonts w:eastAsia="Times"/>
              </w:rPr>
            </w:pPr>
            <w:r w:rsidRPr="182A1F62">
              <w:rPr>
                <w:rFonts w:eastAsia="Times"/>
              </w:rPr>
              <w:t xml:space="preserve">© State of Victoria, Department of Families, Fairness and </w:t>
            </w:r>
            <w:r w:rsidRPr="005A7D43">
              <w:rPr>
                <w:rFonts w:eastAsia="Times"/>
              </w:rPr>
              <w:t xml:space="preserve">Housing, </w:t>
            </w:r>
            <w:r w:rsidR="007276B2" w:rsidRPr="005A7D43">
              <w:rPr>
                <w:rFonts w:eastAsia="Times"/>
              </w:rPr>
              <w:t>March</w:t>
            </w:r>
            <w:r w:rsidR="00D311C3" w:rsidRPr="005A7D43">
              <w:rPr>
                <w:rFonts w:eastAsia="Times"/>
              </w:rPr>
              <w:t xml:space="preserve"> 2026</w:t>
            </w:r>
            <w:r w:rsidRPr="005A7D43">
              <w:rPr>
                <w:rFonts w:eastAsia="Times"/>
              </w:rPr>
              <w:t>.</w:t>
            </w:r>
          </w:p>
          <w:p w14:paraId="0877A865" w14:textId="624EB3E1" w:rsidR="00E83EE5" w:rsidRPr="00E83EE5" w:rsidRDefault="00E83EE5" w:rsidP="21A4E637">
            <w:pPr>
              <w:spacing w:line="300" w:lineRule="atLeast"/>
              <w:rPr>
                <w:rFonts w:eastAsia="Times"/>
              </w:rPr>
            </w:pPr>
            <w:r w:rsidRPr="45A9006C">
              <w:rPr>
                <w:rFonts w:eastAsia="Times"/>
              </w:rPr>
              <w:t xml:space="preserve">ISBN: </w:t>
            </w:r>
            <w:r w:rsidR="005A7D43" w:rsidRPr="005A7D43">
              <w:rPr>
                <w:rFonts w:cs="Arial"/>
                <w:color w:val="000000" w:themeColor="text1"/>
              </w:rPr>
              <w:t>978-1-76171-030-8 (pdf/online/MS word)</w:t>
            </w:r>
          </w:p>
          <w:p w14:paraId="7183E4C2" w14:textId="0E67052C" w:rsidR="00E83EE5" w:rsidRPr="00E83EE5" w:rsidRDefault="00E83EE5" w:rsidP="00E83EE5">
            <w:pPr>
              <w:spacing w:line="270" w:lineRule="atLeast"/>
              <w:rPr>
                <w:rFonts w:eastAsia="Times"/>
                <w:szCs w:val="21"/>
              </w:rPr>
            </w:pPr>
            <w:r w:rsidRPr="00E83EE5">
              <w:rPr>
                <w:rFonts w:eastAsia="Times"/>
                <w:szCs w:val="21"/>
              </w:rPr>
              <w:t xml:space="preserve">Available on the on </w:t>
            </w:r>
            <w:hyperlink r:id="rId19" w:history="1">
              <w:r w:rsidRPr="009F0F50">
                <w:rPr>
                  <w:rStyle w:val="Hyperlink"/>
                  <w:rFonts w:eastAsia="Times"/>
                  <w:szCs w:val="21"/>
                </w:rPr>
                <w:t>Services Providers</w:t>
              </w:r>
            </w:hyperlink>
            <w:r w:rsidRPr="00E83EE5">
              <w:rPr>
                <w:rFonts w:eastAsia="Times"/>
                <w:szCs w:val="21"/>
              </w:rPr>
              <w:t xml:space="preserve"> website </w:t>
            </w:r>
            <w:r w:rsidRPr="00E83EE5">
              <w:rPr>
                <w:rFonts w:eastAsia="Times"/>
                <w:sz w:val="20"/>
              </w:rPr>
              <w:t>https://providers.dffh.vic.gov.au</w:t>
            </w:r>
            <w:r w:rsidRPr="00E83EE5">
              <w:rPr>
                <w:rFonts w:eastAsia="Times"/>
                <w:szCs w:val="21"/>
              </w:rPr>
              <w:t>.</w:t>
            </w:r>
          </w:p>
          <w:p w14:paraId="20277F9E" w14:textId="5A4F6139" w:rsidR="009F2182" w:rsidRDefault="009F2182" w:rsidP="006F6B76">
            <w:pPr>
              <w:pStyle w:val="Imprint"/>
            </w:pPr>
          </w:p>
        </w:tc>
      </w:tr>
      <w:tr w:rsidR="0008204A" w14:paraId="657B4CC4" w14:textId="77777777" w:rsidTr="45A9006C">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7F56DEB1" w14:textId="6140A162" w:rsidR="00F00A95" w:rsidRDefault="008115B4" w:rsidP="00562811">
      <w:pPr>
        <w:pStyle w:val="Heading1"/>
        <w:spacing w:before="0"/>
      </w:pPr>
      <w:bookmarkStart w:id="2" w:name="_Toc224119160"/>
      <w:r>
        <w:lastRenderedPageBreak/>
        <w:t>Revision history</w:t>
      </w:r>
      <w:bookmarkEnd w:id="2"/>
    </w:p>
    <w:p w14:paraId="54A152F0" w14:textId="429D0E8C" w:rsidR="00D311C3" w:rsidRPr="004751D7" w:rsidRDefault="00D311C3" w:rsidP="00D311C3">
      <w:pPr>
        <w:pStyle w:val="Tablecaption"/>
      </w:pPr>
      <w:r>
        <w:t>Chapter 2: Vacant Unit Maintenance v1.2</w:t>
      </w:r>
      <w:r w:rsidR="00BE4AF1">
        <w:t xml:space="preserve"> – Retired </w:t>
      </w:r>
      <w:r w:rsidR="008B219D">
        <w:t>December 2024</w:t>
      </w:r>
    </w:p>
    <w:tbl>
      <w:tblPr>
        <w:tblStyle w:val="TableGrid"/>
        <w:tblW w:w="9299" w:type="dxa"/>
        <w:tblLook w:val="06A0" w:firstRow="1" w:lastRow="0" w:firstColumn="1" w:lastColumn="0" w:noHBand="1" w:noVBand="1"/>
      </w:tblPr>
      <w:tblGrid>
        <w:gridCol w:w="988"/>
        <w:gridCol w:w="2126"/>
        <w:gridCol w:w="1984"/>
        <w:gridCol w:w="4201"/>
      </w:tblGrid>
      <w:tr w:rsidR="00D311C3" w:rsidRPr="008115B4" w14:paraId="308C06B6" w14:textId="77777777" w:rsidTr="00F06236">
        <w:trPr>
          <w:tblHeader/>
        </w:trPr>
        <w:tc>
          <w:tcPr>
            <w:tcW w:w="988" w:type="dxa"/>
          </w:tcPr>
          <w:p w14:paraId="4BF79EFF" w14:textId="77777777" w:rsidR="00D311C3" w:rsidRPr="008115B4" w:rsidRDefault="00D311C3" w:rsidP="00E06191">
            <w:pPr>
              <w:spacing w:before="80" w:after="60" w:line="240" w:lineRule="auto"/>
              <w:rPr>
                <w:b/>
                <w:color w:val="201547"/>
              </w:rPr>
            </w:pPr>
            <w:r w:rsidRPr="008115B4">
              <w:rPr>
                <w:b/>
                <w:color w:val="201547"/>
              </w:rPr>
              <w:t>Version</w:t>
            </w:r>
          </w:p>
        </w:tc>
        <w:tc>
          <w:tcPr>
            <w:tcW w:w="2126" w:type="dxa"/>
          </w:tcPr>
          <w:p w14:paraId="759B865C" w14:textId="77777777" w:rsidR="00D311C3" w:rsidRPr="008115B4" w:rsidRDefault="00D311C3" w:rsidP="00E06191">
            <w:pPr>
              <w:spacing w:before="80" w:after="60" w:line="240" w:lineRule="auto"/>
              <w:rPr>
                <w:b/>
                <w:color w:val="201547"/>
              </w:rPr>
            </w:pPr>
            <w:r w:rsidRPr="008115B4">
              <w:rPr>
                <w:b/>
                <w:color w:val="201547"/>
              </w:rPr>
              <w:t>Amended section</w:t>
            </w:r>
          </w:p>
        </w:tc>
        <w:tc>
          <w:tcPr>
            <w:tcW w:w="1984" w:type="dxa"/>
          </w:tcPr>
          <w:p w14:paraId="6A7E5C93" w14:textId="77777777" w:rsidR="00D311C3" w:rsidRPr="008115B4" w:rsidRDefault="00D311C3" w:rsidP="00E06191">
            <w:pPr>
              <w:spacing w:before="80" w:after="60" w:line="240" w:lineRule="auto"/>
              <w:rPr>
                <w:b/>
                <w:color w:val="201547"/>
              </w:rPr>
            </w:pPr>
            <w:r w:rsidRPr="008115B4">
              <w:rPr>
                <w:b/>
                <w:color w:val="201547"/>
              </w:rPr>
              <w:t>Effective</w:t>
            </w:r>
          </w:p>
        </w:tc>
        <w:tc>
          <w:tcPr>
            <w:tcW w:w="4201" w:type="dxa"/>
          </w:tcPr>
          <w:p w14:paraId="0CB255A3" w14:textId="77777777" w:rsidR="00D311C3" w:rsidRPr="008115B4" w:rsidRDefault="00D311C3" w:rsidP="00E06191">
            <w:pPr>
              <w:spacing w:before="80" w:after="60" w:line="240" w:lineRule="auto"/>
              <w:rPr>
                <w:b/>
                <w:color w:val="201547"/>
              </w:rPr>
            </w:pPr>
            <w:r w:rsidRPr="008115B4">
              <w:rPr>
                <w:b/>
                <w:color w:val="201547"/>
              </w:rPr>
              <w:t>Details</w:t>
            </w:r>
          </w:p>
        </w:tc>
      </w:tr>
      <w:tr w:rsidR="00D311C3" w:rsidRPr="008115B4" w14:paraId="4E424CF4" w14:textId="77777777" w:rsidTr="00E06191">
        <w:tc>
          <w:tcPr>
            <w:tcW w:w="988" w:type="dxa"/>
          </w:tcPr>
          <w:p w14:paraId="06EA4C50" w14:textId="77777777" w:rsidR="00D311C3" w:rsidRPr="008115B4" w:rsidRDefault="00D311C3" w:rsidP="00E06191">
            <w:pPr>
              <w:pStyle w:val="Tabletext"/>
              <w:rPr>
                <w:b/>
                <w:color w:val="201547"/>
              </w:rPr>
            </w:pPr>
            <w:r>
              <w:t>1.0</w:t>
            </w:r>
          </w:p>
        </w:tc>
        <w:tc>
          <w:tcPr>
            <w:tcW w:w="2126" w:type="dxa"/>
          </w:tcPr>
          <w:p w14:paraId="657E4485" w14:textId="77777777" w:rsidR="00D311C3" w:rsidRPr="008115B4" w:rsidRDefault="00D311C3" w:rsidP="00E06191">
            <w:pPr>
              <w:pStyle w:val="Tabletext"/>
              <w:rPr>
                <w:b/>
                <w:color w:val="201547"/>
              </w:rPr>
            </w:pPr>
          </w:p>
        </w:tc>
        <w:tc>
          <w:tcPr>
            <w:tcW w:w="1984" w:type="dxa"/>
          </w:tcPr>
          <w:p w14:paraId="381789A5" w14:textId="77777777" w:rsidR="00D311C3" w:rsidRPr="008115B4" w:rsidRDefault="00D311C3" w:rsidP="00E06191">
            <w:pPr>
              <w:pStyle w:val="Tabletext"/>
              <w:rPr>
                <w:b/>
                <w:color w:val="201547"/>
              </w:rPr>
            </w:pPr>
            <w:r w:rsidRPr="008115B4">
              <w:t>November 2017</w:t>
            </w:r>
          </w:p>
        </w:tc>
        <w:tc>
          <w:tcPr>
            <w:tcW w:w="4201" w:type="dxa"/>
          </w:tcPr>
          <w:p w14:paraId="7A0844EC" w14:textId="77777777" w:rsidR="00D311C3" w:rsidRDefault="00D311C3" w:rsidP="00E06191">
            <w:pPr>
              <w:pStyle w:val="Tablebullet1"/>
            </w:pPr>
            <w:r>
              <w:t>Incorporation of version control table</w:t>
            </w:r>
          </w:p>
          <w:p w14:paraId="2A49049A" w14:textId="77777777" w:rsidR="00D311C3" w:rsidRPr="008115B4" w:rsidRDefault="00D311C3" w:rsidP="00E06191">
            <w:pPr>
              <w:pStyle w:val="Tablebullet1"/>
              <w:rPr>
                <w:b/>
                <w:color w:val="201547"/>
              </w:rPr>
            </w:pPr>
            <w:r>
              <w:t>Accessible format</w:t>
            </w:r>
          </w:p>
        </w:tc>
      </w:tr>
      <w:tr w:rsidR="00D311C3" w:rsidRPr="008115B4" w14:paraId="71372FD6" w14:textId="77777777" w:rsidTr="00E06191">
        <w:tc>
          <w:tcPr>
            <w:tcW w:w="988" w:type="dxa"/>
          </w:tcPr>
          <w:p w14:paraId="608F11A4" w14:textId="77777777" w:rsidR="00D311C3" w:rsidRPr="008115B4" w:rsidRDefault="00D311C3" w:rsidP="00E06191">
            <w:pPr>
              <w:pStyle w:val="Tabletext"/>
              <w:rPr>
                <w:b/>
                <w:color w:val="201547"/>
              </w:rPr>
            </w:pPr>
            <w:r w:rsidRPr="008115B4">
              <w:t>1.2</w:t>
            </w:r>
          </w:p>
        </w:tc>
        <w:tc>
          <w:tcPr>
            <w:tcW w:w="2126" w:type="dxa"/>
          </w:tcPr>
          <w:p w14:paraId="6BA4BB15" w14:textId="77777777" w:rsidR="00D311C3" w:rsidRPr="008115B4" w:rsidRDefault="00D311C3" w:rsidP="00E06191">
            <w:pPr>
              <w:pStyle w:val="Tabletext"/>
              <w:rPr>
                <w:b/>
                <w:color w:val="201547"/>
              </w:rPr>
            </w:pPr>
            <w:r w:rsidRPr="008115B4">
              <w:t>Mandatory works for vacant properties</w:t>
            </w:r>
          </w:p>
        </w:tc>
        <w:tc>
          <w:tcPr>
            <w:tcW w:w="1984" w:type="dxa"/>
          </w:tcPr>
          <w:p w14:paraId="29AA1429" w14:textId="77777777" w:rsidR="00D311C3" w:rsidRPr="008115B4" w:rsidRDefault="00D311C3" w:rsidP="00E06191">
            <w:pPr>
              <w:pStyle w:val="Tabletext"/>
              <w:rPr>
                <w:b/>
                <w:color w:val="201547"/>
              </w:rPr>
            </w:pPr>
            <w:r w:rsidRPr="008115B4">
              <w:t>April 2018</w:t>
            </w:r>
          </w:p>
        </w:tc>
        <w:tc>
          <w:tcPr>
            <w:tcW w:w="4201" w:type="dxa"/>
          </w:tcPr>
          <w:p w14:paraId="7CD4225C" w14:textId="77777777" w:rsidR="00D311C3" w:rsidRPr="008115B4" w:rsidRDefault="00D311C3" w:rsidP="00E06191">
            <w:pPr>
              <w:pStyle w:val="Tablebullet1"/>
              <w:rPr>
                <w:b/>
                <w:color w:val="201547"/>
              </w:rPr>
            </w:pPr>
            <w:r w:rsidRPr="008115B4">
              <w:t>Amended to reflect that gas appliances are serviced as part of mandatory works</w:t>
            </w:r>
          </w:p>
        </w:tc>
      </w:tr>
    </w:tbl>
    <w:p w14:paraId="6D330DDD" w14:textId="6BDD41B1" w:rsidR="00D311C3" w:rsidRDefault="00D311C3" w:rsidP="00D311C3">
      <w:pPr>
        <w:pStyle w:val="Tablecaption"/>
      </w:pPr>
      <w:r>
        <w:t>Vacant unit guide v2.0</w:t>
      </w:r>
      <w:r w:rsidR="008B219D">
        <w:t xml:space="preserve"> – Retired December 2024</w:t>
      </w:r>
    </w:p>
    <w:tbl>
      <w:tblPr>
        <w:tblStyle w:val="TableGrid"/>
        <w:tblW w:w="9299" w:type="dxa"/>
        <w:tblLook w:val="06A0" w:firstRow="1" w:lastRow="0" w:firstColumn="1" w:lastColumn="0" w:noHBand="1" w:noVBand="1"/>
      </w:tblPr>
      <w:tblGrid>
        <w:gridCol w:w="988"/>
        <w:gridCol w:w="2126"/>
        <w:gridCol w:w="1984"/>
        <w:gridCol w:w="4201"/>
      </w:tblGrid>
      <w:tr w:rsidR="00D311C3" w:rsidRPr="008115B4" w14:paraId="023D492D" w14:textId="77777777" w:rsidTr="00F06236">
        <w:trPr>
          <w:tblHeader/>
        </w:trPr>
        <w:tc>
          <w:tcPr>
            <w:tcW w:w="988" w:type="dxa"/>
          </w:tcPr>
          <w:p w14:paraId="5AA7D17E" w14:textId="77777777" w:rsidR="00D311C3" w:rsidRPr="008115B4" w:rsidRDefault="00D311C3" w:rsidP="00E06191">
            <w:pPr>
              <w:spacing w:before="80" w:after="60" w:line="240" w:lineRule="auto"/>
              <w:rPr>
                <w:b/>
                <w:color w:val="201547"/>
              </w:rPr>
            </w:pPr>
            <w:r w:rsidRPr="008115B4">
              <w:rPr>
                <w:b/>
                <w:color w:val="201547"/>
              </w:rPr>
              <w:t>Version</w:t>
            </w:r>
          </w:p>
        </w:tc>
        <w:tc>
          <w:tcPr>
            <w:tcW w:w="2126" w:type="dxa"/>
          </w:tcPr>
          <w:p w14:paraId="731CB280" w14:textId="77777777" w:rsidR="00D311C3" w:rsidRPr="008115B4" w:rsidRDefault="00D311C3" w:rsidP="00E06191">
            <w:pPr>
              <w:spacing w:before="80" w:after="60" w:line="240" w:lineRule="auto"/>
              <w:rPr>
                <w:b/>
                <w:color w:val="201547"/>
              </w:rPr>
            </w:pPr>
            <w:r w:rsidRPr="008115B4">
              <w:rPr>
                <w:b/>
                <w:color w:val="201547"/>
              </w:rPr>
              <w:t>Amended section</w:t>
            </w:r>
          </w:p>
        </w:tc>
        <w:tc>
          <w:tcPr>
            <w:tcW w:w="1984" w:type="dxa"/>
          </w:tcPr>
          <w:p w14:paraId="2EF8CFA3" w14:textId="77777777" w:rsidR="00D311C3" w:rsidRPr="008115B4" w:rsidRDefault="00D311C3" w:rsidP="00E06191">
            <w:pPr>
              <w:spacing w:before="80" w:after="60" w:line="240" w:lineRule="auto"/>
              <w:rPr>
                <w:b/>
                <w:color w:val="201547"/>
              </w:rPr>
            </w:pPr>
            <w:r w:rsidRPr="008115B4">
              <w:rPr>
                <w:b/>
                <w:color w:val="201547"/>
              </w:rPr>
              <w:t>Effective</w:t>
            </w:r>
          </w:p>
        </w:tc>
        <w:tc>
          <w:tcPr>
            <w:tcW w:w="4201" w:type="dxa"/>
          </w:tcPr>
          <w:p w14:paraId="1A4272DD" w14:textId="77777777" w:rsidR="00D311C3" w:rsidRPr="008115B4" w:rsidRDefault="00D311C3" w:rsidP="00E06191">
            <w:pPr>
              <w:spacing w:before="80" w:after="60" w:line="240" w:lineRule="auto"/>
              <w:rPr>
                <w:b/>
                <w:color w:val="201547"/>
              </w:rPr>
            </w:pPr>
            <w:r w:rsidRPr="008115B4">
              <w:rPr>
                <w:b/>
                <w:color w:val="201547"/>
              </w:rPr>
              <w:t>Details</w:t>
            </w:r>
          </w:p>
        </w:tc>
      </w:tr>
      <w:tr w:rsidR="00D311C3" w:rsidRPr="008115B4" w14:paraId="59A1601B" w14:textId="77777777" w:rsidTr="002D73D3">
        <w:tc>
          <w:tcPr>
            <w:tcW w:w="988" w:type="dxa"/>
          </w:tcPr>
          <w:p w14:paraId="042D025E" w14:textId="77777777" w:rsidR="00D311C3" w:rsidRPr="001B163C" w:rsidRDefault="00D311C3" w:rsidP="00E06191">
            <w:pPr>
              <w:pStyle w:val="Tabletext"/>
            </w:pPr>
            <w:r w:rsidRPr="001B163C">
              <w:t>1.0</w:t>
            </w:r>
          </w:p>
        </w:tc>
        <w:tc>
          <w:tcPr>
            <w:tcW w:w="2126" w:type="dxa"/>
          </w:tcPr>
          <w:p w14:paraId="4DC07A69" w14:textId="77777777" w:rsidR="00D311C3" w:rsidRPr="001B163C" w:rsidRDefault="00D311C3" w:rsidP="00E06191">
            <w:pPr>
              <w:pStyle w:val="Tabletext"/>
            </w:pPr>
            <w:r w:rsidRPr="001B163C">
              <w:t>First publication</w:t>
            </w:r>
          </w:p>
        </w:tc>
        <w:tc>
          <w:tcPr>
            <w:tcW w:w="1984" w:type="dxa"/>
          </w:tcPr>
          <w:p w14:paraId="6C24E9B2" w14:textId="77777777" w:rsidR="00D311C3" w:rsidRPr="001B163C" w:rsidRDefault="00D311C3" w:rsidP="00E06191">
            <w:pPr>
              <w:pStyle w:val="Tabletext"/>
            </w:pPr>
            <w:r w:rsidRPr="001B163C">
              <w:t>29 March 2021</w:t>
            </w:r>
          </w:p>
        </w:tc>
        <w:tc>
          <w:tcPr>
            <w:tcW w:w="4201" w:type="dxa"/>
          </w:tcPr>
          <w:p w14:paraId="5F26413B" w14:textId="77777777" w:rsidR="00D311C3" w:rsidRPr="008115B4" w:rsidRDefault="00D311C3" w:rsidP="00E06191">
            <w:pPr>
              <w:pStyle w:val="Tablebullet1"/>
            </w:pPr>
            <w:r w:rsidRPr="008115B4">
              <w:t>Date of issue.</w:t>
            </w:r>
          </w:p>
        </w:tc>
      </w:tr>
      <w:tr w:rsidR="00D311C3" w:rsidRPr="008115B4" w14:paraId="0B2C60BE" w14:textId="77777777" w:rsidTr="002D73D3">
        <w:trPr>
          <w:trHeight w:val="756"/>
        </w:trPr>
        <w:tc>
          <w:tcPr>
            <w:tcW w:w="988" w:type="dxa"/>
          </w:tcPr>
          <w:p w14:paraId="1EF0C653" w14:textId="77777777" w:rsidR="00D311C3" w:rsidRPr="001B163C" w:rsidRDefault="00D311C3" w:rsidP="00E06191">
            <w:pPr>
              <w:pStyle w:val="Tabletext"/>
            </w:pPr>
            <w:r w:rsidRPr="001B163C">
              <w:t>2.0</w:t>
            </w:r>
          </w:p>
        </w:tc>
        <w:tc>
          <w:tcPr>
            <w:tcW w:w="2126" w:type="dxa"/>
          </w:tcPr>
          <w:p w14:paraId="15F521D1" w14:textId="77777777" w:rsidR="00D311C3" w:rsidRPr="001B163C" w:rsidRDefault="00D311C3" w:rsidP="00E06191">
            <w:pPr>
              <w:pStyle w:val="Tabletext"/>
            </w:pPr>
            <w:r w:rsidRPr="001B163C">
              <w:t>Revised</w:t>
            </w:r>
          </w:p>
        </w:tc>
        <w:tc>
          <w:tcPr>
            <w:tcW w:w="1984" w:type="dxa"/>
          </w:tcPr>
          <w:p w14:paraId="781F0339" w14:textId="77777777" w:rsidR="00D311C3" w:rsidRPr="001B163C" w:rsidRDefault="00D311C3" w:rsidP="00E06191">
            <w:pPr>
              <w:pStyle w:val="Tabletext"/>
            </w:pPr>
            <w:r w:rsidRPr="001B163C">
              <w:t>7 July 2023</w:t>
            </w:r>
          </w:p>
        </w:tc>
        <w:tc>
          <w:tcPr>
            <w:tcW w:w="4201" w:type="dxa"/>
          </w:tcPr>
          <w:p w14:paraId="58CB99AB" w14:textId="77777777" w:rsidR="00D311C3" w:rsidRPr="008115B4" w:rsidRDefault="00D311C3" w:rsidP="00E06191">
            <w:pPr>
              <w:pStyle w:val="Tablebullet1"/>
            </w:pPr>
            <w:r w:rsidRPr="008115B4">
              <w:t>Moved to DFFH template.</w:t>
            </w:r>
          </w:p>
          <w:p w14:paraId="15D3079F" w14:textId="77777777" w:rsidR="00D311C3" w:rsidRPr="008115B4" w:rsidRDefault="00D311C3" w:rsidP="00E06191">
            <w:pPr>
              <w:pStyle w:val="Tablebullet1"/>
            </w:pPr>
            <w:r w:rsidRPr="008115B4">
              <w:t>The option for Head contractors to scope vacant works has been removed.</w:t>
            </w:r>
          </w:p>
          <w:p w14:paraId="5BD811B6" w14:textId="77777777" w:rsidR="00D311C3" w:rsidRPr="008115B4" w:rsidRDefault="00D311C3" w:rsidP="00E06191">
            <w:pPr>
              <w:pStyle w:val="Tablebullet1"/>
            </w:pPr>
            <w:r w:rsidRPr="008115B4">
              <w:t>Further information provided about raising Residential Tenancies Act</w:t>
            </w:r>
            <w:r>
              <w:t xml:space="preserve"> </w:t>
            </w:r>
            <w:r w:rsidRPr="008115B4">
              <w:t>safety checks</w:t>
            </w:r>
          </w:p>
        </w:tc>
      </w:tr>
    </w:tbl>
    <w:p w14:paraId="40880289" w14:textId="77777777" w:rsidR="00D311C3" w:rsidRDefault="00D311C3" w:rsidP="00D311C3">
      <w:pPr>
        <w:pStyle w:val="Tablecaption"/>
      </w:pPr>
      <w:r>
        <w:t xml:space="preserve">Vacant Unit Maintenance Operational Guidelines </w:t>
      </w:r>
    </w:p>
    <w:tbl>
      <w:tblPr>
        <w:tblStyle w:val="TableGrid"/>
        <w:tblW w:w="9299" w:type="dxa"/>
        <w:tblLook w:val="06A0" w:firstRow="1" w:lastRow="0" w:firstColumn="1" w:lastColumn="0" w:noHBand="1" w:noVBand="1"/>
      </w:tblPr>
      <w:tblGrid>
        <w:gridCol w:w="988"/>
        <w:gridCol w:w="2126"/>
        <w:gridCol w:w="1984"/>
        <w:gridCol w:w="4201"/>
      </w:tblGrid>
      <w:tr w:rsidR="00D311C3" w:rsidRPr="008115B4" w14:paraId="665FA4E4" w14:textId="77777777" w:rsidTr="00F06236">
        <w:trPr>
          <w:trHeight w:val="495"/>
          <w:tblHeader/>
        </w:trPr>
        <w:tc>
          <w:tcPr>
            <w:tcW w:w="988" w:type="dxa"/>
          </w:tcPr>
          <w:p w14:paraId="3CD60D5F" w14:textId="77777777" w:rsidR="00D311C3" w:rsidRDefault="00D311C3" w:rsidP="00E06191">
            <w:pPr>
              <w:pStyle w:val="Tablecolhead"/>
            </w:pPr>
            <w:r w:rsidRPr="008115B4">
              <w:t>Version</w:t>
            </w:r>
          </w:p>
        </w:tc>
        <w:tc>
          <w:tcPr>
            <w:tcW w:w="2126" w:type="dxa"/>
          </w:tcPr>
          <w:p w14:paraId="7ACBD9EA" w14:textId="77777777" w:rsidR="00D311C3" w:rsidRDefault="00D311C3" w:rsidP="00E06191">
            <w:pPr>
              <w:pStyle w:val="Tablecolhead"/>
            </w:pPr>
            <w:r w:rsidRPr="008115B4">
              <w:t>Amended section</w:t>
            </w:r>
          </w:p>
        </w:tc>
        <w:tc>
          <w:tcPr>
            <w:tcW w:w="1984" w:type="dxa"/>
          </w:tcPr>
          <w:p w14:paraId="7973CF21" w14:textId="77777777" w:rsidR="00D311C3" w:rsidRDefault="00D311C3" w:rsidP="00E06191">
            <w:pPr>
              <w:pStyle w:val="Tablecolhead"/>
            </w:pPr>
            <w:r w:rsidRPr="008115B4">
              <w:t>Effective</w:t>
            </w:r>
          </w:p>
        </w:tc>
        <w:tc>
          <w:tcPr>
            <w:tcW w:w="4201" w:type="dxa"/>
          </w:tcPr>
          <w:p w14:paraId="6ADE1F32" w14:textId="77777777" w:rsidR="00D311C3" w:rsidRPr="00E65A0A" w:rsidRDefault="00D311C3" w:rsidP="00E06191">
            <w:pPr>
              <w:pStyle w:val="Tablecolhead"/>
            </w:pPr>
            <w:r w:rsidRPr="008115B4">
              <w:t>Details</w:t>
            </w:r>
          </w:p>
        </w:tc>
      </w:tr>
      <w:tr w:rsidR="00D311C3" w:rsidRPr="008115B4" w14:paraId="6FA86895" w14:textId="77777777" w:rsidTr="00E06191">
        <w:trPr>
          <w:trHeight w:val="495"/>
        </w:trPr>
        <w:tc>
          <w:tcPr>
            <w:tcW w:w="988" w:type="dxa"/>
          </w:tcPr>
          <w:p w14:paraId="7E45B609" w14:textId="77777777" w:rsidR="00D311C3" w:rsidRPr="008115B4" w:rsidRDefault="00D311C3" w:rsidP="00E06191">
            <w:pPr>
              <w:pStyle w:val="Tabletext"/>
            </w:pPr>
            <w:r>
              <w:t>1.0</w:t>
            </w:r>
          </w:p>
        </w:tc>
        <w:tc>
          <w:tcPr>
            <w:tcW w:w="2126" w:type="dxa"/>
          </w:tcPr>
          <w:p w14:paraId="53657719" w14:textId="77777777" w:rsidR="00D311C3" w:rsidRPr="008115B4" w:rsidRDefault="00D311C3" w:rsidP="00E06191">
            <w:pPr>
              <w:pStyle w:val="Tabletext"/>
            </w:pPr>
            <w:r>
              <w:t xml:space="preserve">First publication </w:t>
            </w:r>
          </w:p>
        </w:tc>
        <w:tc>
          <w:tcPr>
            <w:tcW w:w="1984" w:type="dxa"/>
          </w:tcPr>
          <w:p w14:paraId="7696CF6C" w14:textId="77777777" w:rsidR="00D311C3" w:rsidRPr="008115B4" w:rsidRDefault="00D311C3" w:rsidP="00E06191">
            <w:pPr>
              <w:pStyle w:val="Tabletext"/>
            </w:pPr>
            <w:r>
              <w:t>December 2024</w:t>
            </w:r>
          </w:p>
        </w:tc>
        <w:tc>
          <w:tcPr>
            <w:tcW w:w="4201" w:type="dxa"/>
          </w:tcPr>
          <w:p w14:paraId="12A05E2B" w14:textId="77777777" w:rsidR="00D311C3" w:rsidRDefault="00D311C3" w:rsidP="00E06191">
            <w:pPr>
              <w:pStyle w:val="Tablebullet1"/>
            </w:pPr>
            <w:r w:rsidRPr="00E65A0A">
              <w:t xml:space="preserve">Combined </w:t>
            </w:r>
            <w:r w:rsidRPr="00216AA2">
              <w:rPr>
                <w:i/>
                <w:iCs/>
              </w:rPr>
              <w:t>Chapter 2: Vacant unit maintenance v1.2</w:t>
            </w:r>
            <w:r>
              <w:t xml:space="preserve"> </w:t>
            </w:r>
            <w:r w:rsidRPr="00E65A0A">
              <w:t xml:space="preserve">and </w:t>
            </w:r>
            <w:r w:rsidRPr="00216AA2">
              <w:rPr>
                <w:i/>
                <w:iCs/>
              </w:rPr>
              <w:t>Vacant unit guide v2.0</w:t>
            </w:r>
            <w:r>
              <w:t xml:space="preserve"> </w:t>
            </w:r>
            <w:r w:rsidRPr="00E65A0A">
              <w:t>into a single comprehensive guideline.</w:t>
            </w:r>
          </w:p>
          <w:p w14:paraId="2D495BE2" w14:textId="77777777" w:rsidR="00D311C3" w:rsidRDefault="00D311C3" w:rsidP="00E06191">
            <w:pPr>
              <w:pStyle w:val="Tabletext"/>
            </w:pPr>
            <w:r>
              <w:t>Updates from previous versions:</w:t>
            </w:r>
          </w:p>
          <w:p w14:paraId="7256B2C8" w14:textId="77777777" w:rsidR="00D311C3" w:rsidRDefault="00D311C3" w:rsidP="00E06191">
            <w:pPr>
              <w:pStyle w:val="Tablebullet1"/>
            </w:pPr>
            <w:r>
              <w:t>R</w:t>
            </w:r>
            <w:r w:rsidRPr="00752321">
              <w:t>emoval of guidance that standard vacant unit works include safety and compliance checks.</w:t>
            </w:r>
          </w:p>
          <w:p w14:paraId="0315A004" w14:textId="77777777" w:rsidR="00D311C3" w:rsidRPr="008115B4" w:rsidRDefault="00D311C3" w:rsidP="00E06191">
            <w:pPr>
              <w:pStyle w:val="Tablebullet1"/>
            </w:pPr>
            <w:r>
              <w:t>New sections have been introduced to provide updated and comprehensive guidance on vacant unit maintenance.</w:t>
            </w:r>
          </w:p>
        </w:tc>
      </w:tr>
      <w:tr w:rsidR="00D311C3" w:rsidRPr="00337EAF" w14:paraId="423CA02E" w14:textId="77777777" w:rsidTr="00E06191">
        <w:trPr>
          <w:trHeight w:val="495"/>
        </w:trPr>
        <w:tc>
          <w:tcPr>
            <w:tcW w:w="988" w:type="dxa"/>
          </w:tcPr>
          <w:p w14:paraId="2AC0FFA3" w14:textId="77777777" w:rsidR="00D311C3" w:rsidRPr="00337EAF" w:rsidRDefault="00D311C3" w:rsidP="00E06191">
            <w:pPr>
              <w:spacing w:before="80" w:line="240" w:lineRule="auto"/>
            </w:pPr>
            <w:r w:rsidRPr="00337EAF">
              <w:t>1.2</w:t>
            </w:r>
          </w:p>
        </w:tc>
        <w:tc>
          <w:tcPr>
            <w:tcW w:w="2126" w:type="dxa"/>
          </w:tcPr>
          <w:p w14:paraId="491BE329" w14:textId="77777777" w:rsidR="00D311C3" w:rsidRPr="00337EAF" w:rsidRDefault="00D311C3" w:rsidP="00E06191">
            <w:pPr>
              <w:spacing w:before="80" w:line="240" w:lineRule="auto"/>
            </w:pPr>
            <w:r w:rsidRPr="00337EAF">
              <w:t>4.1 Reletting restrictions</w:t>
            </w:r>
          </w:p>
        </w:tc>
        <w:tc>
          <w:tcPr>
            <w:tcW w:w="1984" w:type="dxa"/>
          </w:tcPr>
          <w:p w14:paraId="4DE678A8" w14:textId="77777777" w:rsidR="00D311C3" w:rsidRPr="00337EAF" w:rsidRDefault="00D311C3" w:rsidP="00E06191">
            <w:pPr>
              <w:spacing w:before="80" w:after="60" w:line="240" w:lineRule="auto"/>
            </w:pPr>
            <w:r w:rsidRPr="00337EAF">
              <w:t>June 2025</w:t>
            </w:r>
          </w:p>
        </w:tc>
        <w:tc>
          <w:tcPr>
            <w:tcW w:w="4201" w:type="dxa"/>
          </w:tcPr>
          <w:p w14:paraId="1DAF99ED" w14:textId="77777777" w:rsidR="00D311C3" w:rsidRPr="00337EAF" w:rsidRDefault="00D311C3" w:rsidP="00E06191">
            <w:pPr>
              <w:pStyle w:val="Tablebullet1"/>
            </w:pPr>
            <w:r w:rsidRPr="00337EAF">
              <w:t>Expanded guidance on the management and application of reletting restrictions, including detailed oversight and approval procedures.</w:t>
            </w:r>
          </w:p>
          <w:p w14:paraId="74B0EB37" w14:textId="77777777" w:rsidR="00D311C3" w:rsidRPr="00337EAF" w:rsidRDefault="00D311C3" w:rsidP="00E06191">
            <w:pPr>
              <w:pStyle w:val="Tablebullet1"/>
            </w:pPr>
            <w:r w:rsidRPr="00337EAF">
              <w:t>Integrated standalone section 6.5 Upgrade Referral Requests into the reordered Reletting Restrictions section, which has been moved from section 4.1 to section 5.</w:t>
            </w:r>
          </w:p>
        </w:tc>
      </w:tr>
      <w:tr w:rsidR="00D311C3" w:rsidRPr="00337EAF" w14:paraId="4E754924" w14:textId="77777777" w:rsidTr="00E06191">
        <w:trPr>
          <w:trHeight w:val="495"/>
        </w:trPr>
        <w:tc>
          <w:tcPr>
            <w:tcW w:w="988" w:type="dxa"/>
          </w:tcPr>
          <w:p w14:paraId="2AD9E0A6" w14:textId="77777777" w:rsidR="00D311C3" w:rsidRPr="00337EAF" w:rsidRDefault="00D311C3" w:rsidP="00E06191">
            <w:pPr>
              <w:spacing w:before="80" w:line="240" w:lineRule="auto"/>
            </w:pPr>
            <w:r>
              <w:t>1.3</w:t>
            </w:r>
          </w:p>
        </w:tc>
        <w:tc>
          <w:tcPr>
            <w:tcW w:w="2126" w:type="dxa"/>
          </w:tcPr>
          <w:p w14:paraId="7275209A" w14:textId="1BB084D8" w:rsidR="002C53AD" w:rsidRPr="00A75108" w:rsidRDefault="009E63BD" w:rsidP="007625A1">
            <w:pPr>
              <w:pStyle w:val="Tablebullet1"/>
              <w:numPr>
                <w:ilvl w:val="0"/>
                <w:numId w:val="0"/>
              </w:numPr>
            </w:pPr>
            <w:r>
              <w:t>Throughout</w:t>
            </w:r>
          </w:p>
          <w:p w14:paraId="038C1547" w14:textId="391CD791" w:rsidR="001D3130" w:rsidRPr="00337EAF" w:rsidRDefault="001D3130" w:rsidP="00A75108">
            <w:pPr>
              <w:pStyle w:val="Tablebullet1"/>
              <w:numPr>
                <w:ilvl w:val="0"/>
                <w:numId w:val="0"/>
              </w:numPr>
            </w:pPr>
          </w:p>
        </w:tc>
        <w:tc>
          <w:tcPr>
            <w:tcW w:w="1984" w:type="dxa"/>
          </w:tcPr>
          <w:p w14:paraId="3018F785" w14:textId="62AAA200" w:rsidR="00D311C3" w:rsidRPr="00337EAF" w:rsidRDefault="007276B2" w:rsidP="00E06191">
            <w:pPr>
              <w:spacing w:before="80" w:after="60" w:line="240" w:lineRule="auto"/>
            </w:pPr>
            <w:r>
              <w:t>March</w:t>
            </w:r>
            <w:r w:rsidR="00D311C3">
              <w:t xml:space="preserve"> 2026</w:t>
            </w:r>
          </w:p>
        </w:tc>
        <w:tc>
          <w:tcPr>
            <w:tcW w:w="4201" w:type="dxa"/>
          </w:tcPr>
          <w:p w14:paraId="3C5FC41E" w14:textId="77777777" w:rsidR="00F452FA" w:rsidRDefault="00F452FA" w:rsidP="00F452FA">
            <w:pPr>
              <w:pStyle w:val="Tablebullet1"/>
            </w:pPr>
            <w:r>
              <w:t>Sections 3.1, 3.3 and 3.4 have been consolidated into Section 3, which has been renamed from Occupational health and safety to Safety and inspection requirements.</w:t>
            </w:r>
          </w:p>
          <w:p w14:paraId="49229AE0" w14:textId="07496C82" w:rsidR="009C6E9B" w:rsidRDefault="009C6E9B" w:rsidP="009C6E9B">
            <w:pPr>
              <w:pStyle w:val="Tablebullet1"/>
            </w:pPr>
            <w:r>
              <w:t xml:space="preserve">Content previously in Section 5.2 Asset Management oversight and approval </w:t>
            </w:r>
            <w:r>
              <w:lastRenderedPageBreak/>
              <w:t>has been renamed Vacancy durations and relocated to Section 10 Referral guide and assessment: Asset Management Branch (now Section 10.4).</w:t>
            </w:r>
          </w:p>
          <w:p w14:paraId="4F9C6D40" w14:textId="3F1C80E8" w:rsidR="009C6E9B" w:rsidRDefault="009C6E9B" w:rsidP="009C6E9B">
            <w:pPr>
              <w:pStyle w:val="Tablebullet1"/>
            </w:pPr>
            <w:r>
              <w:t>The table Reletting restrictions requiring Asset Management oversight and approval, originally part of Section 5.2, has been removed and incorporated into the Referral guide and assessment: Asset Management Branch content.</w:t>
            </w:r>
          </w:p>
          <w:p w14:paraId="627B8FA4" w14:textId="2411642E" w:rsidR="009C6E9B" w:rsidRDefault="009C6E9B" w:rsidP="009C6E9B">
            <w:pPr>
              <w:pStyle w:val="Tablebullet1"/>
            </w:pPr>
            <w:r>
              <w:t>A new Section 10.3 Reletting restriction and vacancy management has been created from the remaining relevant Section 5.2 content, retaining information on reletting restrictions requiring Asset Management Branch review before implementation, and clarifying local office responsibilities during the vacancy period.</w:t>
            </w:r>
          </w:p>
          <w:p w14:paraId="5A0C2499" w14:textId="55F2E658" w:rsidR="00F452FA" w:rsidRPr="00A8010E" w:rsidRDefault="00F452FA" w:rsidP="00F452FA">
            <w:pPr>
              <w:pStyle w:val="Tablebullet1"/>
            </w:pPr>
            <w:r w:rsidRPr="00A8010E">
              <w:t>Section 5.3 Raising a reletting restriction for review and approval has been renamed Pre</w:t>
            </w:r>
            <w:r w:rsidRPr="00A8010E">
              <w:rPr>
                <w:rFonts w:ascii="Cambria Math" w:hAnsi="Cambria Math" w:cs="Cambria Math"/>
              </w:rPr>
              <w:t>‑</w:t>
            </w:r>
            <w:r w:rsidRPr="00A8010E">
              <w:t>referral requirements and relocated</w:t>
            </w:r>
            <w:r w:rsidR="00FF7422" w:rsidRPr="00A8010E">
              <w:t xml:space="preserve"> under</w:t>
            </w:r>
            <w:r w:rsidRPr="00A8010E">
              <w:t xml:space="preserve"> </w:t>
            </w:r>
            <w:r w:rsidR="00FF7422" w:rsidRPr="00A8010E">
              <w:t xml:space="preserve">Section 10 Referral guide and assessment: Asset Management Branch </w:t>
            </w:r>
            <w:r w:rsidRPr="00A8010E">
              <w:t xml:space="preserve">(now Section </w:t>
            </w:r>
            <w:r w:rsidR="00FF7422" w:rsidRPr="00A8010E">
              <w:t>10</w:t>
            </w:r>
            <w:r w:rsidRPr="00A8010E">
              <w:t>.1).</w:t>
            </w:r>
          </w:p>
          <w:p w14:paraId="1EE4EFE1" w14:textId="03CA5B62" w:rsidR="00F452FA" w:rsidRPr="003F56FD" w:rsidRDefault="00F452FA" w:rsidP="00F452FA">
            <w:pPr>
              <w:pStyle w:val="Tablebullet1"/>
            </w:pPr>
            <w:r w:rsidRPr="003F56FD">
              <w:t xml:space="preserve">Section 5.4 CSHS Manager oversight and approval of referrals to Asset Management </w:t>
            </w:r>
            <w:proofErr w:type="gramStart"/>
            <w:r w:rsidRPr="003F56FD">
              <w:t>has</w:t>
            </w:r>
            <w:proofErr w:type="gramEnd"/>
            <w:r w:rsidRPr="003F56FD">
              <w:t xml:space="preserve"> been renamed CSHS Manager oversight and approval and relocated under Section </w:t>
            </w:r>
            <w:r w:rsidR="00EE1192" w:rsidRPr="003F56FD">
              <w:t>10</w:t>
            </w:r>
            <w:r w:rsidRPr="003F56FD">
              <w:t xml:space="preserve"> </w:t>
            </w:r>
            <w:r w:rsidR="00EB4098" w:rsidRPr="003F56FD">
              <w:t>Referral guide and assessment: Asset Management Branch</w:t>
            </w:r>
            <w:r w:rsidRPr="003F56FD">
              <w:t xml:space="preserve"> (now Section </w:t>
            </w:r>
            <w:r w:rsidR="00BF32F0" w:rsidRPr="003F56FD">
              <w:t>10</w:t>
            </w:r>
            <w:r w:rsidRPr="003F56FD">
              <w:t>.2).</w:t>
            </w:r>
          </w:p>
          <w:p w14:paraId="0BB69574" w14:textId="44C10418" w:rsidR="00D85136" w:rsidRDefault="00D85136" w:rsidP="00F452FA">
            <w:pPr>
              <w:pStyle w:val="Tablebullet1"/>
            </w:pPr>
            <w:r w:rsidRPr="00D85136">
              <w:t xml:space="preserve">Section 6 Goods left behind has been removed, as it solely redirected </w:t>
            </w:r>
            <w:r w:rsidR="00EE44B0">
              <w:t>staff</w:t>
            </w:r>
            <w:r w:rsidRPr="00D85136">
              <w:t xml:space="preserve"> to the Goods Left Behind Operational Guidelines for instruction. Removing it streamlines the document and avoids unnecessary cross</w:t>
            </w:r>
            <w:r w:rsidRPr="00D85136">
              <w:rPr>
                <w:rFonts w:ascii="Cambria Math" w:hAnsi="Cambria Math" w:cs="Cambria Math"/>
              </w:rPr>
              <w:t>‑</w:t>
            </w:r>
            <w:r w:rsidRPr="00D85136">
              <w:t>referencing.</w:t>
            </w:r>
          </w:p>
          <w:p w14:paraId="782E7CD2" w14:textId="36144B19" w:rsidR="00F452FA" w:rsidRDefault="00F452FA" w:rsidP="00F452FA">
            <w:pPr>
              <w:pStyle w:val="Tablebullet1"/>
            </w:pPr>
            <w:r>
              <w:t>Section 9 Vacant unit referrals to Asset Management</w:t>
            </w:r>
            <w:r w:rsidR="00017245">
              <w:t xml:space="preserve"> Branch</w:t>
            </w:r>
            <w:r>
              <w:t xml:space="preserve"> </w:t>
            </w:r>
            <w:proofErr w:type="gramStart"/>
            <w:r>
              <w:t>has</w:t>
            </w:r>
            <w:proofErr w:type="gramEnd"/>
            <w:r>
              <w:t xml:space="preserve"> been introduced.</w:t>
            </w:r>
          </w:p>
          <w:p w14:paraId="2A776C11" w14:textId="58E1E0AE" w:rsidR="00F452FA" w:rsidRDefault="00F452FA" w:rsidP="00F452FA">
            <w:pPr>
              <w:pStyle w:val="Tablebullet1"/>
            </w:pPr>
            <w:r>
              <w:t>Section 10 Referral guide and assessment: Asset Management Branch has been introduced.</w:t>
            </w:r>
          </w:p>
          <w:p w14:paraId="04D04288" w14:textId="7B6FB81B" w:rsidR="00F452FA" w:rsidRDefault="00F452FA" w:rsidP="00F452FA">
            <w:pPr>
              <w:pStyle w:val="Tablebullet1"/>
            </w:pPr>
            <w:r>
              <w:t xml:space="preserve">Tables have been </w:t>
            </w:r>
            <w:r w:rsidR="00857034">
              <w:t>introduced</w:t>
            </w:r>
            <w:r>
              <w:t xml:space="preserve"> throughout the document to improve clarity and usability.</w:t>
            </w:r>
          </w:p>
          <w:p w14:paraId="5C1EFDF9" w14:textId="77777777" w:rsidR="009E63BD" w:rsidRDefault="00062558" w:rsidP="0031776A">
            <w:pPr>
              <w:pStyle w:val="Tablebullet1"/>
            </w:pPr>
            <w:r w:rsidRPr="00062558">
              <w:t>Section 9 Move</w:t>
            </w:r>
            <w:r w:rsidRPr="00062558">
              <w:rPr>
                <w:rFonts w:ascii="Cambria Math" w:hAnsi="Cambria Math" w:cs="Cambria Math"/>
              </w:rPr>
              <w:t>‑</w:t>
            </w:r>
            <w:r w:rsidRPr="00062558">
              <w:t>in Tenancy Condition Reports has been relocated to become a subsection under Vacant unit handback inspection (now Section 7.1).</w:t>
            </w:r>
          </w:p>
          <w:p w14:paraId="48DC8208" w14:textId="710B016D" w:rsidR="00225EC1" w:rsidRPr="00337EAF" w:rsidRDefault="00225EC1" w:rsidP="00225EC1">
            <w:pPr>
              <w:pStyle w:val="Tablebullet1"/>
            </w:pPr>
            <w:r w:rsidRPr="00225EC1">
              <w:lastRenderedPageBreak/>
              <w:t xml:space="preserve">As a result of the amendments to Section 5 and subsequent sections, the document’s section numbering has been updated, as detailed </w:t>
            </w:r>
            <w:r w:rsidR="008076A5">
              <w:t>above.</w:t>
            </w:r>
          </w:p>
        </w:tc>
      </w:tr>
    </w:tbl>
    <w:p w14:paraId="2108DBDF" w14:textId="77777777" w:rsidR="00547F70" w:rsidRDefault="00547F70" w:rsidP="008115B4">
      <w:pPr>
        <w:pStyle w:val="Body"/>
      </w:pPr>
    </w:p>
    <w:p w14:paraId="32D1DC41" w14:textId="77777777" w:rsidR="00547F70" w:rsidRDefault="00547F70" w:rsidP="008115B4">
      <w:pPr>
        <w:pStyle w:val="Body"/>
      </w:pPr>
    </w:p>
    <w:p w14:paraId="4F6ED7A1" w14:textId="77777777" w:rsidR="00547F70" w:rsidRDefault="00547F70" w:rsidP="008115B4">
      <w:pPr>
        <w:pStyle w:val="Body"/>
      </w:pPr>
    </w:p>
    <w:p w14:paraId="7C6F2F24" w14:textId="77777777" w:rsidR="00547F70" w:rsidRDefault="00547F70" w:rsidP="008115B4">
      <w:pPr>
        <w:pStyle w:val="Body"/>
        <w:sectPr w:rsidR="00547F70" w:rsidSect="00F15144">
          <w:headerReference w:type="even" r:id="rId20"/>
          <w:headerReference w:type="default" r:id="rId21"/>
          <w:footerReference w:type="even" r:id="rId22"/>
          <w:footerReference w:type="default" r:id="rId23"/>
          <w:pgSz w:w="11906" w:h="16838" w:code="9"/>
          <w:pgMar w:top="1418" w:right="1304" w:bottom="851" w:left="1304" w:header="680" w:footer="567" w:gutter="0"/>
          <w:cols w:space="340"/>
          <w:docGrid w:linePitch="360"/>
        </w:sectPr>
      </w:pPr>
    </w:p>
    <w:p w14:paraId="2CE06297" w14:textId="77777777" w:rsidR="00547F70" w:rsidRPr="00B57329" w:rsidRDefault="00547F70" w:rsidP="00547F70">
      <w:pPr>
        <w:pStyle w:val="Heading1"/>
        <w:numPr>
          <w:ilvl w:val="0"/>
          <w:numId w:val="0"/>
        </w:numPr>
        <w:ind w:left="432" w:hanging="432"/>
      </w:pPr>
      <w:bookmarkStart w:id="3" w:name="_Toc224119161"/>
      <w:r w:rsidRPr="00B57329">
        <w:lastRenderedPageBreak/>
        <w:t>Contents</w:t>
      </w:r>
      <w:bookmarkEnd w:id="3"/>
    </w:p>
    <w:p w14:paraId="05FE1C29" w14:textId="4C5243BE" w:rsidR="00F17779" w:rsidRDefault="00547F70">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4119160" w:history="1">
        <w:r w:rsidR="00F17779" w:rsidRPr="00635341">
          <w:rPr>
            <w:rStyle w:val="Hyperlink"/>
          </w:rPr>
          <w:t>1</w:t>
        </w:r>
        <w:r w:rsidR="00F17779">
          <w:rPr>
            <w:rFonts w:asciiTheme="minorHAnsi" w:eastAsiaTheme="minorEastAsia" w:hAnsiTheme="minorHAnsi" w:cstheme="minorBidi"/>
            <w:b w:val="0"/>
            <w:kern w:val="2"/>
            <w:sz w:val="24"/>
            <w:szCs w:val="24"/>
            <w:lang w:eastAsia="en-AU"/>
            <w14:ligatures w14:val="standardContextual"/>
          </w:rPr>
          <w:tab/>
        </w:r>
        <w:r w:rsidR="00F17779" w:rsidRPr="00635341">
          <w:rPr>
            <w:rStyle w:val="Hyperlink"/>
          </w:rPr>
          <w:t>Revision history</w:t>
        </w:r>
        <w:r w:rsidR="00F17779">
          <w:rPr>
            <w:webHidden/>
          </w:rPr>
          <w:tab/>
        </w:r>
        <w:r w:rsidR="00F17779">
          <w:rPr>
            <w:webHidden/>
          </w:rPr>
          <w:fldChar w:fldCharType="begin"/>
        </w:r>
        <w:r w:rsidR="00F17779">
          <w:rPr>
            <w:webHidden/>
          </w:rPr>
          <w:instrText xml:space="preserve"> PAGEREF _Toc224119160 \h </w:instrText>
        </w:r>
        <w:r w:rsidR="00F17779">
          <w:rPr>
            <w:webHidden/>
          </w:rPr>
        </w:r>
        <w:r w:rsidR="00F17779">
          <w:rPr>
            <w:webHidden/>
          </w:rPr>
          <w:fldChar w:fldCharType="separate"/>
        </w:r>
        <w:r w:rsidR="00F17779">
          <w:rPr>
            <w:webHidden/>
          </w:rPr>
          <w:t>4</w:t>
        </w:r>
        <w:r w:rsidR="00F17779">
          <w:rPr>
            <w:webHidden/>
          </w:rPr>
          <w:fldChar w:fldCharType="end"/>
        </w:r>
      </w:hyperlink>
    </w:p>
    <w:p w14:paraId="008B0353" w14:textId="424D3F3B" w:rsidR="00F17779" w:rsidRDefault="00F17779">
      <w:pPr>
        <w:pStyle w:val="TOC1"/>
        <w:rPr>
          <w:rFonts w:asciiTheme="minorHAnsi" w:eastAsiaTheme="minorEastAsia" w:hAnsiTheme="minorHAnsi" w:cstheme="minorBidi"/>
          <w:b w:val="0"/>
          <w:kern w:val="2"/>
          <w:sz w:val="24"/>
          <w:szCs w:val="24"/>
          <w:lang w:eastAsia="en-AU"/>
          <w14:ligatures w14:val="standardContextual"/>
        </w:rPr>
      </w:pPr>
      <w:hyperlink w:anchor="_Toc224119161" w:history="1">
        <w:r w:rsidRPr="00635341">
          <w:rPr>
            <w:rStyle w:val="Hyperlink"/>
          </w:rPr>
          <w:t>Contents</w:t>
        </w:r>
        <w:r>
          <w:rPr>
            <w:webHidden/>
          </w:rPr>
          <w:tab/>
        </w:r>
        <w:r>
          <w:rPr>
            <w:webHidden/>
          </w:rPr>
          <w:fldChar w:fldCharType="begin"/>
        </w:r>
        <w:r>
          <w:rPr>
            <w:webHidden/>
          </w:rPr>
          <w:instrText xml:space="preserve"> PAGEREF _Toc224119161 \h </w:instrText>
        </w:r>
        <w:r>
          <w:rPr>
            <w:webHidden/>
          </w:rPr>
        </w:r>
        <w:r>
          <w:rPr>
            <w:webHidden/>
          </w:rPr>
          <w:fldChar w:fldCharType="separate"/>
        </w:r>
        <w:r>
          <w:rPr>
            <w:webHidden/>
          </w:rPr>
          <w:t>7</w:t>
        </w:r>
        <w:r>
          <w:rPr>
            <w:webHidden/>
          </w:rPr>
          <w:fldChar w:fldCharType="end"/>
        </w:r>
      </w:hyperlink>
    </w:p>
    <w:p w14:paraId="700B43FE" w14:textId="4111D6FB" w:rsidR="00F17779" w:rsidRDefault="00F177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119162" w:history="1">
        <w:r w:rsidRPr="00635341">
          <w:rPr>
            <w:rStyle w:val="Hyperlink"/>
          </w:rPr>
          <w:t>2</w:t>
        </w:r>
        <w:r>
          <w:rPr>
            <w:rFonts w:asciiTheme="minorHAnsi" w:eastAsiaTheme="minorEastAsia" w:hAnsiTheme="minorHAnsi" w:cstheme="minorBidi"/>
            <w:b w:val="0"/>
            <w:kern w:val="2"/>
            <w:sz w:val="24"/>
            <w:szCs w:val="24"/>
            <w:lang w:eastAsia="en-AU"/>
            <w14:ligatures w14:val="standardContextual"/>
          </w:rPr>
          <w:tab/>
        </w:r>
        <w:r w:rsidRPr="00635341">
          <w:rPr>
            <w:rStyle w:val="Hyperlink"/>
          </w:rPr>
          <w:t>Overview</w:t>
        </w:r>
        <w:r>
          <w:rPr>
            <w:webHidden/>
          </w:rPr>
          <w:tab/>
        </w:r>
        <w:r>
          <w:rPr>
            <w:webHidden/>
          </w:rPr>
          <w:fldChar w:fldCharType="begin"/>
        </w:r>
        <w:r>
          <w:rPr>
            <w:webHidden/>
          </w:rPr>
          <w:instrText xml:space="preserve"> PAGEREF _Toc224119162 \h </w:instrText>
        </w:r>
        <w:r>
          <w:rPr>
            <w:webHidden/>
          </w:rPr>
        </w:r>
        <w:r>
          <w:rPr>
            <w:webHidden/>
          </w:rPr>
          <w:fldChar w:fldCharType="separate"/>
        </w:r>
        <w:r>
          <w:rPr>
            <w:webHidden/>
          </w:rPr>
          <w:t>8</w:t>
        </w:r>
        <w:r>
          <w:rPr>
            <w:webHidden/>
          </w:rPr>
          <w:fldChar w:fldCharType="end"/>
        </w:r>
      </w:hyperlink>
    </w:p>
    <w:p w14:paraId="7B3C53FE" w14:textId="67426AE2" w:rsidR="00F17779" w:rsidRDefault="00F177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119163" w:history="1">
        <w:r w:rsidRPr="00635341">
          <w:rPr>
            <w:rStyle w:val="Hyperlink"/>
          </w:rPr>
          <w:t>3</w:t>
        </w:r>
        <w:r>
          <w:rPr>
            <w:rFonts w:asciiTheme="minorHAnsi" w:eastAsiaTheme="minorEastAsia" w:hAnsiTheme="minorHAnsi" w:cstheme="minorBidi"/>
            <w:b w:val="0"/>
            <w:kern w:val="2"/>
            <w:sz w:val="24"/>
            <w:szCs w:val="24"/>
            <w:lang w:eastAsia="en-AU"/>
            <w14:ligatures w14:val="standardContextual"/>
          </w:rPr>
          <w:tab/>
        </w:r>
        <w:r w:rsidRPr="00635341">
          <w:rPr>
            <w:rStyle w:val="Hyperlink"/>
          </w:rPr>
          <w:t>Safety and inspection requirements</w:t>
        </w:r>
        <w:r>
          <w:rPr>
            <w:webHidden/>
          </w:rPr>
          <w:tab/>
        </w:r>
        <w:r>
          <w:rPr>
            <w:webHidden/>
          </w:rPr>
          <w:fldChar w:fldCharType="begin"/>
        </w:r>
        <w:r>
          <w:rPr>
            <w:webHidden/>
          </w:rPr>
          <w:instrText xml:space="preserve"> PAGEREF _Toc224119163 \h </w:instrText>
        </w:r>
        <w:r>
          <w:rPr>
            <w:webHidden/>
          </w:rPr>
        </w:r>
        <w:r>
          <w:rPr>
            <w:webHidden/>
          </w:rPr>
          <w:fldChar w:fldCharType="separate"/>
        </w:r>
        <w:r>
          <w:rPr>
            <w:webHidden/>
          </w:rPr>
          <w:t>8</w:t>
        </w:r>
        <w:r>
          <w:rPr>
            <w:webHidden/>
          </w:rPr>
          <w:fldChar w:fldCharType="end"/>
        </w:r>
      </w:hyperlink>
    </w:p>
    <w:p w14:paraId="546F323B" w14:textId="1DF3CA9E"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64" w:history="1">
        <w:r w:rsidRPr="00635341">
          <w:rPr>
            <w:rStyle w:val="Hyperlink"/>
          </w:rPr>
          <w:t>3.1</w:t>
        </w:r>
        <w:r>
          <w:rPr>
            <w:rFonts w:asciiTheme="minorHAnsi" w:eastAsiaTheme="minorEastAsia" w:hAnsiTheme="minorHAnsi" w:cstheme="minorBidi"/>
            <w:kern w:val="2"/>
            <w:sz w:val="24"/>
            <w:szCs w:val="24"/>
            <w:lang w:eastAsia="en-AU"/>
            <w14:ligatures w14:val="standardContextual"/>
          </w:rPr>
          <w:tab/>
        </w:r>
        <w:r w:rsidRPr="00635341">
          <w:rPr>
            <w:rStyle w:val="Hyperlink"/>
          </w:rPr>
          <w:t>Properties presenting a risk of contamination</w:t>
        </w:r>
        <w:r>
          <w:rPr>
            <w:webHidden/>
          </w:rPr>
          <w:tab/>
        </w:r>
        <w:r>
          <w:rPr>
            <w:webHidden/>
          </w:rPr>
          <w:fldChar w:fldCharType="begin"/>
        </w:r>
        <w:r>
          <w:rPr>
            <w:webHidden/>
          </w:rPr>
          <w:instrText xml:space="preserve"> PAGEREF _Toc224119164 \h </w:instrText>
        </w:r>
        <w:r>
          <w:rPr>
            <w:webHidden/>
          </w:rPr>
        </w:r>
        <w:r>
          <w:rPr>
            <w:webHidden/>
          </w:rPr>
          <w:fldChar w:fldCharType="separate"/>
        </w:r>
        <w:r>
          <w:rPr>
            <w:webHidden/>
          </w:rPr>
          <w:t>9</w:t>
        </w:r>
        <w:r>
          <w:rPr>
            <w:webHidden/>
          </w:rPr>
          <w:fldChar w:fldCharType="end"/>
        </w:r>
      </w:hyperlink>
    </w:p>
    <w:p w14:paraId="48E6DE1F" w14:textId="1852AD75" w:rsidR="00F17779" w:rsidRDefault="00F177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119165" w:history="1">
        <w:r w:rsidRPr="00635341">
          <w:rPr>
            <w:rStyle w:val="Hyperlink"/>
          </w:rPr>
          <w:t>4</w:t>
        </w:r>
        <w:r>
          <w:rPr>
            <w:rFonts w:asciiTheme="minorHAnsi" w:eastAsiaTheme="minorEastAsia" w:hAnsiTheme="minorHAnsi" w:cstheme="minorBidi"/>
            <w:b w:val="0"/>
            <w:kern w:val="2"/>
            <w:sz w:val="24"/>
            <w:szCs w:val="24"/>
            <w:lang w:eastAsia="en-AU"/>
            <w14:ligatures w14:val="standardContextual"/>
          </w:rPr>
          <w:tab/>
        </w:r>
        <w:r w:rsidRPr="00635341">
          <w:rPr>
            <w:rStyle w:val="Hyperlink"/>
          </w:rPr>
          <w:t>Target timeframes for vacant unit maintenance</w:t>
        </w:r>
        <w:r>
          <w:rPr>
            <w:webHidden/>
          </w:rPr>
          <w:tab/>
        </w:r>
        <w:r>
          <w:rPr>
            <w:webHidden/>
          </w:rPr>
          <w:fldChar w:fldCharType="begin"/>
        </w:r>
        <w:r>
          <w:rPr>
            <w:webHidden/>
          </w:rPr>
          <w:instrText xml:space="preserve"> PAGEREF _Toc224119165 \h </w:instrText>
        </w:r>
        <w:r>
          <w:rPr>
            <w:webHidden/>
          </w:rPr>
        </w:r>
        <w:r>
          <w:rPr>
            <w:webHidden/>
          </w:rPr>
          <w:fldChar w:fldCharType="separate"/>
        </w:r>
        <w:r>
          <w:rPr>
            <w:webHidden/>
          </w:rPr>
          <w:t>10</w:t>
        </w:r>
        <w:r>
          <w:rPr>
            <w:webHidden/>
          </w:rPr>
          <w:fldChar w:fldCharType="end"/>
        </w:r>
      </w:hyperlink>
    </w:p>
    <w:p w14:paraId="5BE41930" w14:textId="2A335498"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66" w:history="1">
        <w:r w:rsidRPr="00635341">
          <w:rPr>
            <w:rStyle w:val="Hyperlink"/>
          </w:rPr>
          <w:t>4.1</w:t>
        </w:r>
        <w:r>
          <w:rPr>
            <w:rFonts w:asciiTheme="minorHAnsi" w:eastAsiaTheme="minorEastAsia" w:hAnsiTheme="minorHAnsi" w:cstheme="minorBidi"/>
            <w:kern w:val="2"/>
            <w:sz w:val="24"/>
            <w:szCs w:val="24"/>
            <w:lang w:eastAsia="en-AU"/>
            <w14:ligatures w14:val="standardContextual"/>
          </w:rPr>
          <w:tab/>
        </w:r>
        <w:r w:rsidRPr="00635341">
          <w:rPr>
            <w:rStyle w:val="Hyperlink"/>
          </w:rPr>
          <w:t>Contractor extension requests</w:t>
        </w:r>
        <w:r>
          <w:rPr>
            <w:webHidden/>
          </w:rPr>
          <w:tab/>
        </w:r>
        <w:r>
          <w:rPr>
            <w:webHidden/>
          </w:rPr>
          <w:fldChar w:fldCharType="begin"/>
        </w:r>
        <w:r>
          <w:rPr>
            <w:webHidden/>
          </w:rPr>
          <w:instrText xml:space="preserve"> PAGEREF _Toc224119166 \h </w:instrText>
        </w:r>
        <w:r>
          <w:rPr>
            <w:webHidden/>
          </w:rPr>
        </w:r>
        <w:r>
          <w:rPr>
            <w:webHidden/>
          </w:rPr>
          <w:fldChar w:fldCharType="separate"/>
        </w:r>
        <w:r>
          <w:rPr>
            <w:webHidden/>
          </w:rPr>
          <w:t>10</w:t>
        </w:r>
        <w:r>
          <w:rPr>
            <w:webHidden/>
          </w:rPr>
          <w:fldChar w:fldCharType="end"/>
        </w:r>
      </w:hyperlink>
    </w:p>
    <w:p w14:paraId="58A71CAE" w14:textId="735D0BF2"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67" w:history="1">
        <w:r w:rsidRPr="00635341">
          <w:rPr>
            <w:rStyle w:val="Hyperlink"/>
          </w:rPr>
          <w:t>4.2</w:t>
        </w:r>
        <w:r>
          <w:rPr>
            <w:rFonts w:asciiTheme="minorHAnsi" w:eastAsiaTheme="minorEastAsia" w:hAnsiTheme="minorHAnsi" w:cstheme="minorBidi"/>
            <w:kern w:val="2"/>
            <w:sz w:val="24"/>
            <w:szCs w:val="24"/>
            <w:lang w:eastAsia="en-AU"/>
            <w14:ligatures w14:val="standardContextual"/>
          </w:rPr>
          <w:tab/>
        </w:r>
        <w:r w:rsidRPr="00635341">
          <w:rPr>
            <w:rStyle w:val="Hyperlink"/>
          </w:rPr>
          <w:t>Impacts of delays and liquidated damages</w:t>
        </w:r>
        <w:r>
          <w:rPr>
            <w:webHidden/>
          </w:rPr>
          <w:tab/>
        </w:r>
        <w:r>
          <w:rPr>
            <w:webHidden/>
          </w:rPr>
          <w:fldChar w:fldCharType="begin"/>
        </w:r>
        <w:r>
          <w:rPr>
            <w:webHidden/>
          </w:rPr>
          <w:instrText xml:space="preserve"> PAGEREF _Toc224119167 \h </w:instrText>
        </w:r>
        <w:r>
          <w:rPr>
            <w:webHidden/>
          </w:rPr>
        </w:r>
        <w:r>
          <w:rPr>
            <w:webHidden/>
          </w:rPr>
          <w:fldChar w:fldCharType="separate"/>
        </w:r>
        <w:r>
          <w:rPr>
            <w:webHidden/>
          </w:rPr>
          <w:t>10</w:t>
        </w:r>
        <w:r>
          <w:rPr>
            <w:webHidden/>
          </w:rPr>
          <w:fldChar w:fldCharType="end"/>
        </w:r>
      </w:hyperlink>
    </w:p>
    <w:p w14:paraId="1E041BAD" w14:textId="471BDD8F"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68" w:history="1">
        <w:r w:rsidRPr="00635341">
          <w:rPr>
            <w:rStyle w:val="Hyperlink"/>
          </w:rPr>
          <w:t>4.3</w:t>
        </w:r>
        <w:r>
          <w:rPr>
            <w:rFonts w:asciiTheme="minorHAnsi" w:eastAsiaTheme="minorEastAsia" w:hAnsiTheme="minorHAnsi" w:cstheme="minorBidi"/>
            <w:kern w:val="2"/>
            <w:sz w:val="24"/>
            <w:szCs w:val="24"/>
            <w:lang w:eastAsia="en-AU"/>
            <w14:ligatures w14:val="standardContextual"/>
          </w:rPr>
          <w:tab/>
        </w:r>
        <w:r w:rsidRPr="00635341">
          <w:rPr>
            <w:rStyle w:val="Hyperlink"/>
          </w:rPr>
          <w:t>Considerations for approving extension requests</w:t>
        </w:r>
        <w:r>
          <w:rPr>
            <w:webHidden/>
          </w:rPr>
          <w:tab/>
        </w:r>
        <w:r>
          <w:rPr>
            <w:webHidden/>
          </w:rPr>
          <w:fldChar w:fldCharType="begin"/>
        </w:r>
        <w:r>
          <w:rPr>
            <w:webHidden/>
          </w:rPr>
          <w:instrText xml:space="preserve"> PAGEREF _Toc224119168 \h </w:instrText>
        </w:r>
        <w:r>
          <w:rPr>
            <w:webHidden/>
          </w:rPr>
        </w:r>
        <w:r>
          <w:rPr>
            <w:webHidden/>
          </w:rPr>
          <w:fldChar w:fldCharType="separate"/>
        </w:r>
        <w:r>
          <w:rPr>
            <w:webHidden/>
          </w:rPr>
          <w:t>10</w:t>
        </w:r>
        <w:r>
          <w:rPr>
            <w:webHidden/>
          </w:rPr>
          <w:fldChar w:fldCharType="end"/>
        </w:r>
      </w:hyperlink>
    </w:p>
    <w:p w14:paraId="1EA674DF" w14:textId="55FED4E4" w:rsidR="00F17779" w:rsidRDefault="00F177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119169" w:history="1">
        <w:r w:rsidRPr="00635341">
          <w:rPr>
            <w:rStyle w:val="Hyperlink"/>
          </w:rPr>
          <w:t>5</w:t>
        </w:r>
        <w:r>
          <w:rPr>
            <w:rFonts w:asciiTheme="minorHAnsi" w:eastAsiaTheme="minorEastAsia" w:hAnsiTheme="minorHAnsi" w:cstheme="minorBidi"/>
            <w:b w:val="0"/>
            <w:kern w:val="2"/>
            <w:sz w:val="24"/>
            <w:szCs w:val="24"/>
            <w:lang w:eastAsia="en-AU"/>
            <w14:ligatures w14:val="standardContextual"/>
          </w:rPr>
          <w:tab/>
        </w:r>
        <w:r w:rsidRPr="00635341">
          <w:rPr>
            <w:rStyle w:val="Hyperlink"/>
          </w:rPr>
          <w:t>Reletting restrictions</w:t>
        </w:r>
        <w:r>
          <w:rPr>
            <w:webHidden/>
          </w:rPr>
          <w:tab/>
        </w:r>
        <w:r>
          <w:rPr>
            <w:webHidden/>
          </w:rPr>
          <w:fldChar w:fldCharType="begin"/>
        </w:r>
        <w:r>
          <w:rPr>
            <w:webHidden/>
          </w:rPr>
          <w:instrText xml:space="preserve"> PAGEREF _Toc224119169 \h </w:instrText>
        </w:r>
        <w:r>
          <w:rPr>
            <w:webHidden/>
          </w:rPr>
        </w:r>
        <w:r>
          <w:rPr>
            <w:webHidden/>
          </w:rPr>
          <w:fldChar w:fldCharType="separate"/>
        </w:r>
        <w:r>
          <w:rPr>
            <w:webHidden/>
          </w:rPr>
          <w:t>11</w:t>
        </w:r>
        <w:r>
          <w:rPr>
            <w:webHidden/>
          </w:rPr>
          <w:fldChar w:fldCharType="end"/>
        </w:r>
      </w:hyperlink>
    </w:p>
    <w:p w14:paraId="72DE4B40" w14:textId="4C3159D9"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70" w:history="1">
        <w:r w:rsidRPr="00635341">
          <w:rPr>
            <w:rStyle w:val="Hyperlink"/>
          </w:rPr>
          <w:t>5.1</w:t>
        </w:r>
        <w:r>
          <w:rPr>
            <w:rFonts w:asciiTheme="minorHAnsi" w:eastAsiaTheme="minorEastAsia" w:hAnsiTheme="minorHAnsi" w:cstheme="minorBidi"/>
            <w:kern w:val="2"/>
            <w:sz w:val="24"/>
            <w:szCs w:val="24"/>
            <w:lang w:eastAsia="en-AU"/>
            <w14:ligatures w14:val="standardContextual"/>
          </w:rPr>
          <w:tab/>
        </w:r>
        <w:r w:rsidRPr="00635341">
          <w:rPr>
            <w:rStyle w:val="Hyperlink"/>
          </w:rPr>
          <w:t>General manager oversight</w:t>
        </w:r>
        <w:r>
          <w:rPr>
            <w:webHidden/>
          </w:rPr>
          <w:tab/>
        </w:r>
        <w:r>
          <w:rPr>
            <w:webHidden/>
          </w:rPr>
          <w:fldChar w:fldCharType="begin"/>
        </w:r>
        <w:r>
          <w:rPr>
            <w:webHidden/>
          </w:rPr>
          <w:instrText xml:space="preserve"> PAGEREF _Toc224119170 \h </w:instrText>
        </w:r>
        <w:r>
          <w:rPr>
            <w:webHidden/>
          </w:rPr>
        </w:r>
        <w:r>
          <w:rPr>
            <w:webHidden/>
          </w:rPr>
          <w:fldChar w:fldCharType="separate"/>
        </w:r>
        <w:r>
          <w:rPr>
            <w:webHidden/>
          </w:rPr>
          <w:t>11</w:t>
        </w:r>
        <w:r>
          <w:rPr>
            <w:webHidden/>
          </w:rPr>
          <w:fldChar w:fldCharType="end"/>
        </w:r>
      </w:hyperlink>
    </w:p>
    <w:p w14:paraId="54F9D7F3" w14:textId="61A76106"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71" w:history="1">
        <w:r w:rsidRPr="00635341">
          <w:rPr>
            <w:rStyle w:val="Hyperlink"/>
          </w:rPr>
          <w:t>5.2</w:t>
        </w:r>
        <w:r>
          <w:rPr>
            <w:rFonts w:asciiTheme="minorHAnsi" w:eastAsiaTheme="minorEastAsia" w:hAnsiTheme="minorHAnsi" w:cstheme="minorBidi"/>
            <w:kern w:val="2"/>
            <w:sz w:val="24"/>
            <w:szCs w:val="24"/>
            <w:lang w:eastAsia="en-AU"/>
            <w14:ligatures w14:val="standardContextual"/>
          </w:rPr>
          <w:tab/>
        </w:r>
        <w:r w:rsidRPr="00635341">
          <w:rPr>
            <w:rStyle w:val="Hyperlink"/>
          </w:rPr>
          <w:t>HiiP tenancy task list</w:t>
        </w:r>
        <w:r>
          <w:rPr>
            <w:webHidden/>
          </w:rPr>
          <w:tab/>
        </w:r>
        <w:r>
          <w:rPr>
            <w:webHidden/>
          </w:rPr>
          <w:fldChar w:fldCharType="begin"/>
        </w:r>
        <w:r>
          <w:rPr>
            <w:webHidden/>
          </w:rPr>
          <w:instrText xml:space="preserve"> PAGEREF _Toc224119171 \h </w:instrText>
        </w:r>
        <w:r>
          <w:rPr>
            <w:webHidden/>
          </w:rPr>
        </w:r>
        <w:r>
          <w:rPr>
            <w:webHidden/>
          </w:rPr>
          <w:fldChar w:fldCharType="separate"/>
        </w:r>
        <w:r>
          <w:rPr>
            <w:webHidden/>
          </w:rPr>
          <w:t>12</w:t>
        </w:r>
        <w:r>
          <w:rPr>
            <w:webHidden/>
          </w:rPr>
          <w:fldChar w:fldCharType="end"/>
        </w:r>
      </w:hyperlink>
    </w:p>
    <w:p w14:paraId="0FDE6F4E" w14:textId="17581D35" w:rsidR="00F17779" w:rsidRDefault="00F177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119172" w:history="1">
        <w:r w:rsidRPr="00635341">
          <w:rPr>
            <w:rStyle w:val="Hyperlink"/>
          </w:rPr>
          <w:t>6</w:t>
        </w:r>
        <w:r>
          <w:rPr>
            <w:rFonts w:asciiTheme="minorHAnsi" w:eastAsiaTheme="minorEastAsia" w:hAnsiTheme="minorHAnsi" w:cstheme="minorBidi"/>
            <w:b w:val="0"/>
            <w:kern w:val="2"/>
            <w:sz w:val="24"/>
            <w:szCs w:val="24"/>
            <w:lang w:eastAsia="en-AU"/>
            <w14:ligatures w14:val="standardContextual"/>
          </w:rPr>
          <w:tab/>
        </w:r>
        <w:r w:rsidRPr="00635341">
          <w:rPr>
            <w:rStyle w:val="Hyperlink"/>
          </w:rPr>
          <w:t>Vacant unit work</w:t>
        </w:r>
        <w:r>
          <w:rPr>
            <w:webHidden/>
          </w:rPr>
          <w:tab/>
        </w:r>
        <w:r>
          <w:rPr>
            <w:webHidden/>
          </w:rPr>
          <w:fldChar w:fldCharType="begin"/>
        </w:r>
        <w:r>
          <w:rPr>
            <w:webHidden/>
          </w:rPr>
          <w:instrText xml:space="preserve"> PAGEREF _Toc224119172 \h </w:instrText>
        </w:r>
        <w:r>
          <w:rPr>
            <w:webHidden/>
          </w:rPr>
        </w:r>
        <w:r>
          <w:rPr>
            <w:webHidden/>
          </w:rPr>
          <w:fldChar w:fldCharType="separate"/>
        </w:r>
        <w:r>
          <w:rPr>
            <w:webHidden/>
          </w:rPr>
          <w:t>12</w:t>
        </w:r>
        <w:r>
          <w:rPr>
            <w:webHidden/>
          </w:rPr>
          <w:fldChar w:fldCharType="end"/>
        </w:r>
      </w:hyperlink>
    </w:p>
    <w:p w14:paraId="6360B7A2" w14:textId="08026050"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73" w:history="1">
        <w:r w:rsidRPr="00635341">
          <w:rPr>
            <w:rStyle w:val="Hyperlink"/>
          </w:rPr>
          <w:t>6.1</w:t>
        </w:r>
        <w:r>
          <w:rPr>
            <w:rFonts w:asciiTheme="minorHAnsi" w:eastAsiaTheme="minorEastAsia" w:hAnsiTheme="minorHAnsi" w:cstheme="minorBidi"/>
            <w:kern w:val="2"/>
            <w:sz w:val="24"/>
            <w:szCs w:val="24"/>
            <w:lang w:eastAsia="en-AU"/>
            <w14:ligatures w14:val="standardContextual"/>
          </w:rPr>
          <w:tab/>
        </w:r>
        <w:r w:rsidRPr="00635341">
          <w:rPr>
            <w:rStyle w:val="Hyperlink"/>
          </w:rPr>
          <w:t>Mandatory lock changes</w:t>
        </w:r>
        <w:r>
          <w:rPr>
            <w:webHidden/>
          </w:rPr>
          <w:tab/>
        </w:r>
        <w:r>
          <w:rPr>
            <w:webHidden/>
          </w:rPr>
          <w:fldChar w:fldCharType="begin"/>
        </w:r>
        <w:r>
          <w:rPr>
            <w:webHidden/>
          </w:rPr>
          <w:instrText xml:space="preserve"> PAGEREF _Toc224119173 \h </w:instrText>
        </w:r>
        <w:r>
          <w:rPr>
            <w:webHidden/>
          </w:rPr>
        </w:r>
        <w:r>
          <w:rPr>
            <w:webHidden/>
          </w:rPr>
          <w:fldChar w:fldCharType="separate"/>
        </w:r>
        <w:r>
          <w:rPr>
            <w:webHidden/>
          </w:rPr>
          <w:t>12</w:t>
        </w:r>
        <w:r>
          <w:rPr>
            <w:webHidden/>
          </w:rPr>
          <w:fldChar w:fldCharType="end"/>
        </w:r>
      </w:hyperlink>
    </w:p>
    <w:p w14:paraId="1071B9D1" w14:textId="4A91B1CD"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74" w:history="1">
        <w:r w:rsidRPr="00635341">
          <w:rPr>
            <w:rStyle w:val="Hyperlink"/>
          </w:rPr>
          <w:t>6.2</w:t>
        </w:r>
        <w:r>
          <w:rPr>
            <w:rFonts w:asciiTheme="minorHAnsi" w:eastAsiaTheme="minorEastAsia" w:hAnsiTheme="minorHAnsi" w:cstheme="minorBidi"/>
            <w:kern w:val="2"/>
            <w:sz w:val="24"/>
            <w:szCs w:val="24"/>
            <w:lang w:eastAsia="en-AU"/>
            <w14:ligatures w14:val="standardContextual"/>
          </w:rPr>
          <w:tab/>
        </w:r>
        <w:r w:rsidRPr="00635341">
          <w:rPr>
            <w:rStyle w:val="Hyperlink"/>
          </w:rPr>
          <w:t>RTA safety checks</w:t>
        </w:r>
        <w:r>
          <w:rPr>
            <w:webHidden/>
          </w:rPr>
          <w:tab/>
        </w:r>
        <w:r>
          <w:rPr>
            <w:webHidden/>
          </w:rPr>
          <w:fldChar w:fldCharType="begin"/>
        </w:r>
        <w:r>
          <w:rPr>
            <w:webHidden/>
          </w:rPr>
          <w:instrText xml:space="preserve"> PAGEREF _Toc224119174 \h </w:instrText>
        </w:r>
        <w:r>
          <w:rPr>
            <w:webHidden/>
          </w:rPr>
        </w:r>
        <w:r>
          <w:rPr>
            <w:webHidden/>
          </w:rPr>
          <w:fldChar w:fldCharType="separate"/>
        </w:r>
        <w:r>
          <w:rPr>
            <w:webHidden/>
          </w:rPr>
          <w:t>12</w:t>
        </w:r>
        <w:r>
          <w:rPr>
            <w:webHidden/>
          </w:rPr>
          <w:fldChar w:fldCharType="end"/>
        </w:r>
      </w:hyperlink>
    </w:p>
    <w:p w14:paraId="75F232FB" w14:textId="1D0B8D57"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75" w:history="1">
        <w:r w:rsidRPr="00635341">
          <w:rPr>
            <w:rStyle w:val="Hyperlink"/>
          </w:rPr>
          <w:t>6.3</w:t>
        </w:r>
        <w:r>
          <w:rPr>
            <w:rFonts w:asciiTheme="minorHAnsi" w:eastAsiaTheme="minorEastAsia" w:hAnsiTheme="minorHAnsi" w:cstheme="minorBidi"/>
            <w:kern w:val="2"/>
            <w:sz w:val="24"/>
            <w:szCs w:val="24"/>
            <w:lang w:eastAsia="en-AU"/>
            <w14:ligatures w14:val="standardContextual"/>
          </w:rPr>
          <w:tab/>
        </w:r>
        <w:r w:rsidRPr="00635341">
          <w:rPr>
            <w:rStyle w:val="Hyperlink"/>
          </w:rPr>
          <w:t>Standard work</w:t>
        </w:r>
        <w:r>
          <w:rPr>
            <w:webHidden/>
          </w:rPr>
          <w:tab/>
        </w:r>
        <w:r>
          <w:rPr>
            <w:webHidden/>
          </w:rPr>
          <w:fldChar w:fldCharType="begin"/>
        </w:r>
        <w:r>
          <w:rPr>
            <w:webHidden/>
          </w:rPr>
          <w:instrText xml:space="preserve"> PAGEREF _Toc224119175 \h </w:instrText>
        </w:r>
        <w:r>
          <w:rPr>
            <w:webHidden/>
          </w:rPr>
        </w:r>
        <w:r>
          <w:rPr>
            <w:webHidden/>
          </w:rPr>
          <w:fldChar w:fldCharType="separate"/>
        </w:r>
        <w:r>
          <w:rPr>
            <w:webHidden/>
          </w:rPr>
          <w:t>13</w:t>
        </w:r>
        <w:r>
          <w:rPr>
            <w:webHidden/>
          </w:rPr>
          <w:fldChar w:fldCharType="end"/>
        </w:r>
      </w:hyperlink>
    </w:p>
    <w:p w14:paraId="679ABFE4" w14:textId="4F90BF0E"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76" w:history="1">
        <w:r w:rsidRPr="00635341">
          <w:rPr>
            <w:rStyle w:val="Hyperlink"/>
          </w:rPr>
          <w:t>6.4</w:t>
        </w:r>
        <w:r>
          <w:rPr>
            <w:rFonts w:asciiTheme="minorHAnsi" w:eastAsiaTheme="minorEastAsia" w:hAnsiTheme="minorHAnsi" w:cstheme="minorBidi"/>
            <w:kern w:val="2"/>
            <w:sz w:val="24"/>
            <w:szCs w:val="24"/>
            <w:lang w:eastAsia="en-AU"/>
            <w14:ligatures w14:val="standardContextual"/>
          </w:rPr>
          <w:tab/>
        </w:r>
        <w:r w:rsidRPr="00635341">
          <w:rPr>
            <w:rStyle w:val="Hyperlink"/>
          </w:rPr>
          <w:t>Additional work</w:t>
        </w:r>
        <w:r>
          <w:rPr>
            <w:webHidden/>
          </w:rPr>
          <w:tab/>
        </w:r>
        <w:r>
          <w:rPr>
            <w:webHidden/>
          </w:rPr>
          <w:fldChar w:fldCharType="begin"/>
        </w:r>
        <w:r>
          <w:rPr>
            <w:webHidden/>
          </w:rPr>
          <w:instrText xml:space="preserve"> PAGEREF _Toc224119176 \h </w:instrText>
        </w:r>
        <w:r>
          <w:rPr>
            <w:webHidden/>
          </w:rPr>
        </w:r>
        <w:r>
          <w:rPr>
            <w:webHidden/>
          </w:rPr>
          <w:fldChar w:fldCharType="separate"/>
        </w:r>
        <w:r>
          <w:rPr>
            <w:webHidden/>
          </w:rPr>
          <w:t>14</w:t>
        </w:r>
        <w:r>
          <w:rPr>
            <w:webHidden/>
          </w:rPr>
          <w:fldChar w:fldCharType="end"/>
        </w:r>
      </w:hyperlink>
    </w:p>
    <w:p w14:paraId="36C07FA5" w14:textId="012454E4" w:rsidR="00F17779" w:rsidRDefault="00F177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119177" w:history="1">
        <w:r w:rsidRPr="00635341">
          <w:rPr>
            <w:rStyle w:val="Hyperlink"/>
          </w:rPr>
          <w:t>7</w:t>
        </w:r>
        <w:r>
          <w:rPr>
            <w:rFonts w:asciiTheme="minorHAnsi" w:eastAsiaTheme="minorEastAsia" w:hAnsiTheme="minorHAnsi" w:cstheme="minorBidi"/>
            <w:b w:val="0"/>
            <w:kern w:val="2"/>
            <w:sz w:val="24"/>
            <w:szCs w:val="24"/>
            <w:lang w:eastAsia="en-AU"/>
            <w14:ligatures w14:val="standardContextual"/>
          </w:rPr>
          <w:tab/>
        </w:r>
        <w:r w:rsidRPr="00635341">
          <w:rPr>
            <w:rStyle w:val="Hyperlink"/>
          </w:rPr>
          <w:t>Vacant unit handback inspections</w:t>
        </w:r>
        <w:r>
          <w:rPr>
            <w:webHidden/>
          </w:rPr>
          <w:tab/>
        </w:r>
        <w:r>
          <w:rPr>
            <w:webHidden/>
          </w:rPr>
          <w:fldChar w:fldCharType="begin"/>
        </w:r>
        <w:r>
          <w:rPr>
            <w:webHidden/>
          </w:rPr>
          <w:instrText xml:space="preserve"> PAGEREF _Toc224119177 \h </w:instrText>
        </w:r>
        <w:r>
          <w:rPr>
            <w:webHidden/>
          </w:rPr>
        </w:r>
        <w:r>
          <w:rPr>
            <w:webHidden/>
          </w:rPr>
          <w:fldChar w:fldCharType="separate"/>
        </w:r>
        <w:r>
          <w:rPr>
            <w:webHidden/>
          </w:rPr>
          <w:t>14</w:t>
        </w:r>
        <w:r>
          <w:rPr>
            <w:webHidden/>
          </w:rPr>
          <w:fldChar w:fldCharType="end"/>
        </w:r>
      </w:hyperlink>
    </w:p>
    <w:p w14:paraId="11EDB369" w14:textId="52B7265B" w:rsidR="00F17779" w:rsidRDefault="00F177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119178" w:history="1">
        <w:r w:rsidRPr="00635341">
          <w:rPr>
            <w:rStyle w:val="Hyperlink"/>
          </w:rPr>
          <w:t>7.1</w:t>
        </w:r>
        <w:r>
          <w:rPr>
            <w:rFonts w:asciiTheme="minorHAnsi" w:eastAsiaTheme="minorEastAsia" w:hAnsiTheme="minorHAnsi" w:cstheme="minorBidi"/>
            <w:kern w:val="2"/>
            <w:sz w:val="24"/>
            <w:szCs w:val="24"/>
            <w:lang w:eastAsia="en-AU"/>
            <w14:ligatures w14:val="standardContextual"/>
          </w:rPr>
          <w:tab/>
        </w:r>
        <w:r w:rsidRPr="00635341">
          <w:rPr>
            <w:rStyle w:val="Hyperlink"/>
          </w:rPr>
          <w:t>Tenancy Condition Reports</w:t>
        </w:r>
        <w:r>
          <w:rPr>
            <w:webHidden/>
          </w:rPr>
          <w:tab/>
        </w:r>
        <w:r>
          <w:rPr>
            <w:webHidden/>
          </w:rPr>
          <w:fldChar w:fldCharType="begin"/>
        </w:r>
        <w:r>
          <w:rPr>
            <w:webHidden/>
          </w:rPr>
          <w:instrText xml:space="preserve"> PAGEREF _Toc224119178 \h </w:instrText>
        </w:r>
        <w:r>
          <w:rPr>
            <w:webHidden/>
          </w:rPr>
        </w:r>
        <w:r>
          <w:rPr>
            <w:webHidden/>
          </w:rPr>
          <w:fldChar w:fldCharType="separate"/>
        </w:r>
        <w:r>
          <w:rPr>
            <w:webHidden/>
          </w:rPr>
          <w:t>15</w:t>
        </w:r>
        <w:r>
          <w:rPr>
            <w:webHidden/>
          </w:rPr>
          <w:fldChar w:fldCharType="end"/>
        </w:r>
      </w:hyperlink>
    </w:p>
    <w:p w14:paraId="67088E25" w14:textId="6461D31D" w:rsidR="00F17779" w:rsidRDefault="00F177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119179" w:history="1">
        <w:r w:rsidRPr="00635341">
          <w:rPr>
            <w:rStyle w:val="Hyperlink"/>
          </w:rPr>
          <w:t>8</w:t>
        </w:r>
        <w:r>
          <w:rPr>
            <w:rFonts w:asciiTheme="minorHAnsi" w:eastAsiaTheme="minorEastAsia" w:hAnsiTheme="minorHAnsi" w:cstheme="minorBidi"/>
            <w:b w:val="0"/>
            <w:kern w:val="2"/>
            <w:sz w:val="24"/>
            <w:szCs w:val="24"/>
            <w:lang w:eastAsia="en-AU"/>
            <w14:ligatures w14:val="standardContextual"/>
          </w:rPr>
          <w:tab/>
        </w:r>
        <w:r w:rsidRPr="00635341">
          <w:rPr>
            <w:rStyle w:val="Hyperlink"/>
          </w:rPr>
          <w:t>Guide to vacant unit checks</w:t>
        </w:r>
        <w:r>
          <w:rPr>
            <w:webHidden/>
          </w:rPr>
          <w:tab/>
        </w:r>
        <w:r>
          <w:rPr>
            <w:webHidden/>
          </w:rPr>
          <w:fldChar w:fldCharType="begin"/>
        </w:r>
        <w:r>
          <w:rPr>
            <w:webHidden/>
          </w:rPr>
          <w:instrText xml:space="preserve"> PAGEREF _Toc224119179 \h </w:instrText>
        </w:r>
        <w:r>
          <w:rPr>
            <w:webHidden/>
          </w:rPr>
        </w:r>
        <w:r>
          <w:rPr>
            <w:webHidden/>
          </w:rPr>
          <w:fldChar w:fldCharType="separate"/>
        </w:r>
        <w:r>
          <w:rPr>
            <w:webHidden/>
          </w:rPr>
          <w:t>16</w:t>
        </w:r>
        <w:r>
          <w:rPr>
            <w:webHidden/>
          </w:rPr>
          <w:fldChar w:fldCharType="end"/>
        </w:r>
      </w:hyperlink>
    </w:p>
    <w:p w14:paraId="4E421AD3" w14:textId="777845B8" w:rsidR="00F17779" w:rsidRDefault="00F17779">
      <w:pPr>
        <w:pStyle w:val="TOC2"/>
        <w:rPr>
          <w:rFonts w:asciiTheme="minorHAnsi" w:eastAsiaTheme="minorEastAsia" w:hAnsiTheme="minorHAnsi" w:cstheme="minorBidi"/>
          <w:kern w:val="2"/>
          <w:sz w:val="24"/>
          <w:szCs w:val="24"/>
          <w:lang w:eastAsia="en-AU"/>
          <w14:ligatures w14:val="standardContextual"/>
        </w:rPr>
      </w:pPr>
      <w:hyperlink w:anchor="_Toc224119180" w:history="1">
        <w:r w:rsidRPr="00635341">
          <w:rPr>
            <w:rStyle w:val="Hyperlink"/>
          </w:rPr>
          <w:t>Minimum rental standards</w:t>
        </w:r>
        <w:r>
          <w:rPr>
            <w:webHidden/>
          </w:rPr>
          <w:tab/>
        </w:r>
        <w:r>
          <w:rPr>
            <w:webHidden/>
          </w:rPr>
          <w:fldChar w:fldCharType="begin"/>
        </w:r>
        <w:r>
          <w:rPr>
            <w:webHidden/>
          </w:rPr>
          <w:instrText xml:space="preserve"> PAGEREF _Toc224119180 \h </w:instrText>
        </w:r>
        <w:r>
          <w:rPr>
            <w:webHidden/>
          </w:rPr>
        </w:r>
        <w:r>
          <w:rPr>
            <w:webHidden/>
          </w:rPr>
          <w:fldChar w:fldCharType="separate"/>
        </w:r>
        <w:r>
          <w:rPr>
            <w:webHidden/>
          </w:rPr>
          <w:t>16</w:t>
        </w:r>
        <w:r>
          <w:rPr>
            <w:webHidden/>
          </w:rPr>
          <w:fldChar w:fldCharType="end"/>
        </w:r>
      </w:hyperlink>
    </w:p>
    <w:p w14:paraId="590BF461" w14:textId="135342CB" w:rsidR="00F17779" w:rsidRDefault="00F17779">
      <w:pPr>
        <w:pStyle w:val="TOC2"/>
        <w:rPr>
          <w:rFonts w:asciiTheme="minorHAnsi" w:eastAsiaTheme="minorEastAsia" w:hAnsiTheme="minorHAnsi" w:cstheme="minorBidi"/>
          <w:kern w:val="2"/>
          <w:sz w:val="24"/>
          <w:szCs w:val="24"/>
          <w:lang w:eastAsia="en-AU"/>
          <w14:ligatures w14:val="standardContextual"/>
        </w:rPr>
      </w:pPr>
      <w:hyperlink w:anchor="_Toc224119181" w:history="1">
        <w:r w:rsidRPr="00635341">
          <w:rPr>
            <w:rStyle w:val="Hyperlink"/>
          </w:rPr>
          <w:t>Other vacant unit checks</w:t>
        </w:r>
        <w:r>
          <w:rPr>
            <w:webHidden/>
          </w:rPr>
          <w:tab/>
        </w:r>
        <w:r>
          <w:rPr>
            <w:webHidden/>
          </w:rPr>
          <w:fldChar w:fldCharType="begin"/>
        </w:r>
        <w:r>
          <w:rPr>
            <w:webHidden/>
          </w:rPr>
          <w:instrText xml:space="preserve"> PAGEREF _Toc224119181 \h </w:instrText>
        </w:r>
        <w:r>
          <w:rPr>
            <w:webHidden/>
          </w:rPr>
        </w:r>
        <w:r>
          <w:rPr>
            <w:webHidden/>
          </w:rPr>
          <w:fldChar w:fldCharType="separate"/>
        </w:r>
        <w:r>
          <w:rPr>
            <w:webHidden/>
          </w:rPr>
          <w:t>19</w:t>
        </w:r>
        <w:r>
          <w:rPr>
            <w:webHidden/>
          </w:rPr>
          <w:fldChar w:fldCharType="end"/>
        </w:r>
      </w:hyperlink>
    </w:p>
    <w:p w14:paraId="3AAB2460" w14:textId="45B6EBBF" w:rsidR="00F17779" w:rsidRDefault="00F177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119182" w:history="1">
        <w:r w:rsidRPr="00635341">
          <w:rPr>
            <w:rStyle w:val="Hyperlink"/>
          </w:rPr>
          <w:t>9</w:t>
        </w:r>
        <w:r>
          <w:rPr>
            <w:rFonts w:asciiTheme="minorHAnsi" w:eastAsiaTheme="minorEastAsia" w:hAnsiTheme="minorHAnsi" w:cstheme="minorBidi"/>
            <w:b w:val="0"/>
            <w:kern w:val="2"/>
            <w:sz w:val="24"/>
            <w:szCs w:val="24"/>
            <w:lang w:eastAsia="en-AU"/>
            <w14:ligatures w14:val="standardContextual"/>
          </w:rPr>
          <w:tab/>
        </w:r>
        <w:r w:rsidRPr="00635341">
          <w:rPr>
            <w:rStyle w:val="Hyperlink"/>
          </w:rPr>
          <w:t>Vacant unit referrals to Asset Management Branch</w:t>
        </w:r>
        <w:r>
          <w:rPr>
            <w:webHidden/>
          </w:rPr>
          <w:tab/>
        </w:r>
        <w:r>
          <w:rPr>
            <w:webHidden/>
          </w:rPr>
          <w:fldChar w:fldCharType="begin"/>
        </w:r>
        <w:r>
          <w:rPr>
            <w:webHidden/>
          </w:rPr>
          <w:instrText xml:space="preserve"> PAGEREF _Toc224119182 \h </w:instrText>
        </w:r>
        <w:r>
          <w:rPr>
            <w:webHidden/>
          </w:rPr>
        </w:r>
        <w:r>
          <w:rPr>
            <w:webHidden/>
          </w:rPr>
          <w:fldChar w:fldCharType="separate"/>
        </w:r>
        <w:r>
          <w:rPr>
            <w:webHidden/>
          </w:rPr>
          <w:t>21</w:t>
        </w:r>
        <w:r>
          <w:rPr>
            <w:webHidden/>
          </w:rPr>
          <w:fldChar w:fldCharType="end"/>
        </w:r>
      </w:hyperlink>
    </w:p>
    <w:p w14:paraId="529F495F" w14:textId="3CAD4C97" w:rsidR="00F17779" w:rsidRDefault="00F177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119183" w:history="1">
        <w:r w:rsidRPr="00635341">
          <w:rPr>
            <w:rStyle w:val="Hyperlink"/>
          </w:rPr>
          <w:t>10</w:t>
        </w:r>
        <w:r>
          <w:rPr>
            <w:rFonts w:asciiTheme="minorHAnsi" w:eastAsiaTheme="minorEastAsia" w:hAnsiTheme="minorHAnsi" w:cstheme="minorBidi"/>
            <w:b w:val="0"/>
            <w:kern w:val="2"/>
            <w:sz w:val="24"/>
            <w:szCs w:val="24"/>
            <w:lang w:eastAsia="en-AU"/>
            <w14:ligatures w14:val="standardContextual"/>
          </w:rPr>
          <w:tab/>
        </w:r>
        <w:r w:rsidRPr="00635341">
          <w:rPr>
            <w:rStyle w:val="Hyperlink"/>
          </w:rPr>
          <w:t>Referral guide and assessment - Asset Management Branch</w:t>
        </w:r>
        <w:r>
          <w:rPr>
            <w:webHidden/>
          </w:rPr>
          <w:tab/>
        </w:r>
        <w:r>
          <w:rPr>
            <w:webHidden/>
          </w:rPr>
          <w:fldChar w:fldCharType="begin"/>
        </w:r>
        <w:r>
          <w:rPr>
            <w:webHidden/>
          </w:rPr>
          <w:instrText xml:space="preserve"> PAGEREF _Toc224119183 \h </w:instrText>
        </w:r>
        <w:r>
          <w:rPr>
            <w:webHidden/>
          </w:rPr>
        </w:r>
        <w:r>
          <w:rPr>
            <w:webHidden/>
          </w:rPr>
          <w:fldChar w:fldCharType="separate"/>
        </w:r>
        <w:r>
          <w:rPr>
            <w:webHidden/>
          </w:rPr>
          <w:t>23</w:t>
        </w:r>
        <w:r>
          <w:rPr>
            <w:webHidden/>
          </w:rPr>
          <w:fldChar w:fldCharType="end"/>
        </w:r>
      </w:hyperlink>
    </w:p>
    <w:p w14:paraId="43CE9AD4" w14:textId="033F88C1" w:rsidR="00F17779" w:rsidRDefault="00F17779">
      <w:pPr>
        <w:pStyle w:val="TOC2"/>
        <w:rPr>
          <w:rFonts w:asciiTheme="minorHAnsi" w:eastAsiaTheme="minorEastAsia" w:hAnsiTheme="minorHAnsi" w:cstheme="minorBidi"/>
          <w:kern w:val="2"/>
          <w:sz w:val="24"/>
          <w:szCs w:val="24"/>
          <w:lang w:eastAsia="en-AU"/>
          <w14:ligatures w14:val="standardContextual"/>
        </w:rPr>
      </w:pPr>
      <w:hyperlink w:anchor="_Toc224119184" w:history="1">
        <w:r w:rsidRPr="00635341">
          <w:rPr>
            <w:rStyle w:val="Hyperlink"/>
          </w:rPr>
          <w:t>Asset intent</w:t>
        </w:r>
        <w:r>
          <w:rPr>
            <w:webHidden/>
          </w:rPr>
          <w:tab/>
        </w:r>
        <w:r>
          <w:rPr>
            <w:webHidden/>
          </w:rPr>
          <w:fldChar w:fldCharType="begin"/>
        </w:r>
        <w:r>
          <w:rPr>
            <w:webHidden/>
          </w:rPr>
          <w:instrText xml:space="preserve"> PAGEREF _Toc224119184 \h </w:instrText>
        </w:r>
        <w:r>
          <w:rPr>
            <w:webHidden/>
          </w:rPr>
        </w:r>
        <w:r>
          <w:rPr>
            <w:webHidden/>
          </w:rPr>
          <w:fldChar w:fldCharType="separate"/>
        </w:r>
        <w:r>
          <w:rPr>
            <w:webHidden/>
          </w:rPr>
          <w:t>23</w:t>
        </w:r>
        <w:r>
          <w:rPr>
            <w:webHidden/>
          </w:rPr>
          <w:fldChar w:fldCharType="end"/>
        </w:r>
      </w:hyperlink>
    </w:p>
    <w:p w14:paraId="68167E45" w14:textId="14E0A99E" w:rsidR="00F17779" w:rsidRDefault="00F17779">
      <w:pPr>
        <w:pStyle w:val="TOC2"/>
        <w:rPr>
          <w:rFonts w:asciiTheme="minorHAnsi" w:eastAsiaTheme="minorEastAsia" w:hAnsiTheme="minorHAnsi" w:cstheme="minorBidi"/>
          <w:kern w:val="2"/>
          <w:sz w:val="24"/>
          <w:szCs w:val="24"/>
          <w:lang w:eastAsia="en-AU"/>
          <w14:ligatures w14:val="standardContextual"/>
        </w:rPr>
      </w:pPr>
      <w:hyperlink w:anchor="_Toc224119185" w:history="1">
        <w:r w:rsidRPr="00635341">
          <w:rPr>
            <w:rStyle w:val="Hyperlink"/>
          </w:rPr>
          <w:t>Condition based referral check</w:t>
        </w:r>
        <w:r>
          <w:rPr>
            <w:webHidden/>
          </w:rPr>
          <w:tab/>
        </w:r>
        <w:r>
          <w:rPr>
            <w:webHidden/>
          </w:rPr>
          <w:fldChar w:fldCharType="begin"/>
        </w:r>
        <w:r>
          <w:rPr>
            <w:webHidden/>
          </w:rPr>
          <w:instrText xml:space="preserve"> PAGEREF _Toc224119185 \h </w:instrText>
        </w:r>
        <w:r>
          <w:rPr>
            <w:webHidden/>
          </w:rPr>
        </w:r>
        <w:r>
          <w:rPr>
            <w:webHidden/>
          </w:rPr>
          <w:fldChar w:fldCharType="separate"/>
        </w:r>
        <w:r>
          <w:rPr>
            <w:webHidden/>
          </w:rPr>
          <w:t>24</w:t>
        </w:r>
        <w:r>
          <w:rPr>
            <w:webHidden/>
          </w:rPr>
          <w:fldChar w:fldCharType="end"/>
        </w:r>
      </w:hyperlink>
    </w:p>
    <w:p w14:paraId="41F7134E" w14:textId="36111113" w:rsidR="00F17779" w:rsidRDefault="00F17779">
      <w:pPr>
        <w:pStyle w:val="TOC2"/>
        <w:rPr>
          <w:rFonts w:asciiTheme="minorHAnsi" w:eastAsiaTheme="minorEastAsia" w:hAnsiTheme="minorHAnsi" w:cstheme="minorBidi"/>
          <w:kern w:val="2"/>
          <w:sz w:val="24"/>
          <w:szCs w:val="24"/>
          <w:lang w:eastAsia="en-AU"/>
          <w14:ligatures w14:val="standardContextual"/>
        </w:rPr>
      </w:pPr>
      <w:hyperlink w:anchor="_Toc224119186" w:history="1">
        <w:r w:rsidRPr="00635341">
          <w:rPr>
            <w:rStyle w:val="Hyperlink"/>
          </w:rPr>
          <w:t>Asset intent descriptions</w:t>
        </w:r>
        <w:r>
          <w:rPr>
            <w:webHidden/>
          </w:rPr>
          <w:tab/>
        </w:r>
        <w:r>
          <w:rPr>
            <w:webHidden/>
          </w:rPr>
          <w:fldChar w:fldCharType="begin"/>
        </w:r>
        <w:r>
          <w:rPr>
            <w:webHidden/>
          </w:rPr>
          <w:instrText xml:space="preserve"> PAGEREF _Toc224119186 \h </w:instrText>
        </w:r>
        <w:r>
          <w:rPr>
            <w:webHidden/>
          </w:rPr>
        </w:r>
        <w:r>
          <w:rPr>
            <w:webHidden/>
          </w:rPr>
          <w:fldChar w:fldCharType="separate"/>
        </w:r>
        <w:r>
          <w:rPr>
            <w:webHidden/>
          </w:rPr>
          <w:t>27</w:t>
        </w:r>
        <w:r>
          <w:rPr>
            <w:webHidden/>
          </w:rPr>
          <w:fldChar w:fldCharType="end"/>
        </w:r>
      </w:hyperlink>
    </w:p>
    <w:p w14:paraId="3EAC62F0" w14:textId="7D764DA3" w:rsidR="00F17779" w:rsidRDefault="00F1777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119187" w:history="1">
        <w:r w:rsidRPr="00635341">
          <w:rPr>
            <w:rStyle w:val="Hyperlink"/>
          </w:rPr>
          <w:t>10.1</w:t>
        </w:r>
        <w:r>
          <w:rPr>
            <w:rFonts w:asciiTheme="minorHAnsi" w:eastAsiaTheme="minorEastAsia" w:hAnsiTheme="minorHAnsi" w:cstheme="minorBidi"/>
            <w:kern w:val="2"/>
            <w:sz w:val="24"/>
            <w:szCs w:val="24"/>
            <w:lang w:eastAsia="en-AU"/>
            <w14:ligatures w14:val="standardContextual"/>
          </w:rPr>
          <w:tab/>
        </w:r>
        <w:r w:rsidRPr="00635341">
          <w:rPr>
            <w:rStyle w:val="Hyperlink"/>
          </w:rPr>
          <w:t>Pre referral requirements</w:t>
        </w:r>
        <w:r>
          <w:rPr>
            <w:webHidden/>
          </w:rPr>
          <w:tab/>
        </w:r>
        <w:r>
          <w:rPr>
            <w:webHidden/>
          </w:rPr>
          <w:fldChar w:fldCharType="begin"/>
        </w:r>
        <w:r>
          <w:rPr>
            <w:webHidden/>
          </w:rPr>
          <w:instrText xml:space="preserve"> PAGEREF _Toc224119187 \h </w:instrText>
        </w:r>
        <w:r>
          <w:rPr>
            <w:webHidden/>
          </w:rPr>
        </w:r>
        <w:r>
          <w:rPr>
            <w:webHidden/>
          </w:rPr>
          <w:fldChar w:fldCharType="separate"/>
        </w:r>
        <w:r>
          <w:rPr>
            <w:webHidden/>
          </w:rPr>
          <w:t>29</w:t>
        </w:r>
        <w:r>
          <w:rPr>
            <w:webHidden/>
          </w:rPr>
          <w:fldChar w:fldCharType="end"/>
        </w:r>
      </w:hyperlink>
    </w:p>
    <w:p w14:paraId="765C7597" w14:textId="4EDEA861" w:rsidR="00F17779" w:rsidRDefault="00F1777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119188" w:history="1">
        <w:r w:rsidRPr="00635341">
          <w:rPr>
            <w:rStyle w:val="Hyperlink"/>
          </w:rPr>
          <w:t>10.2</w:t>
        </w:r>
        <w:r>
          <w:rPr>
            <w:rFonts w:asciiTheme="minorHAnsi" w:eastAsiaTheme="minorEastAsia" w:hAnsiTheme="minorHAnsi" w:cstheme="minorBidi"/>
            <w:kern w:val="2"/>
            <w:sz w:val="24"/>
            <w:szCs w:val="24"/>
            <w:lang w:eastAsia="en-AU"/>
            <w14:ligatures w14:val="standardContextual"/>
          </w:rPr>
          <w:tab/>
        </w:r>
        <w:r w:rsidRPr="00635341">
          <w:rPr>
            <w:rStyle w:val="Hyperlink"/>
          </w:rPr>
          <w:t>CSHS Manager oversight and approval</w:t>
        </w:r>
        <w:r>
          <w:rPr>
            <w:webHidden/>
          </w:rPr>
          <w:tab/>
        </w:r>
        <w:r>
          <w:rPr>
            <w:webHidden/>
          </w:rPr>
          <w:fldChar w:fldCharType="begin"/>
        </w:r>
        <w:r>
          <w:rPr>
            <w:webHidden/>
          </w:rPr>
          <w:instrText xml:space="preserve"> PAGEREF _Toc224119188 \h </w:instrText>
        </w:r>
        <w:r>
          <w:rPr>
            <w:webHidden/>
          </w:rPr>
        </w:r>
        <w:r>
          <w:rPr>
            <w:webHidden/>
          </w:rPr>
          <w:fldChar w:fldCharType="separate"/>
        </w:r>
        <w:r>
          <w:rPr>
            <w:webHidden/>
          </w:rPr>
          <w:t>30</w:t>
        </w:r>
        <w:r>
          <w:rPr>
            <w:webHidden/>
          </w:rPr>
          <w:fldChar w:fldCharType="end"/>
        </w:r>
      </w:hyperlink>
    </w:p>
    <w:p w14:paraId="54180AFB" w14:textId="29A8E5CC" w:rsidR="00F17779" w:rsidRDefault="00F1777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119189" w:history="1">
        <w:r w:rsidRPr="00635341">
          <w:rPr>
            <w:rStyle w:val="Hyperlink"/>
          </w:rPr>
          <w:t>10.3</w:t>
        </w:r>
        <w:r>
          <w:rPr>
            <w:rFonts w:asciiTheme="minorHAnsi" w:eastAsiaTheme="minorEastAsia" w:hAnsiTheme="minorHAnsi" w:cstheme="minorBidi"/>
            <w:kern w:val="2"/>
            <w:sz w:val="24"/>
            <w:szCs w:val="24"/>
            <w:lang w:eastAsia="en-AU"/>
            <w14:ligatures w14:val="standardContextual"/>
          </w:rPr>
          <w:tab/>
        </w:r>
        <w:r w:rsidRPr="00635341">
          <w:rPr>
            <w:rStyle w:val="Hyperlink"/>
          </w:rPr>
          <w:t>Reletting restrictions and vacancy management</w:t>
        </w:r>
        <w:r>
          <w:rPr>
            <w:webHidden/>
          </w:rPr>
          <w:tab/>
        </w:r>
        <w:r>
          <w:rPr>
            <w:webHidden/>
          </w:rPr>
          <w:fldChar w:fldCharType="begin"/>
        </w:r>
        <w:r>
          <w:rPr>
            <w:webHidden/>
          </w:rPr>
          <w:instrText xml:space="preserve"> PAGEREF _Toc224119189 \h </w:instrText>
        </w:r>
        <w:r>
          <w:rPr>
            <w:webHidden/>
          </w:rPr>
        </w:r>
        <w:r>
          <w:rPr>
            <w:webHidden/>
          </w:rPr>
          <w:fldChar w:fldCharType="separate"/>
        </w:r>
        <w:r>
          <w:rPr>
            <w:webHidden/>
          </w:rPr>
          <w:t>31</w:t>
        </w:r>
        <w:r>
          <w:rPr>
            <w:webHidden/>
          </w:rPr>
          <w:fldChar w:fldCharType="end"/>
        </w:r>
      </w:hyperlink>
    </w:p>
    <w:p w14:paraId="396A1307" w14:textId="289800BA" w:rsidR="00F17779" w:rsidRDefault="00F1777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119190" w:history="1">
        <w:r w:rsidRPr="00635341">
          <w:rPr>
            <w:rStyle w:val="Hyperlink"/>
          </w:rPr>
          <w:t>10.4</w:t>
        </w:r>
        <w:r>
          <w:rPr>
            <w:rFonts w:asciiTheme="minorHAnsi" w:eastAsiaTheme="minorEastAsia" w:hAnsiTheme="minorHAnsi" w:cstheme="minorBidi"/>
            <w:kern w:val="2"/>
            <w:sz w:val="24"/>
            <w:szCs w:val="24"/>
            <w:lang w:eastAsia="en-AU"/>
            <w14:ligatures w14:val="standardContextual"/>
          </w:rPr>
          <w:tab/>
        </w:r>
        <w:r w:rsidRPr="00635341">
          <w:rPr>
            <w:rStyle w:val="Hyperlink"/>
          </w:rPr>
          <w:t>Vacancy durations</w:t>
        </w:r>
        <w:r>
          <w:rPr>
            <w:webHidden/>
          </w:rPr>
          <w:tab/>
        </w:r>
        <w:r>
          <w:rPr>
            <w:webHidden/>
          </w:rPr>
          <w:fldChar w:fldCharType="begin"/>
        </w:r>
        <w:r>
          <w:rPr>
            <w:webHidden/>
          </w:rPr>
          <w:instrText xml:space="preserve"> PAGEREF _Toc224119190 \h </w:instrText>
        </w:r>
        <w:r>
          <w:rPr>
            <w:webHidden/>
          </w:rPr>
        </w:r>
        <w:r>
          <w:rPr>
            <w:webHidden/>
          </w:rPr>
          <w:fldChar w:fldCharType="separate"/>
        </w:r>
        <w:r>
          <w:rPr>
            <w:webHidden/>
          </w:rPr>
          <w:t>31</w:t>
        </w:r>
        <w:r>
          <w:rPr>
            <w:webHidden/>
          </w:rPr>
          <w:fldChar w:fldCharType="end"/>
        </w:r>
      </w:hyperlink>
    </w:p>
    <w:p w14:paraId="01909B7B" w14:textId="3568D733" w:rsidR="00547F70" w:rsidRDefault="00547F70" w:rsidP="00547F70">
      <w:pPr>
        <w:pStyle w:val="Body"/>
      </w:pPr>
      <w:r>
        <w:fldChar w:fldCharType="end"/>
      </w:r>
    </w:p>
    <w:p w14:paraId="3BC68303" w14:textId="2AF6A9AC" w:rsidR="00547F70" w:rsidRPr="00547F70" w:rsidRDefault="00547F70" w:rsidP="00547F70">
      <w:pPr>
        <w:spacing w:after="0" w:line="240" w:lineRule="auto"/>
        <w:rPr>
          <w:rFonts w:eastAsia="Times"/>
        </w:rPr>
        <w:sectPr w:rsidR="00547F70" w:rsidRPr="00547F70" w:rsidSect="00F15144">
          <w:pgSz w:w="11906" w:h="16838" w:code="9"/>
          <w:pgMar w:top="1418" w:right="1304" w:bottom="851" w:left="1304" w:header="680" w:footer="567" w:gutter="0"/>
          <w:cols w:space="340"/>
          <w:docGrid w:linePitch="360"/>
        </w:sectPr>
      </w:pPr>
      <w:r>
        <w:br w:type="page"/>
      </w:r>
    </w:p>
    <w:p w14:paraId="43287790" w14:textId="6A5310FB" w:rsidR="00EE29AD" w:rsidRPr="00A71CE4" w:rsidRDefault="00CC459D" w:rsidP="00562811">
      <w:pPr>
        <w:pStyle w:val="Heading1"/>
        <w:spacing w:before="0"/>
      </w:pPr>
      <w:bookmarkStart w:id="4" w:name="_Toc224119162"/>
      <w:r>
        <w:lastRenderedPageBreak/>
        <w:t>Overview</w:t>
      </w:r>
      <w:bookmarkEnd w:id="4"/>
    </w:p>
    <w:p w14:paraId="2EA3BCDA" w14:textId="77777777" w:rsidR="00CC459D" w:rsidRDefault="00CC459D" w:rsidP="00CC459D">
      <w:pPr>
        <w:pStyle w:val="Body"/>
      </w:pPr>
      <w:r w:rsidRPr="00621BE9">
        <w:t>Vacant unit maintenance refers</w:t>
      </w:r>
      <w:r>
        <w:t xml:space="preserve"> to the routine tasks and checks performed to ensure a rental property is clean, safe, functional, and ready for a new renter after the previous renter has moved out. This process helps maintain the property’s condition, address any wear and tear, and comply with legal standards before re-letting. The key objectives are to:</w:t>
      </w:r>
    </w:p>
    <w:p w14:paraId="5A90B516" w14:textId="12BCB3EB" w:rsidR="00CC459D" w:rsidRDefault="00D311C3" w:rsidP="00CC459D">
      <w:pPr>
        <w:pStyle w:val="Bullet1"/>
      </w:pPr>
      <w:r>
        <w:t>e</w:t>
      </w:r>
      <w:r w:rsidR="00CC459D">
        <w:t>nsure the property remains in a suitable and compliant condition while unoccupied.</w:t>
      </w:r>
    </w:p>
    <w:p w14:paraId="7C7FE82D" w14:textId="0F20129B" w:rsidR="00CC459D" w:rsidRDefault="00D311C3" w:rsidP="00CC459D">
      <w:pPr>
        <w:pStyle w:val="Bullet1"/>
      </w:pPr>
      <w:r>
        <w:t>p</w:t>
      </w:r>
      <w:r w:rsidR="00CC459D">
        <w:t>repare the unit to meet the functional and safety needs of the next renter.</w:t>
      </w:r>
    </w:p>
    <w:p w14:paraId="66AC7592" w14:textId="5C767802" w:rsidR="00CC459D" w:rsidRDefault="00D311C3" w:rsidP="00CC459D">
      <w:pPr>
        <w:pStyle w:val="Bullet1"/>
      </w:pPr>
      <w:r>
        <w:t>e</w:t>
      </w:r>
      <w:r w:rsidR="00CC459D">
        <w:t>nsure the unit adheres to all safety, health, and minimum rental standards.</w:t>
      </w:r>
    </w:p>
    <w:p w14:paraId="62E20B10" w14:textId="2A8AF64C" w:rsidR="00CC459D" w:rsidRDefault="004D0DE5" w:rsidP="00CC459D">
      <w:pPr>
        <w:pStyle w:val="Heading1"/>
      </w:pPr>
      <w:bookmarkStart w:id="5" w:name="_Toc224119163"/>
      <w:r w:rsidRPr="004D0DE5">
        <w:t xml:space="preserve">Safety and </w:t>
      </w:r>
      <w:r>
        <w:t>i</w:t>
      </w:r>
      <w:r w:rsidRPr="004D0DE5">
        <w:t xml:space="preserve">nspection </w:t>
      </w:r>
      <w:r>
        <w:t>r</w:t>
      </w:r>
      <w:r w:rsidRPr="004D0DE5">
        <w:t>equirements</w:t>
      </w:r>
      <w:bookmarkEnd w:id="5"/>
    </w:p>
    <w:p w14:paraId="284A1AA9" w14:textId="4F8524E0" w:rsidR="00A75108" w:rsidRDefault="00A75108" w:rsidP="00CC459D">
      <w:pPr>
        <w:pStyle w:val="Body"/>
      </w:pPr>
      <w:r w:rsidRPr="00A75108">
        <w:t>When conducting vacant unit inspections, staff must take appropriate precautions to protect their safety and minimise exposure to potential hazards. The following table outlines safety requirements that apply when inspecting vacant units:</w:t>
      </w:r>
    </w:p>
    <w:p w14:paraId="7214EB5B" w14:textId="5EB84B6E" w:rsidR="00A75108" w:rsidRDefault="00A75108" w:rsidP="00A75108">
      <w:pPr>
        <w:pStyle w:val="Tablecaption"/>
      </w:pPr>
      <w:r>
        <w:t xml:space="preserve">Table 1: </w:t>
      </w:r>
      <w:r w:rsidRPr="00A75108">
        <w:t>Safety requirements for vacant unit inspections</w:t>
      </w:r>
    </w:p>
    <w:tbl>
      <w:tblPr>
        <w:tblStyle w:val="TableGrid"/>
        <w:tblW w:w="0" w:type="auto"/>
        <w:tblLook w:val="04A0" w:firstRow="1" w:lastRow="0" w:firstColumn="1" w:lastColumn="0" w:noHBand="0" w:noVBand="1"/>
      </w:tblPr>
      <w:tblGrid>
        <w:gridCol w:w="2689"/>
        <w:gridCol w:w="6599"/>
      </w:tblGrid>
      <w:tr w:rsidR="00A75108" w14:paraId="037DC871" w14:textId="77777777" w:rsidTr="00F06236">
        <w:trPr>
          <w:tblHeader/>
        </w:trPr>
        <w:tc>
          <w:tcPr>
            <w:tcW w:w="2689" w:type="dxa"/>
          </w:tcPr>
          <w:p w14:paraId="543DC140" w14:textId="67F564B0" w:rsidR="00A75108" w:rsidRDefault="00A75108" w:rsidP="00A75108">
            <w:pPr>
              <w:pStyle w:val="Tablecolhead"/>
            </w:pPr>
            <w:r>
              <w:t>Requirement</w:t>
            </w:r>
          </w:p>
        </w:tc>
        <w:tc>
          <w:tcPr>
            <w:tcW w:w="6599" w:type="dxa"/>
          </w:tcPr>
          <w:p w14:paraId="602B9847" w14:textId="12458AB0" w:rsidR="00A75108" w:rsidRDefault="00A75108" w:rsidP="00A75108">
            <w:pPr>
              <w:pStyle w:val="Tablecolhead"/>
            </w:pPr>
            <w:r>
              <w:t>Description</w:t>
            </w:r>
          </w:p>
        </w:tc>
      </w:tr>
      <w:tr w:rsidR="002C53AD" w14:paraId="46B18A5A" w14:textId="77777777" w:rsidTr="00A75108">
        <w:tc>
          <w:tcPr>
            <w:tcW w:w="2689" w:type="dxa"/>
          </w:tcPr>
          <w:p w14:paraId="2803B6F5" w14:textId="4A67F4E0" w:rsidR="002C53AD" w:rsidRPr="00A75108" w:rsidRDefault="002C53AD" w:rsidP="002C53AD">
            <w:pPr>
              <w:pStyle w:val="Tabletext"/>
            </w:pPr>
            <w:r>
              <w:t>Condition of entry due to u</w:t>
            </w:r>
            <w:r w:rsidRPr="00A75108">
              <w:t>nsafe conditions</w:t>
            </w:r>
          </w:p>
        </w:tc>
        <w:tc>
          <w:tcPr>
            <w:tcW w:w="6599" w:type="dxa"/>
          </w:tcPr>
          <w:p w14:paraId="692B2BE9" w14:textId="77777777" w:rsidR="002C53AD" w:rsidRDefault="002C53AD" w:rsidP="002C53AD">
            <w:pPr>
              <w:pStyle w:val="Tabletext"/>
            </w:pPr>
            <w:r>
              <w:t>Do not enter or proceed with the vacant unit inspection if:</w:t>
            </w:r>
          </w:p>
          <w:p w14:paraId="3840697B" w14:textId="77777777" w:rsidR="002C53AD" w:rsidRDefault="002C53AD" w:rsidP="002C53AD">
            <w:pPr>
              <w:pStyle w:val="Tablebullet1"/>
            </w:pPr>
            <w:r>
              <w:t>the property poses any immediate threat to health or safety</w:t>
            </w:r>
          </w:p>
          <w:p w14:paraId="1A1B5360" w14:textId="77777777" w:rsidR="002C53AD" w:rsidRDefault="002C53AD" w:rsidP="002C53AD">
            <w:pPr>
              <w:pStyle w:val="Tablebullet1"/>
            </w:pPr>
            <w:r>
              <w:t>illegal occupants are identified.</w:t>
            </w:r>
          </w:p>
          <w:p w14:paraId="255A4C7D" w14:textId="77777777" w:rsidR="002C53AD" w:rsidRDefault="002C53AD" w:rsidP="002C53AD">
            <w:pPr>
              <w:pStyle w:val="Tablebullet1"/>
            </w:pPr>
            <w:r>
              <w:t>unsafe conditions are observed such as:</w:t>
            </w:r>
          </w:p>
          <w:p w14:paraId="14351D3F" w14:textId="77777777" w:rsidR="002C53AD" w:rsidRDefault="002C53AD" w:rsidP="002C53AD">
            <w:pPr>
              <w:pStyle w:val="Tablebullet2"/>
            </w:pPr>
            <w:r>
              <w:t>unstable flooring</w:t>
            </w:r>
          </w:p>
          <w:p w14:paraId="54AFB873" w14:textId="77777777" w:rsidR="002C53AD" w:rsidRDefault="002C53AD" w:rsidP="002C53AD">
            <w:pPr>
              <w:pStyle w:val="Tablebullet2"/>
            </w:pPr>
            <w:r>
              <w:t xml:space="preserve">severe structural damage, or </w:t>
            </w:r>
          </w:p>
          <w:p w14:paraId="74440750" w14:textId="77777777" w:rsidR="002C53AD" w:rsidRDefault="002C53AD" w:rsidP="002C53AD">
            <w:pPr>
              <w:pStyle w:val="Tablebullet2"/>
            </w:pPr>
            <w:r>
              <w:t xml:space="preserve">the presence of hazardous materials like asbestos. </w:t>
            </w:r>
          </w:p>
          <w:p w14:paraId="70D98BB5" w14:textId="77777777" w:rsidR="002C53AD" w:rsidRDefault="002C53AD" w:rsidP="002C53AD">
            <w:pPr>
              <w:pStyle w:val="Tablebullet2"/>
            </w:pPr>
            <w:r>
              <w:t xml:space="preserve">cluttered or obstructed pathways make it unsafe to move around. </w:t>
            </w:r>
          </w:p>
          <w:p w14:paraId="64D1A480" w14:textId="77777777" w:rsidR="002C53AD" w:rsidRDefault="002C53AD" w:rsidP="002C53AD">
            <w:pPr>
              <w:pStyle w:val="Tablebullet1"/>
            </w:pPr>
            <w:r>
              <w:t>there are signs of contamination:</w:t>
            </w:r>
          </w:p>
          <w:p w14:paraId="59A0A52E" w14:textId="77777777" w:rsidR="002C53AD" w:rsidRDefault="002C53AD" w:rsidP="002C53AD">
            <w:pPr>
              <w:pStyle w:val="Tablebullet2"/>
            </w:pPr>
            <w:r>
              <w:t>methamphetamine pipes</w:t>
            </w:r>
          </w:p>
          <w:p w14:paraId="02EDB805" w14:textId="77777777" w:rsidR="002C53AD" w:rsidRDefault="002C53AD" w:rsidP="002C53AD">
            <w:pPr>
              <w:pStyle w:val="Tablebullet2"/>
            </w:pPr>
            <w:r>
              <w:t>other drug paraphernalia, or</w:t>
            </w:r>
          </w:p>
          <w:p w14:paraId="74B95747" w14:textId="77777777" w:rsidR="002C53AD" w:rsidRDefault="002C53AD" w:rsidP="002C53AD">
            <w:pPr>
              <w:pStyle w:val="Tablebullet2"/>
            </w:pPr>
            <w:r>
              <w:t xml:space="preserve">evidence of pests etc. </w:t>
            </w:r>
          </w:p>
          <w:p w14:paraId="318E99DD" w14:textId="034B692A" w:rsidR="002C53AD" w:rsidRPr="00A75108" w:rsidRDefault="002C53AD" w:rsidP="002C53AD">
            <w:pPr>
              <w:pStyle w:val="Tabletext"/>
            </w:pPr>
            <w:r>
              <w:t xml:space="preserve">Refer to </w:t>
            </w:r>
            <w:hyperlink w:anchor="_Properties_presenting_a" w:history="1">
              <w:r w:rsidRPr="002C53AD">
                <w:rPr>
                  <w:rStyle w:val="Hyperlink"/>
                </w:rPr>
                <w:t>Section 3.1 Properties presenting a risk of contamination</w:t>
              </w:r>
            </w:hyperlink>
            <w:r>
              <w:t xml:space="preserve"> for more information.</w:t>
            </w:r>
          </w:p>
        </w:tc>
      </w:tr>
      <w:tr w:rsidR="002C53AD" w14:paraId="0A002753" w14:textId="77777777" w:rsidTr="00A75108">
        <w:tc>
          <w:tcPr>
            <w:tcW w:w="2689" w:type="dxa"/>
          </w:tcPr>
          <w:p w14:paraId="7B75C8F8" w14:textId="78B2BCB8" w:rsidR="002C53AD" w:rsidRDefault="002C53AD" w:rsidP="002C53AD">
            <w:pPr>
              <w:pStyle w:val="Tabletext"/>
            </w:pPr>
            <w:r w:rsidRPr="00A75108">
              <w:t>Pre</w:t>
            </w:r>
            <w:r w:rsidRPr="00A75108">
              <w:rPr>
                <w:rFonts w:ascii="Cambria Math" w:hAnsi="Cambria Math" w:cs="Cambria Math"/>
              </w:rPr>
              <w:t>‑</w:t>
            </w:r>
            <w:r w:rsidRPr="00A75108">
              <w:t>entry risk check</w:t>
            </w:r>
          </w:p>
        </w:tc>
        <w:tc>
          <w:tcPr>
            <w:tcW w:w="6599" w:type="dxa"/>
          </w:tcPr>
          <w:p w14:paraId="70ABCDB9" w14:textId="31B0BB10" w:rsidR="002C53AD" w:rsidRDefault="002C53AD" w:rsidP="002C53AD">
            <w:pPr>
              <w:pStyle w:val="Tabletext"/>
            </w:pPr>
            <w:r w:rsidRPr="00A75108">
              <w:t>Assess the exterior and surroundings for hazards before entering (e.g. animals, damage, unsecured items, signs of illegal activity).</w:t>
            </w:r>
          </w:p>
        </w:tc>
      </w:tr>
      <w:tr w:rsidR="002C53AD" w14:paraId="5C6FE56D" w14:textId="77777777" w:rsidTr="00A75108">
        <w:tc>
          <w:tcPr>
            <w:tcW w:w="2689" w:type="dxa"/>
          </w:tcPr>
          <w:p w14:paraId="2E434B89" w14:textId="33399282" w:rsidR="002C53AD" w:rsidRDefault="002C53AD" w:rsidP="002C53AD">
            <w:pPr>
              <w:pStyle w:val="Tabletext"/>
            </w:pPr>
            <w:r w:rsidRPr="00A75108">
              <w:t>Announce entry</w:t>
            </w:r>
          </w:p>
        </w:tc>
        <w:tc>
          <w:tcPr>
            <w:tcW w:w="6599" w:type="dxa"/>
          </w:tcPr>
          <w:p w14:paraId="66B58303" w14:textId="69E125EB" w:rsidR="002C53AD" w:rsidRDefault="002C53AD" w:rsidP="002C53AD">
            <w:pPr>
              <w:pStyle w:val="Tabletext"/>
            </w:pPr>
            <w:r w:rsidRPr="00A75108">
              <w:t>Knock and clearly announce entry to alert anyone inside and assess immediate risks before fully entering (e.g. animals, persons present, hazards).</w:t>
            </w:r>
          </w:p>
        </w:tc>
      </w:tr>
      <w:tr w:rsidR="002C53AD" w14:paraId="1E15FA79" w14:textId="77777777" w:rsidTr="00A75108">
        <w:tc>
          <w:tcPr>
            <w:tcW w:w="2689" w:type="dxa"/>
          </w:tcPr>
          <w:p w14:paraId="558EE34E" w14:textId="075D8F14" w:rsidR="002C53AD" w:rsidRDefault="002C53AD" w:rsidP="002C53AD">
            <w:pPr>
              <w:pStyle w:val="Tabletext"/>
            </w:pPr>
            <w:r w:rsidRPr="00A75108">
              <w:t>Time spent inside</w:t>
            </w:r>
          </w:p>
        </w:tc>
        <w:tc>
          <w:tcPr>
            <w:tcW w:w="6599" w:type="dxa"/>
          </w:tcPr>
          <w:p w14:paraId="65B2F961" w14:textId="00A16AA0" w:rsidR="002C53AD" w:rsidRDefault="002C53AD" w:rsidP="002C53AD">
            <w:pPr>
              <w:pStyle w:val="Tabletext"/>
            </w:pPr>
            <w:r w:rsidRPr="00A75108">
              <w:t>Remain in the property only as long as necessary to complete the inspection to minimise exposure to potential hazards.</w:t>
            </w:r>
          </w:p>
        </w:tc>
      </w:tr>
      <w:tr w:rsidR="002C53AD" w14:paraId="4C948CAE" w14:textId="77777777" w:rsidTr="00A75108">
        <w:tc>
          <w:tcPr>
            <w:tcW w:w="2689" w:type="dxa"/>
          </w:tcPr>
          <w:p w14:paraId="3260F72E" w14:textId="170D1D27" w:rsidR="002C53AD" w:rsidRPr="00A75108" w:rsidRDefault="002C53AD" w:rsidP="002C53AD">
            <w:pPr>
              <w:pStyle w:val="Tabletext"/>
            </w:pPr>
            <w:r>
              <w:t>P</w:t>
            </w:r>
            <w:r w:rsidRPr="00A75108">
              <w:t>ersonal protective equipment</w:t>
            </w:r>
          </w:p>
        </w:tc>
        <w:tc>
          <w:tcPr>
            <w:tcW w:w="6599" w:type="dxa"/>
          </w:tcPr>
          <w:p w14:paraId="16CF372A" w14:textId="2086B833" w:rsidR="002C53AD" w:rsidRPr="00A75108" w:rsidRDefault="002C53AD" w:rsidP="002C53AD">
            <w:pPr>
              <w:pStyle w:val="Tabletext"/>
            </w:pPr>
            <w:r>
              <w:t>W</w:t>
            </w:r>
            <w:r w:rsidRPr="00A75108">
              <w:t xml:space="preserve">ear appropriate </w:t>
            </w:r>
            <w:r>
              <w:t>P</w:t>
            </w:r>
            <w:r w:rsidRPr="00A75108">
              <w:t xml:space="preserve">ersonal </w:t>
            </w:r>
            <w:r>
              <w:t>P</w:t>
            </w:r>
            <w:r w:rsidRPr="00A75108">
              <w:t>rotective</w:t>
            </w:r>
            <w:r>
              <w:t xml:space="preserve"> E</w:t>
            </w:r>
            <w:r w:rsidRPr="00A75108">
              <w:t>quipment, including:</w:t>
            </w:r>
          </w:p>
          <w:p w14:paraId="2684160F" w14:textId="74EEE5FD" w:rsidR="002C53AD" w:rsidRDefault="002C53AD" w:rsidP="002C53AD">
            <w:pPr>
              <w:pStyle w:val="Tablebullet1"/>
            </w:pPr>
            <w:r>
              <w:t>sturdy footwear</w:t>
            </w:r>
          </w:p>
          <w:p w14:paraId="344F0216" w14:textId="1148C364" w:rsidR="002C53AD" w:rsidRDefault="002C53AD" w:rsidP="002C53AD">
            <w:pPr>
              <w:pStyle w:val="Tablebullet1"/>
            </w:pPr>
            <w:r>
              <w:t>shoe covers</w:t>
            </w:r>
          </w:p>
          <w:p w14:paraId="560FC827" w14:textId="58D06D0C" w:rsidR="002C53AD" w:rsidRDefault="002C53AD" w:rsidP="002C53AD">
            <w:pPr>
              <w:pStyle w:val="Tablebullet1"/>
            </w:pPr>
            <w:r>
              <w:t>gloves</w:t>
            </w:r>
          </w:p>
          <w:p w14:paraId="367E68EB" w14:textId="0DF51900" w:rsidR="002C53AD" w:rsidRDefault="002C53AD" w:rsidP="002C53AD">
            <w:pPr>
              <w:pStyle w:val="Tablebullet1"/>
            </w:pPr>
            <w:r>
              <w:lastRenderedPageBreak/>
              <w:t xml:space="preserve">masks, and </w:t>
            </w:r>
          </w:p>
          <w:p w14:paraId="4CF776C7" w14:textId="62955215" w:rsidR="002C53AD" w:rsidRPr="00A75108" w:rsidRDefault="002C53AD" w:rsidP="002C53AD">
            <w:pPr>
              <w:pStyle w:val="Tablebullet1"/>
            </w:pPr>
            <w:r>
              <w:t>eye protection, where necessary.</w:t>
            </w:r>
          </w:p>
        </w:tc>
      </w:tr>
      <w:tr w:rsidR="002C53AD" w14:paraId="5A721B06" w14:textId="77777777" w:rsidTr="00A75108">
        <w:tc>
          <w:tcPr>
            <w:tcW w:w="2689" w:type="dxa"/>
          </w:tcPr>
          <w:p w14:paraId="73985126" w14:textId="4E8ABE2A" w:rsidR="002C53AD" w:rsidRDefault="002C53AD" w:rsidP="002C53AD">
            <w:pPr>
              <w:pStyle w:val="Tabletext"/>
            </w:pPr>
            <w:r w:rsidRPr="002C53AD">
              <w:lastRenderedPageBreak/>
              <w:t>Avoid placing personal items</w:t>
            </w:r>
          </w:p>
        </w:tc>
        <w:tc>
          <w:tcPr>
            <w:tcW w:w="6599" w:type="dxa"/>
          </w:tcPr>
          <w:p w14:paraId="356E103F" w14:textId="566AE484" w:rsidR="002C53AD" w:rsidRDefault="002C53AD" w:rsidP="002C53AD">
            <w:pPr>
              <w:pStyle w:val="Tabletext"/>
            </w:pPr>
            <w:r>
              <w:t>Do not place personal items, such as folders, handbags, car keys, on furniture, fixtures, or surfaces to prevent contamination from dust, allergens, or other potential hazards in the property.</w:t>
            </w:r>
          </w:p>
        </w:tc>
      </w:tr>
      <w:tr w:rsidR="002C53AD" w14:paraId="7A9EA803" w14:textId="77777777" w:rsidTr="00A75108">
        <w:tc>
          <w:tcPr>
            <w:tcW w:w="2689" w:type="dxa"/>
          </w:tcPr>
          <w:p w14:paraId="30CD5088" w14:textId="21BF83B6" w:rsidR="002C53AD" w:rsidRPr="002C53AD" w:rsidRDefault="002C53AD" w:rsidP="002C53AD">
            <w:pPr>
              <w:pStyle w:val="Tabletext"/>
            </w:pPr>
            <w:r w:rsidRPr="002C53AD">
              <w:t>Refrain from touching surfaces without gloves</w:t>
            </w:r>
          </w:p>
        </w:tc>
        <w:tc>
          <w:tcPr>
            <w:tcW w:w="6599" w:type="dxa"/>
          </w:tcPr>
          <w:p w14:paraId="4F974E2B" w14:textId="799E412B" w:rsidR="002C53AD" w:rsidRDefault="002C53AD" w:rsidP="002C53AD">
            <w:pPr>
              <w:pStyle w:val="Tabletext"/>
            </w:pPr>
            <w:r w:rsidRPr="002C53AD">
              <w:t>Do not touch surfaces or objects without gloves to minimise exposure to contaminants that may be present.</w:t>
            </w:r>
          </w:p>
        </w:tc>
      </w:tr>
      <w:tr w:rsidR="002C53AD" w14:paraId="4DA02EE6" w14:textId="77777777" w:rsidTr="00A75108">
        <w:tc>
          <w:tcPr>
            <w:tcW w:w="2689" w:type="dxa"/>
          </w:tcPr>
          <w:p w14:paraId="6DC64EA3" w14:textId="26D6C556" w:rsidR="002C53AD" w:rsidRPr="002C53AD" w:rsidRDefault="002C53AD" w:rsidP="002C53AD">
            <w:pPr>
              <w:pStyle w:val="Tabletext"/>
            </w:pPr>
            <w:r>
              <w:t>V</w:t>
            </w:r>
            <w:r w:rsidRPr="002C53AD">
              <w:t>acant unit checks guide</w:t>
            </w:r>
          </w:p>
        </w:tc>
        <w:tc>
          <w:tcPr>
            <w:tcW w:w="6599" w:type="dxa"/>
          </w:tcPr>
          <w:p w14:paraId="6BC3B268" w14:textId="6A6AB8BE" w:rsidR="002C53AD" w:rsidRPr="002C53AD" w:rsidRDefault="002C53AD" w:rsidP="002C53AD">
            <w:pPr>
              <w:pStyle w:val="Tabletext"/>
            </w:pPr>
            <w:r>
              <w:t>Refer to Section 9 Guide to Vacant Unit Checks to assist in supporting compliance with minimal rental standards during inspections.</w:t>
            </w:r>
          </w:p>
        </w:tc>
      </w:tr>
      <w:tr w:rsidR="002C53AD" w14:paraId="6E898200" w14:textId="77777777" w:rsidTr="00A75108">
        <w:tc>
          <w:tcPr>
            <w:tcW w:w="2689" w:type="dxa"/>
          </w:tcPr>
          <w:p w14:paraId="174E572F" w14:textId="3DB01D8D" w:rsidR="002C53AD" w:rsidRPr="002C53AD" w:rsidRDefault="002C53AD" w:rsidP="002C53AD">
            <w:pPr>
              <w:pStyle w:val="Tabletext"/>
            </w:pPr>
            <w:r>
              <w:t>P</w:t>
            </w:r>
            <w:r w:rsidRPr="002C53AD">
              <w:t>rinted room identifiers</w:t>
            </w:r>
          </w:p>
        </w:tc>
        <w:tc>
          <w:tcPr>
            <w:tcW w:w="6599" w:type="dxa"/>
          </w:tcPr>
          <w:p w14:paraId="33736F81" w14:textId="444902B7" w:rsidR="002C53AD" w:rsidRPr="002C53AD" w:rsidRDefault="002C53AD" w:rsidP="002C53AD">
            <w:pPr>
              <w:pStyle w:val="Tabletext"/>
            </w:pPr>
            <w:r>
              <w:t>Use printed room identifiers when taking photos to clearly correlate each image with the corresponding part of the property.</w:t>
            </w:r>
          </w:p>
        </w:tc>
      </w:tr>
      <w:tr w:rsidR="002C53AD" w14:paraId="372E9A89" w14:textId="77777777" w:rsidTr="00A75108">
        <w:tc>
          <w:tcPr>
            <w:tcW w:w="2689" w:type="dxa"/>
          </w:tcPr>
          <w:p w14:paraId="1F6EC7F3" w14:textId="1F489CF1" w:rsidR="002C53AD" w:rsidRPr="002C53AD" w:rsidRDefault="002C53AD" w:rsidP="002C53AD">
            <w:pPr>
              <w:pStyle w:val="Tabletext"/>
            </w:pPr>
            <w:r w:rsidRPr="002C53AD">
              <w:t>Document findings thoroughly</w:t>
            </w:r>
          </w:p>
        </w:tc>
        <w:tc>
          <w:tcPr>
            <w:tcW w:w="6599" w:type="dxa"/>
          </w:tcPr>
          <w:p w14:paraId="77F96F45" w14:textId="4D98FDB3" w:rsidR="002C53AD" w:rsidRPr="002C53AD" w:rsidRDefault="002C53AD" w:rsidP="002C53AD">
            <w:pPr>
              <w:pStyle w:val="Tabletext"/>
            </w:pPr>
            <w:r w:rsidRPr="002C53AD">
              <w:t>Record all observations and findings in detail to maintain a comprehensive inspection report.</w:t>
            </w:r>
          </w:p>
        </w:tc>
      </w:tr>
    </w:tbl>
    <w:p w14:paraId="692A941B" w14:textId="2204B90F" w:rsidR="00E96A7E" w:rsidRDefault="00E96A7E" w:rsidP="005A009B">
      <w:pPr>
        <w:pStyle w:val="Heading2"/>
      </w:pPr>
      <w:bookmarkStart w:id="6" w:name="_Properties_presenting_a"/>
      <w:bookmarkStart w:id="7" w:name="_Toc224119164"/>
      <w:bookmarkEnd w:id="6"/>
      <w:r w:rsidRPr="00E96A7E">
        <w:t xml:space="preserve">Properties </w:t>
      </w:r>
      <w:r>
        <w:t>p</w:t>
      </w:r>
      <w:r w:rsidRPr="00E96A7E">
        <w:t xml:space="preserve">resenting a </w:t>
      </w:r>
      <w:r>
        <w:t>r</w:t>
      </w:r>
      <w:r w:rsidRPr="00E96A7E">
        <w:t xml:space="preserve">isk of </w:t>
      </w:r>
      <w:r>
        <w:t>c</w:t>
      </w:r>
      <w:r w:rsidRPr="00E96A7E">
        <w:t>ontamination</w:t>
      </w:r>
      <w:bookmarkEnd w:id="7"/>
    </w:p>
    <w:p w14:paraId="282137A0" w14:textId="75809BAD" w:rsidR="00403D38" w:rsidRDefault="00E96A7E" w:rsidP="00403D38">
      <w:pPr>
        <w:pStyle w:val="Body"/>
      </w:pPr>
      <w:r>
        <w:t xml:space="preserve">If </w:t>
      </w:r>
      <w:r w:rsidR="00403D38">
        <w:t>a vacant property is assessed as potentially contaminated, based on prior information or observations during the vacant unit inspection, the external locks must be changed by the head contractor. The key must then be securely stored (e.g. in a lockbox at the property or the local office).</w:t>
      </w:r>
    </w:p>
    <w:p w14:paraId="2D7041DD" w14:textId="32345242" w:rsidR="00E96A7E" w:rsidRDefault="00403D38" w:rsidP="00403D38">
      <w:pPr>
        <w:pStyle w:val="Body"/>
      </w:pPr>
      <w:r>
        <w:t>No further vacant works may proceed until the local office has completed all required work, including any necessary testing, specialist assessment, or remediation.</w:t>
      </w:r>
    </w:p>
    <w:p w14:paraId="0D9A983F" w14:textId="4B30563B" w:rsidR="004F296D" w:rsidRPr="004F296D" w:rsidRDefault="004F296D" w:rsidP="004F296D">
      <w:pPr>
        <w:pStyle w:val="Tablecaption"/>
      </w:pPr>
      <w:r w:rsidRPr="00037626">
        <w:t xml:space="preserve">Table </w:t>
      </w:r>
      <w:r w:rsidR="00A75108">
        <w:t>2</w:t>
      </w:r>
      <w:r w:rsidRPr="00037626">
        <w:t xml:space="preserve">: </w:t>
      </w:r>
      <w:r w:rsidR="00403D38" w:rsidRPr="00037626">
        <w:t>Common</w:t>
      </w:r>
      <w:r w:rsidR="00403D38" w:rsidRPr="00403D38">
        <w:t xml:space="preserve"> contamination risks and required actions</w:t>
      </w:r>
    </w:p>
    <w:tbl>
      <w:tblPr>
        <w:tblStyle w:val="TableGrid"/>
        <w:tblW w:w="0" w:type="auto"/>
        <w:tblLook w:val="04A0" w:firstRow="1" w:lastRow="0" w:firstColumn="1" w:lastColumn="0" w:noHBand="0" w:noVBand="1"/>
      </w:tblPr>
      <w:tblGrid>
        <w:gridCol w:w="2122"/>
        <w:gridCol w:w="7166"/>
      </w:tblGrid>
      <w:tr w:rsidR="004F296D" w14:paraId="256E23FF" w14:textId="77777777" w:rsidTr="00F06236">
        <w:trPr>
          <w:tblHeader/>
        </w:trPr>
        <w:tc>
          <w:tcPr>
            <w:tcW w:w="2122" w:type="dxa"/>
          </w:tcPr>
          <w:p w14:paraId="6B0272C5" w14:textId="536315F8" w:rsidR="004F296D" w:rsidRDefault="00403D38" w:rsidP="00403D38">
            <w:pPr>
              <w:pStyle w:val="Tablecolhead"/>
            </w:pPr>
            <w:r>
              <w:t>Type</w:t>
            </w:r>
          </w:p>
        </w:tc>
        <w:tc>
          <w:tcPr>
            <w:tcW w:w="7166" w:type="dxa"/>
          </w:tcPr>
          <w:p w14:paraId="57F9CE59" w14:textId="47A8C12B" w:rsidR="004F296D" w:rsidRDefault="00403D38" w:rsidP="00403D38">
            <w:pPr>
              <w:pStyle w:val="Tablecolhead"/>
            </w:pPr>
            <w:r>
              <w:t>Detail</w:t>
            </w:r>
          </w:p>
        </w:tc>
      </w:tr>
      <w:tr w:rsidR="004F296D" w14:paraId="133CF392" w14:textId="77777777" w:rsidTr="00403D38">
        <w:tc>
          <w:tcPr>
            <w:tcW w:w="2122" w:type="dxa"/>
          </w:tcPr>
          <w:p w14:paraId="4AD2BB28" w14:textId="1D026B47" w:rsidR="004F296D" w:rsidRDefault="00403D38" w:rsidP="00403D38">
            <w:pPr>
              <w:pStyle w:val="Tabletext"/>
            </w:pPr>
            <w:r w:rsidRPr="00403D38">
              <w:t>Asbestos</w:t>
            </w:r>
          </w:p>
        </w:tc>
        <w:tc>
          <w:tcPr>
            <w:tcW w:w="7166" w:type="dxa"/>
          </w:tcPr>
          <w:p w14:paraId="1162B817" w14:textId="32678724" w:rsidR="004F296D" w:rsidRDefault="00403D38" w:rsidP="00403D38">
            <w:pPr>
              <w:pStyle w:val="Tabletext"/>
            </w:pPr>
            <w:r w:rsidRPr="00403D38">
              <w:t>If asbestos</w:t>
            </w:r>
            <w:r w:rsidRPr="00403D38">
              <w:rPr>
                <w:rFonts w:ascii="Cambria Math" w:hAnsi="Cambria Math" w:cs="Cambria Math"/>
              </w:rPr>
              <w:t>‑</w:t>
            </w:r>
            <w:r w:rsidRPr="00403D38">
              <w:t>containing materials are suspected or identified, staff must follow all safety protocols and refer the property to specialist contractors for assessment and remediation.</w:t>
            </w:r>
          </w:p>
        </w:tc>
      </w:tr>
      <w:tr w:rsidR="004F296D" w14:paraId="544A70E2" w14:textId="77777777" w:rsidTr="00403D38">
        <w:tc>
          <w:tcPr>
            <w:tcW w:w="2122" w:type="dxa"/>
          </w:tcPr>
          <w:p w14:paraId="4B64ACFB" w14:textId="008CD372" w:rsidR="004F296D" w:rsidRDefault="00403D38" w:rsidP="00403D38">
            <w:pPr>
              <w:pStyle w:val="Tabletext"/>
            </w:pPr>
            <w:r w:rsidRPr="00403D38">
              <w:t>Pest infestations</w:t>
            </w:r>
          </w:p>
        </w:tc>
        <w:tc>
          <w:tcPr>
            <w:tcW w:w="7166" w:type="dxa"/>
          </w:tcPr>
          <w:p w14:paraId="704CFB1D" w14:textId="738FEC39" w:rsidR="004F296D" w:rsidRDefault="00403D38" w:rsidP="00403D38">
            <w:pPr>
              <w:pStyle w:val="Tabletext"/>
            </w:pPr>
            <w:r w:rsidRPr="00403D38">
              <w:t>When signs of pests (e.g. rodents or insects) are identified, staff must arrange professional pest control services.</w:t>
            </w:r>
          </w:p>
        </w:tc>
      </w:tr>
      <w:tr w:rsidR="004F296D" w14:paraId="2CEC6341" w14:textId="77777777" w:rsidTr="00403D38">
        <w:tc>
          <w:tcPr>
            <w:tcW w:w="2122" w:type="dxa"/>
          </w:tcPr>
          <w:p w14:paraId="6115D03A" w14:textId="048A5A11" w:rsidR="004F296D" w:rsidRDefault="00403D38" w:rsidP="00403D38">
            <w:pPr>
              <w:pStyle w:val="Tabletext"/>
            </w:pPr>
            <w:r w:rsidRPr="00403D38">
              <w:t>Mould</w:t>
            </w:r>
          </w:p>
        </w:tc>
        <w:tc>
          <w:tcPr>
            <w:tcW w:w="7166" w:type="dxa"/>
          </w:tcPr>
          <w:p w14:paraId="1CE233DD" w14:textId="0BEE3B38" w:rsidR="004F296D" w:rsidRDefault="00403D38" w:rsidP="00403D38">
            <w:pPr>
              <w:pStyle w:val="Tabletext"/>
            </w:pPr>
            <w:r w:rsidRPr="00403D38">
              <w:t>Where mould is detected, its extent should be assessed, and specialist remediation engaged to remove it safely.</w:t>
            </w:r>
          </w:p>
        </w:tc>
      </w:tr>
      <w:tr w:rsidR="004F296D" w14:paraId="74CFEC81" w14:textId="77777777" w:rsidTr="00403D38">
        <w:tc>
          <w:tcPr>
            <w:tcW w:w="2122" w:type="dxa"/>
          </w:tcPr>
          <w:p w14:paraId="76982BCB" w14:textId="1462CBC5" w:rsidR="004F296D" w:rsidRDefault="00403D38" w:rsidP="00403D38">
            <w:pPr>
              <w:pStyle w:val="Tabletext"/>
            </w:pPr>
            <w:r w:rsidRPr="00403D38">
              <w:t>Needles or drug paraphernalia</w:t>
            </w:r>
          </w:p>
        </w:tc>
        <w:tc>
          <w:tcPr>
            <w:tcW w:w="7166" w:type="dxa"/>
          </w:tcPr>
          <w:p w14:paraId="46D5028E" w14:textId="1375AF7A" w:rsidR="004F296D" w:rsidRDefault="00403D38" w:rsidP="00403D38">
            <w:pPr>
              <w:pStyle w:val="Tabletext"/>
            </w:pPr>
            <w:r w:rsidRPr="00403D38">
              <w:t>Staff must not touch or handle syringes or drug</w:t>
            </w:r>
            <w:r w:rsidRPr="00403D38">
              <w:rPr>
                <w:rFonts w:ascii="Cambria Math" w:hAnsi="Cambria Math" w:cs="Cambria Math"/>
              </w:rPr>
              <w:t>‑</w:t>
            </w:r>
            <w:r w:rsidRPr="00403D38">
              <w:t>related items. These must be reported immediately and removed by biohazard services.</w:t>
            </w:r>
          </w:p>
        </w:tc>
      </w:tr>
      <w:tr w:rsidR="004F296D" w14:paraId="79B05BFC" w14:textId="77777777" w:rsidTr="00403D38">
        <w:tc>
          <w:tcPr>
            <w:tcW w:w="2122" w:type="dxa"/>
          </w:tcPr>
          <w:p w14:paraId="687DDAB3" w14:textId="34B9E7F7" w:rsidR="004F296D" w:rsidRDefault="00403D38" w:rsidP="00403D38">
            <w:pPr>
              <w:pStyle w:val="Tabletext"/>
            </w:pPr>
            <w:r w:rsidRPr="00403D38">
              <w:t>Rubbish and debris</w:t>
            </w:r>
          </w:p>
        </w:tc>
        <w:tc>
          <w:tcPr>
            <w:tcW w:w="7166" w:type="dxa"/>
          </w:tcPr>
          <w:p w14:paraId="3F3BF199" w14:textId="1EDE1480" w:rsidR="004F296D" w:rsidRDefault="00403D38" w:rsidP="00403D38">
            <w:pPr>
              <w:pStyle w:val="Tabletext"/>
            </w:pPr>
            <w:r w:rsidRPr="00403D38">
              <w:t>Excessive rubbish or waste must be cleared by professional cleaning or waste removal services.</w:t>
            </w:r>
          </w:p>
        </w:tc>
      </w:tr>
    </w:tbl>
    <w:p w14:paraId="60BD81CD" w14:textId="513AE14A" w:rsidR="00E96A7E" w:rsidRDefault="00BC02C6" w:rsidP="00403D38">
      <w:pPr>
        <w:pStyle w:val="Bodyafterbullets"/>
      </w:pPr>
      <w:r w:rsidRPr="00650B75">
        <w:t xml:space="preserve">For </w:t>
      </w:r>
      <w:r w:rsidR="00403D38">
        <w:t xml:space="preserve">more information </w:t>
      </w:r>
      <w:r w:rsidRPr="00650B75">
        <w:t xml:space="preserve">on </w:t>
      </w:r>
      <w:r w:rsidR="00B7274B" w:rsidRPr="00650B75">
        <w:t>managing</w:t>
      </w:r>
      <w:r w:rsidR="00E96A7E" w:rsidRPr="00650B75">
        <w:t xml:space="preserve"> methamphetamine contamination in vacant public housing properties, </w:t>
      </w:r>
      <w:r w:rsidR="00463BF8" w:rsidRPr="00650B75">
        <w:t>refer to the i</w:t>
      </w:r>
      <w:r w:rsidR="00E96A7E" w:rsidRPr="00650B75">
        <w:t xml:space="preserve">nterim guidelines </w:t>
      </w:r>
      <w:r w:rsidR="00463BF8" w:rsidRPr="00650B75">
        <w:t xml:space="preserve">available </w:t>
      </w:r>
      <w:r w:rsidR="00E96A7E" w:rsidRPr="00650B75">
        <w:t>on the Public Housing Resources SharePoint</w:t>
      </w:r>
      <w:r w:rsidR="00426C82">
        <w:t xml:space="preserve">, </w:t>
      </w:r>
      <w:hyperlink r:id="rId24" w:history="1">
        <w:r w:rsidR="00426C82" w:rsidRPr="00426C82">
          <w:rPr>
            <w:rStyle w:val="Hyperlink"/>
          </w:rPr>
          <w:t>Vacants page</w:t>
        </w:r>
      </w:hyperlink>
      <w:r w:rsidR="00B864FE">
        <w:t xml:space="preserve"> (internal link)</w:t>
      </w:r>
      <w:r w:rsidR="00426C82">
        <w:t xml:space="preserve"> </w:t>
      </w:r>
      <w:r w:rsidR="00426C82" w:rsidRPr="00426C82">
        <w:t>https://dhhsvicgovau.sharepoint.com/sites/Publichousingresources/SitePages/vacants.aspx?web=1</w:t>
      </w:r>
      <w:r w:rsidR="00426C82">
        <w:t>.</w:t>
      </w:r>
    </w:p>
    <w:p w14:paraId="458C7BBA" w14:textId="7BC1125A" w:rsidR="00E96A7E" w:rsidRDefault="00E96A7E" w:rsidP="00E96A7E">
      <w:pPr>
        <w:pStyle w:val="Heading1"/>
      </w:pPr>
      <w:bookmarkStart w:id="8" w:name="_Toc224119165"/>
      <w:r w:rsidRPr="00E96A7E">
        <w:lastRenderedPageBreak/>
        <w:t xml:space="preserve">Target </w:t>
      </w:r>
      <w:r>
        <w:t>t</w:t>
      </w:r>
      <w:r w:rsidRPr="00E96A7E">
        <w:t>imeframe</w:t>
      </w:r>
      <w:r>
        <w:t>s</w:t>
      </w:r>
      <w:r w:rsidRPr="00E96A7E">
        <w:t xml:space="preserve"> for </w:t>
      </w:r>
      <w:r>
        <w:t>v</w:t>
      </w:r>
      <w:r w:rsidRPr="00E96A7E">
        <w:t xml:space="preserve">acant </w:t>
      </w:r>
      <w:r>
        <w:t>u</w:t>
      </w:r>
      <w:r w:rsidRPr="00E96A7E">
        <w:t xml:space="preserve">nit </w:t>
      </w:r>
      <w:r>
        <w:t>m</w:t>
      </w:r>
      <w:r w:rsidRPr="00E96A7E">
        <w:t>aintenance</w:t>
      </w:r>
      <w:bookmarkEnd w:id="8"/>
    </w:p>
    <w:p w14:paraId="047C3E4A" w14:textId="33F53015" w:rsidR="00E96A7E" w:rsidRDefault="00E96A7E" w:rsidP="00E96A7E">
      <w:pPr>
        <w:pStyle w:val="Body"/>
      </w:pPr>
      <w:r w:rsidRPr="00E96A7E">
        <w:t xml:space="preserve">Vacant unit maintenance is a key performance indicator (KPI), tracking the efficiency of the process. </w:t>
      </w:r>
      <w:r w:rsidR="00A75108" w:rsidRPr="00A75108">
        <w:t>Offers to new renters are typically made during this period, supporting readiness for occupation once maintenance is completed.</w:t>
      </w:r>
    </w:p>
    <w:p w14:paraId="6CA04043" w14:textId="6DB4E3E5" w:rsidR="00A75108" w:rsidRDefault="00A75108" w:rsidP="00E96A7E">
      <w:pPr>
        <w:pStyle w:val="Body"/>
      </w:pPr>
      <w:r w:rsidRPr="00A75108">
        <w:t xml:space="preserve">The target timeframe for raising vacant unit maintenance is within </w:t>
      </w:r>
      <w:r w:rsidRPr="00A75108">
        <w:rPr>
          <w:b/>
          <w:bCs/>
        </w:rPr>
        <w:t>two working days</w:t>
      </w:r>
      <w:r w:rsidRPr="00A75108">
        <w:t xml:space="preserve"> of either the end of a Residential Rental Agreement, in accordance with the Residential Tenancies Act 1997 (RTA), or a Victorian Civil and Administrative Tribunal decision determining the property has been abandoned. Once the vacant works are scoped and raised in HiiP Repairs, the head contractor has </w:t>
      </w:r>
      <w:r w:rsidRPr="00A75108">
        <w:rPr>
          <w:b/>
          <w:bCs/>
        </w:rPr>
        <w:t>14 calendar days</w:t>
      </w:r>
      <w:r w:rsidRPr="00A75108">
        <w:t xml:space="preserve"> to complete the works.</w:t>
      </w:r>
    </w:p>
    <w:p w14:paraId="7BCFFB3D" w14:textId="15D598A5" w:rsidR="00E96A7E" w:rsidRDefault="00E96A7E" w:rsidP="004F0F40">
      <w:pPr>
        <w:pStyle w:val="Heading2"/>
      </w:pPr>
      <w:bookmarkStart w:id="9" w:name="_Raising_a_reletting"/>
      <w:bookmarkStart w:id="10" w:name="_Toc224119166"/>
      <w:bookmarkEnd w:id="9"/>
      <w:r w:rsidRPr="00E96A7E">
        <w:t>Contractor extension requests</w:t>
      </w:r>
      <w:bookmarkEnd w:id="10"/>
    </w:p>
    <w:p w14:paraId="4E38A9A1" w14:textId="63CCB7C2" w:rsidR="00E96A7E" w:rsidRDefault="00486037" w:rsidP="00E96A7E">
      <w:pPr>
        <w:pStyle w:val="Body"/>
      </w:pPr>
      <w:r w:rsidRPr="00486037">
        <w:t>Timely completion of vacant unit works helps reduce vacancy periods and make homes available for renters sooner. Contractors may request extensions on returning a vacant unit, and staff should assess these carefully to minimise operational impacts and maintain accountability, including applying liquidated damages where appropriate.</w:t>
      </w:r>
    </w:p>
    <w:p w14:paraId="6ED057C2" w14:textId="63CC3DFF" w:rsidR="00E96A7E" w:rsidRDefault="00E96A7E" w:rsidP="001D3130">
      <w:pPr>
        <w:pStyle w:val="Heading2"/>
      </w:pPr>
      <w:bookmarkStart w:id="11" w:name="_Toc224119167"/>
      <w:r w:rsidRPr="00E96A7E">
        <w:t xml:space="preserve">Impacts of </w:t>
      </w:r>
      <w:r w:rsidR="009A5D26">
        <w:t>d</w:t>
      </w:r>
      <w:r w:rsidRPr="00E96A7E">
        <w:t>elays</w:t>
      </w:r>
      <w:r w:rsidR="009A5D26">
        <w:t xml:space="preserve"> and liquidated damages</w:t>
      </w:r>
      <w:bookmarkEnd w:id="11"/>
    </w:p>
    <w:p w14:paraId="1FDF20D7" w14:textId="77777777" w:rsidR="003D2AF8" w:rsidRDefault="003D2AF8" w:rsidP="003D2AF8">
      <w:pPr>
        <w:pStyle w:val="Body"/>
      </w:pPr>
      <w:r>
        <w:t>Delays in maintenance and turnaround times for vacant units create operational inefficiencies and reduce available housing stock. Key impacts include:</w:t>
      </w:r>
    </w:p>
    <w:p w14:paraId="4799741E" w14:textId="77777777" w:rsidR="003D2AF8" w:rsidRDefault="003D2AF8" w:rsidP="003D2AF8">
      <w:pPr>
        <w:pStyle w:val="Bullet1"/>
      </w:pPr>
      <w:r>
        <w:t>extended vacancy periods, increasing costs and slowing allocations</w:t>
      </w:r>
    </w:p>
    <w:p w14:paraId="650881C1" w14:textId="77777777" w:rsidR="003D2AF8" w:rsidRDefault="003D2AF8" w:rsidP="003D2AF8">
      <w:pPr>
        <w:pStyle w:val="Bullet1"/>
      </w:pPr>
      <w:r>
        <w:t>pressure on service delivery and renters waiting for housing</w:t>
      </w:r>
    </w:p>
    <w:p w14:paraId="1266C7AC" w14:textId="77777777" w:rsidR="003D2AF8" w:rsidRDefault="003D2AF8" w:rsidP="003D2AF8">
      <w:pPr>
        <w:pStyle w:val="Bullet1"/>
      </w:pPr>
      <w:r>
        <w:t>ongoing contractor performance issues if delays are not addressed</w:t>
      </w:r>
    </w:p>
    <w:p w14:paraId="6851057C" w14:textId="0E7E91A3" w:rsidR="001D3130" w:rsidRDefault="001D3130" w:rsidP="003D2AF8">
      <w:pPr>
        <w:pStyle w:val="Heading3"/>
      </w:pPr>
      <w:r w:rsidRPr="001D3130">
        <w:t>Liquidated damages</w:t>
      </w:r>
    </w:p>
    <w:p w14:paraId="7BC343F3" w14:textId="77777777" w:rsidR="003D2AF8" w:rsidRDefault="003D2AF8" w:rsidP="003D2AF8">
      <w:pPr>
        <w:pStyle w:val="Body"/>
      </w:pPr>
      <w:r>
        <w:t>Liquidated damages help hold contractors accountable for delays and recover costs arising from missed deadlines. They may be applied when:</w:t>
      </w:r>
    </w:p>
    <w:p w14:paraId="5D9C9055" w14:textId="6E0DF248" w:rsidR="00054526" w:rsidRDefault="00054526" w:rsidP="00054526">
      <w:pPr>
        <w:pStyle w:val="Bullet1"/>
      </w:pPr>
      <w:r>
        <w:t>the contractor fails to meet contractual completion dates without valid justification</w:t>
      </w:r>
    </w:p>
    <w:p w14:paraId="5A59E97D" w14:textId="77777777" w:rsidR="00054526" w:rsidRDefault="00054526" w:rsidP="00054526">
      <w:pPr>
        <w:pStyle w:val="Bullet1"/>
      </w:pPr>
      <w:r>
        <w:t>delays cause financial loss to the department</w:t>
      </w:r>
    </w:p>
    <w:p w14:paraId="0325EFD6" w14:textId="2814B58F" w:rsidR="00054526" w:rsidRDefault="00054526" w:rsidP="00054526">
      <w:pPr>
        <w:pStyle w:val="Bullet1"/>
      </w:pPr>
      <w:r>
        <w:t>application of damages aligns with the terms and conditions of the contract.</w:t>
      </w:r>
    </w:p>
    <w:p w14:paraId="5C8C7C59" w14:textId="39578F17" w:rsidR="00F00A95" w:rsidRDefault="00F00A95" w:rsidP="00F00A95">
      <w:pPr>
        <w:pStyle w:val="Heading2"/>
      </w:pPr>
      <w:bookmarkStart w:id="12" w:name="_Toc224119168"/>
      <w:r w:rsidRPr="00F00A95">
        <w:t xml:space="preserve">Considerations for </w:t>
      </w:r>
      <w:r>
        <w:t>a</w:t>
      </w:r>
      <w:r w:rsidRPr="00F00A95">
        <w:t xml:space="preserve">pproving </w:t>
      </w:r>
      <w:r>
        <w:t>e</w:t>
      </w:r>
      <w:r w:rsidRPr="00F00A95">
        <w:t xml:space="preserve">xtension </w:t>
      </w:r>
      <w:r>
        <w:t>r</w:t>
      </w:r>
      <w:r w:rsidRPr="00F00A95">
        <w:t>equests</w:t>
      </w:r>
      <w:bookmarkEnd w:id="12"/>
    </w:p>
    <w:p w14:paraId="335DF909" w14:textId="09AFD00E" w:rsidR="00486037" w:rsidRDefault="00486037" w:rsidP="00486037">
      <w:pPr>
        <w:pStyle w:val="Body"/>
      </w:pPr>
      <w:r w:rsidRPr="00486037">
        <w:t xml:space="preserve">When assessing a contractor’s extension request, staff must apply the requirements outlined in the </w:t>
      </w:r>
      <w:r>
        <w:t>following table:</w:t>
      </w:r>
    </w:p>
    <w:p w14:paraId="200AC36B" w14:textId="7E695AD1" w:rsidR="00486037" w:rsidRDefault="00486037" w:rsidP="00486037">
      <w:pPr>
        <w:pStyle w:val="Tablecaption"/>
      </w:pPr>
      <w:r>
        <w:t xml:space="preserve">Table 3: Requirements for </w:t>
      </w:r>
      <w:r w:rsidRPr="00486037">
        <w:t>assessing extension requests</w:t>
      </w:r>
    </w:p>
    <w:tbl>
      <w:tblPr>
        <w:tblStyle w:val="TableGrid"/>
        <w:tblW w:w="0" w:type="auto"/>
        <w:tblLook w:val="04A0" w:firstRow="1" w:lastRow="0" w:firstColumn="1" w:lastColumn="0" w:noHBand="0" w:noVBand="1"/>
      </w:tblPr>
      <w:tblGrid>
        <w:gridCol w:w="2282"/>
        <w:gridCol w:w="7006"/>
      </w:tblGrid>
      <w:tr w:rsidR="00486037" w:rsidRPr="00486037" w14:paraId="3192990F" w14:textId="77777777" w:rsidTr="00F06236">
        <w:trPr>
          <w:tblHeader/>
        </w:trPr>
        <w:tc>
          <w:tcPr>
            <w:tcW w:w="0" w:type="auto"/>
          </w:tcPr>
          <w:p w14:paraId="2947924B" w14:textId="0C8FAEF4" w:rsidR="00486037" w:rsidRPr="00486037" w:rsidRDefault="00486037" w:rsidP="00486037">
            <w:pPr>
              <w:pStyle w:val="Tablecolhead"/>
              <w:rPr>
                <w:lang w:eastAsia="en-AU"/>
              </w:rPr>
            </w:pPr>
            <w:r>
              <w:rPr>
                <w:lang w:eastAsia="en-AU"/>
              </w:rPr>
              <w:t>Requirements</w:t>
            </w:r>
          </w:p>
        </w:tc>
        <w:tc>
          <w:tcPr>
            <w:tcW w:w="0" w:type="auto"/>
          </w:tcPr>
          <w:p w14:paraId="39C40F7A" w14:textId="37F9041C" w:rsidR="00486037" w:rsidRPr="00486037" w:rsidRDefault="00486037" w:rsidP="00486037">
            <w:pPr>
              <w:pStyle w:val="Tablecolhead"/>
              <w:rPr>
                <w:lang w:eastAsia="en-AU"/>
              </w:rPr>
            </w:pPr>
            <w:r>
              <w:rPr>
                <w:lang w:eastAsia="en-AU"/>
              </w:rPr>
              <w:t>Description</w:t>
            </w:r>
          </w:p>
        </w:tc>
      </w:tr>
      <w:tr w:rsidR="00486037" w:rsidRPr="00486037" w14:paraId="6D612339" w14:textId="77777777" w:rsidTr="00486037">
        <w:tc>
          <w:tcPr>
            <w:tcW w:w="0" w:type="auto"/>
            <w:hideMark/>
          </w:tcPr>
          <w:p w14:paraId="19DD69B2" w14:textId="77777777" w:rsidR="00486037" w:rsidRPr="00486037" w:rsidRDefault="00486037" w:rsidP="00486037">
            <w:pPr>
              <w:pStyle w:val="Tabletext"/>
              <w:rPr>
                <w:lang w:eastAsia="en-AU"/>
              </w:rPr>
            </w:pPr>
            <w:r w:rsidRPr="00486037">
              <w:rPr>
                <w:lang w:eastAsia="en-AU"/>
              </w:rPr>
              <w:t>Verify supporting evidence</w:t>
            </w:r>
          </w:p>
        </w:tc>
        <w:tc>
          <w:tcPr>
            <w:tcW w:w="0" w:type="auto"/>
            <w:hideMark/>
          </w:tcPr>
          <w:p w14:paraId="5E2C87C3" w14:textId="77777777" w:rsidR="00486037" w:rsidRPr="00486037" w:rsidRDefault="00486037" w:rsidP="00486037">
            <w:pPr>
              <w:pStyle w:val="Tabletext"/>
              <w:rPr>
                <w:lang w:eastAsia="en-AU"/>
              </w:rPr>
            </w:pPr>
            <w:r w:rsidRPr="00486037">
              <w:rPr>
                <w:lang w:eastAsia="en-AU"/>
              </w:rPr>
              <w:t>Confirm the contractor has provided enough information to explain the delay (e.g. photographs, reports, specialist assessments).</w:t>
            </w:r>
          </w:p>
        </w:tc>
      </w:tr>
      <w:tr w:rsidR="00486037" w:rsidRPr="00486037" w14:paraId="6ABBEF00" w14:textId="77777777" w:rsidTr="00486037">
        <w:tc>
          <w:tcPr>
            <w:tcW w:w="0" w:type="auto"/>
            <w:hideMark/>
          </w:tcPr>
          <w:p w14:paraId="42912450" w14:textId="77777777" w:rsidR="00486037" w:rsidRPr="00486037" w:rsidRDefault="00486037" w:rsidP="00486037">
            <w:pPr>
              <w:pStyle w:val="Tabletext"/>
              <w:rPr>
                <w:lang w:eastAsia="en-AU"/>
              </w:rPr>
            </w:pPr>
            <w:r w:rsidRPr="00486037">
              <w:rPr>
                <w:lang w:eastAsia="en-AU"/>
              </w:rPr>
              <w:t>Consult relevant internal staff</w:t>
            </w:r>
          </w:p>
        </w:tc>
        <w:tc>
          <w:tcPr>
            <w:tcW w:w="0" w:type="auto"/>
            <w:hideMark/>
          </w:tcPr>
          <w:p w14:paraId="552AEC66" w14:textId="60A49E1F" w:rsidR="00486037" w:rsidRPr="00486037" w:rsidRDefault="00486037" w:rsidP="00486037">
            <w:pPr>
              <w:pStyle w:val="Tabletext"/>
              <w:rPr>
                <w:lang w:eastAsia="en-AU"/>
              </w:rPr>
            </w:pPr>
            <w:r w:rsidRPr="00486037">
              <w:rPr>
                <w:lang w:eastAsia="en-AU"/>
              </w:rPr>
              <w:t xml:space="preserve">Seek input from </w:t>
            </w:r>
            <w:r>
              <w:rPr>
                <w:lang w:eastAsia="en-AU"/>
              </w:rPr>
              <w:t>staff</w:t>
            </w:r>
            <w:r w:rsidRPr="00486037">
              <w:rPr>
                <w:lang w:eastAsia="en-AU"/>
              </w:rPr>
              <w:t xml:space="preserve"> such as Field Services Officers to help validate the request and understand site conditions.</w:t>
            </w:r>
          </w:p>
        </w:tc>
      </w:tr>
      <w:tr w:rsidR="00486037" w:rsidRPr="00486037" w14:paraId="69D1D9AA" w14:textId="77777777" w:rsidTr="00486037">
        <w:tc>
          <w:tcPr>
            <w:tcW w:w="0" w:type="auto"/>
            <w:hideMark/>
          </w:tcPr>
          <w:p w14:paraId="46CCCD0F" w14:textId="77777777" w:rsidR="00486037" w:rsidRPr="00486037" w:rsidRDefault="00486037" w:rsidP="00486037">
            <w:pPr>
              <w:pStyle w:val="Tabletext"/>
              <w:rPr>
                <w:lang w:eastAsia="en-AU"/>
              </w:rPr>
            </w:pPr>
            <w:r w:rsidRPr="00486037">
              <w:rPr>
                <w:lang w:eastAsia="en-AU"/>
              </w:rPr>
              <w:lastRenderedPageBreak/>
              <w:t>Record the decision</w:t>
            </w:r>
          </w:p>
        </w:tc>
        <w:tc>
          <w:tcPr>
            <w:tcW w:w="0" w:type="auto"/>
            <w:hideMark/>
          </w:tcPr>
          <w:p w14:paraId="39E38E2B" w14:textId="77777777" w:rsidR="00486037" w:rsidRPr="00486037" w:rsidRDefault="00486037" w:rsidP="00486037">
            <w:pPr>
              <w:pStyle w:val="Tabletext"/>
              <w:rPr>
                <w:lang w:eastAsia="en-AU"/>
              </w:rPr>
            </w:pPr>
            <w:r w:rsidRPr="00486037">
              <w:rPr>
                <w:lang w:eastAsia="en-AU"/>
              </w:rPr>
              <w:t>Document the reasons for approving or declining the request in HiiP Repairs to support transparency, consistency, and auditability.</w:t>
            </w:r>
          </w:p>
        </w:tc>
      </w:tr>
      <w:tr w:rsidR="00486037" w:rsidRPr="00486037" w14:paraId="64AC3DD1" w14:textId="77777777" w:rsidTr="00486037">
        <w:tc>
          <w:tcPr>
            <w:tcW w:w="0" w:type="auto"/>
            <w:hideMark/>
          </w:tcPr>
          <w:p w14:paraId="32984AFD" w14:textId="77777777" w:rsidR="00486037" w:rsidRPr="00486037" w:rsidRDefault="00486037" w:rsidP="00486037">
            <w:pPr>
              <w:pStyle w:val="Tabletext"/>
              <w:rPr>
                <w:lang w:eastAsia="en-AU"/>
              </w:rPr>
            </w:pPr>
            <w:r w:rsidRPr="00486037">
              <w:rPr>
                <w:lang w:eastAsia="en-AU"/>
              </w:rPr>
              <w:t>Manager approval</w:t>
            </w:r>
          </w:p>
        </w:tc>
        <w:tc>
          <w:tcPr>
            <w:tcW w:w="0" w:type="auto"/>
            <w:hideMark/>
          </w:tcPr>
          <w:p w14:paraId="1781ABE5" w14:textId="77777777" w:rsidR="00486037" w:rsidRPr="00486037" w:rsidRDefault="00486037" w:rsidP="00486037">
            <w:pPr>
              <w:pStyle w:val="Tabletext"/>
              <w:rPr>
                <w:lang w:eastAsia="en-AU"/>
              </w:rPr>
            </w:pPr>
            <w:r w:rsidRPr="00486037">
              <w:rPr>
                <w:lang w:eastAsia="en-AU"/>
              </w:rPr>
              <w:t>All extension requests must be approved by Team Managers or equivalent delegated officers.</w:t>
            </w:r>
          </w:p>
        </w:tc>
      </w:tr>
    </w:tbl>
    <w:p w14:paraId="500A8CEF" w14:textId="039DD42B" w:rsidR="00486037" w:rsidRDefault="00486037" w:rsidP="00486037">
      <w:pPr>
        <w:pStyle w:val="Bodyaftertablefigure"/>
      </w:pPr>
      <w:r w:rsidRPr="00486037">
        <w:t>Where delays are not justified, staff must also consider whether liquidated damages should be applied in line with contractual requirements and operational impacts.</w:t>
      </w:r>
    </w:p>
    <w:p w14:paraId="4905B378" w14:textId="725B8B9B" w:rsidR="004F0F40" w:rsidRDefault="004F0F40" w:rsidP="004F0F40">
      <w:pPr>
        <w:pStyle w:val="Heading1"/>
      </w:pPr>
      <w:bookmarkStart w:id="13" w:name="_Toc224119169"/>
      <w:r w:rsidRPr="00486BB9">
        <w:t>Reletting restrictions</w:t>
      </w:r>
      <w:bookmarkEnd w:id="13"/>
      <w:r w:rsidRPr="00486BB9">
        <w:t xml:space="preserve"> </w:t>
      </w:r>
    </w:p>
    <w:p w14:paraId="7AC2D7EF" w14:textId="77777777" w:rsidR="004F0F40" w:rsidRPr="00486BB9" w:rsidRDefault="004F0F40" w:rsidP="004F0F40">
      <w:pPr>
        <w:pStyle w:val="Bodyafterbullets"/>
      </w:pPr>
      <w:r w:rsidRPr="00486BB9">
        <w:t>A reletting restriction is applied to a vacant property in HiiP to prevent it from being offered to new renters. When applied, the property is flagged as unavailable for reletting (vacant untenantable). They are often applied when there are issues that need to be addressed before the property can be re-let, such as:</w:t>
      </w:r>
    </w:p>
    <w:p w14:paraId="1FE2E7C2" w14:textId="1AE5D776" w:rsidR="004F0F40" w:rsidRPr="00486BB9" w:rsidRDefault="001F76F2" w:rsidP="004F0F40">
      <w:pPr>
        <w:pStyle w:val="Bullet1"/>
      </w:pPr>
      <w:r>
        <w:t>g</w:t>
      </w:r>
      <w:r w:rsidR="004F0F40" w:rsidRPr="00486BB9">
        <w:t>oods left behind</w:t>
      </w:r>
    </w:p>
    <w:p w14:paraId="5EE1C1BC" w14:textId="332D591C" w:rsidR="004F0F40" w:rsidRPr="00486BB9" w:rsidRDefault="001F76F2" w:rsidP="004F0F40">
      <w:pPr>
        <w:pStyle w:val="Bullet1"/>
      </w:pPr>
      <w:r>
        <w:t>i</w:t>
      </w:r>
      <w:r w:rsidR="004F0F40" w:rsidRPr="00486BB9">
        <w:t>llegal occupants</w:t>
      </w:r>
    </w:p>
    <w:p w14:paraId="15D23559" w14:textId="07764BDA" w:rsidR="004F0F40" w:rsidRPr="00486BB9" w:rsidRDefault="001F76F2" w:rsidP="004F0F40">
      <w:pPr>
        <w:pStyle w:val="Bullet1"/>
      </w:pPr>
      <w:r>
        <w:t>e</w:t>
      </w:r>
      <w:r w:rsidR="004F0F40" w:rsidRPr="00486BB9">
        <w:t>xtensive maintenance works required</w:t>
      </w:r>
    </w:p>
    <w:p w14:paraId="3C5547F6" w14:textId="5EF208D7" w:rsidR="004F0F40" w:rsidRPr="00486BB9" w:rsidRDefault="001F76F2" w:rsidP="004F0F40">
      <w:pPr>
        <w:pStyle w:val="Bullet1"/>
      </w:pPr>
      <w:r>
        <w:t>s</w:t>
      </w:r>
      <w:r w:rsidR="004F0F40" w:rsidRPr="00486BB9">
        <w:t xml:space="preserve">trategic decisions regarding the property. </w:t>
      </w:r>
    </w:p>
    <w:p w14:paraId="2EB67DC9" w14:textId="7F9FACED" w:rsidR="004F0F40" w:rsidRPr="00486BB9" w:rsidRDefault="001F76F2" w:rsidP="005800E3">
      <w:pPr>
        <w:pStyle w:val="Bodyafterbullets"/>
      </w:pPr>
      <w:r w:rsidRPr="001F76F2">
        <w:t>Applying reletting restrictions helps properties to be flagged appropriately. This process:</w:t>
      </w:r>
    </w:p>
    <w:p w14:paraId="2A04648F" w14:textId="63959614" w:rsidR="004F0F40" w:rsidRPr="00486BB9" w:rsidRDefault="001F76F2" w:rsidP="004F0F40">
      <w:pPr>
        <w:pStyle w:val="Bullet1"/>
      </w:pPr>
      <w:r>
        <w:t>f</w:t>
      </w:r>
      <w:r w:rsidR="004F0F40" w:rsidRPr="00486BB9">
        <w:t>acilitates accurate reporting on asset utilisation</w:t>
      </w:r>
    </w:p>
    <w:p w14:paraId="059281F1" w14:textId="56615FA6" w:rsidR="004F0F40" w:rsidRPr="00486BB9" w:rsidRDefault="001F76F2" w:rsidP="004F0F40">
      <w:pPr>
        <w:pStyle w:val="Bullet1"/>
      </w:pPr>
      <w:r>
        <w:t>p</w:t>
      </w:r>
      <w:r w:rsidR="004F0F40" w:rsidRPr="00486BB9">
        <w:t>rovides visibility into the reasons behind extended vacancies</w:t>
      </w:r>
    </w:p>
    <w:p w14:paraId="608FB2AC" w14:textId="63AE8255" w:rsidR="004F0F40" w:rsidRPr="00486BB9" w:rsidRDefault="001F76F2" w:rsidP="004F0F40">
      <w:pPr>
        <w:pStyle w:val="Bullet1"/>
      </w:pPr>
      <w:r>
        <w:t>h</w:t>
      </w:r>
      <w:r w:rsidR="004F0F40" w:rsidRPr="00486BB9">
        <w:t>elps prioritise property management actions to reduce vacancy periods.</w:t>
      </w:r>
    </w:p>
    <w:p w14:paraId="03C64C33" w14:textId="74111E01" w:rsidR="004F0F40" w:rsidRPr="00486BB9" w:rsidRDefault="001F76F2" w:rsidP="005800E3">
      <w:pPr>
        <w:pStyle w:val="Bodyafterbullets"/>
      </w:pPr>
      <w:r w:rsidRPr="001F76F2">
        <w:t xml:space="preserve">While most reletting restrictions are managed locally, </w:t>
      </w:r>
      <w:r w:rsidR="005800E3">
        <w:t xml:space="preserve">Homes Victorias </w:t>
      </w:r>
      <w:r w:rsidRPr="001F76F2">
        <w:t>Asset Management</w:t>
      </w:r>
      <w:r w:rsidR="005800E3">
        <w:t xml:space="preserve"> Branch, </w:t>
      </w:r>
      <w:r w:rsidR="005800E3" w:rsidRPr="001F76F2">
        <w:t>also</w:t>
      </w:r>
      <w:r w:rsidRPr="001F76F2">
        <w:t xml:space="preserve"> apply reletting restrictions to support:</w:t>
      </w:r>
    </w:p>
    <w:p w14:paraId="69660097" w14:textId="5B732973" w:rsidR="004F0F40" w:rsidRPr="00486BB9" w:rsidRDefault="001F76F2" w:rsidP="004F0F40">
      <w:pPr>
        <w:pStyle w:val="Bullet1"/>
      </w:pPr>
      <w:r>
        <w:t>c</w:t>
      </w:r>
      <w:r w:rsidR="004F0F40" w:rsidRPr="00486BB9">
        <w:t>apital planning</w:t>
      </w:r>
    </w:p>
    <w:p w14:paraId="09318650" w14:textId="571F62B7" w:rsidR="004F0F40" w:rsidRPr="00486BB9" w:rsidRDefault="001F76F2" w:rsidP="004F0F40">
      <w:pPr>
        <w:pStyle w:val="Bullet1"/>
      </w:pPr>
      <w:r>
        <w:t>p</w:t>
      </w:r>
      <w:r w:rsidR="004F0F40" w:rsidRPr="00486BB9">
        <w:t>roperty strategy</w:t>
      </w:r>
    </w:p>
    <w:p w14:paraId="4BFA5C4A" w14:textId="247E3711" w:rsidR="004F0F40" w:rsidRPr="00486BB9" w:rsidRDefault="001F76F2" w:rsidP="004F0F40">
      <w:pPr>
        <w:pStyle w:val="Bullet1"/>
      </w:pPr>
      <w:r>
        <w:t>c</w:t>
      </w:r>
      <w:r w:rsidR="004F0F40" w:rsidRPr="00486BB9">
        <w:t>ompliance works.</w:t>
      </w:r>
    </w:p>
    <w:p w14:paraId="5EB369AF" w14:textId="617E0358" w:rsidR="004F0F40" w:rsidRPr="00486BB9" w:rsidRDefault="004F0F40" w:rsidP="004F0F40">
      <w:pPr>
        <w:pStyle w:val="Bodyafterbullets"/>
      </w:pPr>
      <w:r w:rsidRPr="00486BB9">
        <w:t xml:space="preserve">For more information on </w:t>
      </w:r>
      <w:r w:rsidR="005800E3">
        <w:t>Asset Management Branch</w:t>
      </w:r>
      <w:r w:rsidR="00CD7359">
        <w:t>’</w:t>
      </w:r>
      <w:r w:rsidR="005800E3">
        <w:t>s</w:t>
      </w:r>
      <w:r w:rsidRPr="00486BB9">
        <w:t xml:space="preserve"> involvement in reletting restriction management, including oversight and approval, </w:t>
      </w:r>
      <w:r w:rsidRPr="004B5ECD">
        <w:t>refer to</w:t>
      </w:r>
      <w:r w:rsidR="003A559A" w:rsidRPr="004B5ECD">
        <w:t xml:space="preserve"> </w:t>
      </w:r>
      <w:hyperlink w:anchor="_Reletting_restrictions_1" w:history="1">
        <w:r w:rsidR="00E06191" w:rsidRPr="00897FE2">
          <w:rPr>
            <w:rStyle w:val="Hyperlink"/>
          </w:rPr>
          <w:t xml:space="preserve">Section </w:t>
        </w:r>
        <w:r w:rsidR="00897FE2" w:rsidRPr="00897FE2">
          <w:rPr>
            <w:rStyle w:val="Hyperlink"/>
          </w:rPr>
          <w:t>10</w:t>
        </w:r>
        <w:r w:rsidR="004B5ECD" w:rsidRPr="00897FE2">
          <w:rPr>
            <w:rStyle w:val="Hyperlink"/>
          </w:rPr>
          <w:t>.3</w:t>
        </w:r>
        <w:r w:rsidR="00E06191" w:rsidRPr="00897FE2">
          <w:rPr>
            <w:rStyle w:val="Hyperlink"/>
          </w:rPr>
          <w:t xml:space="preserve"> Reletting restrictions</w:t>
        </w:r>
        <w:r w:rsidR="0078546D" w:rsidRPr="00897FE2">
          <w:rPr>
            <w:rStyle w:val="Hyperlink"/>
          </w:rPr>
          <w:t xml:space="preserve"> and vacancy management</w:t>
        </w:r>
        <w:r w:rsidR="00E06191" w:rsidRPr="00897FE2">
          <w:rPr>
            <w:rStyle w:val="Hyperlink"/>
          </w:rPr>
          <w:t>.</w:t>
        </w:r>
      </w:hyperlink>
    </w:p>
    <w:p w14:paraId="23EA4082" w14:textId="23DFD8E2" w:rsidR="004F0F40" w:rsidRPr="00486BB9" w:rsidRDefault="004F0F40" w:rsidP="004F0F40">
      <w:pPr>
        <w:pStyle w:val="Body"/>
      </w:pPr>
      <w:r w:rsidRPr="00B606E2">
        <w:t xml:space="preserve">For a complete list of reletting restriction types and associated delegates, refer to the Reletting Restriction Matrix available on the Public Housing Resources SharePoint, </w:t>
      </w:r>
      <w:hyperlink r:id="rId25" w:history="1">
        <w:r w:rsidR="008A331D" w:rsidRPr="005800E3">
          <w:rPr>
            <w:rStyle w:val="Hyperlink"/>
          </w:rPr>
          <w:t>Vacants</w:t>
        </w:r>
        <w:r w:rsidRPr="005800E3">
          <w:rPr>
            <w:rStyle w:val="Hyperlink"/>
          </w:rPr>
          <w:t xml:space="preserve"> page</w:t>
        </w:r>
      </w:hyperlink>
      <w:r w:rsidR="0002042C">
        <w:t xml:space="preserve"> (internal link)</w:t>
      </w:r>
      <w:r w:rsidR="005800E3">
        <w:t xml:space="preserve"> </w:t>
      </w:r>
      <w:r w:rsidR="008A331D" w:rsidRPr="00B606E2">
        <w:t>https://dhhsvicgovau.sharepoint.com/sites/Publichousingresources/SitePages/vacants.aspx</w:t>
      </w:r>
      <w:r w:rsidRPr="00B606E2">
        <w:t>.</w:t>
      </w:r>
    </w:p>
    <w:p w14:paraId="6CB97E36" w14:textId="4EED66A4" w:rsidR="004F0F40" w:rsidRPr="00486BB9" w:rsidRDefault="005F0913" w:rsidP="004F0F40">
      <w:pPr>
        <w:pStyle w:val="Heading2"/>
      </w:pPr>
      <w:bookmarkStart w:id="14" w:name="_Toc224119170"/>
      <w:r>
        <w:t>General manager</w:t>
      </w:r>
      <w:r w:rsidR="004F0F40" w:rsidRPr="00486BB9">
        <w:t xml:space="preserve"> oversight</w:t>
      </w:r>
      <w:bookmarkEnd w:id="14"/>
    </w:p>
    <w:p w14:paraId="232BC64B" w14:textId="3D5A10F1" w:rsidR="004F0F40" w:rsidRPr="00486BB9" w:rsidRDefault="004F0F40" w:rsidP="004F0F40">
      <w:pPr>
        <w:pStyle w:val="Body"/>
      </w:pPr>
      <w:r w:rsidRPr="00486BB9">
        <w:t xml:space="preserve">Team Managers, Client Support and Housing Services </w:t>
      </w:r>
      <w:r>
        <w:t xml:space="preserve">(CSHS) </w:t>
      </w:r>
      <w:r w:rsidRPr="00486BB9">
        <w:t xml:space="preserve">Managers, or their equivalents, are responsible for regularly overseeing the application and use of reletting restrictions to </w:t>
      </w:r>
      <w:r w:rsidR="005800E3">
        <w:t>support</w:t>
      </w:r>
      <w:r w:rsidRPr="00486BB9">
        <w:t>:</w:t>
      </w:r>
    </w:p>
    <w:p w14:paraId="6162FBA4" w14:textId="40CBB6BE" w:rsidR="004F0F40" w:rsidRPr="00486BB9" w:rsidRDefault="005800E3" w:rsidP="004F0F40">
      <w:pPr>
        <w:pStyle w:val="Bullet1"/>
      </w:pPr>
      <w:r>
        <w:t>a</w:t>
      </w:r>
      <w:r w:rsidR="004F0F40" w:rsidRPr="00486BB9">
        <w:t>ccountability</w:t>
      </w:r>
    </w:p>
    <w:p w14:paraId="2D5CBEF6" w14:textId="2A5C2394" w:rsidR="004F0F40" w:rsidRPr="00486BB9" w:rsidRDefault="005800E3" w:rsidP="004F0F40">
      <w:pPr>
        <w:pStyle w:val="Bullet1"/>
      </w:pPr>
      <w:r>
        <w:t>e</w:t>
      </w:r>
      <w:r w:rsidR="004F0F40" w:rsidRPr="00486BB9">
        <w:t>fficiency</w:t>
      </w:r>
    </w:p>
    <w:p w14:paraId="5A16AAEC" w14:textId="0F10523E" w:rsidR="004F0F40" w:rsidRPr="00486BB9" w:rsidRDefault="005800E3" w:rsidP="004F0F40">
      <w:pPr>
        <w:pStyle w:val="Bullet1"/>
      </w:pPr>
      <w:r>
        <w:t>a</w:t>
      </w:r>
      <w:r w:rsidR="004F0F40" w:rsidRPr="00486BB9">
        <w:t>chievement of KPI targets.</w:t>
      </w:r>
    </w:p>
    <w:p w14:paraId="32A80B7B" w14:textId="77777777" w:rsidR="004F0F40" w:rsidRPr="00486BB9" w:rsidRDefault="004F0F40" w:rsidP="004F0F40">
      <w:pPr>
        <w:pStyle w:val="Bodyafterbullets"/>
      </w:pPr>
      <w:r w:rsidRPr="00486BB9">
        <w:t>The frequency of oversight should range from daily to weekly, depending on the volume of property vacancies at the local office. Oversight activities include:</w:t>
      </w:r>
    </w:p>
    <w:p w14:paraId="73CD4F2A" w14:textId="45436C39" w:rsidR="004F0F40" w:rsidRPr="00486BB9" w:rsidRDefault="005800E3" w:rsidP="004F0F40">
      <w:pPr>
        <w:pStyle w:val="Bullet1"/>
      </w:pPr>
      <w:r>
        <w:lastRenderedPageBreak/>
        <w:t>t</w:t>
      </w:r>
      <w:r w:rsidR="004F0F40" w:rsidRPr="00486BB9">
        <w:t>racking approval requests, expiry dates, and extension requests</w:t>
      </w:r>
    </w:p>
    <w:p w14:paraId="2662E42A" w14:textId="6CF335B0" w:rsidR="004F0F40" w:rsidRPr="00486BB9" w:rsidRDefault="005800E3" w:rsidP="004F0F40">
      <w:pPr>
        <w:pStyle w:val="Bullet1"/>
      </w:pPr>
      <w:r>
        <w:t>r</w:t>
      </w:r>
      <w:r w:rsidR="004F0F40" w:rsidRPr="00486BB9">
        <w:t xml:space="preserve">eviewing reletting restrictions to </w:t>
      </w:r>
      <w:r w:rsidR="00F331E1">
        <w:t>confirm</w:t>
      </w:r>
      <w:r w:rsidR="004F0F40" w:rsidRPr="00486BB9">
        <w:t xml:space="preserve"> they remain appropriate and effectively utilised</w:t>
      </w:r>
    </w:p>
    <w:p w14:paraId="3AD7D3EF" w14:textId="2ED2B648" w:rsidR="004F0F40" w:rsidRPr="00486BB9" w:rsidRDefault="005800E3" w:rsidP="004F0F40">
      <w:pPr>
        <w:pStyle w:val="Bullet1"/>
      </w:pPr>
      <w:r>
        <w:t>r</w:t>
      </w:r>
      <w:r w:rsidR="004F0F40" w:rsidRPr="00486BB9">
        <w:t>emoving reletting restrictions when properties are ready to be re-let.</w:t>
      </w:r>
    </w:p>
    <w:p w14:paraId="04EA45E7" w14:textId="273D7076" w:rsidR="004F0F40" w:rsidRPr="00486BB9" w:rsidRDefault="004F0F40" w:rsidP="00D274E8">
      <w:pPr>
        <w:pStyle w:val="Heading2"/>
      </w:pPr>
      <w:bookmarkStart w:id="15" w:name="_Toc224119171"/>
      <w:r w:rsidRPr="00486BB9">
        <w:t xml:space="preserve">HiiP </w:t>
      </w:r>
      <w:r w:rsidR="008F46AD">
        <w:t>tenancy task list</w:t>
      </w:r>
      <w:bookmarkEnd w:id="15"/>
    </w:p>
    <w:p w14:paraId="2A886CBC" w14:textId="50530B36" w:rsidR="004F0F40" w:rsidRPr="00486BB9" w:rsidRDefault="004F0F40" w:rsidP="004F0F40">
      <w:pPr>
        <w:pStyle w:val="Body"/>
      </w:pPr>
      <w:proofErr w:type="spellStart"/>
      <w:r w:rsidRPr="00486BB9">
        <w:t>HiiP</w:t>
      </w:r>
      <w:r w:rsidR="005B1619">
        <w:t>s</w:t>
      </w:r>
      <w:proofErr w:type="spellEnd"/>
      <w:r w:rsidRPr="00486BB9">
        <w:t xml:space="preserve"> </w:t>
      </w:r>
      <w:r w:rsidR="005B1619">
        <w:t>tenancy task list</w:t>
      </w:r>
      <w:r w:rsidRPr="00486BB9">
        <w:t xml:space="preserve"> automates and manages housing processes by directing tasks through defined workflows. It streamlines operations like property information handling by integrating data and assigning tasks to staff. This </w:t>
      </w:r>
      <w:r w:rsidR="002C4DFB">
        <w:t>function</w:t>
      </w:r>
      <w:r w:rsidRPr="00486BB9">
        <w:t>:</w:t>
      </w:r>
    </w:p>
    <w:p w14:paraId="3FDE7416" w14:textId="598F3AF8" w:rsidR="004F0F40" w:rsidRPr="00486BB9" w:rsidRDefault="00F27BD3" w:rsidP="004F0F40">
      <w:pPr>
        <w:pStyle w:val="Bullet1"/>
      </w:pPr>
      <w:r>
        <w:t>s</w:t>
      </w:r>
      <w:r w:rsidR="004F0F40" w:rsidRPr="00486BB9">
        <w:t xml:space="preserve">upports role-based access, and </w:t>
      </w:r>
    </w:p>
    <w:p w14:paraId="54184B8E" w14:textId="3D146F02" w:rsidR="004F0F40" w:rsidRPr="00486BB9" w:rsidRDefault="00F27BD3" w:rsidP="004F0F40">
      <w:pPr>
        <w:pStyle w:val="Bullet1"/>
      </w:pPr>
      <w:r>
        <w:t>f</w:t>
      </w:r>
      <w:r w:rsidR="00256010" w:rsidRPr="00256010">
        <w:t>acilitates timely notifications and approvals, with escalations appearing in the tenancy task list for staff action.</w:t>
      </w:r>
    </w:p>
    <w:p w14:paraId="43175F14" w14:textId="350F2F73" w:rsidR="004F0F40" w:rsidRPr="00D6019F" w:rsidRDefault="009E03D5" w:rsidP="004F0F40">
      <w:pPr>
        <w:pStyle w:val="Bodyafterbullets"/>
      </w:pPr>
      <w:r>
        <w:t xml:space="preserve">The </w:t>
      </w:r>
      <w:r w:rsidR="00256010">
        <w:t>task list</w:t>
      </w:r>
      <w:r w:rsidR="004F0F40" w:rsidRPr="00D6019F">
        <w:t xml:space="preserve"> support</w:t>
      </w:r>
      <w:r w:rsidR="002C5EF6">
        <w:t>s</w:t>
      </w:r>
      <w:r w:rsidR="004F0F40" w:rsidRPr="00D6019F">
        <w:t xml:space="preserve"> reletting restriction management by automatically sending email notifications to the local office’s general mailbox when a reletting restriction is:</w:t>
      </w:r>
    </w:p>
    <w:p w14:paraId="72A74998" w14:textId="3BF37F39" w:rsidR="004F0F40" w:rsidRPr="00486BB9" w:rsidRDefault="00F27BD3" w:rsidP="004F0F40">
      <w:pPr>
        <w:pStyle w:val="Bullet1"/>
      </w:pPr>
      <w:r>
        <w:t>c</w:t>
      </w:r>
      <w:r w:rsidR="004F0F40" w:rsidRPr="00486BB9">
        <w:t xml:space="preserve">losed off in HiiP </w:t>
      </w:r>
    </w:p>
    <w:p w14:paraId="16BF496D" w14:textId="358E8498" w:rsidR="004F0F40" w:rsidRPr="00486BB9" w:rsidRDefault="004F0F40" w:rsidP="004F0F40">
      <w:pPr>
        <w:pStyle w:val="Bullet2"/>
      </w:pPr>
      <w:r w:rsidRPr="00486BB9">
        <w:t>(</w:t>
      </w:r>
      <w:r w:rsidR="00F27BD3">
        <w:t>e</w:t>
      </w:r>
      <w:r w:rsidRPr="00486BB9">
        <w:t>nd-dating</w:t>
      </w:r>
      <w:r w:rsidR="00256010">
        <w:t xml:space="preserve"> </w:t>
      </w:r>
      <w:r w:rsidRPr="00486BB9">
        <w:t xml:space="preserve">does not </w:t>
      </w:r>
      <w:r w:rsidR="00256010">
        <w:t>close</w:t>
      </w:r>
      <w:r w:rsidRPr="00486BB9">
        <w:t xml:space="preserve"> a reletting restriction)</w:t>
      </w:r>
    </w:p>
    <w:p w14:paraId="4370A227" w14:textId="00519CDC" w:rsidR="004F0F40" w:rsidRPr="00486BB9" w:rsidRDefault="00F27BD3" w:rsidP="004F0F40">
      <w:pPr>
        <w:pStyle w:val="Bullet1"/>
      </w:pPr>
      <w:r>
        <w:t>w</w:t>
      </w:r>
      <w:r w:rsidR="004F0F40" w:rsidRPr="00486BB9">
        <w:t>ithdrawn (cancelled)</w:t>
      </w:r>
    </w:p>
    <w:p w14:paraId="53099DEA" w14:textId="25C7DC11" w:rsidR="004F0F40" w:rsidRPr="00486BB9" w:rsidRDefault="00F27BD3" w:rsidP="004F0F40">
      <w:pPr>
        <w:pStyle w:val="Bullet1"/>
      </w:pPr>
      <w:r>
        <w:t>r</w:t>
      </w:r>
      <w:r w:rsidR="004F0F40" w:rsidRPr="00486BB9">
        <w:t>ejected by Asset Management</w:t>
      </w:r>
    </w:p>
    <w:p w14:paraId="32FBFB7E" w14:textId="11FC2DD4" w:rsidR="004F0F40" w:rsidRPr="00486BB9" w:rsidRDefault="00F27BD3" w:rsidP="004F0F40">
      <w:pPr>
        <w:pStyle w:val="Bullet1"/>
      </w:pPr>
      <w:r>
        <w:t>a</w:t>
      </w:r>
      <w:r w:rsidR="004F0F40" w:rsidRPr="00486BB9">
        <w:t>pproaching expiry (five days prior).</w:t>
      </w:r>
    </w:p>
    <w:p w14:paraId="07EBD051" w14:textId="40ACBD15" w:rsidR="004F0F40" w:rsidRDefault="00B66169" w:rsidP="004F0F40">
      <w:pPr>
        <w:pStyle w:val="Bodyafterbullets"/>
      </w:pPr>
      <w:r w:rsidRPr="00B66169">
        <w:t>Staff responsible for managing office emails must promptly forward them to authori</w:t>
      </w:r>
      <w:r>
        <w:t>s</w:t>
      </w:r>
      <w:r w:rsidRPr="00B66169">
        <w:t>ed delegates to ensure timely action.</w:t>
      </w:r>
    </w:p>
    <w:p w14:paraId="529E6D46" w14:textId="6595E8C1" w:rsidR="005179D6" w:rsidRDefault="00DE2F9F" w:rsidP="00AF4ECB">
      <w:pPr>
        <w:pStyle w:val="Heading1"/>
      </w:pPr>
      <w:bookmarkStart w:id="16" w:name="_Asset_Management_oversight"/>
      <w:bookmarkStart w:id="17" w:name="_Toc224119172"/>
      <w:bookmarkEnd w:id="16"/>
      <w:r>
        <w:t xml:space="preserve">Vacant </w:t>
      </w:r>
      <w:r w:rsidR="00817801">
        <w:t>u</w:t>
      </w:r>
      <w:r>
        <w:t xml:space="preserve">nit </w:t>
      </w:r>
      <w:r w:rsidR="00817801">
        <w:t>w</w:t>
      </w:r>
      <w:r>
        <w:t>ork</w:t>
      </w:r>
      <w:bookmarkEnd w:id="17"/>
    </w:p>
    <w:p w14:paraId="060C590D" w14:textId="7BCAF218" w:rsidR="001553CB" w:rsidRDefault="001553CB" w:rsidP="001553CB">
      <w:pPr>
        <w:pStyle w:val="Heading2"/>
      </w:pPr>
      <w:bookmarkStart w:id="18" w:name="_Toc224119173"/>
      <w:r>
        <w:t xml:space="preserve">Mandatory </w:t>
      </w:r>
      <w:r w:rsidR="00272B4B">
        <w:t>lock changes</w:t>
      </w:r>
      <w:bookmarkEnd w:id="18"/>
    </w:p>
    <w:p w14:paraId="12267E73" w14:textId="55DF05B9" w:rsidR="00587349" w:rsidRDefault="00587349" w:rsidP="000E4719">
      <w:pPr>
        <w:pStyle w:val="Body"/>
        <w:rPr>
          <w:b/>
        </w:rPr>
      </w:pPr>
      <w:r w:rsidRPr="00587349">
        <w:t xml:space="preserve">Changing the locks is a mandatory requirement for every vacant unit to ensure the property's security and safety. This practice is not only a best practice but also a regulatory requirement aimed at protecting </w:t>
      </w:r>
      <w:r>
        <w:rPr>
          <w:b/>
        </w:rPr>
        <w:t>renter</w:t>
      </w:r>
      <w:r w:rsidRPr="00587349">
        <w:t xml:space="preserve"> safety. The following table outlines the SOR codes associated with the mandatory lock change work:</w:t>
      </w:r>
    </w:p>
    <w:p w14:paraId="558AA9A2" w14:textId="456CF88E" w:rsidR="006338D3" w:rsidRPr="006338D3" w:rsidRDefault="006338D3" w:rsidP="006338D3">
      <w:pPr>
        <w:pStyle w:val="Tablecaption"/>
      </w:pPr>
      <w:r>
        <w:t xml:space="preserve">Table </w:t>
      </w:r>
      <w:r w:rsidR="00BE25A2">
        <w:t>4</w:t>
      </w:r>
      <w:r>
        <w:t xml:space="preserve">: Mandatory </w:t>
      </w:r>
      <w:r w:rsidR="00575710">
        <w:t>changing of locks SOR codes</w:t>
      </w:r>
    </w:p>
    <w:tbl>
      <w:tblPr>
        <w:tblStyle w:val="TableGrid"/>
        <w:tblW w:w="0" w:type="auto"/>
        <w:tblLook w:val="04A0" w:firstRow="1" w:lastRow="0" w:firstColumn="1" w:lastColumn="0" w:noHBand="0" w:noVBand="1"/>
      </w:tblPr>
      <w:tblGrid>
        <w:gridCol w:w="1584"/>
        <w:gridCol w:w="1388"/>
        <w:gridCol w:w="6316"/>
      </w:tblGrid>
      <w:tr w:rsidR="006338D3" w14:paraId="6A7EF910" w14:textId="77777777" w:rsidTr="00F06236">
        <w:trPr>
          <w:tblHeader/>
        </w:trPr>
        <w:tc>
          <w:tcPr>
            <w:tcW w:w="1584" w:type="dxa"/>
          </w:tcPr>
          <w:p w14:paraId="1CE91640" w14:textId="74A55B05" w:rsidR="006338D3" w:rsidRDefault="006338D3" w:rsidP="00AB400A">
            <w:pPr>
              <w:pStyle w:val="Tablecolhead"/>
            </w:pPr>
            <w:r>
              <w:t>Location</w:t>
            </w:r>
          </w:p>
        </w:tc>
        <w:tc>
          <w:tcPr>
            <w:tcW w:w="1388" w:type="dxa"/>
          </w:tcPr>
          <w:p w14:paraId="7BD47CC6" w14:textId="2B920C28" w:rsidR="006338D3" w:rsidRDefault="006338D3" w:rsidP="00AB400A">
            <w:pPr>
              <w:pStyle w:val="Tablecolhead"/>
            </w:pPr>
            <w:r>
              <w:t>SOR code</w:t>
            </w:r>
          </w:p>
        </w:tc>
        <w:tc>
          <w:tcPr>
            <w:tcW w:w="6316" w:type="dxa"/>
          </w:tcPr>
          <w:p w14:paraId="21C3AADF" w14:textId="227CD02D" w:rsidR="006338D3" w:rsidRDefault="006338D3" w:rsidP="00AB400A">
            <w:pPr>
              <w:pStyle w:val="Tablecolhead"/>
            </w:pPr>
            <w:r>
              <w:t>Description</w:t>
            </w:r>
          </w:p>
        </w:tc>
      </w:tr>
      <w:tr w:rsidR="006338D3" w14:paraId="159ED727" w14:textId="77777777" w:rsidTr="006338D3">
        <w:tc>
          <w:tcPr>
            <w:tcW w:w="1584" w:type="dxa"/>
          </w:tcPr>
          <w:p w14:paraId="49981712" w14:textId="4ED18FCE" w:rsidR="006338D3" w:rsidRPr="006338D3" w:rsidRDefault="006338D3" w:rsidP="006338D3">
            <w:pPr>
              <w:pStyle w:val="Tabletext"/>
            </w:pPr>
            <w:r w:rsidRPr="006338D3">
              <w:t>Front Door</w:t>
            </w:r>
          </w:p>
        </w:tc>
        <w:tc>
          <w:tcPr>
            <w:tcW w:w="1388" w:type="dxa"/>
            <w:vAlign w:val="center"/>
          </w:tcPr>
          <w:p w14:paraId="70CE1B26" w14:textId="081C87F2" w:rsidR="006338D3" w:rsidRPr="006338D3" w:rsidRDefault="006338D3" w:rsidP="006338D3">
            <w:pPr>
              <w:pStyle w:val="Tabletext"/>
            </w:pPr>
            <w:r w:rsidRPr="006338D3">
              <w:t>GH055</w:t>
            </w:r>
          </w:p>
        </w:tc>
        <w:tc>
          <w:tcPr>
            <w:tcW w:w="6316" w:type="dxa"/>
            <w:vAlign w:val="center"/>
          </w:tcPr>
          <w:p w14:paraId="2DF470F9" w14:textId="02C90F72" w:rsidR="006338D3" w:rsidRPr="006338D3" w:rsidRDefault="006338D3" w:rsidP="006338D3">
            <w:pPr>
              <w:pStyle w:val="Tabletext"/>
            </w:pPr>
            <w:r w:rsidRPr="006338D3">
              <w:t>Re-pin 1 x cylinder &amp; supply 2 keys alike (for all external doors)</w:t>
            </w:r>
          </w:p>
        </w:tc>
      </w:tr>
      <w:tr w:rsidR="006338D3" w14:paraId="549CE34B" w14:textId="77777777" w:rsidTr="006338D3">
        <w:tc>
          <w:tcPr>
            <w:tcW w:w="1584" w:type="dxa"/>
          </w:tcPr>
          <w:p w14:paraId="624CB02E" w14:textId="74202799" w:rsidR="006338D3" w:rsidRPr="006338D3" w:rsidRDefault="006338D3" w:rsidP="006338D3">
            <w:pPr>
              <w:pStyle w:val="Tabletext"/>
            </w:pPr>
            <w:r w:rsidRPr="006338D3">
              <w:t>Other Doors</w:t>
            </w:r>
          </w:p>
        </w:tc>
        <w:tc>
          <w:tcPr>
            <w:tcW w:w="1388" w:type="dxa"/>
            <w:vAlign w:val="center"/>
          </w:tcPr>
          <w:p w14:paraId="4EF1B691" w14:textId="3EB5DF84" w:rsidR="006338D3" w:rsidRPr="006338D3" w:rsidRDefault="006338D3" w:rsidP="006338D3">
            <w:pPr>
              <w:pStyle w:val="Tabletext"/>
            </w:pPr>
            <w:r w:rsidRPr="006338D3">
              <w:t>GH056</w:t>
            </w:r>
          </w:p>
        </w:tc>
        <w:tc>
          <w:tcPr>
            <w:tcW w:w="6316" w:type="dxa"/>
            <w:vAlign w:val="center"/>
          </w:tcPr>
          <w:p w14:paraId="29F5C540" w14:textId="32164633" w:rsidR="006338D3" w:rsidRPr="006338D3" w:rsidRDefault="006338D3" w:rsidP="006338D3">
            <w:pPr>
              <w:pStyle w:val="Tabletext"/>
            </w:pPr>
            <w:r w:rsidRPr="006338D3">
              <w:t>Re-pin cylinders to other doors</w:t>
            </w:r>
          </w:p>
        </w:tc>
      </w:tr>
    </w:tbl>
    <w:p w14:paraId="3459F2D6" w14:textId="7892A9ED" w:rsidR="00131CC0" w:rsidRPr="00131CC0" w:rsidRDefault="00667F42" w:rsidP="00131CC0">
      <w:pPr>
        <w:pStyle w:val="Heading2"/>
      </w:pPr>
      <w:bookmarkStart w:id="19" w:name="_Toc224119174"/>
      <w:r>
        <w:t xml:space="preserve">RTA </w:t>
      </w:r>
      <w:r w:rsidR="00C57F93">
        <w:t>s</w:t>
      </w:r>
      <w:r w:rsidR="005212D2">
        <w:t>afety checks</w:t>
      </w:r>
      <w:bookmarkEnd w:id="19"/>
    </w:p>
    <w:p w14:paraId="0A906D46" w14:textId="455310EF" w:rsidR="00FE2EE3" w:rsidRPr="00FE2EE3" w:rsidRDefault="00667F42" w:rsidP="00131CC0">
      <w:pPr>
        <w:pStyle w:val="Body"/>
        <w:divId w:val="56633697"/>
        <w:rPr>
          <w:lang w:eastAsia="en-GB"/>
        </w:rPr>
      </w:pPr>
      <w:r>
        <w:rPr>
          <w:lang w:eastAsia="en-GB"/>
        </w:rPr>
        <w:t xml:space="preserve">RTA </w:t>
      </w:r>
      <w:r w:rsidR="00FE2EE3" w:rsidRPr="00FE2EE3">
        <w:rPr>
          <w:lang w:eastAsia="en-GB"/>
        </w:rPr>
        <w:t>Safety checks are not a legislated requirement for vacant unit works. However, as part of the vacant unit inspection, staff must check for:</w:t>
      </w:r>
    </w:p>
    <w:p w14:paraId="582531DD" w14:textId="77777777" w:rsidR="006049AA" w:rsidRDefault="00FA5E38" w:rsidP="0057008A">
      <w:pPr>
        <w:pStyle w:val="Bullet1"/>
        <w:divId w:val="56633697"/>
        <w:rPr>
          <w:lang w:eastAsia="en-GB"/>
        </w:rPr>
      </w:pPr>
      <w:r>
        <w:rPr>
          <w:lang w:eastAsia="en-GB"/>
        </w:rPr>
        <w:t xml:space="preserve">The </w:t>
      </w:r>
      <w:r w:rsidR="003B7714">
        <w:rPr>
          <w:lang w:eastAsia="en-GB"/>
        </w:rPr>
        <w:t xml:space="preserve">operational </w:t>
      </w:r>
      <w:r>
        <w:rPr>
          <w:lang w:eastAsia="en-GB"/>
        </w:rPr>
        <w:t xml:space="preserve">functionality </w:t>
      </w:r>
      <w:r w:rsidR="004A6221">
        <w:rPr>
          <w:lang w:eastAsia="en-GB"/>
        </w:rPr>
        <w:t>for all</w:t>
      </w:r>
      <w:r w:rsidR="006049AA">
        <w:rPr>
          <w:lang w:eastAsia="en-GB"/>
        </w:rPr>
        <w:t>:</w:t>
      </w:r>
    </w:p>
    <w:p w14:paraId="5388CB42" w14:textId="4A78103A" w:rsidR="00234FD1" w:rsidRDefault="00787803" w:rsidP="006049AA">
      <w:pPr>
        <w:pStyle w:val="Bullet2"/>
        <w:divId w:val="56633697"/>
        <w:rPr>
          <w:lang w:eastAsia="en-GB"/>
        </w:rPr>
      </w:pPr>
      <w:r>
        <w:rPr>
          <w:lang w:eastAsia="en-GB"/>
        </w:rPr>
        <w:t>a</w:t>
      </w:r>
      <w:r w:rsidR="00FE2EE3" w:rsidRPr="00FE2EE3">
        <w:rPr>
          <w:lang w:eastAsia="en-GB"/>
        </w:rPr>
        <w:t>ppliances, safety devices, and energy supply systems</w:t>
      </w:r>
      <w:r w:rsidR="006049AA">
        <w:rPr>
          <w:lang w:eastAsia="en-GB"/>
        </w:rPr>
        <w:t>, such as:</w:t>
      </w:r>
    </w:p>
    <w:p w14:paraId="0A5119E0" w14:textId="3199028D" w:rsidR="006049AA" w:rsidRDefault="00787803" w:rsidP="00234FD1">
      <w:pPr>
        <w:pStyle w:val="Bullet2"/>
        <w:divId w:val="56633697"/>
        <w:rPr>
          <w:lang w:eastAsia="en-GB"/>
        </w:rPr>
      </w:pPr>
      <w:r>
        <w:rPr>
          <w:lang w:eastAsia="en-GB"/>
        </w:rPr>
        <w:t>s</w:t>
      </w:r>
      <w:r w:rsidR="00FE2EE3" w:rsidRPr="00FE2EE3">
        <w:rPr>
          <w:lang w:eastAsia="en-GB"/>
        </w:rPr>
        <w:t>moke alarms</w:t>
      </w:r>
    </w:p>
    <w:p w14:paraId="1BBF33F1" w14:textId="62C26C79" w:rsidR="006049AA" w:rsidRDefault="00787803" w:rsidP="00234FD1">
      <w:pPr>
        <w:pStyle w:val="Bullet2"/>
        <w:divId w:val="56633697"/>
        <w:rPr>
          <w:lang w:eastAsia="en-GB"/>
        </w:rPr>
      </w:pPr>
      <w:r>
        <w:rPr>
          <w:lang w:eastAsia="en-GB"/>
        </w:rPr>
        <w:t>c</w:t>
      </w:r>
      <w:r w:rsidR="00EF2326">
        <w:rPr>
          <w:lang w:eastAsia="en-GB"/>
        </w:rPr>
        <w:t xml:space="preserve">ooking </w:t>
      </w:r>
      <w:r w:rsidR="00FF7896">
        <w:rPr>
          <w:lang w:eastAsia="en-GB"/>
        </w:rPr>
        <w:t>appliances</w:t>
      </w:r>
    </w:p>
    <w:p w14:paraId="2DE73950" w14:textId="380E5367" w:rsidR="006049AA" w:rsidRDefault="00787803" w:rsidP="00234FD1">
      <w:pPr>
        <w:pStyle w:val="Bullet2"/>
        <w:divId w:val="56633697"/>
        <w:rPr>
          <w:lang w:eastAsia="en-GB"/>
        </w:rPr>
      </w:pPr>
      <w:r>
        <w:rPr>
          <w:lang w:eastAsia="en-GB"/>
        </w:rPr>
        <w:t>e</w:t>
      </w:r>
      <w:r w:rsidR="00EF2326">
        <w:rPr>
          <w:lang w:eastAsia="en-GB"/>
        </w:rPr>
        <w:t>xhaust fans</w:t>
      </w:r>
    </w:p>
    <w:p w14:paraId="06E3B7EB" w14:textId="280D446E" w:rsidR="006049AA" w:rsidRDefault="00787803" w:rsidP="00234FD1">
      <w:pPr>
        <w:pStyle w:val="Bullet2"/>
        <w:divId w:val="56633697"/>
        <w:rPr>
          <w:lang w:eastAsia="en-GB"/>
        </w:rPr>
      </w:pPr>
      <w:r>
        <w:rPr>
          <w:lang w:eastAsia="en-GB"/>
        </w:rPr>
        <w:lastRenderedPageBreak/>
        <w:t>l</w:t>
      </w:r>
      <w:r w:rsidR="00F6214A">
        <w:rPr>
          <w:lang w:eastAsia="en-GB"/>
        </w:rPr>
        <w:t>ights</w:t>
      </w:r>
      <w:r w:rsidR="006049AA">
        <w:rPr>
          <w:lang w:eastAsia="en-GB"/>
        </w:rPr>
        <w:t>/</w:t>
      </w:r>
      <w:r w:rsidR="00F6214A">
        <w:rPr>
          <w:lang w:eastAsia="en-GB"/>
        </w:rPr>
        <w:t>general power outlets</w:t>
      </w:r>
    </w:p>
    <w:p w14:paraId="61BCBF44" w14:textId="46806CA1" w:rsidR="00FE2EE3" w:rsidRPr="00FE2EE3" w:rsidRDefault="00787803" w:rsidP="00234FD1">
      <w:pPr>
        <w:pStyle w:val="Bullet2"/>
        <w:divId w:val="56633697"/>
        <w:rPr>
          <w:lang w:eastAsia="en-GB"/>
        </w:rPr>
      </w:pPr>
      <w:r>
        <w:rPr>
          <w:lang w:eastAsia="en-GB"/>
        </w:rPr>
        <w:t>t</w:t>
      </w:r>
      <w:r w:rsidR="00C11BDE">
        <w:rPr>
          <w:lang w:eastAsia="en-GB"/>
        </w:rPr>
        <w:t>aps</w:t>
      </w:r>
      <w:r w:rsidR="00E86F69">
        <w:rPr>
          <w:lang w:eastAsia="en-GB"/>
        </w:rPr>
        <w:t xml:space="preserve"> </w:t>
      </w:r>
      <w:r w:rsidR="00194CF6">
        <w:rPr>
          <w:lang w:eastAsia="en-GB"/>
        </w:rPr>
        <w:t xml:space="preserve">or </w:t>
      </w:r>
      <w:r w:rsidR="00EF2326">
        <w:rPr>
          <w:lang w:eastAsia="en-GB"/>
        </w:rPr>
        <w:t>hot water service</w:t>
      </w:r>
      <w:r w:rsidR="00C11BDE">
        <w:rPr>
          <w:lang w:eastAsia="en-GB"/>
        </w:rPr>
        <w:t xml:space="preserve"> (</w:t>
      </w:r>
      <w:proofErr w:type="spellStart"/>
      <w:r w:rsidR="00C11BDE">
        <w:rPr>
          <w:lang w:eastAsia="en-GB"/>
        </w:rPr>
        <w:t>eg</w:t>
      </w:r>
      <w:proofErr w:type="spellEnd"/>
      <w:r w:rsidR="00C11BDE">
        <w:rPr>
          <w:lang w:eastAsia="en-GB"/>
        </w:rPr>
        <w:t xml:space="preserve"> for the</w:t>
      </w:r>
      <w:r w:rsidR="00194CF6">
        <w:rPr>
          <w:lang w:eastAsia="en-GB"/>
        </w:rPr>
        <w:t xml:space="preserve"> delivery of hot water)</w:t>
      </w:r>
      <w:r w:rsidR="00FE2EE3" w:rsidRPr="00FE2EE3">
        <w:rPr>
          <w:lang w:eastAsia="en-GB"/>
        </w:rPr>
        <w:t>.</w:t>
      </w:r>
    </w:p>
    <w:p w14:paraId="21026D52" w14:textId="3DCFADC1" w:rsidR="00FE2EE3" w:rsidRPr="00FE2EE3" w:rsidRDefault="00FE2EE3" w:rsidP="0057008A">
      <w:pPr>
        <w:pStyle w:val="Bodyafterbullets"/>
        <w:divId w:val="56633697"/>
        <w:rPr>
          <w:lang w:eastAsia="en-GB"/>
        </w:rPr>
      </w:pPr>
      <w:r w:rsidRPr="00FE2EE3">
        <w:rPr>
          <w:lang w:eastAsia="en-GB"/>
        </w:rPr>
        <w:t>If any damage or tampering is identified during the inspection, staff must arrang</w:t>
      </w:r>
      <w:r w:rsidR="00131CC0">
        <w:rPr>
          <w:lang w:eastAsia="en-GB"/>
        </w:rPr>
        <w:t>e responsive maintenance</w:t>
      </w:r>
      <w:r w:rsidRPr="00FE2EE3">
        <w:rPr>
          <w:lang w:eastAsia="en-GB"/>
        </w:rPr>
        <w:t> to address the specific issue. Responsive maintenance in this context refers to repairs or replacements required to ensure appliances, safety devices, or energy systems are functioning correctly. It does not involve raising full safety checks as part of the vacant unit works, even when damage is identified.</w:t>
      </w:r>
    </w:p>
    <w:p w14:paraId="3BA543E1" w14:textId="42EC3A06" w:rsidR="00FE2EE3" w:rsidRPr="00FE2EE3" w:rsidRDefault="00FE2EE3" w:rsidP="00FE2EE3">
      <w:pPr>
        <w:pStyle w:val="Body"/>
      </w:pPr>
      <w:r w:rsidRPr="00FE2EE3">
        <w:rPr>
          <w:lang w:eastAsia="en-GB"/>
        </w:rPr>
        <w:t xml:space="preserve">Inspection </w:t>
      </w:r>
      <w:r w:rsidR="006049AA">
        <w:rPr>
          <w:lang w:eastAsia="en-GB"/>
        </w:rPr>
        <w:t>and</w:t>
      </w:r>
      <w:r w:rsidR="00090A54">
        <w:rPr>
          <w:lang w:eastAsia="en-GB"/>
        </w:rPr>
        <w:t xml:space="preserve"> </w:t>
      </w:r>
      <w:r w:rsidRPr="00FE2EE3">
        <w:rPr>
          <w:lang w:eastAsia="en-GB"/>
        </w:rPr>
        <w:t>Test Reports (ITRs) for Gas and Electrical Safety Checks are obtained as part of scheduled or legislated safety check programs, separate from vacant unit works. Noting, while safety checks are not required during vacant unit works, staff must retain ITRs to comply with the Residential Tenancy Regulations 2021, as new renters may request a copy of these reports.</w:t>
      </w:r>
    </w:p>
    <w:p w14:paraId="019D7F6B" w14:textId="7E419879" w:rsidR="001553CB" w:rsidRPr="001553CB" w:rsidRDefault="001553CB" w:rsidP="001553CB">
      <w:pPr>
        <w:pStyle w:val="Heading2"/>
      </w:pPr>
      <w:bookmarkStart w:id="20" w:name="_Toc224119175"/>
      <w:r>
        <w:t xml:space="preserve">Standard </w:t>
      </w:r>
      <w:r w:rsidR="00AE01E2">
        <w:t>work</w:t>
      </w:r>
      <w:bookmarkEnd w:id="20"/>
      <w:r w:rsidR="00AE01E2">
        <w:t xml:space="preserve"> </w:t>
      </w:r>
    </w:p>
    <w:p w14:paraId="4B21B738" w14:textId="77777777" w:rsidR="00FF7384" w:rsidRDefault="00FF7384" w:rsidP="00FF7384">
      <w:pPr>
        <w:pStyle w:val="Body"/>
      </w:pPr>
      <w:r>
        <w:t>Standard vacant unit works generally include tasks such as:</w:t>
      </w:r>
    </w:p>
    <w:p w14:paraId="41D151F8" w14:textId="35F82660" w:rsidR="00FF7384" w:rsidRDefault="00787803" w:rsidP="001B2DC0">
      <w:pPr>
        <w:pStyle w:val="Bullet1"/>
      </w:pPr>
      <w:r>
        <w:t>c</w:t>
      </w:r>
      <w:r w:rsidR="00FF7384">
        <w:t>leaning</w:t>
      </w:r>
    </w:p>
    <w:p w14:paraId="2CAADBC0" w14:textId="6A54FD1E" w:rsidR="00FF7384" w:rsidRDefault="00787803">
      <w:pPr>
        <w:pStyle w:val="Bullet1"/>
      </w:pPr>
      <w:r>
        <w:t>a</w:t>
      </w:r>
      <w:r w:rsidR="00FF7384">
        <w:t xml:space="preserve">djusting and </w:t>
      </w:r>
      <w:r w:rsidR="001B2DC0">
        <w:t>t</w:t>
      </w:r>
      <w:r w:rsidR="00FF7384">
        <w:t>ightening all screens on doors, cupboards, hinges, and fittings</w:t>
      </w:r>
      <w:r w:rsidR="001B2DC0">
        <w:t xml:space="preserve"> and</w:t>
      </w:r>
    </w:p>
    <w:p w14:paraId="6EA2A3E7" w14:textId="08143BC2" w:rsidR="001B2DC0" w:rsidRDefault="00787803" w:rsidP="001B2DC0">
      <w:pPr>
        <w:pStyle w:val="Bullet1"/>
      </w:pPr>
      <w:r>
        <w:t>c</w:t>
      </w:r>
      <w:r w:rsidR="00FF7384">
        <w:t xml:space="preserve">leaning spouting and downpipes. </w:t>
      </w:r>
    </w:p>
    <w:p w14:paraId="4832085E" w14:textId="332AF7B4" w:rsidR="00FF7384" w:rsidRDefault="004D4460" w:rsidP="001B2DC0">
      <w:pPr>
        <w:pStyle w:val="Bodyafterbullets"/>
      </w:pPr>
      <w:r w:rsidRPr="004D4460">
        <w:t>However, before staff raise these works, they should assess whether these types of standard works are necessary.</w:t>
      </w:r>
      <w:r>
        <w:t xml:space="preserve"> </w:t>
      </w:r>
      <w:r w:rsidR="009A70B1" w:rsidRPr="009A70B1">
        <w:t>For instance, while cleaning is generally regarded as standard vacant unit work, a visual inspection may reveal that not every room requires cleaning.</w:t>
      </w:r>
    </w:p>
    <w:p w14:paraId="5BA3D35F" w14:textId="066579CF" w:rsidR="00FF7384" w:rsidRDefault="00253507" w:rsidP="00FF7384">
      <w:pPr>
        <w:pStyle w:val="Body"/>
      </w:pPr>
      <w:r>
        <w:t>C</w:t>
      </w:r>
      <w:r w:rsidR="00FF7384">
        <w:t xml:space="preserve">ommon SOR cleaning codes staff may consider raising as part of their standard vacant unit works </w:t>
      </w:r>
      <w:r>
        <w:t>include:</w:t>
      </w:r>
    </w:p>
    <w:p w14:paraId="7F3D2188" w14:textId="6A217F60" w:rsidR="00AF4ECB" w:rsidRPr="00AF4ECB" w:rsidRDefault="00AF4ECB" w:rsidP="00AF4ECB">
      <w:pPr>
        <w:pStyle w:val="Tablecaption"/>
      </w:pPr>
      <w:r>
        <w:t xml:space="preserve">Table </w:t>
      </w:r>
      <w:r w:rsidR="00BE25A2">
        <w:t>5</w:t>
      </w:r>
      <w:r>
        <w:t xml:space="preserve">: </w:t>
      </w:r>
      <w:r w:rsidR="00FF7384">
        <w:t xml:space="preserve">Common </w:t>
      </w:r>
      <w:r>
        <w:t>SOR codes and descriptions</w:t>
      </w:r>
    </w:p>
    <w:tbl>
      <w:tblPr>
        <w:tblStyle w:val="TableGrid"/>
        <w:tblW w:w="0" w:type="auto"/>
        <w:tblLook w:val="04A0" w:firstRow="1" w:lastRow="0" w:firstColumn="1" w:lastColumn="0" w:noHBand="0" w:noVBand="1"/>
      </w:tblPr>
      <w:tblGrid>
        <w:gridCol w:w="1838"/>
        <w:gridCol w:w="1276"/>
        <w:gridCol w:w="6174"/>
      </w:tblGrid>
      <w:tr w:rsidR="00AE01E2" w14:paraId="513C25DC" w14:textId="77777777" w:rsidTr="00D067E6">
        <w:trPr>
          <w:tblHeader/>
        </w:trPr>
        <w:tc>
          <w:tcPr>
            <w:tcW w:w="1838" w:type="dxa"/>
            <w:tcBorders>
              <w:bottom w:val="single" w:sz="4" w:space="0" w:color="auto"/>
            </w:tcBorders>
          </w:tcPr>
          <w:p w14:paraId="151D2223" w14:textId="74A75E30" w:rsidR="00791B33" w:rsidRDefault="0032488E" w:rsidP="00041113">
            <w:pPr>
              <w:pStyle w:val="Tablecolhead"/>
            </w:pPr>
            <w:r>
              <w:t xml:space="preserve">Location </w:t>
            </w:r>
            <w:r w:rsidR="00791B33">
              <w:t xml:space="preserve"> </w:t>
            </w:r>
          </w:p>
        </w:tc>
        <w:tc>
          <w:tcPr>
            <w:tcW w:w="1276" w:type="dxa"/>
            <w:tcBorders>
              <w:bottom w:val="single" w:sz="4" w:space="0" w:color="auto"/>
            </w:tcBorders>
          </w:tcPr>
          <w:p w14:paraId="19B36691" w14:textId="2B10F8B5" w:rsidR="00791B33" w:rsidRDefault="00791B33" w:rsidP="00041113">
            <w:pPr>
              <w:pStyle w:val="Tablecolhead"/>
            </w:pPr>
            <w:r>
              <w:t>SOR code</w:t>
            </w:r>
          </w:p>
        </w:tc>
        <w:tc>
          <w:tcPr>
            <w:tcW w:w="6174" w:type="dxa"/>
            <w:tcBorders>
              <w:bottom w:val="single" w:sz="4" w:space="0" w:color="auto"/>
            </w:tcBorders>
          </w:tcPr>
          <w:p w14:paraId="127297F4" w14:textId="1399FC3F" w:rsidR="00791B33" w:rsidRDefault="00791B33" w:rsidP="00041113">
            <w:pPr>
              <w:pStyle w:val="Tablecolhead"/>
            </w:pPr>
            <w:r>
              <w:t xml:space="preserve"> Description</w:t>
            </w:r>
          </w:p>
        </w:tc>
      </w:tr>
      <w:tr w:rsidR="00AE01E2" w14:paraId="7DC988D4" w14:textId="77777777" w:rsidTr="00D067E6">
        <w:tc>
          <w:tcPr>
            <w:tcW w:w="1838" w:type="dxa"/>
            <w:tcBorders>
              <w:top w:val="single" w:sz="4" w:space="0" w:color="auto"/>
              <w:left w:val="single" w:sz="4" w:space="0" w:color="auto"/>
              <w:right w:val="single" w:sz="4" w:space="0" w:color="auto"/>
            </w:tcBorders>
          </w:tcPr>
          <w:p w14:paraId="3E611A44" w14:textId="441754B7" w:rsidR="00AE01E2" w:rsidRDefault="00AE01E2" w:rsidP="00B42A32">
            <w:pPr>
              <w:pStyle w:val="Tabletext"/>
            </w:pPr>
            <w:r>
              <w:t xml:space="preserve">Multiple locations </w:t>
            </w:r>
          </w:p>
        </w:tc>
        <w:tc>
          <w:tcPr>
            <w:tcW w:w="1276" w:type="dxa"/>
            <w:tcBorders>
              <w:top w:val="single" w:sz="4" w:space="0" w:color="auto"/>
              <w:left w:val="single" w:sz="4" w:space="0" w:color="auto"/>
              <w:bottom w:val="single" w:sz="4" w:space="0" w:color="auto"/>
              <w:right w:val="single" w:sz="4" w:space="0" w:color="auto"/>
            </w:tcBorders>
            <w:vAlign w:val="center"/>
          </w:tcPr>
          <w:p w14:paraId="2E397055" w14:textId="3BA43545" w:rsidR="00AE01E2" w:rsidRDefault="00AE01E2" w:rsidP="00B42A32">
            <w:pPr>
              <w:pStyle w:val="Tabletext"/>
            </w:pPr>
            <w:r w:rsidRPr="00B17812">
              <w:rPr>
                <w:lang w:eastAsia="en-AU"/>
              </w:rPr>
              <w:t>CR070</w:t>
            </w:r>
          </w:p>
        </w:tc>
        <w:tc>
          <w:tcPr>
            <w:tcW w:w="6174" w:type="dxa"/>
            <w:tcBorders>
              <w:top w:val="single" w:sz="4" w:space="0" w:color="auto"/>
              <w:left w:val="single" w:sz="4" w:space="0" w:color="auto"/>
              <w:bottom w:val="single" w:sz="4" w:space="0" w:color="auto"/>
              <w:right w:val="single" w:sz="4" w:space="0" w:color="auto"/>
            </w:tcBorders>
            <w:vAlign w:val="center"/>
          </w:tcPr>
          <w:p w14:paraId="6C97273F" w14:textId="259C7A74" w:rsidR="00AE01E2" w:rsidRDefault="00AE01E2" w:rsidP="00B42A32">
            <w:pPr>
              <w:pStyle w:val="Tabletext"/>
            </w:pPr>
            <w:r w:rsidRPr="00B17812">
              <w:rPr>
                <w:lang w:eastAsia="en-AU"/>
              </w:rPr>
              <w:t>Clean wipe &amp; vacuum all surfaces</w:t>
            </w:r>
          </w:p>
        </w:tc>
      </w:tr>
      <w:tr w:rsidR="00AE01E2" w14:paraId="00F83E46" w14:textId="77777777" w:rsidTr="00D067E6">
        <w:tc>
          <w:tcPr>
            <w:tcW w:w="1838" w:type="dxa"/>
            <w:tcBorders>
              <w:left w:val="single" w:sz="4" w:space="0" w:color="auto"/>
              <w:right w:val="single" w:sz="4" w:space="0" w:color="auto"/>
            </w:tcBorders>
          </w:tcPr>
          <w:p w14:paraId="7380D2F0" w14:textId="2D8D8DEE" w:rsidR="00AE01E2" w:rsidRDefault="009F0F50" w:rsidP="00B42A32">
            <w:pPr>
              <w:pStyle w:val="Tabletext"/>
            </w:pPr>
            <w:r w:rsidRPr="009F0F50">
              <w:t>Multiple locations</w:t>
            </w:r>
          </w:p>
        </w:tc>
        <w:tc>
          <w:tcPr>
            <w:tcW w:w="1276" w:type="dxa"/>
            <w:tcBorders>
              <w:top w:val="single" w:sz="4" w:space="0" w:color="auto"/>
              <w:left w:val="single" w:sz="4" w:space="0" w:color="auto"/>
              <w:bottom w:val="single" w:sz="4" w:space="0" w:color="auto"/>
              <w:right w:val="single" w:sz="4" w:space="0" w:color="auto"/>
            </w:tcBorders>
            <w:vAlign w:val="center"/>
          </w:tcPr>
          <w:p w14:paraId="30292E49" w14:textId="7F126B36" w:rsidR="00AE01E2" w:rsidRDefault="00AE01E2" w:rsidP="00B42A32">
            <w:pPr>
              <w:pStyle w:val="Tabletext"/>
            </w:pPr>
            <w:r w:rsidRPr="00B17812">
              <w:rPr>
                <w:lang w:eastAsia="en-AU"/>
              </w:rPr>
              <w:t>CR155</w:t>
            </w:r>
          </w:p>
        </w:tc>
        <w:tc>
          <w:tcPr>
            <w:tcW w:w="6174" w:type="dxa"/>
            <w:tcBorders>
              <w:top w:val="single" w:sz="4" w:space="0" w:color="auto"/>
              <w:left w:val="single" w:sz="4" w:space="0" w:color="auto"/>
              <w:bottom w:val="single" w:sz="4" w:space="0" w:color="auto"/>
              <w:right w:val="single" w:sz="4" w:space="0" w:color="auto"/>
            </w:tcBorders>
            <w:vAlign w:val="center"/>
          </w:tcPr>
          <w:p w14:paraId="36E16BFB" w14:textId="00A7E3DE" w:rsidR="00AE01E2" w:rsidRDefault="00AE01E2" w:rsidP="00B42A32">
            <w:pPr>
              <w:pStyle w:val="Tabletext"/>
            </w:pPr>
            <w:r w:rsidRPr="00B17812">
              <w:rPr>
                <w:lang w:eastAsia="en-AU"/>
              </w:rPr>
              <w:t>Clean carpet by vacuuming- Rate per unit</w:t>
            </w:r>
          </w:p>
        </w:tc>
      </w:tr>
      <w:tr w:rsidR="009F0F50" w14:paraId="3DC5FDF4" w14:textId="77777777" w:rsidTr="00D067E6">
        <w:tc>
          <w:tcPr>
            <w:tcW w:w="1838" w:type="dxa"/>
            <w:tcBorders>
              <w:left w:val="single" w:sz="4" w:space="0" w:color="auto"/>
              <w:right w:val="single" w:sz="4" w:space="0" w:color="auto"/>
            </w:tcBorders>
          </w:tcPr>
          <w:p w14:paraId="1C104DAF" w14:textId="736896C6" w:rsidR="009F0F50" w:rsidRDefault="009F0F50" w:rsidP="00B42A32">
            <w:pPr>
              <w:pStyle w:val="Tabletext"/>
            </w:pPr>
            <w:r w:rsidRPr="001D01AA">
              <w:t xml:space="preserve">Multiple locations </w:t>
            </w:r>
          </w:p>
        </w:tc>
        <w:tc>
          <w:tcPr>
            <w:tcW w:w="1276" w:type="dxa"/>
            <w:tcBorders>
              <w:top w:val="single" w:sz="4" w:space="0" w:color="auto"/>
              <w:left w:val="single" w:sz="4" w:space="0" w:color="auto"/>
              <w:bottom w:val="single" w:sz="4" w:space="0" w:color="auto"/>
              <w:right w:val="single" w:sz="4" w:space="0" w:color="auto"/>
            </w:tcBorders>
            <w:vAlign w:val="center"/>
          </w:tcPr>
          <w:p w14:paraId="3880E0A8" w14:textId="56326C40" w:rsidR="009F0F50" w:rsidRPr="00B17812" w:rsidRDefault="009F0F50" w:rsidP="00B42A32">
            <w:pPr>
              <w:pStyle w:val="Tabletext"/>
              <w:rPr>
                <w:lang w:eastAsia="en-AU"/>
              </w:rPr>
            </w:pPr>
            <w:r w:rsidRPr="00B17812">
              <w:rPr>
                <w:lang w:eastAsia="en-AU"/>
              </w:rPr>
              <w:t>GA205</w:t>
            </w:r>
          </w:p>
        </w:tc>
        <w:tc>
          <w:tcPr>
            <w:tcW w:w="6174" w:type="dxa"/>
            <w:tcBorders>
              <w:top w:val="single" w:sz="4" w:space="0" w:color="auto"/>
              <w:left w:val="single" w:sz="4" w:space="0" w:color="auto"/>
              <w:bottom w:val="single" w:sz="4" w:space="0" w:color="auto"/>
              <w:right w:val="single" w:sz="4" w:space="0" w:color="auto"/>
            </w:tcBorders>
            <w:vAlign w:val="center"/>
          </w:tcPr>
          <w:p w14:paraId="43375BB5" w14:textId="676FB04F" w:rsidR="009F0F50" w:rsidRPr="00B17812" w:rsidRDefault="009F0F50" w:rsidP="00B42A32">
            <w:pPr>
              <w:pStyle w:val="Tabletext"/>
              <w:rPr>
                <w:lang w:eastAsia="en-AU"/>
              </w:rPr>
            </w:pPr>
            <w:r w:rsidRPr="00B17812">
              <w:rPr>
                <w:lang w:eastAsia="en-AU"/>
              </w:rPr>
              <w:t>Check adjust and tighten all screws to all doors, cupboard doors, handles and fittings etc</w:t>
            </w:r>
          </w:p>
        </w:tc>
      </w:tr>
      <w:tr w:rsidR="009F0F50" w14:paraId="23D86098" w14:textId="77777777" w:rsidTr="00D067E6">
        <w:tc>
          <w:tcPr>
            <w:tcW w:w="1838" w:type="dxa"/>
            <w:tcBorders>
              <w:left w:val="single" w:sz="4" w:space="0" w:color="auto"/>
              <w:right w:val="single" w:sz="4" w:space="0" w:color="auto"/>
            </w:tcBorders>
          </w:tcPr>
          <w:p w14:paraId="4B4CB08F" w14:textId="0E6D1FB9" w:rsidR="009F0F50" w:rsidRDefault="009F0F50" w:rsidP="00B42A32">
            <w:pPr>
              <w:pStyle w:val="Tabletext"/>
            </w:pPr>
            <w:r w:rsidRPr="001D01AA">
              <w:t xml:space="preserve">Multiple locations </w:t>
            </w:r>
          </w:p>
        </w:tc>
        <w:tc>
          <w:tcPr>
            <w:tcW w:w="1276" w:type="dxa"/>
            <w:tcBorders>
              <w:top w:val="single" w:sz="4" w:space="0" w:color="auto"/>
              <w:left w:val="single" w:sz="4" w:space="0" w:color="auto"/>
              <w:bottom w:val="single" w:sz="4" w:space="0" w:color="auto"/>
              <w:right w:val="single" w:sz="4" w:space="0" w:color="auto"/>
            </w:tcBorders>
            <w:vAlign w:val="center"/>
          </w:tcPr>
          <w:p w14:paraId="581E2A00" w14:textId="3242E9D3" w:rsidR="009F0F50" w:rsidRPr="00B17812" w:rsidRDefault="009F0F50" w:rsidP="00B42A32">
            <w:pPr>
              <w:pStyle w:val="Tabletext"/>
              <w:rPr>
                <w:lang w:eastAsia="en-AU"/>
              </w:rPr>
            </w:pPr>
            <w:r w:rsidRPr="00B17812">
              <w:rPr>
                <w:lang w:eastAsia="en-AU"/>
              </w:rPr>
              <w:t>CR202</w:t>
            </w:r>
          </w:p>
        </w:tc>
        <w:tc>
          <w:tcPr>
            <w:tcW w:w="6174" w:type="dxa"/>
            <w:tcBorders>
              <w:top w:val="single" w:sz="4" w:space="0" w:color="auto"/>
              <w:left w:val="single" w:sz="4" w:space="0" w:color="auto"/>
              <w:bottom w:val="single" w:sz="4" w:space="0" w:color="auto"/>
              <w:right w:val="single" w:sz="4" w:space="0" w:color="auto"/>
            </w:tcBorders>
            <w:vAlign w:val="center"/>
          </w:tcPr>
          <w:p w14:paraId="183E29DA" w14:textId="4C110477" w:rsidR="009F0F50" w:rsidRPr="00B17812" w:rsidRDefault="009F0F50" w:rsidP="00B42A32">
            <w:pPr>
              <w:pStyle w:val="Tabletext"/>
              <w:rPr>
                <w:lang w:eastAsia="en-AU"/>
              </w:rPr>
            </w:pPr>
            <w:r w:rsidRPr="00B17812">
              <w:rPr>
                <w:lang w:eastAsia="en-AU"/>
              </w:rPr>
              <w:t>Remove contact from walls and cupboards only if required</w:t>
            </w:r>
          </w:p>
        </w:tc>
      </w:tr>
      <w:tr w:rsidR="009F0F50" w14:paraId="183E5DB0" w14:textId="77777777" w:rsidTr="00D067E6">
        <w:tc>
          <w:tcPr>
            <w:tcW w:w="1838" w:type="dxa"/>
            <w:tcBorders>
              <w:left w:val="single" w:sz="4" w:space="0" w:color="auto"/>
              <w:bottom w:val="single" w:sz="4" w:space="0" w:color="auto"/>
              <w:right w:val="single" w:sz="4" w:space="0" w:color="auto"/>
            </w:tcBorders>
          </w:tcPr>
          <w:p w14:paraId="34598E40" w14:textId="0B66B515" w:rsidR="009F0F50" w:rsidRDefault="009F0F50" w:rsidP="00B42A32">
            <w:pPr>
              <w:pStyle w:val="Tabletext"/>
            </w:pPr>
            <w:r w:rsidRPr="001D01AA">
              <w:t xml:space="preserve">Multiple locations </w:t>
            </w:r>
          </w:p>
        </w:tc>
        <w:tc>
          <w:tcPr>
            <w:tcW w:w="1276" w:type="dxa"/>
            <w:tcBorders>
              <w:top w:val="nil"/>
              <w:left w:val="nil"/>
              <w:bottom w:val="single" w:sz="4" w:space="0" w:color="auto"/>
              <w:right w:val="single" w:sz="4" w:space="0" w:color="auto"/>
            </w:tcBorders>
            <w:vAlign w:val="center"/>
          </w:tcPr>
          <w:p w14:paraId="6AB2E9CA" w14:textId="31862CC1" w:rsidR="009F0F50" w:rsidRPr="00B17812" w:rsidRDefault="009F0F50" w:rsidP="00B42A32">
            <w:pPr>
              <w:pStyle w:val="Tabletext"/>
              <w:rPr>
                <w:lang w:eastAsia="en-AU"/>
              </w:rPr>
            </w:pPr>
            <w:r w:rsidRPr="00B17812">
              <w:rPr>
                <w:lang w:eastAsia="en-AU"/>
              </w:rPr>
              <w:t>GA205</w:t>
            </w:r>
          </w:p>
        </w:tc>
        <w:tc>
          <w:tcPr>
            <w:tcW w:w="6174" w:type="dxa"/>
            <w:tcBorders>
              <w:top w:val="nil"/>
              <w:left w:val="nil"/>
              <w:bottom w:val="single" w:sz="4" w:space="0" w:color="auto"/>
              <w:right w:val="single" w:sz="4" w:space="0" w:color="auto"/>
            </w:tcBorders>
            <w:vAlign w:val="center"/>
          </w:tcPr>
          <w:p w14:paraId="6CBFE197" w14:textId="036FA57C" w:rsidR="009F0F50" w:rsidRPr="00B17812" w:rsidRDefault="009F0F50" w:rsidP="00B42A32">
            <w:pPr>
              <w:pStyle w:val="Tabletext"/>
              <w:rPr>
                <w:lang w:eastAsia="en-AU"/>
              </w:rPr>
            </w:pPr>
            <w:r w:rsidRPr="00B17812">
              <w:rPr>
                <w:lang w:eastAsia="en-AU"/>
              </w:rPr>
              <w:t xml:space="preserve">Check </w:t>
            </w:r>
            <w:r>
              <w:rPr>
                <w:lang w:eastAsia="en-AU"/>
              </w:rPr>
              <w:t>and</w:t>
            </w:r>
            <w:r w:rsidRPr="00B17812">
              <w:rPr>
                <w:lang w:eastAsia="en-AU"/>
              </w:rPr>
              <w:t xml:space="preserve"> tighten all screws to all cupboards</w:t>
            </w:r>
          </w:p>
        </w:tc>
      </w:tr>
      <w:tr w:rsidR="009F0F50" w14:paraId="0B9989AD" w14:textId="77777777" w:rsidTr="00D067E6">
        <w:tc>
          <w:tcPr>
            <w:tcW w:w="1838" w:type="dxa"/>
            <w:tcBorders>
              <w:left w:val="single" w:sz="4" w:space="0" w:color="auto"/>
              <w:bottom w:val="single" w:sz="4" w:space="0" w:color="auto"/>
              <w:right w:val="single" w:sz="4" w:space="0" w:color="auto"/>
            </w:tcBorders>
          </w:tcPr>
          <w:p w14:paraId="43E3841C" w14:textId="7E3D94EE" w:rsidR="009F0F50" w:rsidRDefault="009F0F50" w:rsidP="00B42A32">
            <w:pPr>
              <w:pStyle w:val="Tabletext"/>
            </w:pPr>
            <w:r w:rsidRPr="001D01AA">
              <w:t xml:space="preserve">Multiple locations </w:t>
            </w:r>
          </w:p>
        </w:tc>
        <w:tc>
          <w:tcPr>
            <w:tcW w:w="1276" w:type="dxa"/>
            <w:tcBorders>
              <w:top w:val="single" w:sz="4" w:space="0" w:color="auto"/>
              <w:left w:val="single" w:sz="4" w:space="0" w:color="auto"/>
              <w:bottom w:val="single" w:sz="4" w:space="0" w:color="auto"/>
              <w:right w:val="single" w:sz="4" w:space="0" w:color="auto"/>
            </w:tcBorders>
            <w:vAlign w:val="center"/>
          </w:tcPr>
          <w:p w14:paraId="0A500E1A" w14:textId="241315C3" w:rsidR="009F0F50" w:rsidRPr="00B17812" w:rsidRDefault="009F0F50" w:rsidP="00B42A32">
            <w:pPr>
              <w:pStyle w:val="Tabletext"/>
              <w:rPr>
                <w:lang w:eastAsia="en-AU"/>
              </w:rPr>
            </w:pPr>
            <w:r w:rsidRPr="00B17812">
              <w:rPr>
                <w:lang w:eastAsia="en-AU"/>
              </w:rPr>
              <w:t>CR158</w:t>
            </w:r>
          </w:p>
        </w:tc>
        <w:tc>
          <w:tcPr>
            <w:tcW w:w="6174" w:type="dxa"/>
            <w:tcBorders>
              <w:top w:val="single" w:sz="4" w:space="0" w:color="auto"/>
              <w:left w:val="single" w:sz="4" w:space="0" w:color="auto"/>
              <w:bottom w:val="single" w:sz="4" w:space="0" w:color="auto"/>
              <w:right w:val="single" w:sz="4" w:space="0" w:color="auto"/>
            </w:tcBorders>
            <w:vAlign w:val="center"/>
          </w:tcPr>
          <w:p w14:paraId="3C39AC73" w14:textId="474A0A78" w:rsidR="009F0F50" w:rsidRPr="00B17812" w:rsidRDefault="009F0F50" w:rsidP="00B42A32">
            <w:pPr>
              <w:pStyle w:val="Tabletext"/>
              <w:rPr>
                <w:lang w:eastAsia="en-AU"/>
              </w:rPr>
            </w:pPr>
            <w:r w:rsidRPr="00B17812">
              <w:rPr>
                <w:lang w:eastAsia="en-AU"/>
              </w:rPr>
              <w:t>Steam clean carpets</w:t>
            </w:r>
            <w:r>
              <w:rPr>
                <w:lang w:eastAsia="en-AU"/>
              </w:rPr>
              <w:t xml:space="preserve"> - </w:t>
            </w:r>
            <w:r w:rsidRPr="00B17812">
              <w:rPr>
                <w:lang w:eastAsia="en-AU"/>
              </w:rPr>
              <w:t>per room (more than 1 room)</w:t>
            </w:r>
          </w:p>
        </w:tc>
      </w:tr>
      <w:tr w:rsidR="009F0F50" w14:paraId="3A7DD0A8" w14:textId="77777777" w:rsidTr="00D067E6">
        <w:tc>
          <w:tcPr>
            <w:tcW w:w="1838" w:type="dxa"/>
            <w:tcBorders>
              <w:top w:val="single" w:sz="4" w:space="0" w:color="auto"/>
              <w:left w:val="single" w:sz="4" w:space="0" w:color="auto"/>
              <w:bottom w:val="single" w:sz="4" w:space="0" w:color="auto"/>
              <w:right w:val="single" w:sz="4" w:space="0" w:color="auto"/>
            </w:tcBorders>
          </w:tcPr>
          <w:p w14:paraId="5C86AF76" w14:textId="1B877868" w:rsidR="009F0F50" w:rsidRDefault="009F0F50" w:rsidP="00B42A32">
            <w:pPr>
              <w:pStyle w:val="Tabletext"/>
            </w:pPr>
            <w:r w:rsidRPr="001D01AA">
              <w:t xml:space="preserve">Multiple locations </w:t>
            </w:r>
          </w:p>
        </w:tc>
        <w:tc>
          <w:tcPr>
            <w:tcW w:w="1276" w:type="dxa"/>
            <w:tcBorders>
              <w:top w:val="single" w:sz="4" w:space="0" w:color="auto"/>
              <w:left w:val="single" w:sz="4" w:space="0" w:color="auto"/>
              <w:bottom w:val="single" w:sz="4" w:space="0" w:color="auto"/>
              <w:right w:val="single" w:sz="4" w:space="0" w:color="auto"/>
            </w:tcBorders>
            <w:vAlign w:val="center"/>
          </w:tcPr>
          <w:p w14:paraId="3606333C" w14:textId="43DD68D5" w:rsidR="009F0F50" w:rsidRDefault="009F0F50" w:rsidP="00B42A32">
            <w:pPr>
              <w:pStyle w:val="Tabletext"/>
            </w:pPr>
            <w:r w:rsidRPr="00B17812">
              <w:rPr>
                <w:lang w:eastAsia="en-AU"/>
              </w:rPr>
              <w:t>CR157</w:t>
            </w:r>
          </w:p>
        </w:tc>
        <w:tc>
          <w:tcPr>
            <w:tcW w:w="6174" w:type="dxa"/>
            <w:tcBorders>
              <w:top w:val="single" w:sz="4" w:space="0" w:color="auto"/>
              <w:left w:val="single" w:sz="4" w:space="0" w:color="auto"/>
              <w:bottom w:val="single" w:sz="4" w:space="0" w:color="auto"/>
              <w:right w:val="single" w:sz="4" w:space="0" w:color="auto"/>
            </w:tcBorders>
            <w:vAlign w:val="center"/>
          </w:tcPr>
          <w:p w14:paraId="26E857D2" w14:textId="079FFF8F" w:rsidR="009F0F50" w:rsidRDefault="009F0F50" w:rsidP="00B42A32">
            <w:pPr>
              <w:pStyle w:val="Tabletext"/>
            </w:pPr>
            <w:r w:rsidRPr="00B17812">
              <w:rPr>
                <w:lang w:eastAsia="en-AU"/>
              </w:rPr>
              <w:t>Steam clean carpet</w:t>
            </w:r>
            <w:r>
              <w:rPr>
                <w:lang w:eastAsia="en-AU"/>
              </w:rPr>
              <w:t xml:space="preserve"> </w:t>
            </w:r>
            <w:r w:rsidRPr="00B17812">
              <w:rPr>
                <w:lang w:eastAsia="en-AU"/>
              </w:rPr>
              <w:t>- 1 room only</w:t>
            </w:r>
          </w:p>
        </w:tc>
      </w:tr>
      <w:tr w:rsidR="00F85833" w14:paraId="67AD3120" w14:textId="77777777" w:rsidTr="00D067E6">
        <w:tc>
          <w:tcPr>
            <w:tcW w:w="1838" w:type="dxa"/>
            <w:tcBorders>
              <w:top w:val="single" w:sz="4" w:space="0" w:color="auto"/>
              <w:left w:val="single" w:sz="4" w:space="0" w:color="auto"/>
              <w:right w:val="single" w:sz="4" w:space="0" w:color="auto"/>
            </w:tcBorders>
          </w:tcPr>
          <w:p w14:paraId="54FC2328" w14:textId="60FDDEF8" w:rsidR="00F85833" w:rsidRDefault="00F85833" w:rsidP="00B42A32">
            <w:pPr>
              <w:pStyle w:val="Tabletext"/>
            </w:pPr>
            <w:r>
              <w:t xml:space="preserve">Kitchen </w:t>
            </w:r>
          </w:p>
        </w:tc>
        <w:tc>
          <w:tcPr>
            <w:tcW w:w="1276" w:type="dxa"/>
            <w:tcBorders>
              <w:top w:val="single" w:sz="4" w:space="0" w:color="auto"/>
              <w:left w:val="single" w:sz="4" w:space="0" w:color="auto"/>
              <w:bottom w:val="single" w:sz="4" w:space="0" w:color="auto"/>
              <w:right w:val="single" w:sz="4" w:space="0" w:color="auto"/>
            </w:tcBorders>
            <w:vAlign w:val="center"/>
          </w:tcPr>
          <w:p w14:paraId="67DD9D4E" w14:textId="4F20862C" w:rsidR="00F85833" w:rsidRDefault="00F85833" w:rsidP="00B42A32">
            <w:pPr>
              <w:pStyle w:val="Tabletext"/>
            </w:pPr>
            <w:r w:rsidRPr="00B17812">
              <w:rPr>
                <w:lang w:eastAsia="en-AU"/>
              </w:rPr>
              <w:t>CR175</w:t>
            </w:r>
          </w:p>
        </w:tc>
        <w:tc>
          <w:tcPr>
            <w:tcW w:w="6174" w:type="dxa"/>
            <w:tcBorders>
              <w:top w:val="single" w:sz="4" w:space="0" w:color="auto"/>
              <w:left w:val="single" w:sz="4" w:space="0" w:color="auto"/>
              <w:bottom w:val="single" w:sz="4" w:space="0" w:color="auto"/>
              <w:right w:val="single" w:sz="4" w:space="0" w:color="auto"/>
            </w:tcBorders>
            <w:vAlign w:val="center"/>
          </w:tcPr>
          <w:p w14:paraId="3BE8A921" w14:textId="2DC83062" w:rsidR="00F85833" w:rsidRDefault="00F85833" w:rsidP="00B42A32">
            <w:pPr>
              <w:pStyle w:val="Tabletext"/>
            </w:pPr>
            <w:r w:rsidRPr="00B17812">
              <w:rPr>
                <w:lang w:eastAsia="en-AU"/>
              </w:rPr>
              <w:t>Clean stove</w:t>
            </w:r>
          </w:p>
        </w:tc>
      </w:tr>
      <w:tr w:rsidR="009F0F50" w14:paraId="5E1905BA" w14:textId="77777777" w:rsidTr="00D067E6">
        <w:tc>
          <w:tcPr>
            <w:tcW w:w="1838" w:type="dxa"/>
            <w:tcBorders>
              <w:left w:val="single" w:sz="4" w:space="0" w:color="auto"/>
              <w:right w:val="single" w:sz="4" w:space="0" w:color="auto"/>
            </w:tcBorders>
          </w:tcPr>
          <w:p w14:paraId="7264B51F" w14:textId="40CC8BEA" w:rsidR="009F0F50" w:rsidRDefault="009F0F50" w:rsidP="00B42A32">
            <w:pPr>
              <w:pStyle w:val="Tabletext"/>
            </w:pPr>
            <w:r w:rsidRPr="0022200A">
              <w:t xml:space="preserve">Kitchen </w:t>
            </w:r>
          </w:p>
        </w:tc>
        <w:tc>
          <w:tcPr>
            <w:tcW w:w="1276" w:type="dxa"/>
            <w:tcBorders>
              <w:top w:val="single" w:sz="4" w:space="0" w:color="auto"/>
              <w:left w:val="single" w:sz="4" w:space="0" w:color="auto"/>
              <w:bottom w:val="single" w:sz="4" w:space="0" w:color="auto"/>
              <w:right w:val="single" w:sz="4" w:space="0" w:color="auto"/>
            </w:tcBorders>
            <w:vAlign w:val="center"/>
          </w:tcPr>
          <w:p w14:paraId="1C854ECA" w14:textId="73F4F6BE" w:rsidR="009F0F50" w:rsidRDefault="009F0F50" w:rsidP="00B42A32">
            <w:pPr>
              <w:pStyle w:val="Tabletext"/>
            </w:pPr>
            <w:r w:rsidRPr="00B17812">
              <w:rPr>
                <w:lang w:eastAsia="en-AU"/>
              </w:rPr>
              <w:t>CR188</w:t>
            </w:r>
          </w:p>
        </w:tc>
        <w:tc>
          <w:tcPr>
            <w:tcW w:w="6174" w:type="dxa"/>
            <w:tcBorders>
              <w:top w:val="single" w:sz="4" w:space="0" w:color="auto"/>
              <w:left w:val="single" w:sz="4" w:space="0" w:color="auto"/>
              <w:bottom w:val="single" w:sz="4" w:space="0" w:color="auto"/>
              <w:right w:val="single" w:sz="4" w:space="0" w:color="auto"/>
            </w:tcBorders>
            <w:vAlign w:val="center"/>
          </w:tcPr>
          <w:p w14:paraId="412C5DD8" w14:textId="17AABA62" w:rsidR="009F0F50" w:rsidRDefault="009F0F50" w:rsidP="00B42A32">
            <w:pPr>
              <w:pStyle w:val="Tabletext"/>
            </w:pPr>
            <w:r w:rsidRPr="00B17812">
              <w:rPr>
                <w:lang w:eastAsia="en-AU"/>
              </w:rPr>
              <w:t>Clean kitchen complete - does not include floor</w:t>
            </w:r>
          </w:p>
        </w:tc>
      </w:tr>
      <w:tr w:rsidR="009F0F50" w14:paraId="5AD2A737" w14:textId="77777777" w:rsidTr="00D067E6">
        <w:tc>
          <w:tcPr>
            <w:tcW w:w="1838" w:type="dxa"/>
            <w:tcBorders>
              <w:left w:val="single" w:sz="4" w:space="0" w:color="auto"/>
              <w:right w:val="single" w:sz="4" w:space="0" w:color="auto"/>
            </w:tcBorders>
          </w:tcPr>
          <w:p w14:paraId="3CDE1B8F" w14:textId="02205A91" w:rsidR="009F0F50" w:rsidRDefault="009F0F50" w:rsidP="00B42A32">
            <w:pPr>
              <w:pStyle w:val="Tabletext"/>
            </w:pPr>
            <w:r w:rsidRPr="0022200A">
              <w:t xml:space="preserve">Kitchen </w:t>
            </w:r>
          </w:p>
        </w:tc>
        <w:tc>
          <w:tcPr>
            <w:tcW w:w="1276" w:type="dxa"/>
            <w:tcBorders>
              <w:top w:val="single" w:sz="4" w:space="0" w:color="auto"/>
              <w:left w:val="single" w:sz="4" w:space="0" w:color="auto"/>
              <w:bottom w:val="single" w:sz="4" w:space="0" w:color="auto"/>
              <w:right w:val="single" w:sz="4" w:space="0" w:color="auto"/>
            </w:tcBorders>
            <w:vAlign w:val="center"/>
          </w:tcPr>
          <w:p w14:paraId="2FD4234D" w14:textId="3FEDE9FF" w:rsidR="009F0F50" w:rsidRPr="00B17812" w:rsidRDefault="009F0F50" w:rsidP="00B42A32">
            <w:pPr>
              <w:pStyle w:val="Tabletext"/>
              <w:rPr>
                <w:lang w:eastAsia="en-AU"/>
              </w:rPr>
            </w:pPr>
            <w:r w:rsidRPr="00B17812">
              <w:rPr>
                <w:lang w:eastAsia="en-AU"/>
              </w:rPr>
              <w:t>CR250</w:t>
            </w:r>
          </w:p>
        </w:tc>
        <w:tc>
          <w:tcPr>
            <w:tcW w:w="6174" w:type="dxa"/>
            <w:tcBorders>
              <w:top w:val="single" w:sz="4" w:space="0" w:color="auto"/>
              <w:left w:val="single" w:sz="4" w:space="0" w:color="auto"/>
              <w:bottom w:val="single" w:sz="4" w:space="0" w:color="auto"/>
              <w:right w:val="single" w:sz="4" w:space="0" w:color="auto"/>
            </w:tcBorders>
            <w:vAlign w:val="center"/>
          </w:tcPr>
          <w:p w14:paraId="785B1F74" w14:textId="2536C536" w:rsidR="009F0F50" w:rsidRPr="00B17812" w:rsidRDefault="009F0F50" w:rsidP="00B42A32">
            <w:pPr>
              <w:pStyle w:val="Tabletext"/>
              <w:rPr>
                <w:lang w:eastAsia="en-AU"/>
              </w:rPr>
            </w:pPr>
            <w:r w:rsidRPr="00B17812">
              <w:rPr>
                <w:lang w:eastAsia="en-AU"/>
              </w:rPr>
              <w:t>Clean and scrub floors</w:t>
            </w:r>
          </w:p>
        </w:tc>
      </w:tr>
      <w:tr w:rsidR="009F0F50" w14:paraId="577053FD" w14:textId="77777777" w:rsidTr="00D067E6">
        <w:tc>
          <w:tcPr>
            <w:tcW w:w="1838" w:type="dxa"/>
            <w:tcBorders>
              <w:left w:val="single" w:sz="4" w:space="0" w:color="auto"/>
              <w:right w:val="single" w:sz="4" w:space="0" w:color="auto"/>
            </w:tcBorders>
          </w:tcPr>
          <w:p w14:paraId="2AC6B99D" w14:textId="2E3F15E3" w:rsidR="009F0F50" w:rsidRDefault="009F0F50" w:rsidP="00B42A32">
            <w:pPr>
              <w:pStyle w:val="Tabletext"/>
            </w:pPr>
            <w:r w:rsidRPr="0022200A">
              <w:t xml:space="preserve">Kitchen </w:t>
            </w:r>
          </w:p>
        </w:tc>
        <w:tc>
          <w:tcPr>
            <w:tcW w:w="1276" w:type="dxa"/>
            <w:tcBorders>
              <w:top w:val="single" w:sz="4" w:space="0" w:color="auto"/>
              <w:left w:val="single" w:sz="4" w:space="0" w:color="auto"/>
              <w:bottom w:val="single" w:sz="4" w:space="0" w:color="auto"/>
              <w:right w:val="single" w:sz="4" w:space="0" w:color="auto"/>
            </w:tcBorders>
            <w:vAlign w:val="center"/>
          </w:tcPr>
          <w:p w14:paraId="24CB83E5" w14:textId="7D5EBF86" w:rsidR="009F0F50" w:rsidRPr="00B17812" w:rsidRDefault="009F0F50" w:rsidP="00B42A32">
            <w:pPr>
              <w:pStyle w:val="Tabletext"/>
              <w:rPr>
                <w:lang w:eastAsia="en-AU"/>
              </w:rPr>
            </w:pPr>
            <w:r w:rsidRPr="00B17812">
              <w:rPr>
                <w:lang w:eastAsia="en-AU"/>
              </w:rPr>
              <w:t>CR195</w:t>
            </w:r>
          </w:p>
        </w:tc>
        <w:tc>
          <w:tcPr>
            <w:tcW w:w="6174" w:type="dxa"/>
            <w:tcBorders>
              <w:top w:val="single" w:sz="4" w:space="0" w:color="auto"/>
              <w:left w:val="single" w:sz="4" w:space="0" w:color="auto"/>
              <w:bottom w:val="single" w:sz="4" w:space="0" w:color="auto"/>
              <w:right w:val="single" w:sz="4" w:space="0" w:color="auto"/>
            </w:tcBorders>
            <w:vAlign w:val="center"/>
          </w:tcPr>
          <w:p w14:paraId="2E8FA316" w14:textId="36E66D2B" w:rsidR="009F0F50" w:rsidRPr="00B17812" w:rsidRDefault="009F0F50" w:rsidP="00B42A32">
            <w:pPr>
              <w:pStyle w:val="Tabletext"/>
              <w:rPr>
                <w:lang w:eastAsia="en-AU"/>
              </w:rPr>
            </w:pPr>
            <w:r w:rsidRPr="00B17812">
              <w:rPr>
                <w:lang w:eastAsia="en-AU"/>
              </w:rPr>
              <w:t>Clean exhaust fan only - not to be used w/cleaning</w:t>
            </w:r>
          </w:p>
        </w:tc>
      </w:tr>
      <w:tr w:rsidR="00F85833" w14:paraId="69312044" w14:textId="77777777" w:rsidTr="00D067E6">
        <w:tc>
          <w:tcPr>
            <w:tcW w:w="1838" w:type="dxa"/>
            <w:tcBorders>
              <w:top w:val="single" w:sz="4" w:space="0" w:color="auto"/>
              <w:left w:val="single" w:sz="4" w:space="0" w:color="auto"/>
              <w:right w:val="single" w:sz="4" w:space="0" w:color="auto"/>
            </w:tcBorders>
          </w:tcPr>
          <w:p w14:paraId="3E2993F1" w14:textId="24F895DB" w:rsidR="00F85833" w:rsidRDefault="00F85833" w:rsidP="00B42A32">
            <w:pPr>
              <w:pStyle w:val="Tabletext"/>
            </w:pPr>
            <w:r>
              <w:t>Laundry</w:t>
            </w:r>
          </w:p>
        </w:tc>
        <w:tc>
          <w:tcPr>
            <w:tcW w:w="1276" w:type="dxa"/>
            <w:tcBorders>
              <w:top w:val="single" w:sz="4" w:space="0" w:color="auto"/>
              <w:left w:val="single" w:sz="4" w:space="0" w:color="auto"/>
              <w:bottom w:val="single" w:sz="4" w:space="0" w:color="auto"/>
              <w:right w:val="single" w:sz="4" w:space="0" w:color="auto"/>
            </w:tcBorders>
            <w:vAlign w:val="center"/>
          </w:tcPr>
          <w:p w14:paraId="5C1D6761" w14:textId="3BB6A8B8" w:rsidR="00F85833" w:rsidRDefault="00F85833" w:rsidP="00B42A32">
            <w:pPr>
              <w:pStyle w:val="Tabletext"/>
            </w:pPr>
            <w:r w:rsidRPr="00B17812">
              <w:rPr>
                <w:lang w:eastAsia="en-AU"/>
              </w:rPr>
              <w:t>CR210</w:t>
            </w:r>
          </w:p>
        </w:tc>
        <w:tc>
          <w:tcPr>
            <w:tcW w:w="6174" w:type="dxa"/>
            <w:tcBorders>
              <w:top w:val="single" w:sz="4" w:space="0" w:color="auto"/>
              <w:left w:val="single" w:sz="4" w:space="0" w:color="auto"/>
              <w:bottom w:val="single" w:sz="4" w:space="0" w:color="auto"/>
              <w:right w:val="single" w:sz="4" w:space="0" w:color="auto"/>
            </w:tcBorders>
            <w:vAlign w:val="center"/>
          </w:tcPr>
          <w:p w14:paraId="6F13E47A" w14:textId="6256F0FD" w:rsidR="00F85833" w:rsidRDefault="00F85833" w:rsidP="00B42A32">
            <w:pPr>
              <w:pStyle w:val="Tabletext"/>
            </w:pPr>
            <w:r w:rsidRPr="00B17812">
              <w:rPr>
                <w:lang w:eastAsia="en-AU"/>
              </w:rPr>
              <w:t xml:space="preserve">Clean linen laundry landing cupboards </w:t>
            </w:r>
            <w:r>
              <w:rPr>
                <w:lang w:eastAsia="en-AU"/>
              </w:rPr>
              <w:t>and</w:t>
            </w:r>
            <w:r w:rsidRPr="00B17812">
              <w:rPr>
                <w:lang w:eastAsia="en-AU"/>
              </w:rPr>
              <w:t xml:space="preserve"> built in robe</w:t>
            </w:r>
          </w:p>
        </w:tc>
      </w:tr>
      <w:tr w:rsidR="009F0F50" w14:paraId="17A87D08" w14:textId="77777777" w:rsidTr="00D067E6">
        <w:tc>
          <w:tcPr>
            <w:tcW w:w="1838" w:type="dxa"/>
            <w:tcBorders>
              <w:left w:val="single" w:sz="4" w:space="0" w:color="auto"/>
              <w:right w:val="single" w:sz="4" w:space="0" w:color="auto"/>
            </w:tcBorders>
          </w:tcPr>
          <w:p w14:paraId="5A8B3A09" w14:textId="30B18CBD" w:rsidR="009F0F50" w:rsidRDefault="009F0F50" w:rsidP="00B42A32">
            <w:pPr>
              <w:pStyle w:val="Tabletext"/>
            </w:pPr>
            <w:r w:rsidRPr="00577EC5">
              <w:t>Laundry</w:t>
            </w:r>
          </w:p>
        </w:tc>
        <w:tc>
          <w:tcPr>
            <w:tcW w:w="1276" w:type="dxa"/>
            <w:tcBorders>
              <w:top w:val="single" w:sz="4" w:space="0" w:color="auto"/>
              <w:left w:val="single" w:sz="4" w:space="0" w:color="auto"/>
              <w:bottom w:val="single" w:sz="4" w:space="0" w:color="auto"/>
              <w:right w:val="single" w:sz="4" w:space="0" w:color="auto"/>
            </w:tcBorders>
            <w:vAlign w:val="center"/>
          </w:tcPr>
          <w:p w14:paraId="2A3E42F0" w14:textId="0E4A4400" w:rsidR="009F0F50" w:rsidRDefault="009F0F50" w:rsidP="00B42A32">
            <w:pPr>
              <w:pStyle w:val="Tabletext"/>
            </w:pPr>
            <w:r w:rsidRPr="00B17812">
              <w:rPr>
                <w:lang w:eastAsia="en-AU"/>
              </w:rPr>
              <w:t>CR211</w:t>
            </w:r>
          </w:p>
        </w:tc>
        <w:tc>
          <w:tcPr>
            <w:tcW w:w="6174" w:type="dxa"/>
            <w:tcBorders>
              <w:top w:val="single" w:sz="4" w:space="0" w:color="auto"/>
              <w:left w:val="single" w:sz="4" w:space="0" w:color="auto"/>
              <w:bottom w:val="single" w:sz="4" w:space="0" w:color="auto"/>
              <w:right w:val="single" w:sz="4" w:space="0" w:color="auto"/>
            </w:tcBorders>
            <w:vAlign w:val="center"/>
          </w:tcPr>
          <w:p w14:paraId="319AB898" w14:textId="521F59C3" w:rsidR="009F0F50" w:rsidRDefault="009F0F50" w:rsidP="00B42A32">
            <w:pPr>
              <w:pStyle w:val="Tabletext"/>
            </w:pPr>
            <w:r w:rsidRPr="00B17812">
              <w:rPr>
                <w:lang w:eastAsia="en-AU"/>
              </w:rPr>
              <w:t>Clean laundry fixtures complete -including exhaust fan</w:t>
            </w:r>
          </w:p>
        </w:tc>
      </w:tr>
      <w:tr w:rsidR="009F0F50" w14:paraId="56EA53FE" w14:textId="77777777" w:rsidTr="00D067E6">
        <w:tc>
          <w:tcPr>
            <w:tcW w:w="1838" w:type="dxa"/>
            <w:tcBorders>
              <w:left w:val="single" w:sz="4" w:space="0" w:color="auto"/>
              <w:bottom w:val="single" w:sz="4" w:space="0" w:color="auto"/>
              <w:right w:val="single" w:sz="4" w:space="0" w:color="auto"/>
            </w:tcBorders>
          </w:tcPr>
          <w:p w14:paraId="448C9555" w14:textId="2670E92E" w:rsidR="009F0F50" w:rsidRDefault="009F0F50" w:rsidP="00B42A32">
            <w:pPr>
              <w:pStyle w:val="Tabletext"/>
            </w:pPr>
            <w:r w:rsidRPr="00577EC5">
              <w:t>Laundry</w:t>
            </w:r>
          </w:p>
        </w:tc>
        <w:tc>
          <w:tcPr>
            <w:tcW w:w="1276" w:type="dxa"/>
            <w:tcBorders>
              <w:top w:val="single" w:sz="4" w:space="0" w:color="auto"/>
              <w:left w:val="single" w:sz="4" w:space="0" w:color="auto"/>
              <w:bottom w:val="single" w:sz="4" w:space="0" w:color="auto"/>
              <w:right w:val="single" w:sz="4" w:space="0" w:color="auto"/>
            </w:tcBorders>
            <w:vAlign w:val="center"/>
          </w:tcPr>
          <w:p w14:paraId="6049C9C6" w14:textId="17C37CA9" w:rsidR="009F0F50" w:rsidRDefault="009F0F50" w:rsidP="00B42A32">
            <w:pPr>
              <w:pStyle w:val="Tabletext"/>
            </w:pPr>
            <w:r w:rsidRPr="00B17812">
              <w:rPr>
                <w:lang w:eastAsia="en-AU"/>
              </w:rPr>
              <w:t>CR212</w:t>
            </w:r>
          </w:p>
        </w:tc>
        <w:tc>
          <w:tcPr>
            <w:tcW w:w="6174" w:type="dxa"/>
            <w:tcBorders>
              <w:top w:val="single" w:sz="4" w:space="0" w:color="auto"/>
              <w:left w:val="single" w:sz="4" w:space="0" w:color="auto"/>
              <w:bottom w:val="single" w:sz="4" w:space="0" w:color="auto"/>
              <w:right w:val="single" w:sz="4" w:space="0" w:color="auto"/>
            </w:tcBorders>
            <w:vAlign w:val="center"/>
          </w:tcPr>
          <w:p w14:paraId="09CEA05A" w14:textId="41922BAC" w:rsidR="009F0F50" w:rsidRDefault="009F0F50" w:rsidP="00B42A32">
            <w:pPr>
              <w:pStyle w:val="Tabletext"/>
            </w:pPr>
            <w:r w:rsidRPr="00B17812">
              <w:rPr>
                <w:lang w:eastAsia="en-AU"/>
              </w:rPr>
              <w:t>Wash laundry complete- ceiling/walls etc</w:t>
            </w:r>
          </w:p>
        </w:tc>
      </w:tr>
      <w:tr w:rsidR="00F85833" w14:paraId="40DC8990" w14:textId="77777777" w:rsidTr="00D067E6">
        <w:tc>
          <w:tcPr>
            <w:tcW w:w="1838" w:type="dxa"/>
            <w:tcBorders>
              <w:top w:val="single" w:sz="4" w:space="0" w:color="auto"/>
              <w:left w:val="single" w:sz="4" w:space="0" w:color="auto"/>
              <w:bottom w:val="single" w:sz="4" w:space="0" w:color="auto"/>
              <w:right w:val="single" w:sz="4" w:space="0" w:color="auto"/>
            </w:tcBorders>
          </w:tcPr>
          <w:p w14:paraId="2A40C381" w14:textId="349F6A72" w:rsidR="00F85833" w:rsidRDefault="00F85833" w:rsidP="00F85833">
            <w:pPr>
              <w:pStyle w:val="Body"/>
            </w:pPr>
            <w:r>
              <w:t xml:space="preserve">Bathroom </w:t>
            </w:r>
          </w:p>
        </w:tc>
        <w:tc>
          <w:tcPr>
            <w:tcW w:w="1276" w:type="dxa"/>
            <w:tcBorders>
              <w:top w:val="single" w:sz="4" w:space="0" w:color="auto"/>
              <w:left w:val="single" w:sz="4" w:space="0" w:color="auto"/>
              <w:bottom w:val="single" w:sz="4" w:space="0" w:color="auto"/>
              <w:right w:val="single" w:sz="4" w:space="0" w:color="auto"/>
            </w:tcBorders>
            <w:vAlign w:val="center"/>
          </w:tcPr>
          <w:p w14:paraId="1198E5F0" w14:textId="4DD99DF3" w:rsidR="00F85833" w:rsidRDefault="00F85833" w:rsidP="00F85833">
            <w:pPr>
              <w:pStyle w:val="Body"/>
            </w:pPr>
            <w:r w:rsidRPr="00B17812">
              <w:rPr>
                <w:color w:val="000000"/>
                <w:lang w:eastAsia="en-AU"/>
              </w:rPr>
              <w:t>CR220</w:t>
            </w:r>
          </w:p>
        </w:tc>
        <w:tc>
          <w:tcPr>
            <w:tcW w:w="6174" w:type="dxa"/>
            <w:tcBorders>
              <w:top w:val="single" w:sz="4" w:space="0" w:color="auto"/>
              <w:left w:val="single" w:sz="4" w:space="0" w:color="auto"/>
              <w:bottom w:val="single" w:sz="4" w:space="0" w:color="auto"/>
              <w:right w:val="single" w:sz="4" w:space="0" w:color="auto"/>
            </w:tcBorders>
            <w:vAlign w:val="center"/>
          </w:tcPr>
          <w:p w14:paraId="31B9D2E6" w14:textId="308D55CF" w:rsidR="00F85833" w:rsidRDefault="00F85833" w:rsidP="00F85833">
            <w:pPr>
              <w:pStyle w:val="Body"/>
            </w:pPr>
            <w:r w:rsidRPr="00B17812">
              <w:rPr>
                <w:color w:val="000000"/>
                <w:lang w:eastAsia="en-AU"/>
              </w:rPr>
              <w:t>Clean bathroom complete- include floor</w:t>
            </w:r>
          </w:p>
        </w:tc>
      </w:tr>
      <w:tr w:rsidR="00F85833" w14:paraId="6C03361E" w14:textId="77777777" w:rsidTr="00D067E6">
        <w:tc>
          <w:tcPr>
            <w:tcW w:w="1838" w:type="dxa"/>
            <w:tcBorders>
              <w:top w:val="single" w:sz="4" w:space="0" w:color="auto"/>
            </w:tcBorders>
          </w:tcPr>
          <w:p w14:paraId="798C01ED" w14:textId="754EF889" w:rsidR="00F85833" w:rsidRDefault="00F85833" w:rsidP="00B42A32">
            <w:pPr>
              <w:pStyle w:val="Tabletext"/>
            </w:pPr>
            <w:r>
              <w:lastRenderedPageBreak/>
              <w:t>Toilet</w:t>
            </w:r>
          </w:p>
        </w:tc>
        <w:tc>
          <w:tcPr>
            <w:tcW w:w="1276" w:type="dxa"/>
            <w:tcBorders>
              <w:top w:val="single" w:sz="4" w:space="0" w:color="auto"/>
              <w:left w:val="nil"/>
              <w:bottom w:val="single" w:sz="4" w:space="0" w:color="auto"/>
              <w:right w:val="single" w:sz="4" w:space="0" w:color="auto"/>
            </w:tcBorders>
            <w:vAlign w:val="center"/>
          </w:tcPr>
          <w:p w14:paraId="0B32E354" w14:textId="51B2C2E5" w:rsidR="00F85833" w:rsidRPr="00B17812" w:rsidRDefault="00F85833" w:rsidP="00B42A32">
            <w:pPr>
              <w:pStyle w:val="Tabletext"/>
              <w:rPr>
                <w:color w:val="000000"/>
                <w:lang w:eastAsia="en-AU"/>
              </w:rPr>
            </w:pPr>
            <w:r w:rsidRPr="00B17812">
              <w:rPr>
                <w:color w:val="000000"/>
                <w:lang w:eastAsia="en-AU"/>
              </w:rPr>
              <w:t>CR230</w:t>
            </w:r>
          </w:p>
        </w:tc>
        <w:tc>
          <w:tcPr>
            <w:tcW w:w="6174" w:type="dxa"/>
            <w:tcBorders>
              <w:top w:val="single" w:sz="4" w:space="0" w:color="auto"/>
              <w:left w:val="nil"/>
              <w:bottom w:val="single" w:sz="4" w:space="0" w:color="auto"/>
              <w:right w:val="single" w:sz="4" w:space="0" w:color="auto"/>
            </w:tcBorders>
            <w:vAlign w:val="center"/>
          </w:tcPr>
          <w:p w14:paraId="3A47B54E" w14:textId="032D9B00" w:rsidR="00F85833" w:rsidRPr="00B17812" w:rsidRDefault="00F85833" w:rsidP="00B42A32">
            <w:pPr>
              <w:pStyle w:val="Tabletext"/>
              <w:rPr>
                <w:color w:val="000000"/>
                <w:lang w:eastAsia="en-AU"/>
              </w:rPr>
            </w:pPr>
            <w:r w:rsidRPr="00B17812">
              <w:rPr>
                <w:color w:val="000000"/>
                <w:lang w:eastAsia="en-AU"/>
              </w:rPr>
              <w:t xml:space="preserve">Wash </w:t>
            </w:r>
            <w:r>
              <w:rPr>
                <w:color w:val="000000"/>
                <w:lang w:eastAsia="en-AU"/>
              </w:rPr>
              <w:t xml:space="preserve">and </w:t>
            </w:r>
            <w:r w:rsidRPr="00B17812">
              <w:rPr>
                <w:color w:val="000000"/>
                <w:lang w:eastAsia="en-AU"/>
              </w:rPr>
              <w:t>scrub toilet complete including exhaust fan</w:t>
            </w:r>
            <w:r>
              <w:rPr>
                <w:color w:val="000000"/>
                <w:lang w:eastAsia="en-AU"/>
              </w:rPr>
              <w:t xml:space="preserve"> and</w:t>
            </w:r>
            <w:r w:rsidRPr="00B17812">
              <w:rPr>
                <w:color w:val="000000"/>
                <w:lang w:eastAsia="en-AU"/>
              </w:rPr>
              <w:t xml:space="preserve"> floor</w:t>
            </w:r>
          </w:p>
        </w:tc>
      </w:tr>
      <w:tr w:rsidR="00F85833" w14:paraId="4E2C8FA4" w14:textId="77777777" w:rsidTr="00D067E6">
        <w:tc>
          <w:tcPr>
            <w:tcW w:w="1838" w:type="dxa"/>
            <w:tcBorders>
              <w:top w:val="single" w:sz="4" w:space="0" w:color="auto"/>
            </w:tcBorders>
          </w:tcPr>
          <w:p w14:paraId="48BD8B12" w14:textId="5ACD7552" w:rsidR="00F85833" w:rsidRDefault="00F85833" w:rsidP="00B42A32">
            <w:pPr>
              <w:pStyle w:val="Tabletext"/>
            </w:pPr>
            <w:r>
              <w:t>Hall</w:t>
            </w:r>
          </w:p>
        </w:tc>
        <w:tc>
          <w:tcPr>
            <w:tcW w:w="1276" w:type="dxa"/>
            <w:tcBorders>
              <w:top w:val="single" w:sz="4" w:space="0" w:color="auto"/>
              <w:left w:val="nil"/>
              <w:bottom w:val="single" w:sz="4" w:space="0" w:color="auto"/>
              <w:right w:val="single" w:sz="4" w:space="0" w:color="auto"/>
            </w:tcBorders>
            <w:vAlign w:val="center"/>
          </w:tcPr>
          <w:p w14:paraId="2A8D0F21" w14:textId="10E7F40E" w:rsidR="00F85833" w:rsidRPr="00B17812" w:rsidRDefault="00F85833" w:rsidP="00B42A32">
            <w:pPr>
              <w:pStyle w:val="Tabletext"/>
              <w:rPr>
                <w:color w:val="000000"/>
                <w:lang w:eastAsia="en-AU"/>
              </w:rPr>
            </w:pPr>
            <w:r w:rsidRPr="00B17812">
              <w:rPr>
                <w:color w:val="000000"/>
                <w:lang w:eastAsia="en-AU"/>
              </w:rPr>
              <w:t>CR262</w:t>
            </w:r>
          </w:p>
        </w:tc>
        <w:tc>
          <w:tcPr>
            <w:tcW w:w="6174" w:type="dxa"/>
            <w:tcBorders>
              <w:top w:val="single" w:sz="4" w:space="0" w:color="auto"/>
              <w:left w:val="nil"/>
              <w:bottom w:val="single" w:sz="4" w:space="0" w:color="auto"/>
              <w:right w:val="single" w:sz="4" w:space="0" w:color="auto"/>
            </w:tcBorders>
            <w:vAlign w:val="center"/>
          </w:tcPr>
          <w:p w14:paraId="008A214F" w14:textId="2D8A6F70" w:rsidR="00F85833" w:rsidRPr="00B17812" w:rsidRDefault="00F85833" w:rsidP="00B42A32">
            <w:pPr>
              <w:pStyle w:val="Tabletext"/>
              <w:rPr>
                <w:color w:val="000000"/>
                <w:lang w:eastAsia="en-AU"/>
              </w:rPr>
            </w:pPr>
            <w:r w:rsidRPr="00B17812">
              <w:rPr>
                <w:color w:val="000000"/>
                <w:lang w:eastAsia="en-AU"/>
              </w:rPr>
              <w:t>Wash hall</w:t>
            </w:r>
          </w:p>
        </w:tc>
      </w:tr>
      <w:tr w:rsidR="00F85833" w14:paraId="500C5231" w14:textId="77777777" w:rsidTr="00D067E6">
        <w:tc>
          <w:tcPr>
            <w:tcW w:w="1838" w:type="dxa"/>
            <w:tcBorders>
              <w:top w:val="single" w:sz="4" w:space="0" w:color="auto"/>
            </w:tcBorders>
          </w:tcPr>
          <w:p w14:paraId="394731E9" w14:textId="6D54291C" w:rsidR="00F85833" w:rsidRDefault="00F85833" w:rsidP="00B42A32">
            <w:pPr>
              <w:pStyle w:val="Tabletext"/>
            </w:pPr>
            <w:r>
              <w:t>Lounge</w:t>
            </w:r>
          </w:p>
        </w:tc>
        <w:tc>
          <w:tcPr>
            <w:tcW w:w="1276" w:type="dxa"/>
            <w:tcBorders>
              <w:top w:val="single" w:sz="4" w:space="0" w:color="auto"/>
              <w:left w:val="nil"/>
              <w:bottom w:val="single" w:sz="4" w:space="0" w:color="auto"/>
              <w:right w:val="single" w:sz="4" w:space="0" w:color="auto"/>
            </w:tcBorders>
            <w:vAlign w:val="center"/>
          </w:tcPr>
          <w:p w14:paraId="7B52832B" w14:textId="6D228B9C" w:rsidR="00F85833" w:rsidRDefault="00F85833" w:rsidP="00B42A32">
            <w:pPr>
              <w:pStyle w:val="Tabletext"/>
            </w:pPr>
            <w:r w:rsidRPr="00B17812">
              <w:rPr>
                <w:color w:val="000000"/>
                <w:lang w:eastAsia="en-AU"/>
              </w:rPr>
              <w:t>CR252</w:t>
            </w:r>
          </w:p>
        </w:tc>
        <w:tc>
          <w:tcPr>
            <w:tcW w:w="6174" w:type="dxa"/>
            <w:tcBorders>
              <w:top w:val="single" w:sz="4" w:space="0" w:color="auto"/>
              <w:left w:val="nil"/>
              <w:bottom w:val="single" w:sz="4" w:space="0" w:color="auto"/>
              <w:right w:val="single" w:sz="4" w:space="0" w:color="auto"/>
            </w:tcBorders>
            <w:vAlign w:val="center"/>
          </w:tcPr>
          <w:p w14:paraId="277F0C6C" w14:textId="6152C606" w:rsidR="00F85833" w:rsidRDefault="00F85833" w:rsidP="00B42A32">
            <w:pPr>
              <w:pStyle w:val="Tabletext"/>
            </w:pPr>
            <w:r w:rsidRPr="00B17812">
              <w:rPr>
                <w:color w:val="000000"/>
                <w:lang w:eastAsia="en-AU"/>
              </w:rPr>
              <w:t>Wash lounge and family room</w:t>
            </w:r>
          </w:p>
        </w:tc>
      </w:tr>
      <w:tr w:rsidR="00F85833" w14:paraId="6F371C57" w14:textId="77777777" w:rsidTr="00D067E6">
        <w:tc>
          <w:tcPr>
            <w:tcW w:w="1838" w:type="dxa"/>
          </w:tcPr>
          <w:p w14:paraId="64A97739" w14:textId="4A2CA80B" w:rsidR="00F85833" w:rsidRDefault="00F85833" w:rsidP="00B42A32">
            <w:pPr>
              <w:pStyle w:val="Tabletext"/>
            </w:pPr>
            <w:r>
              <w:t>Bedrooms</w:t>
            </w:r>
          </w:p>
        </w:tc>
        <w:tc>
          <w:tcPr>
            <w:tcW w:w="1276" w:type="dxa"/>
            <w:tcBorders>
              <w:top w:val="nil"/>
              <w:left w:val="nil"/>
              <w:bottom w:val="single" w:sz="4" w:space="0" w:color="auto"/>
              <w:right w:val="single" w:sz="4" w:space="0" w:color="auto"/>
            </w:tcBorders>
            <w:vAlign w:val="center"/>
          </w:tcPr>
          <w:p w14:paraId="544F9F2C" w14:textId="3F83B2D1" w:rsidR="00F85833" w:rsidRDefault="00F85833" w:rsidP="00B42A32">
            <w:pPr>
              <w:pStyle w:val="Tabletext"/>
            </w:pPr>
            <w:r w:rsidRPr="00B17812">
              <w:rPr>
                <w:color w:val="000000"/>
                <w:lang w:eastAsia="en-AU"/>
              </w:rPr>
              <w:t>CR256</w:t>
            </w:r>
          </w:p>
        </w:tc>
        <w:tc>
          <w:tcPr>
            <w:tcW w:w="6174" w:type="dxa"/>
            <w:tcBorders>
              <w:top w:val="nil"/>
              <w:left w:val="nil"/>
              <w:bottom w:val="single" w:sz="4" w:space="0" w:color="auto"/>
              <w:right w:val="single" w:sz="4" w:space="0" w:color="auto"/>
            </w:tcBorders>
            <w:vAlign w:val="center"/>
          </w:tcPr>
          <w:p w14:paraId="0D9A302E" w14:textId="3A6FBF36" w:rsidR="00F85833" w:rsidRDefault="00F85833" w:rsidP="00B42A32">
            <w:pPr>
              <w:pStyle w:val="Tabletext"/>
            </w:pPr>
            <w:r w:rsidRPr="00B17812">
              <w:rPr>
                <w:color w:val="000000"/>
                <w:lang w:eastAsia="en-AU"/>
              </w:rPr>
              <w:t>Wash bedroom</w:t>
            </w:r>
          </w:p>
        </w:tc>
      </w:tr>
      <w:tr w:rsidR="00F85833" w14:paraId="53200A74" w14:textId="77777777" w:rsidTr="00D067E6">
        <w:tc>
          <w:tcPr>
            <w:tcW w:w="1838" w:type="dxa"/>
          </w:tcPr>
          <w:p w14:paraId="13D6060A" w14:textId="7C90A5C7" w:rsidR="00F85833" w:rsidRDefault="00F85833" w:rsidP="00B42A32">
            <w:pPr>
              <w:pStyle w:val="Tabletext"/>
            </w:pPr>
            <w:r>
              <w:t>External</w:t>
            </w:r>
          </w:p>
        </w:tc>
        <w:tc>
          <w:tcPr>
            <w:tcW w:w="1276" w:type="dxa"/>
            <w:tcBorders>
              <w:top w:val="nil"/>
              <w:left w:val="nil"/>
              <w:bottom w:val="single" w:sz="4" w:space="0" w:color="auto"/>
              <w:right w:val="single" w:sz="4" w:space="0" w:color="auto"/>
            </w:tcBorders>
            <w:vAlign w:val="center"/>
          </w:tcPr>
          <w:p w14:paraId="14B2678E" w14:textId="6C0758CD" w:rsidR="00F85833" w:rsidRDefault="00F85833" w:rsidP="00B42A32">
            <w:pPr>
              <w:pStyle w:val="Tabletext"/>
            </w:pPr>
            <w:r w:rsidRPr="00B17812">
              <w:rPr>
                <w:color w:val="000000"/>
                <w:lang w:eastAsia="en-AU"/>
              </w:rPr>
              <w:t>RS270</w:t>
            </w:r>
          </w:p>
        </w:tc>
        <w:tc>
          <w:tcPr>
            <w:tcW w:w="6174" w:type="dxa"/>
            <w:tcBorders>
              <w:top w:val="nil"/>
              <w:left w:val="nil"/>
              <w:bottom w:val="single" w:sz="4" w:space="0" w:color="auto"/>
              <w:right w:val="single" w:sz="4" w:space="0" w:color="auto"/>
            </w:tcBorders>
            <w:vAlign w:val="center"/>
          </w:tcPr>
          <w:p w14:paraId="1B3B75B9" w14:textId="70E696AC" w:rsidR="00F85833" w:rsidRDefault="00F85833" w:rsidP="00B42A32">
            <w:pPr>
              <w:pStyle w:val="Tabletext"/>
            </w:pPr>
            <w:r w:rsidRPr="00B17812">
              <w:rPr>
                <w:color w:val="000000"/>
                <w:lang w:eastAsia="en-AU"/>
              </w:rPr>
              <w:t>Clean out spouting</w:t>
            </w:r>
          </w:p>
        </w:tc>
      </w:tr>
      <w:tr w:rsidR="00F85833" w14:paraId="6A317A1F" w14:textId="77777777" w:rsidTr="00D067E6">
        <w:tc>
          <w:tcPr>
            <w:tcW w:w="1838" w:type="dxa"/>
          </w:tcPr>
          <w:p w14:paraId="3CA9D144" w14:textId="4BA31179" w:rsidR="00F85833" w:rsidRDefault="009F0F50" w:rsidP="00B42A32">
            <w:pPr>
              <w:pStyle w:val="Tabletext"/>
            </w:pPr>
            <w:r w:rsidRPr="009F0F50">
              <w:t>External</w:t>
            </w:r>
          </w:p>
        </w:tc>
        <w:tc>
          <w:tcPr>
            <w:tcW w:w="1276" w:type="dxa"/>
            <w:tcBorders>
              <w:top w:val="nil"/>
              <w:left w:val="nil"/>
              <w:bottom w:val="single" w:sz="4" w:space="0" w:color="auto"/>
              <w:right w:val="single" w:sz="4" w:space="0" w:color="auto"/>
            </w:tcBorders>
            <w:vAlign w:val="center"/>
          </w:tcPr>
          <w:p w14:paraId="59CDE02A" w14:textId="592F3B65" w:rsidR="00F85833" w:rsidRDefault="00F85833" w:rsidP="00B42A32">
            <w:pPr>
              <w:pStyle w:val="Tabletext"/>
            </w:pPr>
            <w:r w:rsidRPr="00B17812">
              <w:rPr>
                <w:color w:val="000000"/>
                <w:lang w:eastAsia="en-AU"/>
              </w:rPr>
              <w:t>RS260</w:t>
            </w:r>
          </w:p>
        </w:tc>
        <w:tc>
          <w:tcPr>
            <w:tcW w:w="6174" w:type="dxa"/>
            <w:tcBorders>
              <w:top w:val="nil"/>
              <w:left w:val="nil"/>
              <w:bottom w:val="single" w:sz="4" w:space="0" w:color="auto"/>
              <w:right w:val="single" w:sz="4" w:space="0" w:color="auto"/>
            </w:tcBorders>
            <w:vAlign w:val="center"/>
          </w:tcPr>
          <w:p w14:paraId="4A1D8984" w14:textId="040675BA" w:rsidR="00F85833" w:rsidRDefault="00F85833" w:rsidP="00B42A32">
            <w:pPr>
              <w:pStyle w:val="Tabletext"/>
            </w:pPr>
            <w:r w:rsidRPr="00B17812">
              <w:rPr>
                <w:color w:val="000000"/>
                <w:lang w:eastAsia="en-AU"/>
              </w:rPr>
              <w:t>Clean down pipe</w:t>
            </w:r>
          </w:p>
        </w:tc>
      </w:tr>
    </w:tbl>
    <w:p w14:paraId="4F9E9691" w14:textId="1EAD64E6" w:rsidR="009576AC" w:rsidRDefault="009576AC" w:rsidP="00C5542A">
      <w:pPr>
        <w:pStyle w:val="Heading2"/>
      </w:pPr>
      <w:bookmarkStart w:id="21" w:name="_Toc224119176"/>
      <w:r>
        <w:t>Additional work</w:t>
      </w:r>
      <w:bookmarkEnd w:id="21"/>
    </w:p>
    <w:p w14:paraId="2298587E" w14:textId="33E929C7" w:rsidR="009576AC" w:rsidRDefault="009576AC" w:rsidP="009576AC">
      <w:pPr>
        <w:rPr>
          <w:rFonts w:eastAsia="Times"/>
        </w:rPr>
      </w:pPr>
      <w:r w:rsidRPr="009576AC">
        <w:rPr>
          <w:rFonts w:eastAsia="Times"/>
        </w:rPr>
        <w:t xml:space="preserve">When </w:t>
      </w:r>
      <w:r w:rsidR="00EB0818" w:rsidRPr="00EB0818">
        <w:rPr>
          <w:rFonts w:eastAsia="Times"/>
        </w:rPr>
        <w:t>considering additional maintenance works during a vacant property inspection, staff should apply a value</w:t>
      </w:r>
      <w:r w:rsidR="00EB0818" w:rsidRPr="00EB0818">
        <w:rPr>
          <w:rFonts w:ascii="Cambria Math" w:eastAsia="Times" w:hAnsi="Cambria Math" w:cs="Cambria Math"/>
        </w:rPr>
        <w:t>‑</w:t>
      </w:r>
      <w:r w:rsidR="00EB0818" w:rsidRPr="00EB0818">
        <w:rPr>
          <w:rFonts w:eastAsia="Times"/>
        </w:rPr>
        <w:t>for</w:t>
      </w:r>
      <w:r w:rsidR="00EB0818" w:rsidRPr="00EB0818">
        <w:rPr>
          <w:rFonts w:ascii="Cambria Math" w:eastAsia="Times" w:hAnsi="Cambria Math" w:cs="Cambria Math"/>
        </w:rPr>
        <w:t>‑</w:t>
      </w:r>
      <w:r w:rsidR="00EB0818" w:rsidRPr="00EB0818">
        <w:rPr>
          <w:rFonts w:eastAsia="Times"/>
        </w:rPr>
        <w:t xml:space="preserve">money approach. Table </w:t>
      </w:r>
      <w:r w:rsidR="00EB0818">
        <w:rPr>
          <w:rFonts w:eastAsia="Times"/>
        </w:rPr>
        <w:t>14</w:t>
      </w:r>
      <w:r w:rsidR="00EB0818" w:rsidRPr="00EB0818">
        <w:rPr>
          <w:rFonts w:eastAsia="Times"/>
        </w:rPr>
        <w:t xml:space="preserve"> outlines the key principles to guide decision</w:t>
      </w:r>
      <w:r w:rsidR="00EB0818" w:rsidRPr="00EB0818">
        <w:rPr>
          <w:rFonts w:ascii="Cambria Math" w:eastAsia="Times" w:hAnsi="Cambria Math" w:cs="Cambria Math"/>
        </w:rPr>
        <w:t>‑</w:t>
      </w:r>
      <w:r w:rsidR="00EB0818" w:rsidRPr="00EB0818">
        <w:rPr>
          <w:rFonts w:eastAsia="Times"/>
        </w:rPr>
        <w:t>making.</w:t>
      </w:r>
    </w:p>
    <w:p w14:paraId="69CD926D" w14:textId="791665AE" w:rsidR="00AD52F1" w:rsidRDefault="00AD52F1" w:rsidP="007A27FB">
      <w:pPr>
        <w:pStyle w:val="Tablecaption"/>
        <w:rPr>
          <w:rFonts w:eastAsia="Times"/>
        </w:rPr>
      </w:pPr>
      <w:r>
        <w:rPr>
          <w:rFonts w:eastAsia="Times"/>
        </w:rPr>
        <w:t xml:space="preserve">Table </w:t>
      </w:r>
      <w:r w:rsidR="00BE25A2">
        <w:rPr>
          <w:rFonts w:eastAsia="Times"/>
        </w:rPr>
        <w:t>6</w:t>
      </w:r>
      <w:r>
        <w:rPr>
          <w:rFonts w:eastAsia="Times"/>
        </w:rPr>
        <w:t xml:space="preserve">: </w:t>
      </w:r>
      <w:r w:rsidR="007A27FB" w:rsidRPr="007A27FB">
        <w:rPr>
          <w:rFonts w:eastAsia="Times"/>
        </w:rPr>
        <w:t xml:space="preserve">Principles for </w:t>
      </w:r>
      <w:r w:rsidR="007A27FB">
        <w:rPr>
          <w:rFonts w:eastAsia="Times"/>
        </w:rPr>
        <w:t>a</w:t>
      </w:r>
      <w:r w:rsidR="007A27FB" w:rsidRPr="007A27FB">
        <w:rPr>
          <w:rFonts w:eastAsia="Times"/>
        </w:rPr>
        <w:t xml:space="preserve">ssessing </w:t>
      </w:r>
      <w:r w:rsidR="007A27FB">
        <w:rPr>
          <w:rFonts w:eastAsia="Times"/>
        </w:rPr>
        <w:t>a</w:t>
      </w:r>
      <w:r w:rsidR="007A27FB" w:rsidRPr="007A27FB">
        <w:rPr>
          <w:rFonts w:eastAsia="Times"/>
        </w:rPr>
        <w:t xml:space="preserve">dditional </w:t>
      </w:r>
      <w:r w:rsidR="007A27FB">
        <w:rPr>
          <w:rFonts w:eastAsia="Times"/>
        </w:rPr>
        <w:t>m</w:t>
      </w:r>
      <w:r w:rsidR="007A27FB" w:rsidRPr="007A27FB">
        <w:rPr>
          <w:rFonts w:eastAsia="Times"/>
        </w:rPr>
        <w:t xml:space="preserve">aintenance </w:t>
      </w:r>
      <w:r w:rsidR="007A27FB">
        <w:rPr>
          <w:rFonts w:eastAsia="Times"/>
        </w:rPr>
        <w:t>n</w:t>
      </w:r>
      <w:r w:rsidR="007A27FB" w:rsidRPr="007A27FB">
        <w:rPr>
          <w:rFonts w:eastAsia="Times"/>
        </w:rPr>
        <w:t>eeds</w:t>
      </w:r>
    </w:p>
    <w:tbl>
      <w:tblPr>
        <w:tblStyle w:val="TableGrid"/>
        <w:tblW w:w="0" w:type="auto"/>
        <w:tblLook w:val="04A0" w:firstRow="1" w:lastRow="0" w:firstColumn="1" w:lastColumn="0" w:noHBand="0" w:noVBand="1"/>
      </w:tblPr>
      <w:tblGrid>
        <w:gridCol w:w="2295"/>
        <w:gridCol w:w="6993"/>
      </w:tblGrid>
      <w:tr w:rsidR="001852CF" w:rsidRPr="001852CF" w14:paraId="76E0D0C0" w14:textId="77777777" w:rsidTr="003277F2">
        <w:trPr>
          <w:tblHeader/>
        </w:trPr>
        <w:tc>
          <w:tcPr>
            <w:tcW w:w="0" w:type="auto"/>
            <w:hideMark/>
          </w:tcPr>
          <w:p w14:paraId="4BE40784" w14:textId="0638E0B6" w:rsidR="001852CF" w:rsidRPr="001852CF" w:rsidRDefault="001852CF" w:rsidP="001852CF">
            <w:pPr>
              <w:pStyle w:val="Tablecolhead"/>
              <w:rPr>
                <w:rFonts w:eastAsia="Times"/>
              </w:rPr>
            </w:pPr>
            <w:r>
              <w:t>Principle</w:t>
            </w:r>
          </w:p>
        </w:tc>
        <w:tc>
          <w:tcPr>
            <w:tcW w:w="0" w:type="auto"/>
            <w:hideMark/>
          </w:tcPr>
          <w:p w14:paraId="060131D1" w14:textId="54BF15C7" w:rsidR="001852CF" w:rsidRPr="001852CF" w:rsidRDefault="001852CF" w:rsidP="001852CF">
            <w:pPr>
              <w:pStyle w:val="Tablecolhead"/>
              <w:rPr>
                <w:rFonts w:eastAsia="Times"/>
              </w:rPr>
            </w:pPr>
            <w:r>
              <w:t>Description</w:t>
            </w:r>
          </w:p>
        </w:tc>
      </w:tr>
      <w:tr w:rsidR="001852CF" w:rsidRPr="001852CF" w14:paraId="4347EB27" w14:textId="77777777" w:rsidTr="001852CF">
        <w:tc>
          <w:tcPr>
            <w:tcW w:w="0" w:type="auto"/>
            <w:hideMark/>
          </w:tcPr>
          <w:p w14:paraId="29B54DF0" w14:textId="77777777" w:rsidR="001852CF" w:rsidRPr="00B42A32" w:rsidRDefault="001852CF" w:rsidP="00B42A32">
            <w:pPr>
              <w:pStyle w:val="Tabletext"/>
            </w:pPr>
            <w:r w:rsidRPr="00B42A32">
              <w:rPr>
                <w:rFonts w:eastAsia="MS Gothic"/>
              </w:rPr>
              <w:t>Repair over replacement</w:t>
            </w:r>
          </w:p>
        </w:tc>
        <w:tc>
          <w:tcPr>
            <w:tcW w:w="0" w:type="auto"/>
            <w:hideMark/>
          </w:tcPr>
          <w:p w14:paraId="2B7BB127" w14:textId="77777777" w:rsidR="001852CF" w:rsidRPr="00B42A32" w:rsidRDefault="001852CF" w:rsidP="00B42A32">
            <w:pPr>
              <w:pStyle w:val="Tabletext"/>
            </w:pPr>
            <w:r w:rsidRPr="00B42A32">
              <w:t>Prioritise repairing items whenever feasible, rather than opting for full replacement.</w:t>
            </w:r>
          </w:p>
        </w:tc>
      </w:tr>
      <w:tr w:rsidR="001852CF" w:rsidRPr="001852CF" w14:paraId="4275C0E8" w14:textId="77777777" w:rsidTr="001852CF">
        <w:tc>
          <w:tcPr>
            <w:tcW w:w="0" w:type="auto"/>
            <w:hideMark/>
          </w:tcPr>
          <w:p w14:paraId="391503AC" w14:textId="77777777" w:rsidR="001852CF" w:rsidRPr="00B42A32" w:rsidRDefault="001852CF" w:rsidP="00B42A32">
            <w:pPr>
              <w:pStyle w:val="Tabletext"/>
            </w:pPr>
            <w:r w:rsidRPr="00B42A32">
              <w:rPr>
                <w:rFonts w:eastAsia="MS Gothic"/>
              </w:rPr>
              <w:t>Minimal aesthetic work</w:t>
            </w:r>
          </w:p>
        </w:tc>
        <w:tc>
          <w:tcPr>
            <w:tcW w:w="0" w:type="auto"/>
            <w:hideMark/>
          </w:tcPr>
          <w:p w14:paraId="763AA26A" w14:textId="77777777" w:rsidR="001852CF" w:rsidRPr="00B42A32" w:rsidRDefault="001852CF" w:rsidP="00B42A32">
            <w:pPr>
              <w:pStyle w:val="Tabletext"/>
            </w:pPr>
            <w:r w:rsidRPr="00B42A32">
              <w:t>Limit work to the minimum necessary for aesthetic improvement, focusing on essential repairs that enhance the property’s appearance without unnecessary cost.</w:t>
            </w:r>
          </w:p>
        </w:tc>
      </w:tr>
      <w:tr w:rsidR="001852CF" w:rsidRPr="001852CF" w14:paraId="56E21066" w14:textId="77777777" w:rsidTr="001852CF">
        <w:tc>
          <w:tcPr>
            <w:tcW w:w="0" w:type="auto"/>
            <w:hideMark/>
          </w:tcPr>
          <w:p w14:paraId="3A765C9F" w14:textId="77777777" w:rsidR="001852CF" w:rsidRPr="00B42A32" w:rsidRDefault="001852CF" w:rsidP="00B42A32">
            <w:pPr>
              <w:pStyle w:val="Tabletext"/>
            </w:pPr>
            <w:r w:rsidRPr="00B42A32">
              <w:rPr>
                <w:rFonts w:eastAsia="MS Gothic"/>
              </w:rPr>
              <w:t>Targeted floor covering replacement</w:t>
            </w:r>
          </w:p>
        </w:tc>
        <w:tc>
          <w:tcPr>
            <w:tcW w:w="0" w:type="auto"/>
            <w:hideMark/>
          </w:tcPr>
          <w:p w14:paraId="69CC1F85" w14:textId="77777777" w:rsidR="001852CF" w:rsidRPr="00B42A32" w:rsidRDefault="001852CF" w:rsidP="00B42A32">
            <w:pPr>
              <w:pStyle w:val="Tabletext"/>
            </w:pPr>
            <w:r w:rsidRPr="00B42A32">
              <w:t>If carpet or vinyl in a room is damaged or marked beyond acceptable levels, replace only the affected area rather than the entire room.</w:t>
            </w:r>
          </w:p>
        </w:tc>
      </w:tr>
      <w:tr w:rsidR="001852CF" w:rsidRPr="001852CF" w14:paraId="1A24A194" w14:textId="77777777" w:rsidTr="001852CF">
        <w:tc>
          <w:tcPr>
            <w:tcW w:w="0" w:type="auto"/>
            <w:hideMark/>
          </w:tcPr>
          <w:p w14:paraId="399C0627" w14:textId="77777777" w:rsidR="001852CF" w:rsidRPr="00B42A32" w:rsidRDefault="001852CF" w:rsidP="00B42A32">
            <w:pPr>
              <w:pStyle w:val="Tabletext"/>
            </w:pPr>
            <w:r w:rsidRPr="00B42A32">
              <w:rPr>
                <w:rFonts w:eastAsia="MS Gothic"/>
              </w:rPr>
              <w:t>Selective wall repair</w:t>
            </w:r>
          </w:p>
        </w:tc>
        <w:tc>
          <w:tcPr>
            <w:tcW w:w="0" w:type="auto"/>
            <w:hideMark/>
          </w:tcPr>
          <w:p w14:paraId="31A4CBA1" w14:textId="77777777" w:rsidR="001852CF" w:rsidRPr="00B42A32" w:rsidRDefault="001852CF" w:rsidP="00B42A32">
            <w:pPr>
              <w:pStyle w:val="Tabletext"/>
            </w:pPr>
            <w:r w:rsidRPr="00B42A32">
              <w:t>Patch and repaint only the specific wall that is damaged or unable to be cleaned; avoid repainting the full room unless necessary.</w:t>
            </w:r>
          </w:p>
        </w:tc>
      </w:tr>
      <w:tr w:rsidR="001852CF" w:rsidRPr="001852CF" w14:paraId="246B29F7" w14:textId="77777777" w:rsidTr="001852CF">
        <w:tc>
          <w:tcPr>
            <w:tcW w:w="0" w:type="auto"/>
            <w:hideMark/>
          </w:tcPr>
          <w:p w14:paraId="0A576630" w14:textId="77777777" w:rsidR="001852CF" w:rsidRPr="00B42A32" w:rsidRDefault="001852CF" w:rsidP="00B42A32">
            <w:pPr>
              <w:pStyle w:val="Tabletext"/>
            </w:pPr>
            <w:r w:rsidRPr="00B42A32">
              <w:rPr>
                <w:rFonts w:eastAsia="MS Gothic"/>
              </w:rPr>
              <w:t>Standardised door handle installation</w:t>
            </w:r>
          </w:p>
        </w:tc>
        <w:tc>
          <w:tcPr>
            <w:tcW w:w="0" w:type="auto"/>
            <w:hideMark/>
          </w:tcPr>
          <w:p w14:paraId="55F7F47C" w14:textId="77777777" w:rsidR="001852CF" w:rsidRPr="00B42A32" w:rsidRDefault="001852CF" w:rsidP="00B42A32">
            <w:pPr>
              <w:pStyle w:val="Tabletext"/>
            </w:pPr>
            <w:r w:rsidRPr="00B42A32">
              <w:t>If internal door handles do not match the departmental standard and one is missing, install a standard</w:t>
            </w:r>
            <w:r w:rsidRPr="00B42A32">
              <w:noBreakHyphen/>
              <w:t>compliant handle on the specific door only.</w:t>
            </w:r>
          </w:p>
        </w:tc>
      </w:tr>
      <w:tr w:rsidR="001852CF" w:rsidRPr="001852CF" w14:paraId="5FEF707C" w14:textId="77777777" w:rsidTr="001852CF">
        <w:tc>
          <w:tcPr>
            <w:tcW w:w="0" w:type="auto"/>
            <w:hideMark/>
          </w:tcPr>
          <w:p w14:paraId="3E35B84E" w14:textId="77777777" w:rsidR="001852CF" w:rsidRPr="00B42A32" w:rsidRDefault="001852CF" w:rsidP="00B42A32">
            <w:pPr>
              <w:pStyle w:val="Tabletext"/>
            </w:pPr>
            <w:r w:rsidRPr="00B42A32">
              <w:rPr>
                <w:rFonts w:eastAsia="MS Gothic"/>
              </w:rPr>
              <w:t>Odour management in carpets</w:t>
            </w:r>
          </w:p>
        </w:tc>
        <w:tc>
          <w:tcPr>
            <w:tcW w:w="0" w:type="auto"/>
            <w:hideMark/>
          </w:tcPr>
          <w:p w14:paraId="2DEC5E6E" w14:textId="77777777" w:rsidR="001852CF" w:rsidRPr="00B42A32" w:rsidRDefault="001852CF" w:rsidP="00B42A32">
            <w:pPr>
              <w:pStyle w:val="Tabletext"/>
            </w:pPr>
            <w:r w:rsidRPr="00B42A32">
              <w:t>If strong odours persist after steam cleaning, identify which rooms or sections of carpet are affected and replace only those areas.</w:t>
            </w:r>
          </w:p>
        </w:tc>
      </w:tr>
    </w:tbl>
    <w:p w14:paraId="2A1330BD" w14:textId="77777777" w:rsidR="009829FF" w:rsidRDefault="009829FF" w:rsidP="004F0F40">
      <w:pPr>
        <w:pStyle w:val="Heading1"/>
      </w:pPr>
      <w:bookmarkStart w:id="22" w:name="_Toc224119177"/>
      <w:r w:rsidRPr="00F00A95">
        <w:t>Vacant unit handback inspections</w:t>
      </w:r>
      <w:bookmarkEnd w:id="22"/>
    </w:p>
    <w:p w14:paraId="3D418C8B" w14:textId="77777777" w:rsidR="009829FF" w:rsidRDefault="009829FF" w:rsidP="009829FF">
      <w:pPr>
        <w:pStyle w:val="Body"/>
      </w:pPr>
      <w:r>
        <w:t>As the property nears completion, the contractor will schedule a date and time for a vacant unit inspection. Staff are responsible for conducting a thorough inspection of the vacant unit alongside the contractor, reviewing all raised repair items. This includes cross-checking that all works have been completed to a satisfactory standard before accepting the unit as ready for reletting.</w:t>
      </w:r>
    </w:p>
    <w:p w14:paraId="16B97EB9" w14:textId="77777777" w:rsidR="009829FF" w:rsidRDefault="009829FF" w:rsidP="009829FF">
      <w:pPr>
        <w:pStyle w:val="Body"/>
      </w:pPr>
      <w:r>
        <w:t>Expectations for staff during hand back inspections include:</w:t>
      </w:r>
    </w:p>
    <w:p w14:paraId="653F4AF5" w14:textId="5A4B145E" w:rsidR="009829FF" w:rsidRDefault="009829FF" w:rsidP="009829FF">
      <w:pPr>
        <w:pStyle w:val="Bullet1"/>
      </w:pPr>
      <w:r w:rsidRPr="00F00A95">
        <w:rPr>
          <w:b/>
          <w:bCs/>
        </w:rPr>
        <w:t xml:space="preserve">Thorough </w:t>
      </w:r>
      <w:r w:rsidR="00E55FE0">
        <w:rPr>
          <w:b/>
          <w:bCs/>
        </w:rPr>
        <w:t>r</w:t>
      </w:r>
      <w:r w:rsidRPr="00F00A95">
        <w:rPr>
          <w:b/>
          <w:bCs/>
        </w:rPr>
        <w:t>eview:</w:t>
      </w:r>
      <w:r>
        <w:t xml:space="preserve"> Inspect all areas of the unit to ensure repairs align with what was agreed upon in the scope of works. Pay attention to common issues like:</w:t>
      </w:r>
    </w:p>
    <w:p w14:paraId="482B8B58" w14:textId="1F8D4BCC" w:rsidR="009829FF" w:rsidRDefault="00AD52F1" w:rsidP="009829FF">
      <w:pPr>
        <w:pStyle w:val="Bullet2"/>
      </w:pPr>
      <w:r>
        <w:t>c</w:t>
      </w:r>
      <w:r w:rsidR="009829FF">
        <w:t>leaning,</w:t>
      </w:r>
    </w:p>
    <w:p w14:paraId="498D8FDA" w14:textId="7519F59D" w:rsidR="009829FF" w:rsidRDefault="00AD52F1" w:rsidP="009829FF">
      <w:pPr>
        <w:pStyle w:val="Bullet2"/>
      </w:pPr>
      <w:r>
        <w:t>s</w:t>
      </w:r>
      <w:r w:rsidR="009829FF">
        <w:t>afety features</w:t>
      </w:r>
    </w:p>
    <w:p w14:paraId="56D472B7" w14:textId="479F1564" w:rsidR="009829FF" w:rsidRPr="009B610C" w:rsidRDefault="00AD52F1" w:rsidP="009829FF">
      <w:pPr>
        <w:pStyle w:val="Bullet2"/>
      </w:pPr>
      <w:r>
        <w:t>c</w:t>
      </w:r>
      <w:r w:rsidR="009829FF" w:rsidRPr="009B610C">
        <w:t>ompliance with minimum rental standards</w:t>
      </w:r>
    </w:p>
    <w:p w14:paraId="2F41AC20" w14:textId="6E318BBE" w:rsidR="009829FF" w:rsidRDefault="00AD52F1" w:rsidP="009829FF">
      <w:pPr>
        <w:pStyle w:val="Bullet2"/>
      </w:pPr>
      <w:r>
        <w:t>q</w:t>
      </w:r>
      <w:r w:rsidR="009829FF">
        <w:t xml:space="preserve">uality of work. </w:t>
      </w:r>
    </w:p>
    <w:p w14:paraId="057512B5" w14:textId="77777777" w:rsidR="009829FF" w:rsidRDefault="009829FF" w:rsidP="009829FF">
      <w:pPr>
        <w:pStyle w:val="Bodyafterbullets"/>
      </w:pPr>
      <w:r>
        <w:t xml:space="preserve">This includes checking for functionality (e.g., working plumbing, locks, and appliances). </w:t>
      </w:r>
    </w:p>
    <w:p w14:paraId="7B3B4D9B" w14:textId="36D148C5" w:rsidR="00A7051D" w:rsidRDefault="009829FF" w:rsidP="00D70B26">
      <w:pPr>
        <w:pStyle w:val="Bodyafterbullets"/>
      </w:pPr>
      <w:r>
        <w:lastRenderedPageBreak/>
        <w:t>Staff must not accept a hand-back of the property if works remain incomplete or do not meet required standards. Clearly document any outstanding or unsatisfactory work and communicate this to the contractor for rectification.</w:t>
      </w:r>
    </w:p>
    <w:p w14:paraId="4A3D9294" w14:textId="1986F430" w:rsidR="008C4A90" w:rsidRDefault="008C4A90" w:rsidP="005D1B01">
      <w:pPr>
        <w:pStyle w:val="Heading2"/>
      </w:pPr>
      <w:bookmarkStart w:id="23" w:name="_Toc224119178"/>
      <w:r>
        <w:t>Tenancy Condition Reports</w:t>
      </w:r>
      <w:bookmarkEnd w:id="23"/>
    </w:p>
    <w:p w14:paraId="45E8A146" w14:textId="77777777" w:rsidR="00D70B26" w:rsidRDefault="00D70B26">
      <w:pPr>
        <w:pStyle w:val="Body"/>
      </w:pPr>
      <w:r w:rsidRPr="0052359D">
        <w:t xml:space="preserve">Move-in Tenancy Condition Reports are a mandatory requirement in the sign-up process, as stipulated by the </w:t>
      </w:r>
      <w:r>
        <w:t>RTA</w:t>
      </w:r>
      <w:r w:rsidRPr="0052359D">
        <w:t>. These reports must be completed by staff during the vacant unit handback or prior to reletting</w:t>
      </w:r>
      <w:r>
        <w:t xml:space="preserve"> a property</w:t>
      </w:r>
      <w:r w:rsidRPr="0052359D">
        <w:t xml:space="preserve">. They </w:t>
      </w:r>
      <w:r>
        <w:t>support</w:t>
      </w:r>
      <w:r w:rsidRPr="0052359D">
        <w:t xml:space="preserve"> accurate documentation of the property's condition and help establish its state at the time of occupancy.</w:t>
      </w:r>
    </w:p>
    <w:p w14:paraId="12FAD988" w14:textId="64158573" w:rsidR="002D73D3" w:rsidRDefault="00D70B26" w:rsidP="004E5895">
      <w:pPr>
        <w:pStyle w:val="Body"/>
        <w:sectPr w:rsidR="002D73D3" w:rsidSect="00CF08C8">
          <w:pgSz w:w="11906" w:h="16838" w:code="9"/>
          <w:pgMar w:top="1418" w:right="1304" w:bottom="851" w:left="1304" w:header="680" w:footer="567" w:gutter="0"/>
          <w:cols w:space="340"/>
          <w:docGrid w:linePitch="360"/>
        </w:sectPr>
      </w:pPr>
      <w:r w:rsidRPr="002574C4">
        <w:t xml:space="preserve">For more information, refer to the </w:t>
      </w:r>
      <w:hyperlink r:id="rId26" w:history="1">
        <w:r w:rsidRPr="004E5895">
          <w:rPr>
            <w:rStyle w:val="Hyperlink"/>
          </w:rPr>
          <w:t>Tenancy Condition Reports Operational Guidelines</w:t>
        </w:r>
      </w:hyperlink>
      <w:r w:rsidR="004E5895">
        <w:t xml:space="preserve"> h</w:t>
      </w:r>
      <w:r w:rsidR="004E5895" w:rsidRPr="004E5895">
        <w:t>ttps://providers.dffh.vic.gov.au/tenancy-management-operational-guidelines</w:t>
      </w:r>
      <w:r w:rsidR="004E5895">
        <w:t>.</w:t>
      </w:r>
    </w:p>
    <w:p w14:paraId="03C723A6" w14:textId="5EBB9747" w:rsidR="00E636D6" w:rsidRDefault="00F22A90" w:rsidP="00F22A90">
      <w:pPr>
        <w:pStyle w:val="Heading1"/>
      </w:pPr>
      <w:bookmarkStart w:id="24" w:name="_Guide_to_Mandatory"/>
      <w:bookmarkStart w:id="25" w:name="_Guide_to_Vacant"/>
      <w:bookmarkStart w:id="26" w:name="_Toc224119179"/>
      <w:bookmarkEnd w:id="24"/>
      <w:bookmarkEnd w:id="25"/>
      <w:r>
        <w:lastRenderedPageBreak/>
        <w:t xml:space="preserve">Guide to </w:t>
      </w:r>
      <w:r w:rsidR="00C57F93">
        <w:t>v</w:t>
      </w:r>
      <w:r w:rsidR="00E636D6">
        <w:t xml:space="preserve">acant </w:t>
      </w:r>
      <w:r w:rsidR="00C57F93">
        <w:t>u</w:t>
      </w:r>
      <w:r w:rsidR="00E636D6">
        <w:t xml:space="preserve">nit </w:t>
      </w:r>
      <w:r w:rsidR="00C57F93">
        <w:t>c</w:t>
      </w:r>
      <w:r w:rsidR="00E636D6">
        <w:t>hecks</w:t>
      </w:r>
      <w:bookmarkEnd w:id="26"/>
      <w:r w:rsidR="00E636D6">
        <w:t xml:space="preserve"> </w:t>
      </w:r>
    </w:p>
    <w:p w14:paraId="2823D1B7" w14:textId="29B50621" w:rsidR="00522C2F" w:rsidRDefault="00915A2F" w:rsidP="00522C2F">
      <w:pPr>
        <w:pStyle w:val="Body"/>
      </w:pPr>
      <w:r w:rsidRPr="00915A2F">
        <w:t xml:space="preserve">To uphold the integrity of rental properties and </w:t>
      </w:r>
      <w:r w:rsidR="009E2ABB">
        <w:t>support</w:t>
      </w:r>
      <w:r w:rsidRPr="00915A2F">
        <w:t xml:space="preserve"> compliance with minimum</w:t>
      </w:r>
      <w:r w:rsidR="00624C20" w:rsidRPr="00915A2F">
        <w:t xml:space="preserve"> </w:t>
      </w:r>
      <w:r w:rsidR="004C103F" w:rsidRPr="00915A2F">
        <w:t>rental</w:t>
      </w:r>
      <w:r w:rsidRPr="00915A2F">
        <w:t xml:space="preserve"> standards, this guide aims to provide actionable guidance for staff undertaking inspections, in alignment with Section 68 of the </w:t>
      </w:r>
      <w:r w:rsidR="00E55FE0">
        <w:t>RTA</w:t>
      </w:r>
      <w:r>
        <w:t>.</w:t>
      </w:r>
      <w:r w:rsidR="00522C2F">
        <w:t xml:space="preserve"> </w:t>
      </w:r>
      <w:r w:rsidR="00C3167C" w:rsidRPr="00C3167C">
        <w:t xml:space="preserve">During vacant unit inspections, staff should conduct </w:t>
      </w:r>
      <w:r w:rsidR="00C3167C" w:rsidRPr="00E377E6">
        <w:rPr>
          <w:b/>
          <w:bCs/>
        </w:rPr>
        <w:t>visual checks</w:t>
      </w:r>
      <w:r w:rsidR="00C3167C" w:rsidRPr="00C3167C">
        <w:t xml:space="preserve"> to confirm that all requirements are met.</w:t>
      </w:r>
      <w:r w:rsidR="008032A1" w:rsidRPr="008032A1">
        <w:t xml:space="preserve"> </w:t>
      </w:r>
      <w:r w:rsidR="009A3E6A" w:rsidRPr="009A3E6A">
        <w:t xml:space="preserve">If staff are unable to visually verify compliance, they should seek further guidance from relevant local office </w:t>
      </w:r>
      <w:r w:rsidR="005964E5">
        <w:t>staff</w:t>
      </w:r>
      <w:r w:rsidR="009A3E6A" w:rsidRPr="009A3E6A">
        <w:t>, such as Field Services Officers.</w:t>
      </w:r>
    </w:p>
    <w:p w14:paraId="0513A5E1" w14:textId="7C149613" w:rsidR="00522C2F" w:rsidRDefault="002878B5" w:rsidP="00E636D6">
      <w:pPr>
        <w:pStyle w:val="Body"/>
      </w:pPr>
      <w:r>
        <w:rPr>
          <w:b/>
          <w:bCs/>
        </w:rPr>
        <w:t>*</w:t>
      </w:r>
      <w:r w:rsidR="00522C2F" w:rsidRPr="00522C2F">
        <w:rPr>
          <w:b/>
          <w:bCs/>
        </w:rPr>
        <w:t>Note:</w:t>
      </w:r>
      <w:r w:rsidR="00522C2F">
        <w:t xml:space="preserve"> </w:t>
      </w:r>
      <w:r w:rsidR="00522C2F" w:rsidRPr="00522C2F">
        <w:t xml:space="preserve">All rental properties must meet 14 categories of minimum </w:t>
      </w:r>
      <w:r w:rsidR="00624C20">
        <w:t xml:space="preserve">rental </w:t>
      </w:r>
      <w:r w:rsidR="00522C2F" w:rsidRPr="00522C2F">
        <w:t>standards, and rental providers are responsible for ensuring compliance with these standards on or before the day a renter moves in.</w:t>
      </w:r>
    </w:p>
    <w:p w14:paraId="47DE5436" w14:textId="1F733FEF" w:rsidR="00D6624D" w:rsidRDefault="00EA2ACF" w:rsidP="00F17779">
      <w:pPr>
        <w:pStyle w:val="Heading2"/>
        <w:numPr>
          <w:ilvl w:val="0"/>
          <w:numId w:val="0"/>
        </w:numPr>
        <w:ind w:left="576" w:hanging="576"/>
      </w:pPr>
      <w:bookmarkStart w:id="27" w:name="_Toc224119180"/>
      <w:r>
        <w:t>M</w:t>
      </w:r>
      <w:r w:rsidR="003B2E31">
        <w:t>inimum</w:t>
      </w:r>
      <w:r>
        <w:t xml:space="preserve"> rental</w:t>
      </w:r>
      <w:r w:rsidR="003B2E31">
        <w:t xml:space="preserve"> </w:t>
      </w:r>
      <w:r w:rsidR="008D4374">
        <w:t>s</w:t>
      </w:r>
      <w:r w:rsidR="003B2E31">
        <w:t>tandards</w:t>
      </w:r>
      <w:bookmarkEnd w:id="27"/>
    </w:p>
    <w:tbl>
      <w:tblPr>
        <w:tblStyle w:val="TableGrid"/>
        <w:tblW w:w="0" w:type="auto"/>
        <w:tblLook w:val="04A0" w:firstRow="1" w:lastRow="0" w:firstColumn="1" w:lastColumn="0" w:noHBand="0" w:noVBand="1"/>
      </w:tblPr>
      <w:tblGrid>
        <w:gridCol w:w="2405"/>
        <w:gridCol w:w="12154"/>
      </w:tblGrid>
      <w:tr w:rsidR="003277F2" w14:paraId="7B66416C" w14:textId="77777777" w:rsidTr="003277F2">
        <w:trPr>
          <w:tblHeader/>
        </w:trPr>
        <w:tc>
          <w:tcPr>
            <w:tcW w:w="2405" w:type="dxa"/>
          </w:tcPr>
          <w:p w14:paraId="11943154" w14:textId="7995377E" w:rsidR="003277F2" w:rsidRDefault="003277F2" w:rsidP="003277F2">
            <w:pPr>
              <w:pStyle w:val="Tablecolhead"/>
            </w:pPr>
            <w:r w:rsidRPr="00E55FE0">
              <w:t xml:space="preserve">Property </w:t>
            </w:r>
            <w:r>
              <w:t>a</w:t>
            </w:r>
            <w:r w:rsidRPr="00E55FE0">
              <w:t>ddress</w:t>
            </w:r>
          </w:p>
        </w:tc>
        <w:sdt>
          <w:sdtPr>
            <w:rPr>
              <w:lang w:eastAsia="en-AU"/>
            </w:rPr>
            <w:alias w:val="Property address"/>
            <w:tag w:val="Property address"/>
            <w:id w:val="114501981"/>
            <w:placeholder>
              <w:docPart w:val="11BF0955C08B4CD789BB1A22172EB8C8"/>
            </w:placeholder>
            <w:showingPlcHdr/>
          </w:sdtPr>
          <w:sdtContent>
            <w:tc>
              <w:tcPr>
                <w:tcW w:w="12154" w:type="dxa"/>
              </w:tcPr>
              <w:p w14:paraId="7D3528AC" w14:textId="6C7EC5E5" w:rsidR="003277F2" w:rsidRDefault="003277F2" w:rsidP="003277F2">
                <w:pPr>
                  <w:pStyle w:val="Body"/>
                </w:pPr>
                <w:r w:rsidRPr="00EE0B3B">
                  <w:rPr>
                    <w:rStyle w:val="PlaceholderText"/>
                  </w:rPr>
                  <w:t>Click or tap here to enter text.</w:t>
                </w:r>
              </w:p>
            </w:tc>
          </w:sdtContent>
        </w:sdt>
      </w:tr>
    </w:tbl>
    <w:p w14:paraId="39DD3D94" w14:textId="1D094228" w:rsidR="003277F2" w:rsidRPr="009F0F50" w:rsidRDefault="009F0F50" w:rsidP="00F17779">
      <w:pPr>
        <w:pStyle w:val="Tablecaption"/>
      </w:pPr>
      <w:r w:rsidRPr="009F0F50">
        <w:t>Table 7: Minimum rental standard requirements</w:t>
      </w:r>
    </w:p>
    <w:tbl>
      <w:tblPr>
        <w:tblStyle w:val="TableGrid"/>
        <w:tblW w:w="5000" w:type="pct"/>
        <w:tblLook w:val="04A0" w:firstRow="1" w:lastRow="0" w:firstColumn="1" w:lastColumn="0" w:noHBand="0" w:noVBand="1"/>
      </w:tblPr>
      <w:tblGrid>
        <w:gridCol w:w="2405"/>
        <w:gridCol w:w="9845"/>
        <w:gridCol w:w="1156"/>
        <w:gridCol w:w="1153"/>
      </w:tblGrid>
      <w:tr w:rsidR="00BB4465" w14:paraId="1A1933BD" w14:textId="19DEE722" w:rsidTr="003277F2">
        <w:trPr>
          <w:tblHeader/>
        </w:trPr>
        <w:tc>
          <w:tcPr>
            <w:tcW w:w="826" w:type="pct"/>
            <w:tcBorders>
              <w:top w:val="single" w:sz="4" w:space="0" w:color="auto"/>
            </w:tcBorders>
          </w:tcPr>
          <w:p w14:paraId="4AB8FA43" w14:textId="77777777" w:rsidR="00BB4465" w:rsidRDefault="00BB4465">
            <w:pPr>
              <w:pStyle w:val="Tablecolhead"/>
            </w:pPr>
            <w:r>
              <w:t>Category</w:t>
            </w:r>
          </w:p>
        </w:tc>
        <w:tc>
          <w:tcPr>
            <w:tcW w:w="3381" w:type="pct"/>
            <w:tcBorders>
              <w:top w:val="single" w:sz="4" w:space="0" w:color="auto"/>
            </w:tcBorders>
          </w:tcPr>
          <w:p w14:paraId="3565B68E" w14:textId="77777777" w:rsidR="00BB4465" w:rsidRDefault="00BB4465">
            <w:pPr>
              <w:pStyle w:val="Tablecolhead"/>
            </w:pPr>
            <w:r>
              <w:t>Requirement</w:t>
            </w:r>
          </w:p>
        </w:tc>
        <w:tc>
          <w:tcPr>
            <w:tcW w:w="397" w:type="pct"/>
            <w:tcBorders>
              <w:top w:val="single" w:sz="4" w:space="0" w:color="auto"/>
            </w:tcBorders>
          </w:tcPr>
          <w:p w14:paraId="67A40751" w14:textId="6D42B44F" w:rsidR="00BB4465" w:rsidRDefault="00BB4465">
            <w:pPr>
              <w:pStyle w:val="Tablecolhead"/>
            </w:pPr>
            <w:r>
              <w:t>Met</w:t>
            </w:r>
          </w:p>
        </w:tc>
        <w:tc>
          <w:tcPr>
            <w:tcW w:w="396" w:type="pct"/>
            <w:tcBorders>
              <w:top w:val="single" w:sz="4" w:space="0" w:color="auto"/>
            </w:tcBorders>
          </w:tcPr>
          <w:p w14:paraId="1755BD46" w14:textId="2C11EEAB" w:rsidR="00BB4465" w:rsidRDefault="00BB4465">
            <w:pPr>
              <w:pStyle w:val="Tablecolhead"/>
            </w:pPr>
            <w:r>
              <w:t xml:space="preserve">Not </w:t>
            </w:r>
            <w:r w:rsidR="0046200F">
              <w:t>m</w:t>
            </w:r>
            <w:r>
              <w:t>et</w:t>
            </w:r>
          </w:p>
        </w:tc>
      </w:tr>
      <w:tr w:rsidR="00BB4465" w14:paraId="728EC118" w14:textId="4F4AE991" w:rsidTr="001443A8">
        <w:tc>
          <w:tcPr>
            <w:tcW w:w="826" w:type="pct"/>
          </w:tcPr>
          <w:p w14:paraId="53E29E72" w14:textId="77777777" w:rsidR="00BB4465" w:rsidRPr="003170FB" w:rsidRDefault="00BB4465">
            <w:pPr>
              <w:pStyle w:val="Tabletext"/>
            </w:pPr>
            <w:r w:rsidRPr="003170FB">
              <w:t>Bathrooms</w:t>
            </w:r>
          </w:p>
        </w:tc>
        <w:tc>
          <w:tcPr>
            <w:tcW w:w="3381" w:type="pct"/>
          </w:tcPr>
          <w:p w14:paraId="5CD547AB" w14:textId="77777777" w:rsidR="00BB4465" w:rsidRDefault="00BB4465">
            <w:pPr>
              <w:pStyle w:val="Tabletext"/>
            </w:pPr>
            <w:r w:rsidRPr="003170FB">
              <w:t>The bathroom must have a</w:t>
            </w:r>
            <w:r>
              <w:t>:</w:t>
            </w:r>
          </w:p>
          <w:p w14:paraId="214305D8" w14:textId="3814DF9B" w:rsidR="00BB4465" w:rsidRDefault="00BB4465" w:rsidP="00BB4465">
            <w:pPr>
              <w:pStyle w:val="Tablebullet1"/>
            </w:pPr>
            <w:r>
              <w:t>w</w:t>
            </w:r>
            <w:r w:rsidRPr="003170FB">
              <w:t>ashbasin</w:t>
            </w:r>
          </w:p>
          <w:p w14:paraId="37B320F2" w14:textId="77777777" w:rsidR="00BB4465" w:rsidRDefault="00BB4465" w:rsidP="00BB4465">
            <w:pPr>
              <w:pStyle w:val="Tablebullet1"/>
            </w:pPr>
            <w:r w:rsidRPr="003170FB">
              <w:t>shower or bath, and</w:t>
            </w:r>
          </w:p>
          <w:p w14:paraId="543E5F0D" w14:textId="26DB60D3" w:rsidR="00BB4465" w:rsidRDefault="002D153D" w:rsidP="00BB4465">
            <w:pPr>
              <w:pStyle w:val="Tablebullet1"/>
            </w:pPr>
            <w:r>
              <w:t xml:space="preserve">all must have </w:t>
            </w:r>
            <w:r w:rsidR="00BB4465" w:rsidRPr="003170FB">
              <w:t>a reasonable supply of hot and cold water.</w:t>
            </w:r>
          </w:p>
          <w:p w14:paraId="37E54B83" w14:textId="77D14AB0" w:rsidR="00BB4465" w:rsidRPr="003170FB" w:rsidRDefault="00BB4465">
            <w:pPr>
              <w:pStyle w:val="Tabletext"/>
            </w:pPr>
            <w:r w:rsidRPr="003170FB">
              <w:t>Showers must have a shower head with a 3-star water efficiency rating. If this is not possible due to the property’s age, a 1- or 2-star rating is acceptable.</w:t>
            </w:r>
          </w:p>
        </w:tc>
        <w:sdt>
          <w:sdtPr>
            <w:id w:val="-1780174055"/>
            <w14:checkbox>
              <w14:checked w14:val="0"/>
              <w14:checkedState w14:val="2612" w14:font="MS Gothic"/>
              <w14:uncheckedState w14:val="2610" w14:font="MS Gothic"/>
            </w14:checkbox>
          </w:sdtPr>
          <w:sdtContent>
            <w:tc>
              <w:tcPr>
                <w:tcW w:w="397" w:type="pct"/>
              </w:tcPr>
              <w:p w14:paraId="5C7F156C" w14:textId="4BC31FA2" w:rsidR="00BB4465" w:rsidRPr="003170FB" w:rsidRDefault="00806EA6" w:rsidP="00746D30">
                <w:pPr>
                  <w:pStyle w:val="Tabletext"/>
                  <w:jc w:val="center"/>
                </w:pPr>
                <w:r>
                  <w:rPr>
                    <w:rFonts w:ascii="MS Gothic" w:eastAsia="MS Gothic" w:hAnsi="MS Gothic" w:hint="eastAsia"/>
                  </w:rPr>
                  <w:t>☐</w:t>
                </w:r>
              </w:p>
            </w:tc>
          </w:sdtContent>
        </w:sdt>
        <w:sdt>
          <w:sdtPr>
            <w:id w:val="-1676955546"/>
            <w14:checkbox>
              <w14:checked w14:val="0"/>
              <w14:checkedState w14:val="2612" w14:font="MS Gothic"/>
              <w14:uncheckedState w14:val="2610" w14:font="MS Gothic"/>
            </w14:checkbox>
          </w:sdtPr>
          <w:sdtContent>
            <w:tc>
              <w:tcPr>
                <w:tcW w:w="396" w:type="pct"/>
              </w:tcPr>
              <w:p w14:paraId="07EF2FED" w14:textId="3069F692" w:rsidR="00BB4465" w:rsidRPr="003170FB" w:rsidRDefault="00806EA6" w:rsidP="00746D30">
                <w:pPr>
                  <w:pStyle w:val="Tabletext"/>
                  <w:jc w:val="center"/>
                </w:pPr>
                <w:r>
                  <w:rPr>
                    <w:rFonts w:ascii="MS Gothic" w:eastAsia="MS Gothic" w:hAnsi="MS Gothic" w:hint="eastAsia"/>
                  </w:rPr>
                  <w:t>☐</w:t>
                </w:r>
              </w:p>
            </w:tc>
          </w:sdtContent>
        </w:sdt>
      </w:tr>
      <w:tr w:rsidR="003B2E31" w14:paraId="0AD191AB" w14:textId="7E0E5F2D" w:rsidTr="001443A8">
        <w:tc>
          <w:tcPr>
            <w:tcW w:w="826" w:type="pct"/>
          </w:tcPr>
          <w:p w14:paraId="6992B41F" w14:textId="34EF62C5" w:rsidR="003B2E31" w:rsidRPr="003170FB" w:rsidRDefault="003B2E31">
            <w:pPr>
              <w:pStyle w:val="Tabletext"/>
            </w:pPr>
            <w:r w:rsidRPr="003170FB">
              <w:t xml:space="preserve">Electrical </w:t>
            </w:r>
            <w:r w:rsidR="00E55FE0">
              <w:t>s</w:t>
            </w:r>
            <w:r w:rsidRPr="003170FB">
              <w:t>afety</w:t>
            </w:r>
          </w:p>
        </w:tc>
        <w:tc>
          <w:tcPr>
            <w:tcW w:w="3381" w:type="pct"/>
          </w:tcPr>
          <w:p w14:paraId="4CE85EA3" w14:textId="77777777" w:rsidR="003B2E31" w:rsidRDefault="003B2E31">
            <w:pPr>
              <w:pStyle w:val="Tabletext"/>
            </w:pPr>
            <w:r w:rsidRPr="003170FB">
              <w:t>Rental properties must have</w:t>
            </w:r>
            <w:r>
              <w:t>:</w:t>
            </w:r>
          </w:p>
          <w:p w14:paraId="24261EBD" w14:textId="77777777" w:rsidR="003B2E31" w:rsidRDefault="003B2E31" w:rsidP="00BB4465">
            <w:pPr>
              <w:pStyle w:val="Tablebullet1"/>
            </w:pPr>
            <w:r w:rsidRPr="003170FB">
              <w:t xml:space="preserve">modern switchboards with circuit breakers and </w:t>
            </w:r>
          </w:p>
          <w:p w14:paraId="791BBEEF" w14:textId="77777777" w:rsidR="003B2E31" w:rsidRDefault="003B2E31" w:rsidP="00BB4465">
            <w:pPr>
              <w:pStyle w:val="Tablebullet1"/>
            </w:pPr>
            <w:r w:rsidRPr="003170FB">
              <w:t xml:space="preserve">electrical safety switches, known as Residual Current Devices (RCDs), installed. </w:t>
            </w:r>
          </w:p>
          <w:p w14:paraId="228E62DE" w14:textId="3E460F46" w:rsidR="00344044" w:rsidRDefault="00344044" w:rsidP="00746D30">
            <w:pPr>
              <w:pStyle w:val="Tabletext"/>
            </w:pPr>
            <w:r w:rsidRPr="00344044">
              <w:rPr>
                <w:b/>
                <w:bCs/>
              </w:rPr>
              <w:t>Note:</w:t>
            </w:r>
            <w:r>
              <w:t xml:space="preserve"> </w:t>
            </w:r>
            <w:r w:rsidRPr="00344044">
              <w:t>This requirement is already addressed by the R</w:t>
            </w:r>
            <w:r>
              <w:t>TA</w:t>
            </w:r>
            <w:r w:rsidRPr="00344044">
              <w:t xml:space="preserve"> safety check, which has either been completed or is scheduled for completion soon.</w:t>
            </w:r>
          </w:p>
          <w:p w14:paraId="3C14F396" w14:textId="43DB5A01" w:rsidR="003B2E31" w:rsidRPr="003170FB" w:rsidRDefault="0070013A" w:rsidP="00BB4465">
            <w:pPr>
              <w:pStyle w:val="Tabletext"/>
            </w:pPr>
            <w:r w:rsidRPr="0070013A">
              <w:lastRenderedPageBreak/>
              <w:t>As part of the vacant unit work,</w:t>
            </w:r>
            <w:r w:rsidR="00092899">
              <w:t xml:space="preserve"> staff </w:t>
            </w:r>
            <w:r w:rsidRPr="0070013A">
              <w:t>only need to visually inspect</w:t>
            </w:r>
            <w:r w:rsidR="00142852">
              <w:t xml:space="preserve"> </w:t>
            </w:r>
            <w:r w:rsidR="00B07106">
              <w:t xml:space="preserve">appliances such as </w:t>
            </w:r>
            <w:r w:rsidR="00F823C3">
              <w:t>o</w:t>
            </w:r>
            <w:r w:rsidR="00B07106">
              <w:t>vens</w:t>
            </w:r>
            <w:r w:rsidRPr="0070013A">
              <w:t>,</w:t>
            </w:r>
            <w:r w:rsidR="00F823C3">
              <w:t xml:space="preserve"> stoves</w:t>
            </w:r>
            <w:r w:rsidRPr="0070013A">
              <w:t>,</w:t>
            </w:r>
            <w:r w:rsidR="00F823C3">
              <w:t xml:space="preserve"> hot plates</w:t>
            </w:r>
            <w:r w:rsidR="00B07106">
              <w:t xml:space="preserve">, </w:t>
            </w:r>
            <w:r w:rsidR="007C247A">
              <w:t xml:space="preserve">heating </w:t>
            </w:r>
            <w:r w:rsidRPr="0070013A">
              <w:t>and</w:t>
            </w:r>
            <w:r w:rsidR="007C247A">
              <w:t xml:space="preserve"> cooling</w:t>
            </w:r>
            <w:r w:rsidRPr="0070013A">
              <w:t xml:space="preserve"> systems</w:t>
            </w:r>
            <w:r w:rsidR="007C247A">
              <w:t xml:space="preserve">, </w:t>
            </w:r>
            <w:r w:rsidR="00F823C3">
              <w:t>h</w:t>
            </w:r>
            <w:r w:rsidR="00B07106">
              <w:t xml:space="preserve">ot water </w:t>
            </w:r>
            <w:r w:rsidR="00F823C3">
              <w:t>services, exhaust fans</w:t>
            </w:r>
            <w:r w:rsidRPr="0070013A">
              <w:t>,</w:t>
            </w:r>
            <w:r w:rsidR="00047837">
              <w:t xml:space="preserve"> </w:t>
            </w:r>
            <w:r w:rsidR="00F823C3">
              <w:t>lights</w:t>
            </w:r>
            <w:r w:rsidRPr="0070013A">
              <w:t>,</w:t>
            </w:r>
            <w:r w:rsidR="00F823C3">
              <w:t xml:space="preserve"> and general power outlets </w:t>
            </w:r>
            <w:r w:rsidRPr="0070013A">
              <w:t xml:space="preserve">to confirm they </w:t>
            </w:r>
            <w:r w:rsidR="00142852">
              <w:t xml:space="preserve">are </w:t>
            </w:r>
            <w:r w:rsidRPr="0070013A">
              <w:t>operational</w:t>
            </w:r>
            <w:r w:rsidR="007C247A">
              <w:t xml:space="preserve"> and functional</w:t>
            </w:r>
            <w:r w:rsidRPr="0070013A">
              <w:t>.</w:t>
            </w:r>
          </w:p>
        </w:tc>
        <w:sdt>
          <w:sdtPr>
            <w:id w:val="-1837674376"/>
            <w14:checkbox>
              <w14:checked w14:val="0"/>
              <w14:checkedState w14:val="2612" w14:font="MS Gothic"/>
              <w14:uncheckedState w14:val="2610" w14:font="MS Gothic"/>
            </w14:checkbox>
          </w:sdtPr>
          <w:sdtContent>
            <w:tc>
              <w:tcPr>
                <w:tcW w:w="397" w:type="pct"/>
              </w:tcPr>
              <w:p w14:paraId="6498C5C6" w14:textId="227B5A07" w:rsidR="003B2E31" w:rsidRPr="003170FB" w:rsidRDefault="00806EA6" w:rsidP="00746D30">
                <w:pPr>
                  <w:pStyle w:val="Tabletext"/>
                  <w:jc w:val="center"/>
                </w:pPr>
                <w:r>
                  <w:rPr>
                    <w:rFonts w:ascii="MS Gothic" w:eastAsia="MS Gothic" w:hAnsi="MS Gothic" w:hint="eastAsia"/>
                  </w:rPr>
                  <w:t>☐</w:t>
                </w:r>
              </w:p>
            </w:tc>
          </w:sdtContent>
        </w:sdt>
        <w:sdt>
          <w:sdtPr>
            <w:id w:val="1699049304"/>
            <w14:checkbox>
              <w14:checked w14:val="0"/>
              <w14:checkedState w14:val="2612" w14:font="MS Gothic"/>
              <w14:uncheckedState w14:val="2610" w14:font="MS Gothic"/>
            </w14:checkbox>
          </w:sdtPr>
          <w:sdtContent>
            <w:tc>
              <w:tcPr>
                <w:tcW w:w="396" w:type="pct"/>
              </w:tcPr>
              <w:p w14:paraId="08663783" w14:textId="36367626" w:rsidR="003B2E31" w:rsidRPr="003170FB" w:rsidRDefault="00806EA6" w:rsidP="00746D30">
                <w:pPr>
                  <w:pStyle w:val="Tabletext"/>
                  <w:jc w:val="center"/>
                </w:pPr>
                <w:r>
                  <w:rPr>
                    <w:rFonts w:ascii="MS Gothic" w:eastAsia="MS Gothic" w:hAnsi="MS Gothic" w:hint="eastAsia"/>
                  </w:rPr>
                  <w:t>☐</w:t>
                </w:r>
              </w:p>
            </w:tc>
          </w:sdtContent>
        </w:sdt>
      </w:tr>
      <w:tr w:rsidR="00BB4465" w14:paraId="273A421B" w14:textId="546C614C" w:rsidTr="001443A8">
        <w:tc>
          <w:tcPr>
            <w:tcW w:w="826" w:type="pct"/>
          </w:tcPr>
          <w:p w14:paraId="24CE0E3C" w14:textId="77777777" w:rsidR="00BB4465" w:rsidRPr="003170FB" w:rsidRDefault="00BB4465">
            <w:pPr>
              <w:pStyle w:val="Tabletext"/>
            </w:pPr>
            <w:r w:rsidRPr="003170FB">
              <w:t>Heating</w:t>
            </w:r>
          </w:p>
        </w:tc>
        <w:tc>
          <w:tcPr>
            <w:tcW w:w="3381" w:type="pct"/>
          </w:tcPr>
          <w:p w14:paraId="1A3965B4" w14:textId="32839B01" w:rsidR="009E3BDC" w:rsidRDefault="009E3BDC" w:rsidP="004A408B">
            <w:pPr>
              <w:pStyle w:val="Tabletext"/>
            </w:pPr>
            <w:r w:rsidRPr="009E3BDC">
              <w:t xml:space="preserve">All rental properties are required to have a fixed heater (not portable) in good working order located in the main living area. For rental agreements </w:t>
            </w:r>
            <w:proofErr w:type="gramStart"/>
            <w:r w:rsidRPr="009E3BDC">
              <w:t>entered into</w:t>
            </w:r>
            <w:proofErr w:type="gramEnd"/>
            <w:r w:rsidRPr="009E3BDC">
              <w:t xml:space="preserve"> on or after </w:t>
            </w:r>
            <w:r>
              <w:t xml:space="preserve">29 </w:t>
            </w:r>
            <w:r w:rsidRPr="009E3BDC">
              <w:t>March 2023, this heater must be energy</w:t>
            </w:r>
            <w:r>
              <w:t xml:space="preserve"> </w:t>
            </w:r>
            <w:r w:rsidRPr="009E3BDC">
              <w:t>efficient. If an existing fixed heater is not energy-efficient, the rental provider is responsible for upgrading it.</w:t>
            </w:r>
          </w:p>
          <w:p w14:paraId="338D1C2C" w14:textId="7083C393" w:rsidR="004A408B" w:rsidRDefault="004A408B" w:rsidP="004A408B">
            <w:pPr>
              <w:pStyle w:val="Tabletext"/>
            </w:pPr>
            <w:r>
              <w:t>An energy efficient fixed heater must be one of the following:</w:t>
            </w:r>
          </w:p>
          <w:p w14:paraId="5CE17732" w14:textId="77777777" w:rsidR="004A408B" w:rsidRDefault="004A408B" w:rsidP="00941649">
            <w:pPr>
              <w:pStyle w:val="Tablebullet1"/>
            </w:pPr>
            <w:r>
              <w:t>a non-ducted air conditioner or heat pump with a 2 star or above energy rating</w:t>
            </w:r>
          </w:p>
          <w:p w14:paraId="50A6B1CC" w14:textId="77777777" w:rsidR="004A408B" w:rsidRDefault="004A408B" w:rsidP="00941649">
            <w:pPr>
              <w:pStyle w:val="Tablebullet1"/>
            </w:pPr>
            <w:r>
              <w:t>a gas space heater with a 2 star or above energy rating</w:t>
            </w:r>
          </w:p>
          <w:p w14:paraId="1004E7B8" w14:textId="601E2B90" w:rsidR="00BB4465" w:rsidRPr="003170FB" w:rsidRDefault="004A408B" w:rsidP="00740FC3">
            <w:pPr>
              <w:pStyle w:val="Tablebullet1"/>
            </w:pPr>
            <w:r>
              <w:t>a ducted heating or hydronic heating system with an outlet in the main living area</w:t>
            </w:r>
          </w:p>
        </w:tc>
        <w:sdt>
          <w:sdtPr>
            <w:id w:val="1682318953"/>
            <w14:checkbox>
              <w14:checked w14:val="0"/>
              <w14:checkedState w14:val="2612" w14:font="MS Gothic"/>
              <w14:uncheckedState w14:val="2610" w14:font="MS Gothic"/>
            </w14:checkbox>
          </w:sdtPr>
          <w:sdtContent>
            <w:tc>
              <w:tcPr>
                <w:tcW w:w="397" w:type="pct"/>
              </w:tcPr>
              <w:p w14:paraId="0E1F62CE" w14:textId="47D19935" w:rsidR="00BB4465" w:rsidRPr="003170FB" w:rsidRDefault="00806EA6" w:rsidP="00746D30">
                <w:pPr>
                  <w:pStyle w:val="Tabletext"/>
                  <w:jc w:val="center"/>
                </w:pPr>
                <w:r>
                  <w:rPr>
                    <w:rFonts w:ascii="MS Gothic" w:eastAsia="MS Gothic" w:hAnsi="MS Gothic" w:hint="eastAsia"/>
                  </w:rPr>
                  <w:t>☐</w:t>
                </w:r>
              </w:p>
            </w:tc>
          </w:sdtContent>
        </w:sdt>
        <w:sdt>
          <w:sdtPr>
            <w:id w:val="-595018877"/>
            <w14:checkbox>
              <w14:checked w14:val="0"/>
              <w14:checkedState w14:val="2612" w14:font="MS Gothic"/>
              <w14:uncheckedState w14:val="2610" w14:font="MS Gothic"/>
            </w14:checkbox>
          </w:sdtPr>
          <w:sdtContent>
            <w:tc>
              <w:tcPr>
                <w:tcW w:w="396" w:type="pct"/>
              </w:tcPr>
              <w:p w14:paraId="5CDD901A" w14:textId="3955F1F9" w:rsidR="00BB4465" w:rsidRPr="003170FB" w:rsidRDefault="00806EA6" w:rsidP="00746D30">
                <w:pPr>
                  <w:pStyle w:val="Tabletext"/>
                  <w:jc w:val="center"/>
                </w:pPr>
                <w:r>
                  <w:rPr>
                    <w:rFonts w:ascii="MS Gothic" w:eastAsia="MS Gothic" w:hAnsi="MS Gothic" w:hint="eastAsia"/>
                  </w:rPr>
                  <w:t>☐</w:t>
                </w:r>
              </w:p>
            </w:tc>
          </w:sdtContent>
        </w:sdt>
      </w:tr>
      <w:tr w:rsidR="00BB4465" w14:paraId="72346F9F" w14:textId="3AEE1A13" w:rsidTr="001443A8">
        <w:tc>
          <w:tcPr>
            <w:tcW w:w="826" w:type="pct"/>
          </w:tcPr>
          <w:p w14:paraId="0106CB7F" w14:textId="77777777" w:rsidR="00BB4465" w:rsidRPr="003170FB" w:rsidRDefault="00BB4465">
            <w:pPr>
              <w:pStyle w:val="Tabletext"/>
            </w:pPr>
            <w:r w:rsidRPr="003170FB">
              <w:t>Kitchen</w:t>
            </w:r>
          </w:p>
        </w:tc>
        <w:tc>
          <w:tcPr>
            <w:tcW w:w="3381" w:type="pct"/>
          </w:tcPr>
          <w:p w14:paraId="16AAF3B2" w14:textId="77777777" w:rsidR="00740FC3" w:rsidRDefault="00BB4465">
            <w:pPr>
              <w:pStyle w:val="Tabletext"/>
            </w:pPr>
            <w:r w:rsidRPr="003170FB">
              <w:t>The property must have a</w:t>
            </w:r>
            <w:r w:rsidR="00740FC3">
              <w:t>:</w:t>
            </w:r>
          </w:p>
          <w:p w14:paraId="504B116E" w14:textId="77777777" w:rsidR="00740FC3" w:rsidRDefault="00BB4465" w:rsidP="00740FC3">
            <w:pPr>
              <w:pStyle w:val="Tablebullet1"/>
            </w:pPr>
            <w:r w:rsidRPr="00740FC3">
              <w:rPr>
                <w:b/>
                <w:bCs/>
              </w:rPr>
              <w:t>kitchen</w:t>
            </w:r>
            <w:r w:rsidRPr="003170FB">
              <w:t xml:space="preserve"> with a </w:t>
            </w:r>
            <w:r w:rsidRPr="00740FC3">
              <w:rPr>
                <w:b/>
                <w:bCs/>
              </w:rPr>
              <w:t>dedicated</w:t>
            </w:r>
            <w:r w:rsidRPr="003170FB">
              <w:t xml:space="preserve"> </w:t>
            </w:r>
            <w:r w:rsidRPr="00740FC3">
              <w:rPr>
                <w:b/>
                <w:bCs/>
              </w:rPr>
              <w:t>cooking</w:t>
            </w:r>
            <w:r w:rsidRPr="003170FB">
              <w:t xml:space="preserve"> and </w:t>
            </w:r>
            <w:r w:rsidRPr="00740FC3">
              <w:rPr>
                <w:b/>
                <w:bCs/>
              </w:rPr>
              <w:t>food</w:t>
            </w:r>
            <w:r w:rsidRPr="003170FB">
              <w:t xml:space="preserve"> </w:t>
            </w:r>
            <w:r w:rsidRPr="00740FC3">
              <w:rPr>
                <w:b/>
                <w:bCs/>
              </w:rPr>
              <w:t>preparation</w:t>
            </w:r>
            <w:r w:rsidRPr="003170FB">
              <w:t xml:space="preserve"> </w:t>
            </w:r>
            <w:r w:rsidRPr="00740FC3">
              <w:rPr>
                <w:b/>
                <w:bCs/>
              </w:rPr>
              <w:t>area</w:t>
            </w:r>
          </w:p>
          <w:p w14:paraId="465A3157" w14:textId="77777777" w:rsidR="00740FC3" w:rsidRDefault="00BB4465" w:rsidP="00740FC3">
            <w:pPr>
              <w:pStyle w:val="Tablebullet1"/>
            </w:pPr>
            <w:r w:rsidRPr="00740FC3">
              <w:rPr>
                <w:b/>
                <w:bCs/>
              </w:rPr>
              <w:t>sink</w:t>
            </w:r>
            <w:r w:rsidRPr="003170FB">
              <w:t xml:space="preserve"> connected to </w:t>
            </w:r>
            <w:r w:rsidRPr="00740FC3">
              <w:rPr>
                <w:b/>
                <w:bCs/>
              </w:rPr>
              <w:t>hot</w:t>
            </w:r>
            <w:r w:rsidRPr="003170FB">
              <w:t xml:space="preserve"> and </w:t>
            </w:r>
            <w:r w:rsidRPr="00740FC3">
              <w:rPr>
                <w:b/>
                <w:bCs/>
              </w:rPr>
              <w:t>cold</w:t>
            </w:r>
            <w:r w:rsidRPr="003170FB">
              <w:t xml:space="preserve"> </w:t>
            </w:r>
            <w:r w:rsidRPr="00740FC3">
              <w:rPr>
                <w:b/>
                <w:bCs/>
              </w:rPr>
              <w:t>water</w:t>
            </w:r>
            <w:r w:rsidRPr="003170FB">
              <w:t>, and</w:t>
            </w:r>
          </w:p>
          <w:p w14:paraId="281899FE" w14:textId="77777777" w:rsidR="00740FC3" w:rsidRDefault="00BB4465" w:rsidP="00740FC3">
            <w:pPr>
              <w:pStyle w:val="Tablebullet1"/>
            </w:pPr>
            <w:r w:rsidRPr="00740FC3">
              <w:rPr>
                <w:b/>
                <w:bCs/>
              </w:rPr>
              <w:t>stovetop</w:t>
            </w:r>
            <w:r w:rsidRPr="003170FB">
              <w:t xml:space="preserve"> with two or more burners. </w:t>
            </w:r>
          </w:p>
          <w:p w14:paraId="05FE6B05" w14:textId="77777777" w:rsidR="00806EA6" w:rsidRDefault="00BB4465" w:rsidP="00746D30">
            <w:pPr>
              <w:pStyle w:val="Tablebullet1"/>
              <w:numPr>
                <w:ilvl w:val="0"/>
                <w:numId w:val="0"/>
              </w:numPr>
            </w:pPr>
            <w:r w:rsidRPr="003170FB">
              <w:t xml:space="preserve">If an </w:t>
            </w:r>
            <w:r w:rsidRPr="00740FC3">
              <w:rPr>
                <w:b/>
                <w:bCs/>
              </w:rPr>
              <w:t>oven</w:t>
            </w:r>
            <w:r w:rsidRPr="003170FB">
              <w:t xml:space="preserve"> is present, it must be in good working order.</w:t>
            </w:r>
          </w:p>
          <w:p w14:paraId="7CB977C3" w14:textId="12366352" w:rsidR="00BB4465" w:rsidRPr="003170FB" w:rsidRDefault="00A05081" w:rsidP="00740FC3">
            <w:pPr>
              <w:pStyle w:val="Tablebullet1"/>
              <w:numPr>
                <w:ilvl w:val="0"/>
                <w:numId w:val="0"/>
              </w:numPr>
            </w:pPr>
            <w:r w:rsidRPr="00A05081">
              <w:t xml:space="preserve">These requirements do not apply if the property is listed in the </w:t>
            </w:r>
            <w:hyperlink r:id="rId27" w:history="1">
              <w:r w:rsidRPr="00837440">
                <w:rPr>
                  <w:rStyle w:val="Hyperlink"/>
                </w:rPr>
                <w:t>heritage register at Heritage Council Victoria</w:t>
              </w:r>
            </w:hyperlink>
            <w:r w:rsidRPr="00A05081">
              <w:t xml:space="preserve"> </w:t>
            </w:r>
            <w:r w:rsidR="00E3274D" w:rsidRPr="00E3274D">
              <w:t>https://heritagecouncil.vic.gov.au/protecting-our-heritage/heritage-protection-process/victorian-heritage-register</w:t>
            </w:r>
            <w:r w:rsidR="00E3274D">
              <w:t xml:space="preserve"> </w:t>
            </w:r>
            <w:r w:rsidRPr="00A05081">
              <w:t>and has an approved exemption from the standard.</w:t>
            </w:r>
          </w:p>
        </w:tc>
        <w:sdt>
          <w:sdtPr>
            <w:id w:val="-295458123"/>
            <w14:checkbox>
              <w14:checked w14:val="0"/>
              <w14:checkedState w14:val="2612" w14:font="MS Gothic"/>
              <w14:uncheckedState w14:val="2610" w14:font="MS Gothic"/>
            </w14:checkbox>
          </w:sdtPr>
          <w:sdtContent>
            <w:tc>
              <w:tcPr>
                <w:tcW w:w="397" w:type="pct"/>
              </w:tcPr>
              <w:p w14:paraId="5220C487" w14:textId="6A7D3D9D" w:rsidR="00BB4465" w:rsidRPr="003170FB" w:rsidRDefault="00806EA6" w:rsidP="00746D30">
                <w:pPr>
                  <w:pStyle w:val="Tabletext"/>
                  <w:jc w:val="center"/>
                </w:pPr>
                <w:r>
                  <w:rPr>
                    <w:rFonts w:ascii="MS Gothic" w:eastAsia="MS Gothic" w:hAnsi="MS Gothic" w:hint="eastAsia"/>
                  </w:rPr>
                  <w:t>☐</w:t>
                </w:r>
              </w:p>
            </w:tc>
          </w:sdtContent>
        </w:sdt>
        <w:sdt>
          <w:sdtPr>
            <w:id w:val="1277212027"/>
            <w14:checkbox>
              <w14:checked w14:val="0"/>
              <w14:checkedState w14:val="2612" w14:font="MS Gothic"/>
              <w14:uncheckedState w14:val="2610" w14:font="MS Gothic"/>
            </w14:checkbox>
          </w:sdtPr>
          <w:sdtContent>
            <w:tc>
              <w:tcPr>
                <w:tcW w:w="396" w:type="pct"/>
              </w:tcPr>
              <w:p w14:paraId="5B6B2291" w14:textId="61B194E3" w:rsidR="00BB4465" w:rsidRPr="003170FB" w:rsidRDefault="00806EA6" w:rsidP="00746D30">
                <w:pPr>
                  <w:pStyle w:val="Tabletext"/>
                  <w:jc w:val="center"/>
                </w:pPr>
                <w:r>
                  <w:rPr>
                    <w:rFonts w:ascii="MS Gothic" w:eastAsia="MS Gothic" w:hAnsi="MS Gothic" w:hint="eastAsia"/>
                  </w:rPr>
                  <w:t>☐</w:t>
                </w:r>
              </w:p>
            </w:tc>
          </w:sdtContent>
        </w:sdt>
      </w:tr>
      <w:tr w:rsidR="00BB4465" w14:paraId="48B52EE2" w14:textId="381A0272" w:rsidTr="001443A8">
        <w:tc>
          <w:tcPr>
            <w:tcW w:w="826" w:type="pct"/>
          </w:tcPr>
          <w:p w14:paraId="60AB0ED6" w14:textId="77777777" w:rsidR="00BB4465" w:rsidRPr="003170FB" w:rsidRDefault="00BB4465">
            <w:pPr>
              <w:pStyle w:val="Tabletext"/>
            </w:pPr>
            <w:r w:rsidRPr="003170FB">
              <w:t>Laundry</w:t>
            </w:r>
          </w:p>
        </w:tc>
        <w:tc>
          <w:tcPr>
            <w:tcW w:w="3381" w:type="pct"/>
          </w:tcPr>
          <w:p w14:paraId="1D650D1F" w14:textId="77777777" w:rsidR="00BB4465" w:rsidRPr="003170FB" w:rsidRDefault="00BB4465">
            <w:pPr>
              <w:pStyle w:val="Tabletext"/>
            </w:pPr>
            <w:r w:rsidRPr="003170FB">
              <w:t>If the property has a laundry, it must be connected to a reasonable supply of hot and cold water.</w:t>
            </w:r>
          </w:p>
        </w:tc>
        <w:sdt>
          <w:sdtPr>
            <w:id w:val="-380478683"/>
            <w14:checkbox>
              <w14:checked w14:val="0"/>
              <w14:checkedState w14:val="2612" w14:font="MS Gothic"/>
              <w14:uncheckedState w14:val="2610" w14:font="MS Gothic"/>
            </w14:checkbox>
          </w:sdtPr>
          <w:sdtContent>
            <w:tc>
              <w:tcPr>
                <w:tcW w:w="397" w:type="pct"/>
              </w:tcPr>
              <w:p w14:paraId="46A1A2E5" w14:textId="7ACDFAC7" w:rsidR="00BB4465" w:rsidRPr="003170FB" w:rsidRDefault="00806EA6" w:rsidP="00746D30">
                <w:pPr>
                  <w:pStyle w:val="Tabletext"/>
                  <w:jc w:val="center"/>
                </w:pPr>
                <w:r>
                  <w:rPr>
                    <w:rFonts w:ascii="MS Gothic" w:eastAsia="MS Gothic" w:hAnsi="MS Gothic" w:hint="eastAsia"/>
                  </w:rPr>
                  <w:t>☐</w:t>
                </w:r>
              </w:p>
            </w:tc>
          </w:sdtContent>
        </w:sdt>
        <w:sdt>
          <w:sdtPr>
            <w:id w:val="-1774931486"/>
            <w14:checkbox>
              <w14:checked w14:val="0"/>
              <w14:checkedState w14:val="2612" w14:font="MS Gothic"/>
              <w14:uncheckedState w14:val="2610" w14:font="MS Gothic"/>
            </w14:checkbox>
          </w:sdtPr>
          <w:sdtContent>
            <w:tc>
              <w:tcPr>
                <w:tcW w:w="396" w:type="pct"/>
              </w:tcPr>
              <w:p w14:paraId="58DCAD39" w14:textId="447F9591" w:rsidR="00BB4465" w:rsidRPr="003170FB" w:rsidRDefault="00806EA6" w:rsidP="00746D30">
                <w:pPr>
                  <w:pStyle w:val="Tabletext"/>
                  <w:jc w:val="center"/>
                </w:pPr>
                <w:r>
                  <w:rPr>
                    <w:rFonts w:ascii="MS Gothic" w:eastAsia="MS Gothic" w:hAnsi="MS Gothic" w:hint="eastAsia"/>
                  </w:rPr>
                  <w:t>☐</w:t>
                </w:r>
              </w:p>
            </w:tc>
          </w:sdtContent>
        </w:sdt>
      </w:tr>
      <w:tr w:rsidR="00BB4465" w14:paraId="354F1B2B" w14:textId="24EE4D6F" w:rsidTr="001443A8">
        <w:tc>
          <w:tcPr>
            <w:tcW w:w="826" w:type="pct"/>
          </w:tcPr>
          <w:p w14:paraId="69D47F06" w14:textId="77777777" w:rsidR="00BB4465" w:rsidRPr="003170FB" w:rsidRDefault="00BB4465">
            <w:pPr>
              <w:pStyle w:val="Tabletext"/>
            </w:pPr>
            <w:r w:rsidRPr="003170FB">
              <w:t>Lighting</w:t>
            </w:r>
          </w:p>
        </w:tc>
        <w:tc>
          <w:tcPr>
            <w:tcW w:w="3381" w:type="pct"/>
          </w:tcPr>
          <w:p w14:paraId="4FA5861B" w14:textId="77777777" w:rsidR="00891D95" w:rsidRDefault="00891D95" w:rsidP="00891D95">
            <w:pPr>
              <w:pStyle w:val="Tabletext"/>
            </w:pPr>
            <w:r>
              <w:t>Inside rooms</w:t>
            </w:r>
            <w:r w:rsidR="00BB4465" w:rsidRPr="003170FB">
              <w:t xml:space="preserve">, corridors and hallways must have access to </w:t>
            </w:r>
            <w:r>
              <w:t xml:space="preserve">light to make the areas functional. During the day, </w:t>
            </w:r>
            <w:r w:rsidR="00BB4465" w:rsidRPr="003170FB">
              <w:t xml:space="preserve">natural </w:t>
            </w:r>
            <w:r>
              <w:t>light can include light borrowed from an adjoining room. At night, renters should have access to</w:t>
            </w:r>
            <w:r w:rsidR="00BB4465" w:rsidRPr="003170FB">
              <w:t xml:space="preserve"> artificial light.</w:t>
            </w:r>
          </w:p>
          <w:p w14:paraId="1819EABD" w14:textId="7A0220AE" w:rsidR="00BB4465" w:rsidRPr="003170FB" w:rsidRDefault="00E3274D">
            <w:pPr>
              <w:pStyle w:val="Tabletext"/>
            </w:pPr>
            <w:r w:rsidRPr="00A05081">
              <w:t xml:space="preserve">These requirements do not apply if the property is listed in the </w:t>
            </w:r>
            <w:hyperlink r:id="rId28" w:history="1">
              <w:r w:rsidRPr="00837440">
                <w:rPr>
                  <w:rStyle w:val="Hyperlink"/>
                </w:rPr>
                <w:t>heritage register at Heritage Council Victoria</w:t>
              </w:r>
            </w:hyperlink>
            <w:r w:rsidRPr="00A05081">
              <w:t xml:space="preserve"> </w:t>
            </w:r>
            <w:r w:rsidRPr="00E3274D">
              <w:t>https://heritagecouncil.vic.gov.au/protecting-our-heritage/heritage-protection-process/victorian-heritage-register</w:t>
            </w:r>
            <w:r>
              <w:t xml:space="preserve"> </w:t>
            </w:r>
            <w:r w:rsidRPr="00A05081">
              <w:t>and has an approved exemption from the standard.</w:t>
            </w:r>
          </w:p>
        </w:tc>
        <w:sdt>
          <w:sdtPr>
            <w:id w:val="-617448529"/>
            <w14:checkbox>
              <w14:checked w14:val="0"/>
              <w14:checkedState w14:val="2612" w14:font="MS Gothic"/>
              <w14:uncheckedState w14:val="2610" w14:font="MS Gothic"/>
            </w14:checkbox>
          </w:sdtPr>
          <w:sdtContent>
            <w:tc>
              <w:tcPr>
                <w:tcW w:w="397" w:type="pct"/>
              </w:tcPr>
              <w:p w14:paraId="24624694" w14:textId="24C3BFAD" w:rsidR="00BB4465" w:rsidRPr="003170FB" w:rsidRDefault="00806EA6" w:rsidP="00746D30">
                <w:pPr>
                  <w:pStyle w:val="Tabletext"/>
                  <w:jc w:val="center"/>
                </w:pPr>
                <w:r>
                  <w:rPr>
                    <w:rFonts w:ascii="MS Gothic" w:eastAsia="MS Gothic" w:hAnsi="MS Gothic" w:hint="eastAsia"/>
                  </w:rPr>
                  <w:t>☐</w:t>
                </w:r>
              </w:p>
            </w:tc>
          </w:sdtContent>
        </w:sdt>
        <w:sdt>
          <w:sdtPr>
            <w:id w:val="154809290"/>
            <w14:checkbox>
              <w14:checked w14:val="0"/>
              <w14:checkedState w14:val="2612" w14:font="MS Gothic"/>
              <w14:uncheckedState w14:val="2610" w14:font="MS Gothic"/>
            </w14:checkbox>
          </w:sdtPr>
          <w:sdtContent>
            <w:tc>
              <w:tcPr>
                <w:tcW w:w="396" w:type="pct"/>
              </w:tcPr>
              <w:p w14:paraId="651D5A1D" w14:textId="0DA175CA" w:rsidR="00BB4465" w:rsidRPr="003170FB" w:rsidRDefault="00806EA6" w:rsidP="00746D30">
                <w:pPr>
                  <w:pStyle w:val="Tabletext"/>
                  <w:jc w:val="center"/>
                </w:pPr>
                <w:r>
                  <w:rPr>
                    <w:rFonts w:ascii="MS Gothic" w:eastAsia="MS Gothic" w:hAnsi="MS Gothic" w:hint="eastAsia"/>
                  </w:rPr>
                  <w:t>☐</w:t>
                </w:r>
              </w:p>
            </w:tc>
          </w:sdtContent>
        </w:sdt>
      </w:tr>
      <w:tr w:rsidR="00BB4465" w14:paraId="3DA44FC9" w14:textId="3216EC9E" w:rsidTr="001443A8">
        <w:tc>
          <w:tcPr>
            <w:tcW w:w="826" w:type="pct"/>
          </w:tcPr>
          <w:p w14:paraId="36D2178A" w14:textId="77777777" w:rsidR="00BB4465" w:rsidRPr="003170FB" w:rsidRDefault="00BB4465">
            <w:pPr>
              <w:pStyle w:val="Tabletext"/>
            </w:pPr>
            <w:r w:rsidRPr="003170FB">
              <w:t>Locks</w:t>
            </w:r>
          </w:p>
        </w:tc>
        <w:tc>
          <w:tcPr>
            <w:tcW w:w="3381" w:type="pct"/>
          </w:tcPr>
          <w:p w14:paraId="08D755EF" w14:textId="77777777" w:rsidR="000D3C5B" w:rsidRDefault="000D3C5B" w:rsidP="000D3C5B">
            <w:pPr>
              <w:pStyle w:val="Tabletext"/>
            </w:pPr>
            <w:r>
              <w:t>The property’s external</w:t>
            </w:r>
            <w:r w:rsidR="00BB4465" w:rsidRPr="003170FB">
              <w:t xml:space="preserve"> entry doors must have functioning deadlocks </w:t>
            </w:r>
            <w:r>
              <w:t xml:space="preserve">(a ‘deadlock’ is defined as a deadlatch with at least one cylinder) or be fitted with </w:t>
            </w:r>
            <w:r w:rsidR="00BB4465" w:rsidRPr="003170FB">
              <w:t xml:space="preserve">locks that can be unlocked </w:t>
            </w:r>
            <w:r>
              <w:t xml:space="preserve">with a key </w:t>
            </w:r>
            <w:r w:rsidR="00BB4465" w:rsidRPr="003170FB">
              <w:t xml:space="preserve">from the outside </w:t>
            </w:r>
            <w:r>
              <w:t xml:space="preserve">but can be unlocked without one </w:t>
            </w:r>
            <w:r w:rsidR="00BB4465" w:rsidRPr="003170FB">
              <w:t>from the inside</w:t>
            </w:r>
            <w:r>
              <w:t>.</w:t>
            </w:r>
          </w:p>
          <w:p w14:paraId="05B2C62F" w14:textId="77777777" w:rsidR="000D3C5B" w:rsidRDefault="000D3C5B" w:rsidP="000D3C5B">
            <w:pPr>
              <w:pStyle w:val="Tabletext"/>
            </w:pPr>
            <w:r>
              <w:lastRenderedPageBreak/>
              <w:t>The only cases where a deadlock doesn’t have to be fitted to a door are when:</w:t>
            </w:r>
          </w:p>
          <w:p w14:paraId="0CDA083F" w14:textId="77777777" w:rsidR="000D3C5B" w:rsidRDefault="000D3C5B" w:rsidP="000D3C5B">
            <w:pPr>
              <w:pStyle w:val="Tablebullet1"/>
            </w:pPr>
            <w:r>
              <w:t>a door cannot be secured with a deadlock - for example, because of its position</w:t>
            </w:r>
          </w:p>
          <w:p w14:paraId="237B0E03" w14:textId="77777777" w:rsidR="000D3C5B" w:rsidRDefault="000D3C5B" w:rsidP="000D3C5B">
            <w:pPr>
              <w:pStyle w:val="Tablebullet1"/>
            </w:pPr>
            <w:r>
              <w:t>it is a screen door in the same door frame as an external door</w:t>
            </w:r>
          </w:p>
          <w:p w14:paraId="42D55A9D" w14:textId="77777777" w:rsidR="000D3C5B" w:rsidRDefault="000D3C5B" w:rsidP="000D3C5B">
            <w:pPr>
              <w:pStyle w:val="Tablebullet1"/>
            </w:pPr>
            <w:r>
              <w:t>a different type of lock or device is required under another Act or law</w:t>
            </w:r>
          </w:p>
          <w:p w14:paraId="0E02047E" w14:textId="77777777" w:rsidR="000D3C5B" w:rsidRDefault="000D3C5B" w:rsidP="000D3C5B">
            <w:pPr>
              <w:pStyle w:val="Tablebullet1"/>
            </w:pPr>
            <w:r>
              <w:t>the door is not accessible because there is another type of security barrier. For example, a locked door to an apartment building, or a locked gate</w:t>
            </w:r>
          </w:p>
          <w:p w14:paraId="7E7305E0" w14:textId="77777777" w:rsidR="000D3C5B" w:rsidRDefault="000D3C5B" w:rsidP="000D3C5B">
            <w:pPr>
              <w:pStyle w:val="Tablebullet1"/>
            </w:pPr>
            <w:r>
              <w:t>the property is registered under the Heritage Act 2017 and has an approved exemption from the standard.</w:t>
            </w:r>
          </w:p>
          <w:p w14:paraId="34DDD795" w14:textId="20FEBCAB" w:rsidR="00BB4465" w:rsidRPr="003170FB" w:rsidRDefault="000D3C5B">
            <w:pPr>
              <w:pStyle w:val="Tabletext"/>
            </w:pPr>
            <w:r>
              <w:t xml:space="preserve">Read more about </w:t>
            </w:r>
            <w:r w:rsidRPr="00C81675">
              <w:t>locks and security</w:t>
            </w:r>
            <w:r w:rsidR="00827D21">
              <w:t xml:space="preserve"> on the </w:t>
            </w:r>
            <w:hyperlink r:id="rId29" w:history="1">
              <w:r w:rsidR="00827D21" w:rsidRPr="00C81675">
                <w:rPr>
                  <w:rStyle w:val="Hyperlink"/>
                </w:rPr>
                <w:t xml:space="preserve">Consumer Affairs </w:t>
              </w:r>
              <w:r w:rsidR="008169C3" w:rsidRPr="00C81675">
                <w:rPr>
                  <w:rStyle w:val="Hyperlink"/>
                </w:rPr>
                <w:t>Victoria</w:t>
              </w:r>
            </w:hyperlink>
            <w:r w:rsidR="006579EF">
              <w:t xml:space="preserve"> </w:t>
            </w:r>
            <w:r w:rsidR="008169C3">
              <w:t>web</w:t>
            </w:r>
            <w:r w:rsidR="006579EF">
              <w:t xml:space="preserve">site </w:t>
            </w:r>
            <w:hyperlink r:id="rId30" w:history="1">
              <w:r w:rsidR="008169C3" w:rsidRPr="00C81675">
                <w:rPr>
                  <w:rStyle w:val="BodyChar"/>
                </w:rPr>
                <w:t>https://www.consumer.vic.gov.au/housing/renting/repairs-alterations-safety-and-pets/keeping-the-property-safe/locks-and-security</w:t>
              </w:r>
            </w:hyperlink>
            <w:r w:rsidR="008169C3" w:rsidRPr="00C81675">
              <w:rPr>
                <w:rStyle w:val="BodyChar"/>
              </w:rPr>
              <w:t>.</w:t>
            </w:r>
          </w:p>
        </w:tc>
        <w:sdt>
          <w:sdtPr>
            <w:id w:val="207691813"/>
            <w14:checkbox>
              <w14:checked w14:val="0"/>
              <w14:checkedState w14:val="2612" w14:font="MS Gothic"/>
              <w14:uncheckedState w14:val="2610" w14:font="MS Gothic"/>
            </w14:checkbox>
          </w:sdtPr>
          <w:sdtContent>
            <w:tc>
              <w:tcPr>
                <w:tcW w:w="397" w:type="pct"/>
              </w:tcPr>
              <w:p w14:paraId="0006EC48" w14:textId="346A163F" w:rsidR="00BB4465" w:rsidRPr="003170FB" w:rsidRDefault="00806EA6" w:rsidP="00746D30">
                <w:pPr>
                  <w:pStyle w:val="Tabletext"/>
                  <w:jc w:val="center"/>
                </w:pPr>
                <w:r>
                  <w:rPr>
                    <w:rFonts w:ascii="MS Gothic" w:eastAsia="MS Gothic" w:hAnsi="MS Gothic" w:hint="eastAsia"/>
                  </w:rPr>
                  <w:t>☐</w:t>
                </w:r>
              </w:p>
            </w:tc>
          </w:sdtContent>
        </w:sdt>
        <w:sdt>
          <w:sdtPr>
            <w:id w:val="-909687600"/>
            <w14:checkbox>
              <w14:checked w14:val="0"/>
              <w14:checkedState w14:val="2612" w14:font="MS Gothic"/>
              <w14:uncheckedState w14:val="2610" w14:font="MS Gothic"/>
            </w14:checkbox>
          </w:sdtPr>
          <w:sdtContent>
            <w:tc>
              <w:tcPr>
                <w:tcW w:w="396" w:type="pct"/>
              </w:tcPr>
              <w:p w14:paraId="34803A52" w14:textId="177FB1FC" w:rsidR="00BB4465" w:rsidRPr="003170FB" w:rsidRDefault="00806EA6" w:rsidP="00746D30">
                <w:pPr>
                  <w:pStyle w:val="Tabletext"/>
                  <w:jc w:val="center"/>
                </w:pPr>
                <w:r>
                  <w:rPr>
                    <w:rFonts w:ascii="MS Gothic" w:eastAsia="MS Gothic" w:hAnsi="MS Gothic" w:hint="eastAsia"/>
                  </w:rPr>
                  <w:t>☐</w:t>
                </w:r>
              </w:p>
            </w:tc>
          </w:sdtContent>
        </w:sdt>
      </w:tr>
      <w:tr w:rsidR="00BB4465" w14:paraId="53ECEAE5" w14:textId="364A3C39" w:rsidTr="001443A8">
        <w:tc>
          <w:tcPr>
            <w:tcW w:w="826" w:type="pct"/>
          </w:tcPr>
          <w:p w14:paraId="6395B7FF" w14:textId="2A64F96C" w:rsidR="00BB4465" w:rsidRPr="003170FB" w:rsidRDefault="00BB4465">
            <w:pPr>
              <w:pStyle w:val="Tabletext"/>
            </w:pPr>
            <w:r w:rsidRPr="003170FB">
              <w:t xml:space="preserve">Mould and </w:t>
            </w:r>
            <w:r w:rsidR="00E55FE0">
              <w:t>d</w:t>
            </w:r>
            <w:r w:rsidRPr="003170FB">
              <w:t>amp</w:t>
            </w:r>
          </w:p>
        </w:tc>
        <w:tc>
          <w:tcPr>
            <w:tcW w:w="3381" w:type="pct"/>
          </w:tcPr>
          <w:p w14:paraId="01C093A6" w14:textId="77777777" w:rsidR="00BB4465" w:rsidRPr="003170FB" w:rsidRDefault="00BB4465">
            <w:pPr>
              <w:pStyle w:val="Tabletext"/>
            </w:pPr>
            <w:r w:rsidRPr="003170FB">
              <w:t>All rooms must be free from mould and damp caused by or related to the building structure.</w:t>
            </w:r>
          </w:p>
        </w:tc>
        <w:sdt>
          <w:sdtPr>
            <w:id w:val="834112329"/>
            <w14:checkbox>
              <w14:checked w14:val="0"/>
              <w14:checkedState w14:val="2612" w14:font="MS Gothic"/>
              <w14:uncheckedState w14:val="2610" w14:font="MS Gothic"/>
            </w14:checkbox>
          </w:sdtPr>
          <w:sdtContent>
            <w:tc>
              <w:tcPr>
                <w:tcW w:w="397" w:type="pct"/>
              </w:tcPr>
              <w:p w14:paraId="24CFCE90" w14:textId="663EBBF0" w:rsidR="00BB4465" w:rsidRPr="003170FB" w:rsidRDefault="00806EA6" w:rsidP="00746D30">
                <w:pPr>
                  <w:pStyle w:val="Tabletext"/>
                  <w:jc w:val="center"/>
                </w:pPr>
                <w:r>
                  <w:rPr>
                    <w:rFonts w:ascii="MS Gothic" w:eastAsia="MS Gothic" w:hAnsi="MS Gothic" w:hint="eastAsia"/>
                  </w:rPr>
                  <w:t>☐</w:t>
                </w:r>
              </w:p>
            </w:tc>
          </w:sdtContent>
        </w:sdt>
        <w:sdt>
          <w:sdtPr>
            <w:id w:val="528070751"/>
            <w14:checkbox>
              <w14:checked w14:val="0"/>
              <w14:checkedState w14:val="2612" w14:font="MS Gothic"/>
              <w14:uncheckedState w14:val="2610" w14:font="MS Gothic"/>
            </w14:checkbox>
          </w:sdtPr>
          <w:sdtContent>
            <w:tc>
              <w:tcPr>
                <w:tcW w:w="396" w:type="pct"/>
              </w:tcPr>
              <w:p w14:paraId="58F527C7" w14:textId="39120A0F" w:rsidR="00BB4465" w:rsidRPr="003170FB" w:rsidRDefault="00806EA6" w:rsidP="00746D30">
                <w:pPr>
                  <w:pStyle w:val="Tabletext"/>
                  <w:jc w:val="center"/>
                </w:pPr>
                <w:r>
                  <w:rPr>
                    <w:rFonts w:ascii="MS Gothic" w:eastAsia="MS Gothic" w:hAnsi="MS Gothic" w:hint="eastAsia"/>
                  </w:rPr>
                  <w:t>☐</w:t>
                </w:r>
              </w:p>
            </w:tc>
          </w:sdtContent>
        </w:sdt>
      </w:tr>
      <w:tr w:rsidR="00BB4465" w14:paraId="78D26ED0" w14:textId="5003EBA9" w:rsidTr="001443A8">
        <w:tc>
          <w:tcPr>
            <w:tcW w:w="826" w:type="pct"/>
          </w:tcPr>
          <w:p w14:paraId="42FC37BF" w14:textId="60592D36" w:rsidR="00BB4465" w:rsidRPr="003170FB" w:rsidRDefault="00BB4465">
            <w:pPr>
              <w:pStyle w:val="Tabletext"/>
            </w:pPr>
            <w:r w:rsidRPr="003170FB">
              <w:t xml:space="preserve">Structural </w:t>
            </w:r>
            <w:r w:rsidR="00E55FE0">
              <w:t>s</w:t>
            </w:r>
            <w:r w:rsidRPr="003170FB">
              <w:t>oundness</w:t>
            </w:r>
          </w:p>
        </w:tc>
        <w:tc>
          <w:tcPr>
            <w:tcW w:w="3381" w:type="pct"/>
          </w:tcPr>
          <w:p w14:paraId="60F38216" w14:textId="77777777" w:rsidR="00BB4465" w:rsidRPr="003170FB" w:rsidRDefault="00BB4465">
            <w:pPr>
              <w:pStyle w:val="Tabletext"/>
            </w:pPr>
            <w:r w:rsidRPr="003170FB">
              <w:t>The property must be structurally sound and weatherproof.</w:t>
            </w:r>
          </w:p>
        </w:tc>
        <w:sdt>
          <w:sdtPr>
            <w:id w:val="137464022"/>
            <w14:checkbox>
              <w14:checked w14:val="0"/>
              <w14:checkedState w14:val="2612" w14:font="MS Gothic"/>
              <w14:uncheckedState w14:val="2610" w14:font="MS Gothic"/>
            </w14:checkbox>
          </w:sdtPr>
          <w:sdtContent>
            <w:tc>
              <w:tcPr>
                <w:tcW w:w="397" w:type="pct"/>
              </w:tcPr>
              <w:p w14:paraId="1292929C" w14:textId="2C9DBF14" w:rsidR="00BB4465" w:rsidRPr="003170FB" w:rsidRDefault="001B26A4" w:rsidP="00746D30">
                <w:pPr>
                  <w:pStyle w:val="Tabletext"/>
                  <w:jc w:val="center"/>
                </w:pPr>
                <w:r>
                  <w:rPr>
                    <w:rFonts w:ascii="MS Gothic" w:eastAsia="MS Gothic" w:hAnsi="MS Gothic" w:hint="eastAsia"/>
                  </w:rPr>
                  <w:t>☐</w:t>
                </w:r>
              </w:p>
            </w:tc>
          </w:sdtContent>
        </w:sdt>
        <w:sdt>
          <w:sdtPr>
            <w:id w:val="2096203158"/>
            <w14:checkbox>
              <w14:checked w14:val="0"/>
              <w14:checkedState w14:val="2612" w14:font="MS Gothic"/>
              <w14:uncheckedState w14:val="2610" w14:font="MS Gothic"/>
            </w14:checkbox>
          </w:sdtPr>
          <w:sdtContent>
            <w:tc>
              <w:tcPr>
                <w:tcW w:w="396" w:type="pct"/>
              </w:tcPr>
              <w:p w14:paraId="4174A197" w14:textId="1CDD47A6" w:rsidR="00BB4465" w:rsidRPr="003170FB" w:rsidRDefault="00806EA6" w:rsidP="00746D30">
                <w:pPr>
                  <w:pStyle w:val="Tabletext"/>
                  <w:jc w:val="center"/>
                </w:pPr>
                <w:r>
                  <w:rPr>
                    <w:rFonts w:ascii="MS Gothic" w:eastAsia="MS Gothic" w:hAnsi="MS Gothic" w:hint="eastAsia"/>
                  </w:rPr>
                  <w:t>☐</w:t>
                </w:r>
              </w:p>
            </w:tc>
          </w:sdtContent>
        </w:sdt>
      </w:tr>
      <w:tr w:rsidR="00BB4465" w14:paraId="195AEB0F" w14:textId="3267E69D" w:rsidTr="001443A8">
        <w:tc>
          <w:tcPr>
            <w:tcW w:w="826" w:type="pct"/>
          </w:tcPr>
          <w:p w14:paraId="3BF22630" w14:textId="77777777" w:rsidR="00BB4465" w:rsidRPr="003170FB" w:rsidRDefault="00BB4465">
            <w:pPr>
              <w:pStyle w:val="Tabletext"/>
            </w:pPr>
            <w:r w:rsidRPr="003170FB">
              <w:t>Toilets</w:t>
            </w:r>
          </w:p>
        </w:tc>
        <w:tc>
          <w:tcPr>
            <w:tcW w:w="3381" w:type="pct"/>
          </w:tcPr>
          <w:p w14:paraId="53AFC665" w14:textId="77777777" w:rsidR="00BB4465" w:rsidRPr="003170FB" w:rsidRDefault="00BB4465">
            <w:pPr>
              <w:pStyle w:val="Tabletext"/>
            </w:pPr>
            <w:r w:rsidRPr="003170FB">
              <w:t>The toilet must be in good working order and connected to a sewage system, wastewater treatment system, or approved local council system.</w:t>
            </w:r>
          </w:p>
        </w:tc>
        <w:sdt>
          <w:sdtPr>
            <w:id w:val="-534503452"/>
            <w14:checkbox>
              <w14:checked w14:val="0"/>
              <w14:checkedState w14:val="2612" w14:font="MS Gothic"/>
              <w14:uncheckedState w14:val="2610" w14:font="MS Gothic"/>
            </w14:checkbox>
          </w:sdtPr>
          <w:sdtContent>
            <w:tc>
              <w:tcPr>
                <w:tcW w:w="397" w:type="pct"/>
              </w:tcPr>
              <w:p w14:paraId="09F635A3" w14:textId="6537AB73" w:rsidR="00BB4465" w:rsidRPr="003170FB" w:rsidRDefault="00806EA6" w:rsidP="00746D30">
                <w:pPr>
                  <w:pStyle w:val="Tabletext"/>
                  <w:jc w:val="center"/>
                </w:pPr>
                <w:r>
                  <w:rPr>
                    <w:rFonts w:ascii="MS Gothic" w:eastAsia="MS Gothic" w:hAnsi="MS Gothic" w:hint="eastAsia"/>
                  </w:rPr>
                  <w:t>☐</w:t>
                </w:r>
              </w:p>
            </w:tc>
          </w:sdtContent>
        </w:sdt>
        <w:sdt>
          <w:sdtPr>
            <w:id w:val="1198664154"/>
            <w14:checkbox>
              <w14:checked w14:val="0"/>
              <w14:checkedState w14:val="2612" w14:font="MS Gothic"/>
              <w14:uncheckedState w14:val="2610" w14:font="MS Gothic"/>
            </w14:checkbox>
          </w:sdtPr>
          <w:sdtContent>
            <w:tc>
              <w:tcPr>
                <w:tcW w:w="396" w:type="pct"/>
              </w:tcPr>
              <w:p w14:paraId="5706D6D2" w14:textId="73B5478B" w:rsidR="00BB4465" w:rsidRPr="003170FB" w:rsidRDefault="00806EA6" w:rsidP="00746D30">
                <w:pPr>
                  <w:pStyle w:val="Tabletext"/>
                  <w:jc w:val="center"/>
                </w:pPr>
                <w:r>
                  <w:rPr>
                    <w:rFonts w:ascii="MS Gothic" w:eastAsia="MS Gothic" w:hAnsi="MS Gothic" w:hint="eastAsia"/>
                  </w:rPr>
                  <w:t>☐</w:t>
                </w:r>
              </w:p>
            </w:tc>
          </w:sdtContent>
        </w:sdt>
      </w:tr>
      <w:tr w:rsidR="00BB4465" w14:paraId="215C41AE" w14:textId="3C6C2290" w:rsidTr="001443A8">
        <w:tc>
          <w:tcPr>
            <w:tcW w:w="826" w:type="pct"/>
          </w:tcPr>
          <w:p w14:paraId="4FF8542C" w14:textId="77777777" w:rsidR="00BB4465" w:rsidRPr="003170FB" w:rsidRDefault="00BB4465">
            <w:pPr>
              <w:pStyle w:val="Tabletext"/>
            </w:pPr>
            <w:r w:rsidRPr="003170FB">
              <w:t>Ventilation</w:t>
            </w:r>
          </w:p>
        </w:tc>
        <w:tc>
          <w:tcPr>
            <w:tcW w:w="3381" w:type="pct"/>
          </w:tcPr>
          <w:p w14:paraId="04C1FEE5" w14:textId="4A63DB61" w:rsidR="00BB4465" w:rsidRPr="003170FB" w:rsidRDefault="00BB4465">
            <w:pPr>
              <w:pStyle w:val="Tabletext"/>
            </w:pPr>
            <w:r w:rsidRPr="003170FB">
              <w:t xml:space="preserve">Rental properties must have adequate ventilation in all habitable rooms, including the bathroom, shower, toilet, and laundry, meeting the requirements of the </w:t>
            </w:r>
            <w:hyperlink r:id="rId31" w:history="1">
              <w:r w:rsidR="00A250D5">
                <w:rPr>
                  <w:rStyle w:val="Hyperlink"/>
                </w:rPr>
                <w:t>Building Code of Australia</w:t>
              </w:r>
            </w:hyperlink>
            <w:r w:rsidR="00C81675">
              <w:t xml:space="preserve"> </w:t>
            </w:r>
            <w:r w:rsidR="00DF2421" w:rsidRPr="00DF2421">
              <w:t>https://www.abcb.gov.au/</w:t>
            </w:r>
            <w:r w:rsidDel="00DF2421">
              <w:t>resources</w:t>
            </w:r>
          </w:p>
        </w:tc>
        <w:sdt>
          <w:sdtPr>
            <w:id w:val="420232882"/>
            <w14:checkbox>
              <w14:checked w14:val="0"/>
              <w14:checkedState w14:val="2612" w14:font="MS Gothic"/>
              <w14:uncheckedState w14:val="2610" w14:font="MS Gothic"/>
            </w14:checkbox>
          </w:sdtPr>
          <w:sdtContent>
            <w:tc>
              <w:tcPr>
                <w:tcW w:w="397" w:type="pct"/>
              </w:tcPr>
              <w:p w14:paraId="1D530F49" w14:textId="4B602146" w:rsidR="00BB4465" w:rsidRPr="003170FB" w:rsidRDefault="00806EA6" w:rsidP="00746D30">
                <w:pPr>
                  <w:pStyle w:val="Tabletext"/>
                  <w:jc w:val="center"/>
                </w:pPr>
                <w:r>
                  <w:rPr>
                    <w:rFonts w:ascii="MS Gothic" w:eastAsia="MS Gothic" w:hAnsi="MS Gothic" w:hint="eastAsia"/>
                  </w:rPr>
                  <w:t>☐</w:t>
                </w:r>
              </w:p>
            </w:tc>
          </w:sdtContent>
        </w:sdt>
        <w:sdt>
          <w:sdtPr>
            <w:id w:val="-2083365683"/>
            <w14:checkbox>
              <w14:checked w14:val="0"/>
              <w14:checkedState w14:val="2612" w14:font="MS Gothic"/>
              <w14:uncheckedState w14:val="2610" w14:font="MS Gothic"/>
            </w14:checkbox>
          </w:sdtPr>
          <w:sdtContent>
            <w:tc>
              <w:tcPr>
                <w:tcW w:w="396" w:type="pct"/>
              </w:tcPr>
              <w:p w14:paraId="1B76B3D9" w14:textId="3F2BBD04" w:rsidR="00BB4465" w:rsidRPr="003170FB" w:rsidRDefault="00806EA6" w:rsidP="00746D30">
                <w:pPr>
                  <w:pStyle w:val="Tabletext"/>
                  <w:jc w:val="center"/>
                </w:pPr>
                <w:r>
                  <w:rPr>
                    <w:rFonts w:ascii="MS Gothic" w:eastAsia="MS Gothic" w:hAnsi="MS Gothic" w:hint="eastAsia"/>
                  </w:rPr>
                  <w:t>☐</w:t>
                </w:r>
              </w:p>
            </w:tc>
          </w:sdtContent>
        </w:sdt>
      </w:tr>
      <w:tr w:rsidR="00BB4465" w14:paraId="1A7BB0B0" w14:textId="33DE54E3" w:rsidTr="001443A8">
        <w:tc>
          <w:tcPr>
            <w:tcW w:w="826" w:type="pct"/>
          </w:tcPr>
          <w:p w14:paraId="6B50634F" w14:textId="2D606C2A" w:rsidR="00BB4465" w:rsidRPr="003170FB" w:rsidRDefault="00BB4465">
            <w:pPr>
              <w:pStyle w:val="Tabletext"/>
            </w:pPr>
            <w:r w:rsidRPr="003170FB">
              <w:t>Vermin-</w:t>
            </w:r>
            <w:r w:rsidR="00E55FE0">
              <w:t>p</w:t>
            </w:r>
            <w:r w:rsidRPr="003170FB">
              <w:t xml:space="preserve">roof </w:t>
            </w:r>
            <w:r w:rsidR="00E55FE0">
              <w:t>b</w:t>
            </w:r>
            <w:r w:rsidRPr="003170FB">
              <w:t>ins</w:t>
            </w:r>
          </w:p>
        </w:tc>
        <w:tc>
          <w:tcPr>
            <w:tcW w:w="3381" w:type="pct"/>
          </w:tcPr>
          <w:p w14:paraId="05FEC943" w14:textId="77777777" w:rsidR="00BB4465" w:rsidRPr="003170FB" w:rsidRDefault="00BB4465">
            <w:pPr>
              <w:pStyle w:val="Tabletext"/>
            </w:pPr>
            <w:r w:rsidRPr="003170FB">
              <w:t>Rental providers must supply a rubbish and recycling bin that is vermin-proof and meets council collection standards.</w:t>
            </w:r>
          </w:p>
        </w:tc>
        <w:sdt>
          <w:sdtPr>
            <w:id w:val="-1652520971"/>
            <w14:checkbox>
              <w14:checked w14:val="0"/>
              <w14:checkedState w14:val="2612" w14:font="MS Gothic"/>
              <w14:uncheckedState w14:val="2610" w14:font="MS Gothic"/>
            </w14:checkbox>
          </w:sdtPr>
          <w:sdtContent>
            <w:tc>
              <w:tcPr>
                <w:tcW w:w="397" w:type="pct"/>
              </w:tcPr>
              <w:p w14:paraId="7FC634FA" w14:textId="416AE5B2" w:rsidR="00BB4465" w:rsidRPr="003170FB" w:rsidRDefault="00806EA6" w:rsidP="00746D30">
                <w:pPr>
                  <w:pStyle w:val="Tabletext"/>
                  <w:jc w:val="center"/>
                </w:pPr>
                <w:r>
                  <w:rPr>
                    <w:rFonts w:ascii="MS Gothic" w:eastAsia="MS Gothic" w:hAnsi="MS Gothic" w:hint="eastAsia"/>
                  </w:rPr>
                  <w:t>☐</w:t>
                </w:r>
              </w:p>
            </w:tc>
          </w:sdtContent>
        </w:sdt>
        <w:sdt>
          <w:sdtPr>
            <w:id w:val="600463280"/>
            <w14:checkbox>
              <w14:checked w14:val="0"/>
              <w14:checkedState w14:val="2612" w14:font="MS Gothic"/>
              <w14:uncheckedState w14:val="2610" w14:font="MS Gothic"/>
            </w14:checkbox>
          </w:sdtPr>
          <w:sdtContent>
            <w:tc>
              <w:tcPr>
                <w:tcW w:w="396" w:type="pct"/>
              </w:tcPr>
              <w:p w14:paraId="736B661F" w14:textId="3CFAAD03" w:rsidR="00BB4465" w:rsidRPr="003170FB" w:rsidRDefault="00806EA6" w:rsidP="00746D30">
                <w:pPr>
                  <w:pStyle w:val="Tabletext"/>
                  <w:jc w:val="center"/>
                </w:pPr>
                <w:r>
                  <w:rPr>
                    <w:rFonts w:ascii="MS Gothic" w:eastAsia="MS Gothic" w:hAnsi="MS Gothic" w:hint="eastAsia"/>
                  </w:rPr>
                  <w:t>☐</w:t>
                </w:r>
              </w:p>
            </w:tc>
          </w:sdtContent>
        </w:sdt>
      </w:tr>
      <w:tr w:rsidR="00BB4465" w14:paraId="4AEA809D" w14:textId="7A39B569" w:rsidTr="001443A8">
        <w:tc>
          <w:tcPr>
            <w:tcW w:w="826" w:type="pct"/>
          </w:tcPr>
          <w:p w14:paraId="1635FCE6" w14:textId="29CEF1F7" w:rsidR="00BB4465" w:rsidRPr="003170FB" w:rsidRDefault="00BB4465">
            <w:pPr>
              <w:pStyle w:val="Tabletext"/>
            </w:pPr>
            <w:r w:rsidRPr="003170FB">
              <w:t xml:space="preserve">Window </w:t>
            </w:r>
            <w:r w:rsidR="00E55FE0">
              <w:t>c</w:t>
            </w:r>
            <w:r w:rsidRPr="003170FB">
              <w:t>overings</w:t>
            </w:r>
          </w:p>
        </w:tc>
        <w:tc>
          <w:tcPr>
            <w:tcW w:w="3381" w:type="pct"/>
          </w:tcPr>
          <w:p w14:paraId="3033B66F" w14:textId="5676C667" w:rsidR="00BB4465" w:rsidRPr="003170FB" w:rsidRDefault="00BB4465">
            <w:pPr>
              <w:pStyle w:val="Tabletext"/>
            </w:pPr>
            <w:r w:rsidRPr="003170FB">
              <w:t xml:space="preserve">Windows in </w:t>
            </w:r>
            <w:r w:rsidR="00F145A9" w:rsidRPr="00F145A9">
              <w:t xml:space="preserve">rooms likely to be used as </w:t>
            </w:r>
            <w:r w:rsidRPr="003170FB">
              <w:t xml:space="preserve">bedrooms </w:t>
            </w:r>
            <w:r w:rsidR="00F145A9" w:rsidRPr="00F145A9">
              <w:t>or</w:t>
            </w:r>
            <w:r w:rsidRPr="003170FB">
              <w:t xml:space="preserve"> living areas must </w:t>
            </w:r>
            <w:r w:rsidR="00F145A9" w:rsidRPr="00F145A9">
              <w:t>be fitted with curtains or</w:t>
            </w:r>
            <w:r w:rsidRPr="003170FB">
              <w:t xml:space="preserve"> blinds that can be closed</w:t>
            </w:r>
            <w:r w:rsidR="00F145A9" w:rsidRPr="00F145A9">
              <w:t>,</w:t>
            </w:r>
            <w:r w:rsidRPr="003170FB">
              <w:t xml:space="preserve"> block light and provide privacy</w:t>
            </w:r>
            <w:r w:rsidR="00BE29BD">
              <w:t xml:space="preserve"> and made safer with a </w:t>
            </w:r>
            <w:r w:rsidR="00F145A9" w:rsidRPr="00F145A9">
              <w:t>curtain and blind safety kit.</w:t>
            </w:r>
          </w:p>
        </w:tc>
        <w:sdt>
          <w:sdtPr>
            <w:id w:val="-275259445"/>
            <w14:checkbox>
              <w14:checked w14:val="0"/>
              <w14:checkedState w14:val="2612" w14:font="MS Gothic"/>
              <w14:uncheckedState w14:val="2610" w14:font="MS Gothic"/>
            </w14:checkbox>
          </w:sdtPr>
          <w:sdtContent>
            <w:tc>
              <w:tcPr>
                <w:tcW w:w="397" w:type="pct"/>
              </w:tcPr>
              <w:p w14:paraId="6AB9E1D3" w14:textId="6406BCCE" w:rsidR="00BB4465" w:rsidRPr="003170FB" w:rsidRDefault="00806EA6" w:rsidP="00746D30">
                <w:pPr>
                  <w:pStyle w:val="Tabletext"/>
                  <w:jc w:val="center"/>
                </w:pPr>
                <w:r>
                  <w:rPr>
                    <w:rFonts w:ascii="MS Gothic" w:eastAsia="MS Gothic" w:hAnsi="MS Gothic" w:hint="eastAsia"/>
                  </w:rPr>
                  <w:t>☐</w:t>
                </w:r>
              </w:p>
            </w:tc>
          </w:sdtContent>
        </w:sdt>
        <w:sdt>
          <w:sdtPr>
            <w:id w:val="-485784950"/>
            <w14:checkbox>
              <w14:checked w14:val="0"/>
              <w14:checkedState w14:val="2612" w14:font="MS Gothic"/>
              <w14:uncheckedState w14:val="2610" w14:font="MS Gothic"/>
            </w14:checkbox>
          </w:sdtPr>
          <w:sdtContent>
            <w:tc>
              <w:tcPr>
                <w:tcW w:w="396" w:type="pct"/>
              </w:tcPr>
              <w:p w14:paraId="12F16A9E" w14:textId="19A66851" w:rsidR="00BB4465" w:rsidRPr="003170FB" w:rsidRDefault="00806EA6" w:rsidP="00746D30">
                <w:pPr>
                  <w:pStyle w:val="Tabletext"/>
                  <w:jc w:val="center"/>
                </w:pPr>
                <w:r>
                  <w:rPr>
                    <w:rFonts w:ascii="MS Gothic" w:eastAsia="MS Gothic" w:hAnsi="MS Gothic" w:hint="eastAsia"/>
                  </w:rPr>
                  <w:t>☐</w:t>
                </w:r>
              </w:p>
            </w:tc>
          </w:sdtContent>
        </w:sdt>
      </w:tr>
      <w:tr w:rsidR="00BB4465" w14:paraId="392A3947" w14:textId="5293F169" w:rsidTr="001443A8">
        <w:tc>
          <w:tcPr>
            <w:tcW w:w="826" w:type="pct"/>
          </w:tcPr>
          <w:p w14:paraId="2154DB08" w14:textId="77777777" w:rsidR="00BB4465" w:rsidRPr="003170FB" w:rsidRDefault="00BB4465">
            <w:pPr>
              <w:pStyle w:val="Tabletext"/>
            </w:pPr>
            <w:r w:rsidRPr="003170FB">
              <w:t>Windows</w:t>
            </w:r>
          </w:p>
        </w:tc>
        <w:tc>
          <w:tcPr>
            <w:tcW w:w="3381" w:type="pct"/>
          </w:tcPr>
          <w:p w14:paraId="4F638D22" w14:textId="77777777" w:rsidR="00BB4465" w:rsidRPr="003170FB" w:rsidRDefault="00BB4465">
            <w:pPr>
              <w:pStyle w:val="Tabletext"/>
            </w:pPr>
            <w:r w:rsidRPr="003170FB">
              <w:t>All external windows capable of opening must have a functioning latch to secure the windows and allow them to be left open or closed.</w:t>
            </w:r>
          </w:p>
        </w:tc>
        <w:sdt>
          <w:sdtPr>
            <w:id w:val="1073312574"/>
            <w14:checkbox>
              <w14:checked w14:val="0"/>
              <w14:checkedState w14:val="2612" w14:font="MS Gothic"/>
              <w14:uncheckedState w14:val="2610" w14:font="MS Gothic"/>
            </w14:checkbox>
          </w:sdtPr>
          <w:sdtContent>
            <w:tc>
              <w:tcPr>
                <w:tcW w:w="397" w:type="pct"/>
              </w:tcPr>
              <w:p w14:paraId="7D1CD24D" w14:textId="3510B72B" w:rsidR="00BB4465" w:rsidRPr="003170FB" w:rsidRDefault="00806EA6" w:rsidP="00746D30">
                <w:pPr>
                  <w:pStyle w:val="Tabletext"/>
                  <w:jc w:val="center"/>
                </w:pPr>
                <w:r>
                  <w:rPr>
                    <w:rFonts w:ascii="MS Gothic" w:eastAsia="MS Gothic" w:hAnsi="MS Gothic" w:hint="eastAsia"/>
                  </w:rPr>
                  <w:t>☐</w:t>
                </w:r>
              </w:p>
            </w:tc>
          </w:sdtContent>
        </w:sdt>
        <w:sdt>
          <w:sdtPr>
            <w:id w:val="-1164005471"/>
            <w14:checkbox>
              <w14:checked w14:val="0"/>
              <w14:checkedState w14:val="2612" w14:font="MS Gothic"/>
              <w14:uncheckedState w14:val="2610" w14:font="MS Gothic"/>
            </w14:checkbox>
          </w:sdtPr>
          <w:sdtContent>
            <w:tc>
              <w:tcPr>
                <w:tcW w:w="396" w:type="pct"/>
              </w:tcPr>
              <w:p w14:paraId="10A123F6" w14:textId="0685AC16" w:rsidR="00BB4465" w:rsidRPr="003170FB" w:rsidRDefault="00806EA6" w:rsidP="00746D30">
                <w:pPr>
                  <w:pStyle w:val="Tabletext"/>
                  <w:jc w:val="center"/>
                </w:pPr>
                <w:r>
                  <w:rPr>
                    <w:rFonts w:ascii="MS Gothic" w:eastAsia="MS Gothic" w:hAnsi="MS Gothic" w:hint="eastAsia"/>
                  </w:rPr>
                  <w:t>☐</w:t>
                </w:r>
              </w:p>
            </w:tc>
          </w:sdtContent>
        </w:sdt>
      </w:tr>
    </w:tbl>
    <w:p w14:paraId="6F3FB5F2" w14:textId="77777777" w:rsidR="001B26A4" w:rsidRDefault="001B26A4" w:rsidP="001B26A4">
      <w:pPr>
        <w:pStyle w:val="Body"/>
      </w:pPr>
    </w:p>
    <w:p w14:paraId="36B578AB" w14:textId="77777777" w:rsidR="001B26A4" w:rsidRDefault="001B26A4" w:rsidP="001B26A4">
      <w:pPr>
        <w:ind w:firstLine="720"/>
        <w:rPr>
          <w:rFonts w:eastAsia="Times"/>
        </w:rPr>
      </w:pPr>
    </w:p>
    <w:p w14:paraId="0D80385C" w14:textId="2A3F66F6" w:rsidR="001B26A4" w:rsidRPr="001B26A4" w:rsidRDefault="001B26A4" w:rsidP="001B26A4">
      <w:pPr>
        <w:tabs>
          <w:tab w:val="left" w:pos="841"/>
        </w:tabs>
        <w:sectPr w:rsidR="001B26A4" w:rsidRPr="001B26A4" w:rsidSect="00C66E1D">
          <w:pgSz w:w="16838" w:h="11906" w:orient="landscape" w:code="9"/>
          <w:pgMar w:top="1304" w:right="851" w:bottom="1304" w:left="1418" w:header="680" w:footer="567" w:gutter="0"/>
          <w:cols w:space="340"/>
          <w:docGrid w:linePitch="360"/>
        </w:sectPr>
      </w:pPr>
      <w:r>
        <w:tab/>
      </w:r>
    </w:p>
    <w:p w14:paraId="6E919BC9" w14:textId="5608ABBE" w:rsidR="001B70B0" w:rsidRDefault="003B2E31" w:rsidP="002245CA">
      <w:pPr>
        <w:pStyle w:val="Heading2"/>
        <w:numPr>
          <w:ilvl w:val="0"/>
          <w:numId w:val="0"/>
        </w:numPr>
        <w:ind w:left="576" w:hanging="576"/>
      </w:pPr>
      <w:bookmarkStart w:id="28" w:name="_Toc224119181"/>
      <w:r>
        <w:lastRenderedPageBreak/>
        <w:t xml:space="preserve">Other </w:t>
      </w:r>
      <w:r w:rsidR="00AD2EB1">
        <w:t>v</w:t>
      </w:r>
      <w:r>
        <w:t xml:space="preserve">acant </w:t>
      </w:r>
      <w:r w:rsidR="00AD2EB1">
        <w:t>u</w:t>
      </w:r>
      <w:r>
        <w:t xml:space="preserve">nit </w:t>
      </w:r>
      <w:r w:rsidR="00AD2EB1">
        <w:t>c</w:t>
      </w:r>
      <w:r w:rsidR="00C62ED4">
        <w:t>hecks</w:t>
      </w:r>
      <w:bookmarkEnd w:id="28"/>
    </w:p>
    <w:p w14:paraId="27095065" w14:textId="7BF6B9C3" w:rsidR="00D6624D" w:rsidRPr="00D6624D" w:rsidRDefault="00D6624D" w:rsidP="00D6624D">
      <w:pPr>
        <w:pStyle w:val="Tablecaption"/>
      </w:pPr>
      <w:r>
        <w:t xml:space="preserve">Table </w:t>
      </w:r>
      <w:r w:rsidR="00BE25A2">
        <w:t>8</w:t>
      </w:r>
      <w:r>
        <w:t xml:space="preserve">: Other vacant unit </w:t>
      </w:r>
      <w:r w:rsidR="00C62ED4">
        <w:t xml:space="preserve">checks to ensure the property is </w:t>
      </w:r>
      <w:r w:rsidR="009953D3">
        <w:t xml:space="preserve">well </w:t>
      </w:r>
      <w:r w:rsidR="00C62ED4">
        <w:t xml:space="preserve">maintained </w:t>
      </w:r>
      <w:r w:rsidR="009953D3">
        <w:t>and complies with mi</w:t>
      </w:r>
      <w:r w:rsidR="00200A39">
        <w:t>nimum rental standards</w:t>
      </w:r>
    </w:p>
    <w:tbl>
      <w:tblPr>
        <w:tblStyle w:val="TableGrid"/>
        <w:tblW w:w="5000" w:type="pct"/>
        <w:tblLayout w:type="fixed"/>
        <w:tblLook w:val="04A0" w:firstRow="1" w:lastRow="0" w:firstColumn="1" w:lastColumn="0" w:noHBand="0" w:noVBand="1"/>
      </w:tblPr>
      <w:tblGrid>
        <w:gridCol w:w="2406"/>
        <w:gridCol w:w="2693"/>
        <w:gridCol w:w="7087"/>
        <w:gridCol w:w="1278"/>
        <w:gridCol w:w="1095"/>
      </w:tblGrid>
      <w:tr w:rsidR="004E2751" w14:paraId="61CD8571" w14:textId="49EFEC93" w:rsidTr="00396475">
        <w:trPr>
          <w:tblHeader/>
        </w:trPr>
        <w:tc>
          <w:tcPr>
            <w:tcW w:w="826" w:type="pct"/>
          </w:tcPr>
          <w:p w14:paraId="67D4D784" w14:textId="0CD6A897" w:rsidR="004E2751" w:rsidRDefault="004E2751" w:rsidP="00F22A90">
            <w:pPr>
              <w:pStyle w:val="Tablecolhead"/>
            </w:pPr>
            <w:r>
              <w:t>Category</w:t>
            </w:r>
          </w:p>
        </w:tc>
        <w:tc>
          <w:tcPr>
            <w:tcW w:w="925" w:type="pct"/>
          </w:tcPr>
          <w:p w14:paraId="66737AD1" w14:textId="224A673A" w:rsidR="004E2751" w:rsidRDefault="005E7289" w:rsidP="00F22A90">
            <w:pPr>
              <w:pStyle w:val="Tablecolhead"/>
            </w:pPr>
            <w:r>
              <w:t>Item</w:t>
            </w:r>
          </w:p>
        </w:tc>
        <w:tc>
          <w:tcPr>
            <w:tcW w:w="2434" w:type="pct"/>
          </w:tcPr>
          <w:p w14:paraId="773B9750" w14:textId="3DF77C7B" w:rsidR="004E2751" w:rsidRDefault="004E2751" w:rsidP="00F22A90">
            <w:pPr>
              <w:pStyle w:val="Tablecolhead"/>
            </w:pPr>
            <w:r>
              <w:t>Description</w:t>
            </w:r>
          </w:p>
        </w:tc>
        <w:tc>
          <w:tcPr>
            <w:tcW w:w="439" w:type="pct"/>
          </w:tcPr>
          <w:p w14:paraId="47891667" w14:textId="1FEFE466" w:rsidR="004E2751" w:rsidRDefault="004E2751" w:rsidP="00F22A90">
            <w:pPr>
              <w:pStyle w:val="Tablecolhead"/>
            </w:pPr>
            <w:r>
              <w:t>Met</w:t>
            </w:r>
          </w:p>
        </w:tc>
        <w:tc>
          <w:tcPr>
            <w:tcW w:w="376" w:type="pct"/>
          </w:tcPr>
          <w:p w14:paraId="14538D49" w14:textId="13E364F6" w:rsidR="004E2751" w:rsidRDefault="004E2751" w:rsidP="00F22A90">
            <w:pPr>
              <w:pStyle w:val="Tablecolhead"/>
            </w:pPr>
            <w:r>
              <w:t xml:space="preserve">Not </w:t>
            </w:r>
            <w:r w:rsidR="0046200F">
              <w:t>m</w:t>
            </w:r>
            <w:r>
              <w:t>et</w:t>
            </w:r>
          </w:p>
        </w:tc>
      </w:tr>
      <w:tr w:rsidR="004E2751" w14:paraId="731295EA" w14:textId="645FE0BD" w:rsidTr="009F0F50">
        <w:tc>
          <w:tcPr>
            <w:tcW w:w="826" w:type="pct"/>
          </w:tcPr>
          <w:p w14:paraId="75885889" w14:textId="4DD7F050" w:rsidR="004E2751" w:rsidRDefault="004E2751" w:rsidP="000D017C">
            <w:pPr>
              <w:pStyle w:val="Tabletext"/>
            </w:pPr>
            <w:r>
              <w:t xml:space="preserve">External </w:t>
            </w:r>
            <w:r w:rsidR="00E55FE0">
              <w:t>d</w:t>
            </w:r>
            <w:r>
              <w:t>oors</w:t>
            </w:r>
          </w:p>
        </w:tc>
        <w:tc>
          <w:tcPr>
            <w:tcW w:w="925" w:type="pct"/>
          </w:tcPr>
          <w:p w14:paraId="0AB98991" w14:textId="1E87954B" w:rsidR="004E2751" w:rsidRPr="004E2751" w:rsidRDefault="004E2751" w:rsidP="000D017C">
            <w:pPr>
              <w:pStyle w:val="Tabletext"/>
            </w:pPr>
            <w:r w:rsidRPr="004E2751">
              <w:t xml:space="preserve">Security </w:t>
            </w:r>
            <w:r w:rsidR="00E55FE0">
              <w:t>s</w:t>
            </w:r>
            <w:r w:rsidRPr="004E2751">
              <w:t xml:space="preserve">creen </w:t>
            </w:r>
            <w:r w:rsidR="00E55FE0">
              <w:t>d</w:t>
            </w:r>
            <w:r w:rsidRPr="004E2751">
              <w:t>oors</w:t>
            </w:r>
          </w:p>
        </w:tc>
        <w:tc>
          <w:tcPr>
            <w:tcW w:w="2434" w:type="pct"/>
          </w:tcPr>
          <w:p w14:paraId="0ADF34A7" w14:textId="73D49DFF" w:rsidR="004E2751" w:rsidRDefault="00CF2C97" w:rsidP="000D017C">
            <w:pPr>
              <w:pStyle w:val="Tabletext"/>
            </w:pPr>
            <w:r>
              <w:t>All</w:t>
            </w:r>
            <w:r w:rsidR="004E2751" w:rsidRPr="007527ED">
              <w:t xml:space="preserve"> external doors</w:t>
            </w:r>
            <w:r>
              <w:t xml:space="preserve"> must</w:t>
            </w:r>
            <w:r w:rsidR="004E2751" w:rsidRPr="007527ED">
              <w:t xml:space="preserve"> have a security screen door</w:t>
            </w:r>
            <w:r w:rsidR="004E2751">
              <w:t>.</w:t>
            </w:r>
          </w:p>
        </w:tc>
        <w:sdt>
          <w:sdtPr>
            <w:id w:val="1718468680"/>
            <w14:checkbox>
              <w14:checked w14:val="0"/>
              <w14:checkedState w14:val="2612" w14:font="MS Gothic"/>
              <w14:uncheckedState w14:val="2610" w14:font="MS Gothic"/>
            </w14:checkbox>
          </w:sdtPr>
          <w:sdtContent>
            <w:tc>
              <w:tcPr>
                <w:tcW w:w="439" w:type="pct"/>
              </w:tcPr>
              <w:p w14:paraId="6FC32FC7" w14:textId="63D21591" w:rsidR="004E2751" w:rsidRPr="00F22A90" w:rsidRDefault="00806EA6" w:rsidP="00746D30">
                <w:pPr>
                  <w:pStyle w:val="Tabletext"/>
                  <w:jc w:val="center"/>
                </w:pPr>
                <w:r>
                  <w:rPr>
                    <w:rFonts w:ascii="MS Gothic" w:eastAsia="MS Gothic" w:hAnsi="MS Gothic" w:hint="eastAsia"/>
                  </w:rPr>
                  <w:t>☐</w:t>
                </w:r>
              </w:p>
            </w:tc>
          </w:sdtContent>
        </w:sdt>
        <w:sdt>
          <w:sdtPr>
            <w:id w:val="-474673402"/>
            <w14:checkbox>
              <w14:checked w14:val="0"/>
              <w14:checkedState w14:val="2612" w14:font="MS Gothic"/>
              <w14:uncheckedState w14:val="2610" w14:font="MS Gothic"/>
            </w14:checkbox>
          </w:sdtPr>
          <w:sdtContent>
            <w:tc>
              <w:tcPr>
                <w:tcW w:w="376" w:type="pct"/>
              </w:tcPr>
              <w:p w14:paraId="4D3DADD7" w14:textId="0D925177" w:rsidR="004E2751" w:rsidRPr="00F22A90" w:rsidRDefault="00806EA6" w:rsidP="00746D30">
                <w:pPr>
                  <w:pStyle w:val="Tabletext"/>
                  <w:jc w:val="center"/>
                </w:pPr>
                <w:r>
                  <w:rPr>
                    <w:rFonts w:ascii="MS Gothic" w:eastAsia="MS Gothic" w:hAnsi="MS Gothic" w:hint="eastAsia"/>
                  </w:rPr>
                  <w:t>☐</w:t>
                </w:r>
              </w:p>
            </w:tc>
          </w:sdtContent>
        </w:sdt>
      </w:tr>
      <w:tr w:rsidR="004E2751" w14:paraId="71F16ABA" w14:textId="774C6454" w:rsidTr="009F0F50">
        <w:tc>
          <w:tcPr>
            <w:tcW w:w="826" w:type="pct"/>
          </w:tcPr>
          <w:p w14:paraId="658906F1" w14:textId="1BCBC586" w:rsidR="004E2751" w:rsidRPr="00F22A90" w:rsidRDefault="004E2751" w:rsidP="004E2751">
            <w:pPr>
              <w:pStyle w:val="Tabletext"/>
            </w:pPr>
            <w:r>
              <w:t>General</w:t>
            </w:r>
          </w:p>
        </w:tc>
        <w:tc>
          <w:tcPr>
            <w:tcW w:w="925" w:type="pct"/>
          </w:tcPr>
          <w:p w14:paraId="74C638FB" w14:textId="6B5CE34E" w:rsidR="004E2751" w:rsidRDefault="004E2751" w:rsidP="004E2751">
            <w:pPr>
              <w:pStyle w:val="Tabletext"/>
            </w:pPr>
            <w:r w:rsidRPr="00F22A90">
              <w:t>Lights</w:t>
            </w:r>
          </w:p>
        </w:tc>
        <w:tc>
          <w:tcPr>
            <w:tcW w:w="2434" w:type="pct"/>
          </w:tcPr>
          <w:p w14:paraId="7384F648" w14:textId="658C2867" w:rsidR="004E2751" w:rsidRPr="007527ED" w:rsidRDefault="00A12243" w:rsidP="004E2751">
            <w:pPr>
              <w:pStyle w:val="Tabletext"/>
            </w:pPr>
            <w:r>
              <w:t>All</w:t>
            </w:r>
            <w:r w:rsidR="004E2751" w:rsidRPr="007527ED">
              <w:t xml:space="preserve"> lights </w:t>
            </w:r>
            <w:r>
              <w:t xml:space="preserve">must be </w:t>
            </w:r>
            <w:r w:rsidR="004E2751" w:rsidRPr="007527ED">
              <w:t>functioning properly.</w:t>
            </w:r>
          </w:p>
        </w:tc>
        <w:sdt>
          <w:sdtPr>
            <w:id w:val="-2104018322"/>
            <w14:checkbox>
              <w14:checked w14:val="0"/>
              <w14:checkedState w14:val="2612" w14:font="MS Gothic"/>
              <w14:uncheckedState w14:val="2610" w14:font="MS Gothic"/>
            </w14:checkbox>
          </w:sdtPr>
          <w:sdtContent>
            <w:tc>
              <w:tcPr>
                <w:tcW w:w="439" w:type="pct"/>
              </w:tcPr>
              <w:p w14:paraId="704D8B25" w14:textId="6DD442CF" w:rsidR="004E2751" w:rsidRPr="00F22A90" w:rsidRDefault="00806EA6" w:rsidP="00746D30">
                <w:pPr>
                  <w:pStyle w:val="Tabletext"/>
                  <w:jc w:val="center"/>
                </w:pPr>
                <w:r>
                  <w:rPr>
                    <w:rFonts w:ascii="MS Gothic" w:eastAsia="MS Gothic" w:hAnsi="MS Gothic" w:hint="eastAsia"/>
                  </w:rPr>
                  <w:t>☐</w:t>
                </w:r>
              </w:p>
            </w:tc>
          </w:sdtContent>
        </w:sdt>
        <w:sdt>
          <w:sdtPr>
            <w:id w:val="103242615"/>
            <w14:checkbox>
              <w14:checked w14:val="0"/>
              <w14:checkedState w14:val="2612" w14:font="MS Gothic"/>
              <w14:uncheckedState w14:val="2610" w14:font="MS Gothic"/>
            </w14:checkbox>
          </w:sdtPr>
          <w:sdtContent>
            <w:tc>
              <w:tcPr>
                <w:tcW w:w="376" w:type="pct"/>
              </w:tcPr>
              <w:p w14:paraId="48B1E27A" w14:textId="1D657BC1" w:rsidR="004E2751" w:rsidRPr="00F22A90" w:rsidRDefault="00806EA6" w:rsidP="00746D30">
                <w:pPr>
                  <w:pStyle w:val="Tabletext"/>
                  <w:jc w:val="center"/>
                </w:pPr>
                <w:r>
                  <w:rPr>
                    <w:rFonts w:ascii="MS Gothic" w:eastAsia="MS Gothic" w:hAnsi="MS Gothic" w:hint="eastAsia"/>
                  </w:rPr>
                  <w:t>☐</w:t>
                </w:r>
              </w:p>
            </w:tc>
          </w:sdtContent>
        </w:sdt>
      </w:tr>
      <w:tr w:rsidR="009F0F50" w14:paraId="1736F931" w14:textId="6B4A34D0" w:rsidTr="009F0F50">
        <w:tc>
          <w:tcPr>
            <w:tcW w:w="826" w:type="pct"/>
          </w:tcPr>
          <w:p w14:paraId="21058BCA" w14:textId="6517BBBB" w:rsidR="009F0F50" w:rsidRDefault="009F0F50" w:rsidP="009F0F50">
            <w:pPr>
              <w:pStyle w:val="Tabletext"/>
            </w:pPr>
            <w:r w:rsidRPr="001A5187">
              <w:t>General</w:t>
            </w:r>
          </w:p>
        </w:tc>
        <w:tc>
          <w:tcPr>
            <w:tcW w:w="925" w:type="pct"/>
          </w:tcPr>
          <w:p w14:paraId="3B4401E7" w14:textId="54DC430F" w:rsidR="009F0F50" w:rsidRPr="00F22A90" w:rsidRDefault="009F0F50" w:rsidP="009F0F50">
            <w:pPr>
              <w:pStyle w:val="Tabletext"/>
            </w:pPr>
            <w:r>
              <w:t xml:space="preserve">Exposed wiring </w:t>
            </w:r>
          </w:p>
        </w:tc>
        <w:tc>
          <w:tcPr>
            <w:tcW w:w="2434" w:type="pct"/>
          </w:tcPr>
          <w:p w14:paraId="3B09C3D3" w14:textId="588C95BD" w:rsidR="009F0F50" w:rsidRPr="007527ED" w:rsidRDefault="009F0F50" w:rsidP="009F0F50">
            <w:pPr>
              <w:pStyle w:val="Tabletext"/>
            </w:pPr>
            <w:r>
              <w:t xml:space="preserve">There must not be any </w:t>
            </w:r>
            <w:r w:rsidRPr="003B2E31">
              <w:t>exposed wiring</w:t>
            </w:r>
            <w:r>
              <w:t>.</w:t>
            </w:r>
          </w:p>
        </w:tc>
        <w:sdt>
          <w:sdtPr>
            <w:id w:val="-1299063891"/>
            <w14:checkbox>
              <w14:checked w14:val="0"/>
              <w14:checkedState w14:val="2612" w14:font="MS Gothic"/>
              <w14:uncheckedState w14:val="2610" w14:font="MS Gothic"/>
            </w14:checkbox>
          </w:sdtPr>
          <w:sdtContent>
            <w:tc>
              <w:tcPr>
                <w:tcW w:w="439" w:type="pct"/>
              </w:tcPr>
              <w:p w14:paraId="4F81763E" w14:textId="6FA6BFE3" w:rsidR="009F0F50" w:rsidRPr="00F22A90" w:rsidRDefault="009F0F50" w:rsidP="009F0F50">
                <w:pPr>
                  <w:pStyle w:val="Tabletext"/>
                  <w:jc w:val="center"/>
                </w:pPr>
                <w:r>
                  <w:rPr>
                    <w:rFonts w:ascii="MS Gothic" w:eastAsia="MS Gothic" w:hAnsi="MS Gothic" w:hint="eastAsia"/>
                  </w:rPr>
                  <w:t>☐</w:t>
                </w:r>
              </w:p>
            </w:tc>
          </w:sdtContent>
        </w:sdt>
        <w:sdt>
          <w:sdtPr>
            <w:id w:val="-701007997"/>
            <w14:checkbox>
              <w14:checked w14:val="0"/>
              <w14:checkedState w14:val="2612" w14:font="MS Gothic"/>
              <w14:uncheckedState w14:val="2610" w14:font="MS Gothic"/>
            </w14:checkbox>
          </w:sdtPr>
          <w:sdtContent>
            <w:tc>
              <w:tcPr>
                <w:tcW w:w="376" w:type="pct"/>
              </w:tcPr>
              <w:p w14:paraId="18D90F3E" w14:textId="17431115" w:rsidR="009F0F50" w:rsidRPr="00F22A90" w:rsidRDefault="009F0F50" w:rsidP="009F0F50">
                <w:pPr>
                  <w:pStyle w:val="Tabletext"/>
                  <w:jc w:val="center"/>
                </w:pPr>
                <w:r>
                  <w:rPr>
                    <w:rFonts w:ascii="MS Gothic" w:eastAsia="MS Gothic" w:hAnsi="MS Gothic" w:hint="eastAsia"/>
                  </w:rPr>
                  <w:t>☐</w:t>
                </w:r>
              </w:p>
            </w:tc>
          </w:sdtContent>
        </w:sdt>
      </w:tr>
      <w:tr w:rsidR="009F0F50" w14:paraId="1480F73F" w14:textId="5A2A84C7" w:rsidTr="009F0F50">
        <w:tc>
          <w:tcPr>
            <w:tcW w:w="826" w:type="pct"/>
          </w:tcPr>
          <w:p w14:paraId="172826DA" w14:textId="5A89CFD2" w:rsidR="009F0F50" w:rsidRPr="007527ED" w:rsidRDefault="009F0F50" w:rsidP="009F0F50">
            <w:pPr>
              <w:pStyle w:val="Tabletext"/>
            </w:pPr>
            <w:r w:rsidRPr="001A5187">
              <w:t>General</w:t>
            </w:r>
          </w:p>
        </w:tc>
        <w:tc>
          <w:tcPr>
            <w:tcW w:w="925" w:type="pct"/>
          </w:tcPr>
          <w:p w14:paraId="3F9F7A2E" w14:textId="6CD08917" w:rsidR="009F0F50" w:rsidRPr="00F22A90" w:rsidRDefault="009F0F50" w:rsidP="009F0F50">
            <w:pPr>
              <w:pStyle w:val="Tabletext"/>
            </w:pPr>
            <w:r w:rsidRPr="007527ED">
              <w:t xml:space="preserve">Appliances </w:t>
            </w:r>
          </w:p>
        </w:tc>
        <w:tc>
          <w:tcPr>
            <w:tcW w:w="2434" w:type="pct"/>
          </w:tcPr>
          <w:p w14:paraId="641F1F75" w14:textId="060AA4CE" w:rsidR="009F0F50" w:rsidRPr="007527ED" w:rsidRDefault="009F0F50" w:rsidP="009F0F50">
            <w:pPr>
              <w:pStyle w:val="Tabletext"/>
            </w:pPr>
            <w:r>
              <w:t xml:space="preserve">All </w:t>
            </w:r>
            <w:r w:rsidRPr="007527ED">
              <w:t>appliances</w:t>
            </w:r>
            <w:r>
              <w:t xml:space="preserve"> must</w:t>
            </w:r>
            <w:r w:rsidRPr="007527ED">
              <w:t xml:space="preserve"> power on and function correctly without issues. Check for unusual noises or odours and inspect for visible damage to appliance exteriors.</w:t>
            </w:r>
          </w:p>
        </w:tc>
        <w:sdt>
          <w:sdtPr>
            <w:id w:val="98994522"/>
            <w14:checkbox>
              <w14:checked w14:val="0"/>
              <w14:checkedState w14:val="2612" w14:font="MS Gothic"/>
              <w14:uncheckedState w14:val="2610" w14:font="MS Gothic"/>
            </w14:checkbox>
          </w:sdtPr>
          <w:sdtContent>
            <w:tc>
              <w:tcPr>
                <w:tcW w:w="439" w:type="pct"/>
              </w:tcPr>
              <w:p w14:paraId="461C1D23" w14:textId="4DF0A9E3" w:rsidR="009F0F50" w:rsidRPr="00F22A90" w:rsidRDefault="009F0F50" w:rsidP="009F0F50">
                <w:pPr>
                  <w:pStyle w:val="Tabletext"/>
                  <w:jc w:val="center"/>
                </w:pPr>
                <w:r>
                  <w:rPr>
                    <w:rFonts w:ascii="MS Gothic" w:eastAsia="MS Gothic" w:hAnsi="MS Gothic" w:hint="eastAsia"/>
                  </w:rPr>
                  <w:t>☐</w:t>
                </w:r>
              </w:p>
            </w:tc>
          </w:sdtContent>
        </w:sdt>
        <w:sdt>
          <w:sdtPr>
            <w:id w:val="1231342943"/>
            <w14:checkbox>
              <w14:checked w14:val="0"/>
              <w14:checkedState w14:val="2612" w14:font="MS Gothic"/>
              <w14:uncheckedState w14:val="2610" w14:font="MS Gothic"/>
            </w14:checkbox>
          </w:sdtPr>
          <w:sdtContent>
            <w:tc>
              <w:tcPr>
                <w:tcW w:w="376" w:type="pct"/>
              </w:tcPr>
              <w:p w14:paraId="2C34BC88" w14:textId="0668A87B" w:rsidR="009F0F50" w:rsidRPr="00F22A90" w:rsidRDefault="009F0F50" w:rsidP="009F0F50">
                <w:pPr>
                  <w:pStyle w:val="Tabletext"/>
                  <w:jc w:val="center"/>
                </w:pPr>
                <w:r>
                  <w:rPr>
                    <w:rFonts w:ascii="MS Gothic" w:eastAsia="MS Gothic" w:hAnsi="MS Gothic" w:hint="eastAsia"/>
                  </w:rPr>
                  <w:t>☐</w:t>
                </w:r>
              </w:p>
            </w:tc>
          </w:sdtContent>
        </w:sdt>
      </w:tr>
      <w:tr w:rsidR="009F0F50" w14:paraId="1D271432" w14:textId="7E317901" w:rsidTr="009F0F50">
        <w:tc>
          <w:tcPr>
            <w:tcW w:w="826" w:type="pct"/>
          </w:tcPr>
          <w:p w14:paraId="649C150F" w14:textId="73F691CA" w:rsidR="009F0F50" w:rsidRDefault="009F0F50" w:rsidP="009F0F50">
            <w:pPr>
              <w:pStyle w:val="Tabletext"/>
            </w:pPr>
            <w:r w:rsidRPr="001A5187">
              <w:t>General</w:t>
            </w:r>
          </w:p>
        </w:tc>
        <w:tc>
          <w:tcPr>
            <w:tcW w:w="925" w:type="pct"/>
          </w:tcPr>
          <w:p w14:paraId="52E0D02B" w14:textId="17E9E875" w:rsidR="009F0F50" w:rsidRPr="007527ED" w:rsidRDefault="009F0F50" w:rsidP="009F0F50">
            <w:pPr>
              <w:pStyle w:val="Tabletext"/>
            </w:pPr>
            <w:r>
              <w:t>Hot water system</w:t>
            </w:r>
          </w:p>
        </w:tc>
        <w:tc>
          <w:tcPr>
            <w:tcW w:w="2434" w:type="pct"/>
          </w:tcPr>
          <w:p w14:paraId="159ED4CB" w14:textId="4550750E" w:rsidR="009F0F50" w:rsidRPr="007527ED" w:rsidRDefault="009F0F50" w:rsidP="009F0F50">
            <w:pPr>
              <w:pStyle w:val="Tabletext"/>
            </w:pPr>
            <w:r>
              <w:t xml:space="preserve">There must not be any </w:t>
            </w:r>
            <w:r w:rsidRPr="007527ED">
              <w:t>leaks from the water heater</w:t>
            </w:r>
            <w:r>
              <w:t>. Check</w:t>
            </w:r>
            <w:r w:rsidRPr="007527ED">
              <w:t xml:space="preserve"> for pooling or dripping. Confirm hot water is available at all taps and that it maintains consistent temperature.</w:t>
            </w:r>
          </w:p>
        </w:tc>
        <w:sdt>
          <w:sdtPr>
            <w:id w:val="-265849177"/>
            <w14:checkbox>
              <w14:checked w14:val="0"/>
              <w14:checkedState w14:val="2612" w14:font="MS Gothic"/>
              <w14:uncheckedState w14:val="2610" w14:font="MS Gothic"/>
            </w14:checkbox>
          </w:sdtPr>
          <w:sdtContent>
            <w:tc>
              <w:tcPr>
                <w:tcW w:w="439" w:type="pct"/>
              </w:tcPr>
              <w:p w14:paraId="12F6DCC9" w14:textId="246431FA" w:rsidR="009F0F50" w:rsidRPr="00F22A90" w:rsidRDefault="009F0F50" w:rsidP="009F0F50">
                <w:pPr>
                  <w:pStyle w:val="Tabletext"/>
                  <w:jc w:val="center"/>
                </w:pPr>
                <w:r>
                  <w:rPr>
                    <w:rFonts w:ascii="MS Gothic" w:eastAsia="MS Gothic" w:hAnsi="MS Gothic" w:hint="eastAsia"/>
                  </w:rPr>
                  <w:t>☐</w:t>
                </w:r>
              </w:p>
            </w:tc>
          </w:sdtContent>
        </w:sdt>
        <w:sdt>
          <w:sdtPr>
            <w:id w:val="1706759535"/>
            <w14:checkbox>
              <w14:checked w14:val="0"/>
              <w14:checkedState w14:val="2612" w14:font="MS Gothic"/>
              <w14:uncheckedState w14:val="2610" w14:font="MS Gothic"/>
            </w14:checkbox>
          </w:sdtPr>
          <w:sdtContent>
            <w:tc>
              <w:tcPr>
                <w:tcW w:w="376" w:type="pct"/>
              </w:tcPr>
              <w:p w14:paraId="4AFC2621" w14:textId="4E5272EA" w:rsidR="009F0F50" w:rsidRPr="00F22A90" w:rsidRDefault="009F0F50" w:rsidP="009F0F50">
                <w:pPr>
                  <w:pStyle w:val="Tabletext"/>
                  <w:jc w:val="center"/>
                </w:pPr>
                <w:r>
                  <w:rPr>
                    <w:rFonts w:ascii="MS Gothic" w:eastAsia="MS Gothic" w:hAnsi="MS Gothic" w:hint="eastAsia"/>
                  </w:rPr>
                  <w:t>☐</w:t>
                </w:r>
              </w:p>
            </w:tc>
          </w:sdtContent>
        </w:sdt>
      </w:tr>
      <w:tr w:rsidR="009F0F50" w14:paraId="10AB585B" w14:textId="5AE3AFEC" w:rsidTr="009F0F50">
        <w:tc>
          <w:tcPr>
            <w:tcW w:w="826" w:type="pct"/>
          </w:tcPr>
          <w:p w14:paraId="685171EE" w14:textId="5543DECE" w:rsidR="009F0F50" w:rsidRDefault="009F0F50" w:rsidP="009F0F50">
            <w:pPr>
              <w:pStyle w:val="Tabletext"/>
            </w:pPr>
            <w:r w:rsidRPr="001A5187">
              <w:t>General</w:t>
            </w:r>
          </w:p>
        </w:tc>
        <w:tc>
          <w:tcPr>
            <w:tcW w:w="925" w:type="pct"/>
          </w:tcPr>
          <w:p w14:paraId="178CB618" w14:textId="018B7E1A" w:rsidR="009F0F50" w:rsidRPr="003B2E31" w:rsidRDefault="009F0F50" w:rsidP="009F0F50">
            <w:pPr>
              <w:pStyle w:val="Tabletext"/>
            </w:pPr>
            <w:r w:rsidRPr="003B2E31">
              <w:t xml:space="preserve">Smoke </w:t>
            </w:r>
            <w:r>
              <w:t>a</w:t>
            </w:r>
            <w:r w:rsidRPr="003B2E31">
              <w:t>larms</w:t>
            </w:r>
          </w:p>
        </w:tc>
        <w:tc>
          <w:tcPr>
            <w:tcW w:w="2434" w:type="pct"/>
          </w:tcPr>
          <w:p w14:paraId="0C326926" w14:textId="4D3A0C21" w:rsidR="009F0F50" w:rsidRPr="003B2E31" w:rsidRDefault="009F0F50" w:rsidP="009F0F50">
            <w:pPr>
              <w:pStyle w:val="Tabletext"/>
            </w:pPr>
            <w:r>
              <w:t>S</w:t>
            </w:r>
            <w:r w:rsidRPr="003B2E31">
              <w:t xml:space="preserve">moke alarms </w:t>
            </w:r>
            <w:r>
              <w:t>must be</w:t>
            </w:r>
            <w:r w:rsidRPr="003B2E31">
              <w:t xml:space="preserve"> fitted and operational</w:t>
            </w:r>
            <w:r>
              <w:t>.</w:t>
            </w:r>
          </w:p>
        </w:tc>
        <w:sdt>
          <w:sdtPr>
            <w:id w:val="118501888"/>
            <w14:checkbox>
              <w14:checked w14:val="0"/>
              <w14:checkedState w14:val="2612" w14:font="MS Gothic"/>
              <w14:uncheckedState w14:val="2610" w14:font="MS Gothic"/>
            </w14:checkbox>
          </w:sdtPr>
          <w:sdtContent>
            <w:tc>
              <w:tcPr>
                <w:tcW w:w="439" w:type="pct"/>
              </w:tcPr>
              <w:p w14:paraId="5536520E" w14:textId="1F59DF7E" w:rsidR="009F0F50" w:rsidRPr="00F22A90" w:rsidRDefault="009F0F50" w:rsidP="009F0F50">
                <w:pPr>
                  <w:pStyle w:val="Tabletext"/>
                  <w:jc w:val="center"/>
                </w:pPr>
                <w:r>
                  <w:rPr>
                    <w:rFonts w:ascii="MS Gothic" w:eastAsia="MS Gothic" w:hAnsi="MS Gothic" w:hint="eastAsia"/>
                  </w:rPr>
                  <w:t>☐</w:t>
                </w:r>
              </w:p>
            </w:tc>
          </w:sdtContent>
        </w:sdt>
        <w:sdt>
          <w:sdtPr>
            <w:id w:val="1903091345"/>
            <w14:checkbox>
              <w14:checked w14:val="0"/>
              <w14:checkedState w14:val="2612" w14:font="MS Gothic"/>
              <w14:uncheckedState w14:val="2610" w14:font="MS Gothic"/>
            </w14:checkbox>
          </w:sdtPr>
          <w:sdtContent>
            <w:tc>
              <w:tcPr>
                <w:tcW w:w="376" w:type="pct"/>
              </w:tcPr>
              <w:p w14:paraId="6BE0C913" w14:textId="55DF9FF8" w:rsidR="009F0F50" w:rsidRPr="00F22A90" w:rsidRDefault="009F0F50" w:rsidP="009F0F50">
                <w:pPr>
                  <w:pStyle w:val="Tabletext"/>
                  <w:jc w:val="center"/>
                </w:pPr>
                <w:r>
                  <w:rPr>
                    <w:rFonts w:ascii="MS Gothic" w:eastAsia="MS Gothic" w:hAnsi="MS Gothic" w:hint="eastAsia"/>
                  </w:rPr>
                  <w:t>☐</w:t>
                </w:r>
              </w:p>
            </w:tc>
          </w:sdtContent>
        </w:sdt>
      </w:tr>
      <w:tr w:rsidR="009F0F50" w14:paraId="08A8D037" w14:textId="298EBDAA" w:rsidTr="009F0F50">
        <w:tc>
          <w:tcPr>
            <w:tcW w:w="826" w:type="pct"/>
          </w:tcPr>
          <w:p w14:paraId="1869549B" w14:textId="27C75862" w:rsidR="009F0F50" w:rsidRDefault="009F0F50" w:rsidP="009F0F50">
            <w:pPr>
              <w:pStyle w:val="Tabletext"/>
            </w:pPr>
            <w:r w:rsidRPr="001A5187">
              <w:t>General</w:t>
            </w:r>
          </w:p>
        </w:tc>
        <w:tc>
          <w:tcPr>
            <w:tcW w:w="925" w:type="pct"/>
          </w:tcPr>
          <w:p w14:paraId="1BDF84F8" w14:textId="1006F2FB" w:rsidR="009F0F50" w:rsidRPr="003B2E31" w:rsidRDefault="009F0F50" w:rsidP="009F0F50">
            <w:pPr>
              <w:pStyle w:val="Tabletext"/>
            </w:pPr>
            <w:r w:rsidRPr="003B2E31">
              <w:t xml:space="preserve">Carbon </w:t>
            </w:r>
            <w:r>
              <w:t>m</w:t>
            </w:r>
            <w:r w:rsidRPr="003B2E31">
              <w:t xml:space="preserve">onoxide </w:t>
            </w:r>
            <w:r>
              <w:t>a</w:t>
            </w:r>
            <w:r w:rsidRPr="003B2E31">
              <w:t>larms</w:t>
            </w:r>
          </w:p>
        </w:tc>
        <w:tc>
          <w:tcPr>
            <w:tcW w:w="2434" w:type="pct"/>
          </w:tcPr>
          <w:p w14:paraId="68FCDC95" w14:textId="3C00944B" w:rsidR="009F0F50" w:rsidRPr="003B2E31" w:rsidRDefault="009F0F50" w:rsidP="009F0F50">
            <w:pPr>
              <w:pStyle w:val="Tabletext"/>
            </w:pPr>
            <w:r w:rsidRPr="003B2E31">
              <w:t>Verify carbon monoxide alarms are fitted (if applicable) and operational.</w:t>
            </w:r>
          </w:p>
        </w:tc>
        <w:sdt>
          <w:sdtPr>
            <w:id w:val="-32498014"/>
            <w14:checkbox>
              <w14:checked w14:val="0"/>
              <w14:checkedState w14:val="2612" w14:font="MS Gothic"/>
              <w14:uncheckedState w14:val="2610" w14:font="MS Gothic"/>
            </w14:checkbox>
          </w:sdtPr>
          <w:sdtContent>
            <w:tc>
              <w:tcPr>
                <w:tcW w:w="439" w:type="pct"/>
              </w:tcPr>
              <w:p w14:paraId="58E2B473" w14:textId="4162763E" w:rsidR="009F0F50" w:rsidRPr="00F22A90" w:rsidRDefault="009F0F50" w:rsidP="009F0F50">
                <w:pPr>
                  <w:pStyle w:val="Tabletext"/>
                  <w:jc w:val="center"/>
                </w:pPr>
                <w:r>
                  <w:rPr>
                    <w:rFonts w:ascii="MS Gothic" w:eastAsia="MS Gothic" w:hAnsi="MS Gothic" w:hint="eastAsia"/>
                  </w:rPr>
                  <w:t>☐</w:t>
                </w:r>
              </w:p>
            </w:tc>
          </w:sdtContent>
        </w:sdt>
        <w:sdt>
          <w:sdtPr>
            <w:id w:val="-222454288"/>
            <w14:checkbox>
              <w14:checked w14:val="0"/>
              <w14:checkedState w14:val="2612" w14:font="MS Gothic"/>
              <w14:uncheckedState w14:val="2610" w14:font="MS Gothic"/>
            </w14:checkbox>
          </w:sdtPr>
          <w:sdtContent>
            <w:tc>
              <w:tcPr>
                <w:tcW w:w="376" w:type="pct"/>
              </w:tcPr>
              <w:p w14:paraId="640EDBA0" w14:textId="2EE4C2F6" w:rsidR="009F0F50" w:rsidRPr="00F22A90" w:rsidRDefault="009F0F50" w:rsidP="009F0F50">
                <w:pPr>
                  <w:pStyle w:val="Tabletext"/>
                  <w:jc w:val="center"/>
                </w:pPr>
                <w:r>
                  <w:rPr>
                    <w:rFonts w:ascii="MS Gothic" w:eastAsia="MS Gothic" w:hAnsi="MS Gothic" w:hint="eastAsia"/>
                  </w:rPr>
                  <w:t>☐</w:t>
                </w:r>
              </w:p>
            </w:tc>
          </w:sdtContent>
        </w:sdt>
      </w:tr>
      <w:tr w:rsidR="009F0F50" w14:paraId="4AC0177C" w14:textId="290C8429" w:rsidTr="009F0F50">
        <w:tc>
          <w:tcPr>
            <w:tcW w:w="826" w:type="pct"/>
          </w:tcPr>
          <w:p w14:paraId="3A2A5A88" w14:textId="25966F63" w:rsidR="009F0F50" w:rsidRDefault="009F0F50" w:rsidP="009F0F50">
            <w:pPr>
              <w:pStyle w:val="Tabletext"/>
            </w:pPr>
            <w:r w:rsidRPr="001A5187">
              <w:t>General</w:t>
            </w:r>
          </w:p>
        </w:tc>
        <w:tc>
          <w:tcPr>
            <w:tcW w:w="925" w:type="pct"/>
          </w:tcPr>
          <w:p w14:paraId="05DFF2A5" w14:textId="15549751" w:rsidR="009F0F50" w:rsidRPr="002B1FFD" w:rsidRDefault="009F0F50" w:rsidP="009F0F50">
            <w:pPr>
              <w:pStyle w:val="Tabletext"/>
              <w:rPr>
                <w:highlight w:val="yellow"/>
              </w:rPr>
            </w:pPr>
            <w:r w:rsidRPr="000D017C">
              <w:t xml:space="preserve">Telephone </w:t>
            </w:r>
            <w:r>
              <w:t>l</w:t>
            </w:r>
            <w:r w:rsidRPr="000D017C">
              <w:t xml:space="preserve">ine </w:t>
            </w:r>
            <w:r>
              <w:t>and</w:t>
            </w:r>
            <w:r w:rsidRPr="000D017C">
              <w:t xml:space="preserve"> NBN </w:t>
            </w:r>
            <w:r>
              <w:t>c</w:t>
            </w:r>
            <w:r w:rsidRPr="000D017C">
              <w:t>onnection</w:t>
            </w:r>
          </w:p>
        </w:tc>
        <w:tc>
          <w:tcPr>
            <w:tcW w:w="2434" w:type="pct"/>
          </w:tcPr>
          <w:p w14:paraId="7B6C523E" w14:textId="59F002AD" w:rsidR="009F0F50" w:rsidRPr="002B1FFD" w:rsidRDefault="009F0F50" w:rsidP="009F0F50">
            <w:pPr>
              <w:pStyle w:val="Tabletext"/>
              <w:tabs>
                <w:tab w:val="left" w:pos="1127"/>
              </w:tabs>
              <w:rPr>
                <w:highlight w:val="yellow"/>
              </w:rPr>
            </w:pPr>
            <w:r w:rsidRPr="000D017C">
              <w:t xml:space="preserve">Verify that </w:t>
            </w:r>
            <w:r>
              <w:t>a</w:t>
            </w:r>
            <w:r w:rsidRPr="000D017C">
              <w:t xml:space="preserve"> telephone line is connected</w:t>
            </w:r>
            <w:r>
              <w:t xml:space="preserve"> (</w:t>
            </w:r>
            <w:r w:rsidRPr="000D017C">
              <w:t>if applicable</w:t>
            </w:r>
            <w:r>
              <w:t>). E</w:t>
            </w:r>
            <w:r w:rsidRPr="000D017C">
              <w:t>nsure National Broadband Network (NBN) is connected where required.</w:t>
            </w:r>
          </w:p>
        </w:tc>
        <w:sdt>
          <w:sdtPr>
            <w:id w:val="842046577"/>
            <w14:checkbox>
              <w14:checked w14:val="0"/>
              <w14:checkedState w14:val="2612" w14:font="MS Gothic"/>
              <w14:uncheckedState w14:val="2610" w14:font="MS Gothic"/>
            </w14:checkbox>
          </w:sdtPr>
          <w:sdtContent>
            <w:tc>
              <w:tcPr>
                <w:tcW w:w="439" w:type="pct"/>
              </w:tcPr>
              <w:p w14:paraId="60A3591D" w14:textId="7CA9952E" w:rsidR="009F0F50" w:rsidRPr="00F22A90" w:rsidRDefault="009F0F50" w:rsidP="009F0F50">
                <w:pPr>
                  <w:pStyle w:val="Tabletext"/>
                  <w:jc w:val="center"/>
                </w:pPr>
                <w:r>
                  <w:rPr>
                    <w:rFonts w:ascii="MS Gothic" w:eastAsia="MS Gothic" w:hAnsi="MS Gothic" w:hint="eastAsia"/>
                  </w:rPr>
                  <w:t>☐</w:t>
                </w:r>
              </w:p>
            </w:tc>
          </w:sdtContent>
        </w:sdt>
        <w:sdt>
          <w:sdtPr>
            <w:id w:val="563693857"/>
            <w14:checkbox>
              <w14:checked w14:val="0"/>
              <w14:checkedState w14:val="2612" w14:font="MS Gothic"/>
              <w14:uncheckedState w14:val="2610" w14:font="MS Gothic"/>
            </w14:checkbox>
          </w:sdtPr>
          <w:sdtContent>
            <w:tc>
              <w:tcPr>
                <w:tcW w:w="376" w:type="pct"/>
              </w:tcPr>
              <w:p w14:paraId="6036D61C" w14:textId="679E9DF0" w:rsidR="009F0F50" w:rsidRPr="00F22A90" w:rsidRDefault="009F0F50" w:rsidP="009F0F50">
                <w:pPr>
                  <w:pStyle w:val="Tabletext"/>
                  <w:jc w:val="center"/>
                </w:pPr>
                <w:r>
                  <w:rPr>
                    <w:rFonts w:ascii="MS Gothic" w:eastAsia="MS Gothic" w:hAnsi="MS Gothic" w:hint="eastAsia"/>
                  </w:rPr>
                  <w:t>☐</w:t>
                </w:r>
              </w:p>
            </w:tc>
          </w:sdtContent>
        </w:sdt>
      </w:tr>
      <w:tr w:rsidR="009F0F50" w14:paraId="4C8F7AC4" w14:textId="32C0D95F" w:rsidTr="009F0F50">
        <w:tc>
          <w:tcPr>
            <w:tcW w:w="826" w:type="pct"/>
          </w:tcPr>
          <w:p w14:paraId="350FD042" w14:textId="173BDCE5" w:rsidR="009F0F50" w:rsidRDefault="009F0F50" w:rsidP="009F0F50">
            <w:pPr>
              <w:pStyle w:val="Tabletext"/>
            </w:pPr>
            <w:r w:rsidRPr="001A5187">
              <w:t>General</w:t>
            </w:r>
          </w:p>
        </w:tc>
        <w:tc>
          <w:tcPr>
            <w:tcW w:w="925" w:type="pct"/>
          </w:tcPr>
          <w:p w14:paraId="3AB54E79" w14:textId="7B4EF2DD" w:rsidR="009F0F50" w:rsidRPr="002B1FFD" w:rsidRDefault="009F0F50" w:rsidP="009F0F50">
            <w:pPr>
              <w:pStyle w:val="Tabletext"/>
              <w:rPr>
                <w:highlight w:val="yellow"/>
              </w:rPr>
            </w:pPr>
            <w:r w:rsidRPr="000D017C">
              <w:t xml:space="preserve">Signs of </w:t>
            </w:r>
            <w:r>
              <w:t>m</w:t>
            </w:r>
            <w:r w:rsidRPr="000D017C">
              <w:t>ould/</w:t>
            </w:r>
            <w:r>
              <w:t>d</w:t>
            </w:r>
            <w:r w:rsidRPr="000D017C">
              <w:t>ampness</w:t>
            </w:r>
          </w:p>
        </w:tc>
        <w:tc>
          <w:tcPr>
            <w:tcW w:w="2434" w:type="pct"/>
          </w:tcPr>
          <w:p w14:paraId="5890437C" w14:textId="5F12E6BF" w:rsidR="009F0F50" w:rsidRPr="002B1FFD" w:rsidRDefault="009F0F50" w:rsidP="009F0F50">
            <w:pPr>
              <w:pStyle w:val="Tabletext"/>
              <w:rPr>
                <w:highlight w:val="yellow"/>
              </w:rPr>
            </w:pPr>
            <w:r w:rsidRPr="000D017C">
              <w:t>Check for visible signs of mould or damp caused by structural issues</w:t>
            </w:r>
            <w:r>
              <w:t>. L</w:t>
            </w:r>
            <w:r w:rsidRPr="000D017C">
              <w:t>ook for water penetration signs in ceilings, walls, floors, coverings, and cupboards.</w:t>
            </w:r>
          </w:p>
        </w:tc>
        <w:sdt>
          <w:sdtPr>
            <w:id w:val="-1774473506"/>
            <w14:checkbox>
              <w14:checked w14:val="0"/>
              <w14:checkedState w14:val="2612" w14:font="MS Gothic"/>
              <w14:uncheckedState w14:val="2610" w14:font="MS Gothic"/>
            </w14:checkbox>
          </w:sdtPr>
          <w:sdtContent>
            <w:tc>
              <w:tcPr>
                <w:tcW w:w="439" w:type="pct"/>
              </w:tcPr>
              <w:p w14:paraId="5EC1D3C7" w14:textId="66C6C6B2" w:rsidR="009F0F50" w:rsidRPr="00F22A90" w:rsidRDefault="009F0F50" w:rsidP="009F0F50">
                <w:pPr>
                  <w:pStyle w:val="Tabletext"/>
                  <w:jc w:val="center"/>
                </w:pPr>
                <w:r>
                  <w:rPr>
                    <w:rFonts w:ascii="MS Gothic" w:eastAsia="MS Gothic" w:hAnsi="MS Gothic" w:hint="eastAsia"/>
                  </w:rPr>
                  <w:t>☐</w:t>
                </w:r>
              </w:p>
            </w:tc>
          </w:sdtContent>
        </w:sdt>
        <w:sdt>
          <w:sdtPr>
            <w:id w:val="-444462838"/>
            <w14:checkbox>
              <w14:checked w14:val="0"/>
              <w14:checkedState w14:val="2612" w14:font="MS Gothic"/>
              <w14:uncheckedState w14:val="2610" w14:font="MS Gothic"/>
            </w14:checkbox>
          </w:sdtPr>
          <w:sdtContent>
            <w:tc>
              <w:tcPr>
                <w:tcW w:w="376" w:type="pct"/>
              </w:tcPr>
              <w:p w14:paraId="2B5FEC40" w14:textId="00772AC3" w:rsidR="009F0F50" w:rsidRPr="00F22A90" w:rsidRDefault="009F0F50" w:rsidP="009F0F50">
                <w:pPr>
                  <w:pStyle w:val="Tabletext"/>
                  <w:jc w:val="center"/>
                </w:pPr>
                <w:r>
                  <w:rPr>
                    <w:rFonts w:ascii="MS Gothic" w:eastAsia="MS Gothic" w:hAnsi="MS Gothic" w:hint="eastAsia"/>
                  </w:rPr>
                  <w:t>☐</w:t>
                </w:r>
              </w:p>
            </w:tc>
          </w:sdtContent>
        </w:sdt>
      </w:tr>
      <w:tr w:rsidR="009F0F50" w14:paraId="706C1B70" w14:textId="19F72BD1" w:rsidTr="009F0F50">
        <w:tc>
          <w:tcPr>
            <w:tcW w:w="826" w:type="pct"/>
          </w:tcPr>
          <w:p w14:paraId="21B35867" w14:textId="6E95EBF2" w:rsidR="009F0F50" w:rsidRDefault="009F0F50" w:rsidP="009F0F50">
            <w:pPr>
              <w:pStyle w:val="Tabletext"/>
            </w:pPr>
            <w:r w:rsidRPr="001A5187">
              <w:t>General</w:t>
            </w:r>
          </w:p>
        </w:tc>
        <w:tc>
          <w:tcPr>
            <w:tcW w:w="925" w:type="pct"/>
          </w:tcPr>
          <w:p w14:paraId="7853247B" w14:textId="619D4858" w:rsidR="009F0F50" w:rsidRPr="002B1FFD" w:rsidRDefault="009F0F50" w:rsidP="009F0F50">
            <w:pPr>
              <w:pStyle w:val="Tabletext"/>
              <w:rPr>
                <w:highlight w:val="yellow"/>
              </w:rPr>
            </w:pPr>
            <w:r w:rsidRPr="000D017C">
              <w:t>Non-</w:t>
            </w:r>
            <w:r>
              <w:t>s</w:t>
            </w:r>
            <w:r w:rsidRPr="000D017C">
              <w:t xml:space="preserve">tandard </w:t>
            </w:r>
            <w:r>
              <w:t>m</w:t>
            </w:r>
            <w:r w:rsidRPr="000D017C">
              <w:t xml:space="preserve">odifications </w:t>
            </w:r>
            <w:r>
              <w:t>s</w:t>
            </w:r>
            <w:r w:rsidRPr="000D017C">
              <w:t>afety</w:t>
            </w:r>
          </w:p>
        </w:tc>
        <w:tc>
          <w:tcPr>
            <w:tcW w:w="2434" w:type="pct"/>
          </w:tcPr>
          <w:p w14:paraId="28AB8450" w14:textId="6BDCF294" w:rsidR="009F0F50" w:rsidRPr="002B1FFD" w:rsidRDefault="009F0F50" w:rsidP="009F0F50">
            <w:pPr>
              <w:pStyle w:val="Tabletext"/>
              <w:rPr>
                <w:highlight w:val="yellow"/>
              </w:rPr>
            </w:pPr>
            <w:r>
              <w:t>Check for</w:t>
            </w:r>
            <w:r w:rsidRPr="000D017C">
              <w:t xml:space="preserve"> any non-standard modifications or fixtures for safety/legal compliance</w:t>
            </w:r>
            <w:r>
              <w:t xml:space="preserve">. </w:t>
            </w:r>
          </w:p>
        </w:tc>
        <w:sdt>
          <w:sdtPr>
            <w:id w:val="-312493455"/>
            <w14:checkbox>
              <w14:checked w14:val="0"/>
              <w14:checkedState w14:val="2612" w14:font="MS Gothic"/>
              <w14:uncheckedState w14:val="2610" w14:font="MS Gothic"/>
            </w14:checkbox>
          </w:sdtPr>
          <w:sdtContent>
            <w:tc>
              <w:tcPr>
                <w:tcW w:w="439" w:type="pct"/>
              </w:tcPr>
              <w:p w14:paraId="3C4C42CC" w14:textId="6B80136F" w:rsidR="009F0F50" w:rsidRPr="00F22A90" w:rsidRDefault="009F0F50" w:rsidP="009F0F50">
                <w:pPr>
                  <w:pStyle w:val="Tabletext"/>
                  <w:jc w:val="center"/>
                </w:pPr>
                <w:r>
                  <w:rPr>
                    <w:rFonts w:ascii="MS Gothic" w:eastAsia="MS Gothic" w:hAnsi="MS Gothic" w:hint="eastAsia"/>
                  </w:rPr>
                  <w:t>☐</w:t>
                </w:r>
              </w:p>
            </w:tc>
          </w:sdtContent>
        </w:sdt>
        <w:sdt>
          <w:sdtPr>
            <w:id w:val="1458369863"/>
            <w14:checkbox>
              <w14:checked w14:val="0"/>
              <w14:checkedState w14:val="2612" w14:font="MS Gothic"/>
              <w14:uncheckedState w14:val="2610" w14:font="MS Gothic"/>
            </w14:checkbox>
          </w:sdtPr>
          <w:sdtContent>
            <w:tc>
              <w:tcPr>
                <w:tcW w:w="376" w:type="pct"/>
              </w:tcPr>
              <w:p w14:paraId="3A58BF3A" w14:textId="037DA4B7" w:rsidR="009F0F50" w:rsidRPr="00F22A90" w:rsidRDefault="009F0F50" w:rsidP="009F0F50">
                <w:pPr>
                  <w:pStyle w:val="Tabletext"/>
                  <w:jc w:val="center"/>
                </w:pPr>
                <w:r>
                  <w:rPr>
                    <w:rFonts w:ascii="MS Gothic" w:eastAsia="MS Gothic" w:hAnsi="MS Gothic" w:hint="eastAsia"/>
                  </w:rPr>
                  <w:t>☐</w:t>
                </w:r>
              </w:p>
            </w:tc>
          </w:sdtContent>
        </w:sdt>
      </w:tr>
      <w:tr w:rsidR="009F0F50" w14:paraId="6616ADA1" w14:textId="79ACE6CA" w:rsidTr="009F0F50">
        <w:tc>
          <w:tcPr>
            <w:tcW w:w="826" w:type="pct"/>
          </w:tcPr>
          <w:p w14:paraId="2D656BF6" w14:textId="088989F2" w:rsidR="009F0F50" w:rsidRDefault="009F0F50" w:rsidP="009F0F50">
            <w:pPr>
              <w:pStyle w:val="Tabletext"/>
            </w:pPr>
            <w:r w:rsidRPr="001A5187">
              <w:t>General</w:t>
            </w:r>
          </w:p>
        </w:tc>
        <w:tc>
          <w:tcPr>
            <w:tcW w:w="925" w:type="pct"/>
          </w:tcPr>
          <w:p w14:paraId="26EB88F2" w14:textId="4C06FF16" w:rsidR="009F0F50" w:rsidRPr="000D017C" w:rsidRDefault="009F0F50" w:rsidP="009F0F50">
            <w:pPr>
              <w:pStyle w:val="Tabletext"/>
            </w:pPr>
            <w:r w:rsidRPr="000D017C">
              <w:t xml:space="preserve">Asbestos </w:t>
            </w:r>
            <w:r>
              <w:t>i</w:t>
            </w:r>
            <w:r w:rsidRPr="000D017C">
              <w:t>nspection</w:t>
            </w:r>
          </w:p>
        </w:tc>
        <w:tc>
          <w:tcPr>
            <w:tcW w:w="2434" w:type="pct"/>
          </w:tcPr>
          <w:p w14:paraId="34F177D1" w14:textId="37A5323A" w:rsidR="009F0F50" w:rsidRPr="002B1FFD" w:rsidRDefault="009F0F50" w:rsidP="009F0F50">
            <w:pPr>
              <w:pStyle w:val="Tabletext"/>
              <w:rPr>
                <w:highlight w:val="yellow"/>
              </w:rPr>
            </w:pPr>
            <w:r>
              <w:t>Inspect</w:t>
            </w:r>
            <w:r w:rsidRPr="000D017C">
              <w:t xml:space="preserve"> for obvious cracked/damaged asbestos materials</w:t>
            </w:r>
            <w:r w:rsidRPr="00C262C5">
              <w:t xml:space="preserve">. </w:t>
            </w:r>
            <w:r w:rsidRPr="00635AF1">
              <w:t>Ensure safety protocols are followed if found.</w:t>
            </w:r>
          </w:p>
        </w:tc>
        <w:sdt>
          <w:sdtPr>
            <w:id w:val="206148075"/>
            <w14:checkbox>
              <w14:checked w14:val="0"/>
              <w14:checkedState w14:val="2612" w14:font="MS Gothic"/>
              <w14:uncheckedState w14:val="2610" w14:font="MS Gothic"/>
            </w14:checkbox>
          </w:sdtPr>
          <w:sdtContent>
            <w:tc>
              <w:tcPr>
                <w:tcW w:w="439" w:type="pct"/>
              </w:tcPr>
              <w:p w14:paraId="4F6FE191" w14:textId="22FFC28D" w:rsidR="009F0F50" w:rsidRPr="00F22A90" w:rsidRDefault="009F0F50" w:rsidP="009F0F50">
                <w:pPr>
                  <w:pStyle w:val="Tabletext"/>
                  <w:jc w:val="center"/>
                </w:pPr>
                <w:r>
                  <w:rPr>
                    <w:rFonts w:ascii="MS Gothic" w:eastAsia="MS Gothic" w:hAnsi="MS Gothic" w:hint="eastAsia"/>
                  </w:rPr>
                  <w:t>☐</w:t>
                </w:r>
              </w:p>
            </w:tc>
          </w:sdtContent>
        </w:sdt>
        <w:sdt>
          <w:sdtPr>
            <w:id w:val="-1850862447"/>
            <w14:checkbox>
              <w14:checked w14:val="0"/>
              <w14:checkedState w14:val="2612" w14:font="MS Gothic"/>
              <w14:uncheckedState w14:val="2610" w14:font="MS Gothic"/>
            </w14:checkbox>
          </w:sdtPr>
          <w:sdtContent>
            <w:tc>
              <w:tcPr>
                <w:tcW w:w="376" w:type="pct"/>
              </w:tcPr>
              <w:p w14:paraId="791EC199" w14:textId="223957F2" w:rsidR="009F0F50" w:rsidRPr="00F22A90" w:rsidRDefault="009F0F50" w:rsidP="009F0F50">
                <w:pPr>
                  <w:pStyle w:val="Tabletext"/>
                  <w:jc w:val="center"/>
                </w:pPr>
                <w:r>
                  <w:rPr>
                    <w:rFonts w:ascii="MS Gothic" w:eastAsia="MS Gothic" w:hAnsi="MS Gothic" w:hint="eastAsia"/>
                  </w:rPr>
                  <w:t>☐</w:t>
                </w:r>
              </w:p>
            </w:tc>
          </w:sdtContent>
        </w:sdt>
      </w:tr>
      <w:tr w:rsidR="009F0F50" w14:paraId="7576BCB2" w14:textId="2BF61247" w:rsidTr="009F0F50">
        <w:tc>
          <w:tcPr>
            <w:tcW w:w="826" w:type="pct"/>
          </w:tcPr>
          <w:p w14:paraId="668BE6AA" w14:textId="1F7DB31A" w:rsidR="009F0F50" w:rsidRDefault="009F0F50" w:rsidP="009F0F50">
            <w:pPr>
              <w:pStyle w:val="Tabletext"/>
            </w:pPr>
            <w:r w:rsidRPr="001A5187">
              <w:t>General</w:t>
            </w:r>
          </w:p>
        </w:tc>
        <w:tc>
          <w:tcPr>
            <w:tcW w:w="925" w:type="pct"/>
          </w:tcPr>
          <w:p w14:paraId="201CEF3C" w14:textId="725D8425" w:rsidR="009F0F50" w:rsidRPr="000D017C" w:rsidRDefault="009F0F50" w:rsidP="009F0F50">
            <w:pPr>
              <w:pStyle w:val="Tabletext"/>
            </w:pPr>
            <w:r w:rsidRPr="000D017C">
              <w:t xml:space="preserve">Structural </w:t>
            </w:r>
            <w:r>
              <w:t>i</w:t>
            </w:r>
            <w:r w:rsidRPr="000D017C">
              <w:t>ntegrity</w:t>
            </w:r>
          </w:p>
        </w:tc>
        <w:tc>
          <w:tcPr>
            <w:tcW w:w="2434" w:type="pct"/>
          </w:tcPr>
          <w:p w14:paraId="1112A4B8" w14:textId="2973F897" w:rsidR="009F0F50" w:rsidRPr="002B1FFD" w:rsidRDefault="009F0F50" w:rsidP="009F0F50">
            <w:pPr>
              <w:pStyle w:val="Tabletext"/>
              <w:rPr>
                <w:highlight w:val="yellow"/>
              </w:rPr>
            </w:pPr>
            <w:r>
              <w:t>Inspect</w:t>
            </w:r>
            <w:r w:rsidRPr="000D017C">
              <w:t xml:space="preserve"> walls/floors for noticeable slope or cracks/gaps greater than 10mm wide</w:t>
            </w:r>
            <w:r>
              <w:t>. E</w:t>
            </w:r>
            <w:r w:rsidRPr="000D017C">
              <w:t>nsure overall structural integrity is sound.</w:t>
            </w:r>
          </w:p>
        </w:tc>
        <w:sdt>
          <w:sdtPr>
            <w:id w:val="434094718"/>
            <w14:checkbox>
              <w14:checked w14:val="0"/>
              <w14:checkedState w14:val="2612" w14:font="MS Gothic"/>
              <w14:uncheckedState w14:val="2610" w14:font="MS Gothic"/>
            </w14:checkbox>
          </w:sdtPr>
          <w:sdtContent>
            <w:tc>
              <w:tcPr>
                <w:tcW w:w="439" w:type="pct"/>
              </w:tcPr>
              <w:p w14:paraId="72B0A330" w14:textId="59C8E3EE" w:rsidR="009F0F50" w:rsidRPr="00F22A90" w:rsidRDefault="009F0F50" w:rsidP="009F0F50">
                <w:pPr>
                  <w:pStyle w:val="Tabletext"/>
                  <w:jc w:val="center"/>
                </w:pPr>
                <w:r>
                  <w:rPr>
                    <w:rFonts w:ascii="MS Gothic" w:eastAsia="MS Gothic" w:hAnsi="MS Gothic" w:hint="eastAsia"/>
                  </w:rPr>
                  <w:t>☐</w:t>
                </w:r>
              </w:p>
            </w:tc>
          </w:sdtContent>
        </w:sdt>
        <w:sdt>
          <w:sdtPr>
            <w:id w:val="364559652"/>
            <w14:checkbox>
              <w14:checked w14:val="0"/>
              <w14:checkedState w14:val="2612" w14:font="MS Gothic"/>
              <w14:uncheckedState w14:val="2610" w14:font="MS Gothic"/>
            </w14:checkbox>
          </w:sdtPr>
          <w:sdtContent>
            <w:tc>
              <w:tcPr>
                <w:tcW w:w="376" w:type="pct"/>
              </w:tcPr>
              <w:p w14:paraId="1A2805D6" w14:textId="34DBE4F4" w:rsidR="009F0F50" w:rsidRPr="00F22A90" w:rsidRDefault="009F0F50" w:rsidP="009F0F50">
                <w:pPr>
                  <w:pStyle w:val="Tabletext"/>
                  <w:jc w:val="center"/>
                </w:pPr>
                <w:r>
                  <w:rPr>
                    <w:rFonts w:ascii="MS Gothic" w:eastAsia="MS Gothic" w:hAnsi="MS Gothic" w:hint="eastAsia"/>
                  </w:rPr>
                  <w:t>☐</w:t>
                </w:r>
              </w:p>
            </w:tc>
          </w:sdtContent>
        </w:sdt>
      </w:tr>
      <w:tr w:rsidR="009F0F50" w14:paraId="57316399" w14:textId="0C74A6A1" w:rsidTr="009F0F50">
        <w:tc>
          <w:tcPr>
            <w:tcW w:w="826" w:type="pct"/>
          </w:tcPr>
          <w:p w14:paraId="2FD25A36" w14:textId="344CAA0A" w:rsidR="009F0F50" w:rsidRDefault="009F0F50" w:rsidP="009F0F50">
            <w:pPr>
              <w:pStyle w:val="Tabletext"/>
            </w:pPr>
            <w:r w:rsidRPr="001A5187">
              <w:lastRenderedPageBreak/>
              <w:t>General</w:t>
            </w:r>
          </w:p>
        </w:tc>
        <w:tc>
          <w:tcPr>
            <w:tcW w:w="925" w:type="pct"/>
          </w:tcPr>
          <w:p w14:paraId="33DB90E0" w14:textId="7F00C12D" w:rsidR="009F0F50" w:rsidRPr="000D017C" w:rsidRDefault="009F0F50" w:rsidP="009F0F50">
            <w:pPr>
              <w:pStyle w:val="Tabletext"/>
            </w:pPr>
            <w:r w:rsidRPr="00F93FC4">
              <w:t xml:space="preserve">Pest </w:t>
            </w:r>
            <w:r>
              <w:t>i</w:t>
            </w:r>
            <w:r w:rsidRPr="00F93FC4">
              <w:t>nfestation</w:t>
            </w:r>
          </w:p>
        </w:tc>
        <w:tc>
          <w:tcPr>
            <w:tcW w:w="2434" w:type="pct"/>
          </w:tcPr>
          <w:p w14:paraId="0951B141" w14:textId="2231ABAF" w:rsidR="009F0F50" w:rsidRPr="000D017C" w:rsidRDefault="009F0F50" w:rsidP="009F0F50">
            <w:pPr>
              <w:pStyle w:val="Tabletext"/>
            </w:pPr>
            <w:r w:rsidRPr="00F93FC4">
              <w:t>Inspect for visible signs of pest infestation or biological hazards</w:t>
            </w:r>
            <w:r>
              <w:t>. T</w:t>
            </w:r>
            <w:r w:rsidRPr="00F93FC4">
              <w:t>ake necessary pest control measures if needed</w:t>
            </w:r>
            <w:r>
              <w:t>. L</w:t>
            </w:r>
            <w:r w:rsidRPr="00F93FC4">
              <w:t>ook for termite damage or significant rot/decay in building timbers.</w:t>
            </w:r>
          </w:p>
        </w:tc>
        <w:sdt>
          <w:sdtPr>
            <w:id w:val="-438989568"/>
            <w14:checkbox>
              <w14:checked w14:val="0"/>
              <w14:checkedState w14:val="2612" w14:font="MS Gothic"/>
              <w14:uncheckedState w14:val="2610" w14:font="MS Gothic"/>
            </w14:checkbox>
          </w:sdtPr>
          <w:sdtContent>
            <w:tc>
              <w:tcPr>
                <w:tcW w:w="439" w:type="pct"/>
              </w:tcPr>
              <w:p w14:paraId="0038CAD1" w14:textId="5408E399" w:rsidR="009F0F50" w:rsidRPr="00F22A90" w:rsidRDefault="009F0F50" w:rsidP="009F0F50">
                <w:pPr>
                  <w:pStyle w:val="Tabletext"/>
                  <w:jc w:val="center"/>
                </w:pPr>
                <w:r>
                  <w:rPr>
                    <w:rFonts w:ascii="MS Gothic" w:eastAsia="MS Gothic" w:hAnsi="MS Gothic" w:hint="eastAsia"/>
                  </w:rPr>
                  <w:t>☐</w:t>
                </w:r>
              </w:p>
            </w:tc>
          </w:sdtContent>
        </w:sdt>
        <w:sdt>
          <w:sdtPr>
            <w:id w:val="-400595888"/>
            <w14:checkbox>
              <w14:checked w14:val="0"/>
              <w14:checkedState w14:val="2612" w14:font="MS Gothic"/>
              <w14:uncheckedState w14:val="2610" w14:font="MS Gothic"/>
            </w14:checkbox>
          </w:sdtPr>
          <w:sdtContent>
            <w:tc>
              <w:tcPr>
                <w:tcW w:w="376" w:type="pct"/>
              </w:tcPr>
              <w:p w14:paraId="722937B1" w14:textId="55CA7B5E" w:rsidR="009F0F50" w:rsidRPr="00F22A90" w:rsidRDefault="009F0F50" w:rsidP="009F0F50">
                <w:pPr>
                  <w:pStyle w:val="Tabletext"/>
                  <w:jc w:val="center"/>
                </w:pPr>
                <w:r>
                  <w:rPr>
                    <w:rFonts w:ascii="MS Gothic" w:eastAsia="MS Gothic" w:hAnsi="MS Gothic" w:hint="eastAsia"/>
                  </w:rPr>
                  <w:t>☐</w:t>
                </w:r>
              </w:p>
            </w:tc>
          </w:sdtContent>
        </w:sdt>
      </w:tr>
      <w:tr w:rsidR="004E2751" w14:paraId="679C7DAB" w14:textId="324A6CE6" w:rsidTr="009F0F50">
        <w:tc>
          <w:tcPr>
            <w:tcW w:w="826" w:type="pct"/>
          </w:tcPr>
          <w:p w14:paraId="0FDE02D3" w14:textId="5DF8F01F" w:rsidR="004E2751" w:rsidRPr="000D017C" w:rsidRDefault="004E2751" w:rsidP="004E2751">
            <w:pPr>
              <w:pStyle w:val="Tabletext"/>
            </w:pPr>
            <w:r>
              <w:t>Floors/</w:t>
            </w:r>
            <w:r w:rsidR="00E55FE0">
              <w:t>w</w:t>
            </w:r>
            <w:r>
              <w:t>alkways</w:t>
            </w:r>
          </w:p>
        </w:tc>
        <w:tc>
          <w:tcPr>
            <w:tcW w:w="925" w:type="pct"/>
          </w:tcPr>
          <w:p w14:paraId="531F1A5D" w14:textId="330C43D8" w:rsidR="004E2751" w:rsidRPr="000D017C" w:rsidRDefault="004E2751" w:rsidP="004E2751">
            <w:pPr>
              <w:pStyle w:val="Tabletext"/>
            </w:pPr>
            <w:r w:rsidRPr="000D017C">
              <w:t xml:space="preserve">Floor </w:t>
            </w:r>
            <w:r w:rsidR="00E55FE0">
              <w:t>c</w:t>
            </w:r>
            <w:r w:rsidRPr="000D017C">
              <w:t xml:space="preserve">overings </w:t>
            </w:r>
            <w:r w:rsidR="00E55FE0">
              <w:t>s</w:t>
            </w:r>
            <w:r w:rsidRPr="000D017C">
              <w:t>afety</w:t>
            </w:r>
          </w:p>
        </w:tc>
        <w:tc>
          <w:tcPr>
            <w:tcW w:w="2434" w:type="pct"/>
          </w:tcPr>
          <w:p w14:paraId="6B434716" w14:textId="6B66BD32" w:rsidR="004E2751" w:rsidRDefault="00B27B2F" w:rsidP="004E2751">
            <w:pPr>
              <w:pStyle w:val="Tabletext"/>
            </w:pPr>
            <w:r>
              <w:t>All</w:t>
            </w:r>
            <w:r w:rsidR="004E2751" w:rsidRPr="000D017C">
              <w:t xml:space="preserve"> floor coverings </w:t>
            </w:r>
            <w:r w:rsidR="005D51A6">
              <w:t>must be</w:t>
            </w:r>
            <w:r w:rsidR="004E2751" w:rsidRPr="000D017C">
              <w:t xml:space="preserve"> free from trip hazards.</w:t>
            </w:r>
          </w:p>
        </w:tc>
        <w:sdt>
          <w:sdtPr>
            <w:id w:val="-1479137788"/>
            <w14:checkbox>
              <w14:checked w14:val="0"/>
              <w14:checkedState w14:val="2612" w14:font="MS Gothic"/>
              <w14:uncheckedState w14:val="2610" w14:font="MS Gothic"/>
            </w14:checkbox>
          </w:sdtPr>
          <w:sdtContent>
            <w:tc>
              <w:tcPr>
                <w:tcW w:w="439" w:type="pct"/>
              </w:tcPr>
              <w:p w14:paraId="50A24256" w14:textId="5F271B5A" w:rsidR="004E2751" w:rsidRPr="00F22A90" w:rsidRDefault="00806EA6" w:rsidP="00746D30">
                <w:pPr>
                  <w:pStyle w:val="Tabletext"/>
                  <w:jc w:val="center"/>
                </w:pPr>
                <w:r>
                  <w:rPr>
                    <w:rFonts w:ascii="MS Gothic" w:eastAsia="MS Gothic" w:hAnsi="MS Gothic" w:hint="eastAsia"/>
                  </w:rPr>
                  <w:t>☐</w:t>
                </w:r>
              </w:p>
            </w:tc>
          </w:sdtContent>
        </w:sdt>
        <w:sdt>
          <w:sdtPr>
            <w:id w:val="-190763303"/>
            <w14:checkbox>
              <w14:checked w14:val="0"/>
              <w14:checkedState w14:val="2612" w14:font="MS Gothic"/>
              <w14:uncheckedState w14:val="2610" w14:font="MS Gothic"/>
            </w14:checkbox>
          </w:sdtPr>
          <w:sdtContent>
            <w:tc>
              <w:tcPr>
                <w:tcW w:w="376" w:type="pct"/>
              </w:tcPr>
              <w:p w14:paraId="6C408719" w14:textId="4AECF98A" w:rsidR="004E2751" w:rsidRPr="00F22A90" w:rsidRDefault="00806EA6" w:rsidP="00746D30">
                <w:pPr>
                  <w:pStyle w:val="Tabletext"/>
                  <w:jc w:val="center"/>
                </w:pPr>
                <w:r>
                  <w:rPr>
                    <w:rFonts w:ascii="MS Gothic" w:eastAsia="MS Gothic" w:hAnsi="MS Gothic" w:hint="eastAsia"/>
                  </w:rPr>
                  <w:t>☐</w:t>
                </w:r>
              </w:p>
            </w:tc>
          </w:sdtContent>
        </w:sdt>
      </w:tr>
      <w:tr w:rsidR="004E2751" w14:paraId="724D42E3" w14:textId="028BB83B" w:rsidTr="009F0F50">
        <w:tc>
          <w:tcPr>
            <w:tcW w:w="826" w:type="pct"/>
          </w:tcPr>
          <w:p w14:paraId="4CCEAC68" w14:textId="7A251128" w:rsidR="004E2751" w:rsidRDefault="004E2751" w:rsidP="004E2751">
            <w:pPr>
              <w:pStyle w:val="Tabletext"/>
            </w:pPr>
            <w:r w:rsidRPr="000D017C">
              <w:t>Kitchen/</w:t>
            </w:r>
            <w:r w:rsidR="00E55FE0">
              <w:t>b</w:t>
            </w:r>
            <w:r w:rsidRPr="000D017C">
              <w:t>athroom/</w:t>
            </w:r>
            <w:r w:rsidR="00E55FE0">
              <w:t>u</w:t>
            </w:r>
            <w:r w:rsidRPr="000D017C">
              <w:t xml:space="preserve">tility </w:t>
            </w:r>
            <w:r w:rsidR="00E55FE0">
              <w:t>a</w:t>
            </w:r>
            <w:r w:rsidRPr="000D017C">
              <w:t>rea</w:t>
            </w:r>
          </w:p>
        </w:tc>
        <w:tc>
          <w:tcPr>
            <w:tcW w:w="925" w:type="pct"/>
          </w:tcPr>
          <w:p w14:paraId="2FB90180" w14:textId="4C784334" w:rsidR="004E2751" w:rsidRPr="000D017C" w:rsidRDefault="004E2751" w:rsidP="004E2751">
            <w:pPr>
              <w:pStyle w:val="Tabletext"/>
            </w:pPr>
            <w:r w:rsidRPr="000D017C">
              <w:t xml:space="preserve">Taps </w:t>
            </w:r>
            <w:r w:rsidR="00E55FE0">
              <w:t>f</w:t>
            </w:r>
            <w:r w:rsidRPr="000D017C">
              <w:t>unctionality</w:t>
            </w:r>
          </w:p>
        </w:tc>
        <w:tc>
          <w:tcPr>
            <w:tcW w:w="2434" w:type="pct"/>
          </w:tcPr>
          <w:p w14:paraId="677B5EAB" w14:textId="3633CB87" w:rsidR="004E2751" w:rsidRPr="000D017C" w:rsidRDefault="004E2751" w:rsidP="004E2751">
            <w:pPr>
              <w:pStyle w:val="Tabletext"/>
            </w:pPr>
            <w:r>
              <w:t>Check</w:t>
            </w:r>
            <w:r w:rsidRPr="000D017C">
              <w:t xml:space="preserve"> all taps operate smoothly without dripping</w:t>
            </w:r>
            <w:r w:rsidR="00806EA6">
              <w:t>. C</w:t>
            </w:r>
            <w:r w:rsidR="00806EA6" w:rsidRPr="000D017C">
              <w:t>heck</w:t>
            </w:r>
            <w:r w:rsidRPr="000D017C">
              <w:t xml:space="preserve"> for consistent water pressure from all fixtures.</w:t>
            </w:r>
          </w:p>
        </w:tc>
        <w:sdt>
          <w:sdtPr>
            <w:id w:val="6028513"/>
            <w14:checkbox>
              <w14:checked w14:val="0"/>
              <w14:checkedState w14:val="2612" w14:font="MS Gothic"/>
              <w14:uncheckedState w14:val="2610" w14:font="MS Gothic"/>
            </w14:checkbox>
          </w:sdtPr>
          <w:sdtContent>
            <w:tc>
              <w:tcPr>
                <w:tcW w:w="439" w:type="pct"/>
              </w:tcPr>
              <w:p w14:paraId="1CABBCE8" w14:textId="5D4D27CC" w:rsidR="004E2751" w:rsidRPr="00F22A90" w:rsidRDefault="00806EA6" w:rsidP="00746D30">
                <w:pPr>
                  <w:pStyle w:val="Tabletext"/>
                  <w:jc w:val="center"/>
                </w:pPr>
                <w:r>
                  <w:rPr>
                    <w:rFonts w:ascii="MS Gothic" w:eastAsia="MS Gothic" w:hAnsi="MS Gothic" w:hint="eastAsia"/>
                  </w:rPr>
                  <w:t>☐</w:t>
                </w:r>
              </w:p>
            </w:tc>
          </w:sdtContent>
        </w:sdt>
        <w:sdt>
          <w:sdtPr>
            <w:id w:val="-403145699"/>
            <w14:checkbox>
              <w14:checked w14:val="0"/>
              <w14:checkedState w14:val="2612" w14:font="MS Gothic"/>
              <w14:uncheckedState w14:val="2610" w14:font="MS Gothic"/>
            </w14:checkbox>
          </w:sdtPr>
          <w:sdtContent>
            <w:tc>
              <w:tcPr>
                <w:tcW w:w="376" w:type="pct"/>
              </w:tcPr>
              <w:p w14:paraId="45276382" w14:textId="66014EE2" w:rsidR="004E2751" w:rsidRPr="00F22A90" w:rsidRDefault="00806EA6" w:rsidP="00746D30">
                <w:pPr>
                  <w:pStyle w:val="Tabletext"/>
                  <w:jc w:val="center"/>
                </w:pPr>
                <w:r>
                  <w:rPr>
                    <w:rFonts w:ascii="MS Gothic" w:eastAsia="MS Gothic" w:hAnsi="MS Gothic" w:hint="eastAsia"/>
                  </w:rPr>
                  <w:t>☐</w:t>
                </w:r>
              </w:p>
            </w:tc>
          </w:sdtContent>
        </w:sdt>
      </w:tr>
      <w:tr w:rsidR="004E2751" w14:paraId="13BF7099" w14:textId="05182C13" w:rsidTr="009F0F50">
        <w:tc>
          <w:tcPr>
            <w:tcW w:w="826" w:type="pct"/>
          </w:tcPr>
          <w:p w14:paraId="2420B690" w14:textId="6D133728" w:rsidR="004E2751" w:rsidRDefault="00517B7C" w:rsidP="004E2751">
            <w:pPr>
              <w:pStyle w:val="Tabletext"/>
            </w:pPr>
            <w:r>
              <w:t>Kitchen</w:t>
            </w:r>
          </w:p>
        </w:tc>
        <w:tc>
          <w:tcPr>
            <w:tcW w:w="925" w:type="pct"/>
          </w:tcPr>
          <w:p w14:paraId="16088629" w14:textId="57B4C962" w:rsidR="004E2751" w:rsidRDefault="004E2751" w:rsidP="004E2751">
            <w:pPr>
              <w:pStyle w:val="Tabletext"/>
            </w:pPr>
            <w:r w:rsidRPr="000D017C">
              <w:t xml:space="preserve">Kitchen </w:t>
            </w:r>
            <w:r w:rsidR="00E55FE0">
              <w:t>c</w:t>
            </w:r>
            <w:r w:rsidRPr="000D017C">
              <w:t>upboards/</w:t>
            </w:r>
            <w:proofErr w:type="gramStart"/>
            <w:r w:rsidR="00E55FE0">
              <w:t>d</w:t>
            </w:r>
            <w:r w:rsidRPr="000D017C">
              <w:t>rawers</w:t>
            </w:r>
            <w:proofErr w:type="gramEnd"/>
            <w:r w:rsidRPr="000D017C">
              <w:t xml:space="preserve"> </w:t>
            </w:r>
            <w:r w:rsidR="00E55FE0">
              <w:t>f</w:t>
            </w:r>
            <w:r w:rsidRPr="000D017C">
              <w:t>unctionality</w:t>
            </w:r>
          </w:p>
        </w:tc>
        <w:tc>
          <w:tcPr>
            <w:tcW w:w="2434" w:type="pct"/>
          </w:tcPr>
          <w:p w14:paraId="600F902F" w14:textId="43061FC7" w:rsidR="004E2751" w:rsidRPr="007527ED" w:rsidRDefault="004E2751" w:rsidP="004E2751">
            <w:pPr>
              <w:pStyle w:val="Tabletext"/>
            </w:pPr>
            <w:r w:rsidRPr="000D017C">
              <w:t>Check that all kitchen cupboards and drawers open/close easily and have handles.</w:t>
            </w:r>
          </w:p>
        </w:tc>
        <w:sdt>
          <w:sdtPr>
            <w:id w:val="-2103864263"/>
            <w14:checkbox>
              <w14:checked w14:val="0"/>
              <w14:checkedState w14:val="2612" w14:font="MS Gothic"/>
              <w14:uncheckedState w14:val="2610" w14:font="MS Gothic"/>
            </w14:checkbox>
          </w:sdtPr>
          <w:sdtContent>
            <w:tc>
              <w:tcPr>
                <w:tcW w:w="439" w:type="pct"/>
              </w:tcPr>
              <w:p w14:paraId="0308711F" w14:textId="4ECBE1D0" w:rsidR="004E2751" w:rsidRPr="00F22A90" w:rsidRDefault="00806EA6" w:rsidP="00746D30">
                <w:pPr>
                  <w:pStyle w:val="Tabletext"/>
                  <w:jc w:val="center"/>
                </w:pPr>
                <w:r>
                  <w:rPr>
                    <w:rFonts w:ascii="MS Gothic" w:eastAsia="MS Gothic" w:hAnsi="MS Gothic" w:hint="eastAsia"/>
                  </w:rPr>
                  <w:t>☐</w:t>
                </w:r>
              </w:p>
            </w:tc>
          </w:sdtContent>
        </w:sdt>
        <w:sdt>
          <w:sdtPr>
            <w:id w:val="-45840603"/>
            <w14:checkbox>
              <w14:checked w14:val="0"/>
              <w14:checkedState w14:val="2612" w14:font="MS Gothic"/>
              <w14:uncheckedState w14:val="2610" w14:font="MS Gothic"/>
            </w14:checkbox>
          </w:sdtPr>
          <w:sdtContent>
            <w:tc>
              <w:tcPr>
                <w:tcW w:w="376" w:type="pct"/>
              </w:tcPr>
              <w:p w14:paraId="0B5F8550" w14:textId="7B3C74F5" w:rsidR="004E2751" w:rsidRPr="00F22A90" w:rsidRDefault="00806EA6" w:rsidP="00746D30">
                <w:pPr>
                  <w:pStyle w:val="Tabletext"/>
                  <w:jc w:val="center"/>
                </w:pPr>
                <w:r>
                  <w:rPr>
                    <w:rFonts w:ascii="MS Gothic" w:eastAsia="MS Gothic" w:hAnsi="MS Gothic" w:hint="eastAsia"/>
                  </w:rPr>
                  <w:t>☐</w:t>
                </w:r>
              </w:p>
            </w:tc>
          </w:sdtContent>
        </w:sdt>
      </w:tr>
      <w:tr w:rsidR="004E2751" w14:paraId="64F1F766" w14:textId="3348203D" w:rsidTr="009F0F50">
        <w:tc>
          <w:tcPr>
            <w:tcW w:w="826" w:type="pct"/>
          </w:tcPr>
          <w:p w14:paraId="21D2085C" w14:textId="5935A42F" w:rsidR="004E2751" w:rsidRPr="00F22A90" w:rsidRDefault="004E2751" w:rsidP="004E2751">
            <w:pPr>
              <w:pStyle w:val="Tabletext"/>
            </w:pPr>
            <w:r w:rsidRPr="007527ED">
              <w:t>Rooms</w:t>
            </w:r>
          </w:p>
        </w:tc>
        <w:tc>
          <w:tcPr>
            <w:tcW w:w="925" w:type="pct"/>
          </w:tcPr>
          <w:p w14:paraId="11976487" w14:textId="538F3A00" w:rsidR="004E2751" w:rsidRPr="00F22A90" w:rsidRDefault="004E2751" w:rsidP="004E2751">
            <w:pPr>
              <w:pStyle w:val="Tabletext"/>
            </w:pPr>
            <w:r w:rsidRPr="007527ED">
              <w:t xml:space="preserve">Internal </w:t>
            </w:r>
            <w:r w:rsidR="00E55FE0">
              <w:t>d</w:t>
            </w:r>
            <w:r w:rsidRPr="007527ED">
              <w:t xml:space="preserve">oors with </w:t>
            </w:r>
            <w:r w:rsidR="00E55FE0">
              <w:t>h</w:t>
            </w:r>
            <w:r w:rsidRPr="007527ED">
              <w:t>ardware</w:t>
            </w:r>
          </w:p>
        </w:tc>
        <w:tc>
          <w:tcPr>
            <w:tcW w:w="2434" w:type="pct"/>
          </w:tcPr>
          <w:p w14:paraId="77F83DDF" w14:textId="14132143" w:rsidR="004E2751" w:rsidRPr="00F22A90" w:rsidRDefault="004E2751" w:rsidP="004E2751">
            <w:pPr>
              <w:pStyle w:val="Tabletext"/>
            </w:pPr>
            <w:r>
              <w:t>Check</w:t>
            </w:r>
            <w:r w:rsidRPr="007527ED">
              <w:t xml:space="preserve"> all rooms have doors equipped with door hardware, but internal doors should not have locks or latches.</w:t>
            </w:r>
          </w:p>
        </w:tc>
        <w:sdt>
          <w:sdtPr>
            <w:id w:val="-1296133059"/>
            <w14:checkbox>
              <w14:checked w14:val="0"/>
              <w14:checkedState w14:val="2612" w14:font="MS Gothic"/>
              <w14:uncheckedState w14:val="2610" w14:font="MS Gothic"/>
            </w14:checkbox>
          </w:sdtPr>
          <w:sdtContent>
            <w:tc>
              <w:tcPr>
                <w:tcW w:w="439" w:type="pct"/>
              </w:tcPr>
              <w:p w14:paraId="7C315462" w14:textId="25E75844" w:rsidR="004E2751" w:rsidRPr="00F22A90" w:rsidRDefault="00806EA6" w:rsidP="00746D30">
                <w:pPr>
                  <w:pStyle w:val="Tabletext"/>
                  <w:jc w:val="center"/>
                </w:pPr>
                <w:r>
                  <w:rPr>
                    <w:rFonts w:ascii="MS Gothic" w:eastAsia="MS Gothic" w:hAnsi="MS Gothic" w:hint="eastAsia"/>
                  </w:rPr>
                  <w:t>☐</w:t>
                </w:r>
              </w:p>
            </w:tc>
          </w:sdtContent>
        </w:sdt>
        <w:sdt>
          <w:sdtPr>
            <w:id w:val="1851991253"/>
            <w14:checkbox>
              <w14:checked w14:val="0"/>
              <w14:checkedState w14:val="2612" w14:font="MS Gothic"/>
              <w14:uncheckedState w14:val="2610" w14:font="MS Gothic"/>
            </w14:checkbox>
          </w:sdtPr>
          <w:sdtContent>
            <w:tc>
              <w:tcPr>
                <w:tcW w:w="376" w:type="pct"/>
              </w:tcPr>
              <w:p w14:paraId="7109A557" w14:textId="2351EC39" w:rsidR="004E2751" w:rsidRPr="00F22A90" w:rsidRDefault="00806EA6" w:rsidP="00746D30">
                <w:pPr>
                  <w:pStyle w:val="Tabletext"/>
                  <w:jc w:val="center"/>
                </w:pPr>
                <w:r>
                  <w:rPr>
                    <w:rFonts w:ascii="MS Gothic" w:eastAsia="MS Gothic" w:hAnsi="MS Gothic" w:hint="eastAsia"/>
                  </w:rPr>
                  <w:t>☐</w:t>
                </w:r>
              </w:p>
            </w:tc>
          </w:sdtContent>
        </w:sdt>
      </w:tr>
      <w:tr w:rsidR="004E2751" w14:paraId="0F07410A" w14:textId="2E70D7D6" w:rsidTr="009F0F50">
        <w:tc>
          <w:tcPr>
            <w:tcW w:w="826" w:type="pct"/>
          </w:tcPr>
          <w:p w14:paraId="49DFB567" w14:textId="7CC7D72E" w:rsidR="004E2751" w:rsidRPr="00F22A90" w:rsidRDefault="009F0F50" w:rsidP="004E2751">
            <w:pPr>
              <w:pStyle w:val="Tabletext"/>
            </w:pPr>
            <w:r w:rsidRPr="007527ED">
              <w:t>Rooms</w:t>
            </w:r>
          </w:p>
        </w:tc>
        <w:tc>
          <w:tcPr>
            <w:tcW w:w="925" w:type="pct"/>
          </w:tcPr>
          <w:p w14:paraId="263EFA4D" w14:textId="778ADACF" w:rsidR="004E2751" w:rsidRPr="00F22A90" w:rsidRDefault="004E2751" w:rsidP="004E2751">
            <w:pPr>
              <w:pStyle w:val="Tabletext"/>
            </w:pPr>
            <w:r w:rsidRPr="007527ED">
              <w:t xml:space="preserve">Flywire </w:t>
            </w:r>
            <w:r w:rsidR="00E55FE0">
              <w:t>s</w:t>
            </w:r>
            <w:r w:rsidRPr="007527ED">
              <w:t>creens</w:t>
            </w:r>
          </w:p>
        </w:tc>
        <w:tc>
          <w:tcPr>
            <w:tcW w:w="2434" w:type="pct"/>
          </w:tcPr>
          <w:p w14:paraId="59151332" w14:textId="3B92533F" w:rsidR="004E2751" w:rsidRPr="00F22A90" w:rsidRDefault="004E2751" w:rsidP="004E2751">
            <w:pPr>
              <w:pStyle w:val="Tabletext"/>
              <w:tabs>
                <w:tab w:val="left" w:pos="1165"/>
              </w:tabs>
            </w:pPr>
            <w:r>
              <w:t>Check</w:t>
            </w:r>
            <w:r w:rsidRPr="007527ED">
              <w:t xml:space="preserve"> at least one window in each room has flywire fitted and in good repair.</w:t>
            </w:r>
          </w:p>
        </w:tc>
        <w:sdt>
          <w:sdtPr>
            <w:id w:val="-6910080"/>
            <w14:checkbox>
              <w14:checked w14:val="0"/>
              <w14:checkedState w14:val="2612" w14:font="MS Gothic"/>
              <w14:uncheckedState w14:val="2610" w14:font="MS Gothic"/>
            </w14:checkbox>
          </w:sdtPr>
          <w:sdtContent>
            <w:tc>
              <w:tcPr>
                <w:tcW w:w="439" w:type="pct"/>
              </w:tcPr>
              <w:p w14:paraId="1A175248" w14:textId="41C4114E" w:rsidR="004E2751" w:rsidRPr="00F22A90" w:rsidRDefault="00806EA6" w:rsidP="00746D30">
                <w:pPr>
                  <w:pStyle w:val="Tabletext"/>
                  <w:jc w:val="center"/>
                </w:pPr>
                <w:r>
                  <w:rPr>
                    <w:rFonts w:ascii="MS Gothic" w:eastAsia="MS Gothic" w:hAnsi="MS Gothic" w:hint="eastAsia"/>
                  </w:rPr>
                  <w:t>☐</w:t>
                </w:r>
              </w:p>
            </w:tc>
          </w:sdtContent>
        </w:sdt>
        <w:sdt>
          <w:sdtPr>
            <w:id w:val="867259553"/>
            <w14:checkbox>
              <w14:checked w14:val="0"/>
              <w14:checkedState w14:val="2612" w14:font="MS Gothic"/>
              <w14:uncheckedState w14:val="2610" w14:font="MS Gothic"/>
            </w14:checkbox>
          </w:sdtPr>
          <w:sdtContent>
            <w:tc>
              <w:tcPr>
                <w:tcW w:w="376" w:type="pct"/>
              </w:tcPr>
              <w:p w14:paraId="3A150562" w14:textId="06526AD2" w:rsidR="004E2751" w:rsidRPr="00F22A90" w:rsidRDefault="00806EA6" w:rsidP="00746D30">
                <w:pPr>
                  <w:pStyle w:val="Tabletext"/>
                  <w:jc w:val="center"/>
                </w:pPr>
                <w:r>
                  <w:rPr>
                    <w:rFonts w:ascii="MS Gothic" w:eastAsia="MS Gothic" w:hAnsi="MS Gothic" w:hint="eastAsia"/>
                  </w:rPr>
                  <w:t>☐</w:t>
                </w:r>
              </w:p>
            </w:tc>
          </w:sdtContent>
        </w:sdt>
      </w:tr>
      <w:tr w:rsidR="004E2751" w14:paraId="28C6DD52" w14:textId="2DB53BD3" w:rsidTr="009F0F50">
        <w:tc>
          <w:tcPr>
            <w:tcW w:w="826" w:type="pct"/>
          </w:tcPr>
          <w:p w14:paraId="317881A1" w14:textId="050C49A5" w:rsidR="004E2751" w:rsidRPr="000D017C" w:rsidRDefault="004E2751" w:rsidP="004E2751">
            <w:pPr>
              <w:pStyle w:val="Tabletext"/>
            </w:pPr>
            <w:r>
              <w:t>Bathroom</w:t>
            </w:r>
          </w:p>
        </w:tc>
        <w:tc>
          <w:tcPr>
            <w:tcW w:w="925" w:type="pct"/>
          </w:tcPr>
          <w:p w14:paraId="7711BCA6" w14:textId="24FB89FB" w:rsidR="004E2751" w:rsidRPr="000D017C" w:rsidRDefault="004E2751" w:rsidP="004E2751">
            <w:pPr>
              <w:pStyle w:val="Tabletext"/>
            </w:pPr>
            <w:r w:rsidRPr="000D017C">
              <w:t xml:space="preserve">Bathroom </w:t>
            </w:r>
            <w:r w:rsidR="00E55FE0">
              <w:t>c</w:t>
            </w:r>
            <w:r w:rsidRPr="000D017C">
              <w:t>upboards/</w:t>
            </w:r>
            <w:proofErr w:type="gramStart"/>
            <w:r w:rsidR="00E55FE0">
              <w:t>d</w:t>
            </w:r>
            <w:r w:rsidRPr="000D017C">
              <w:t>rawers</w:t>
            </w:r>
            <w:proofErr w:type="gramEnd"/>
            <w:r w:rsidRPr="000D017C">
              <w:t xml:space="preserve"> </w:t>
            </w:r>
            <w:r w:rsidR="00E55FE0">
              <w:t>f</w:t>
            </w:r>
            <w:r w:rsidRPr="000D017C">
              <w:t>unctionality</w:t>
            </w:r>
          </w:p>
        </w:tc>
        <w:tc>
          <w:tcPr>
            <w:tcW w:w="2434" w:type="pct"/>
          </w:tcPr>
          <w:p w14:paraId="7E7F3139" w14:textId="7FEED80E" w:rsidR="004E2751" w:rsidRDefault="004E2751" w:rsidP="004E2751">
            <w:pPr>
              <w:pStyle w:val="Tabletext"/>
              <w:tabs>
                <w:tab w:val="left" w:pos="1165"/>
              </w:tabs>
            </w:pPr>
            <w:r>
              <w:t>Check</w:t>
            </w:r>
            <w:r w:rsidRPr="000D017C">
              <w:t xml:space="preserve"> bathroom cupboards and drawers</w:t>
            </w:r>
            <w:r>
              <w:t xml:space="preserve"> </w:t>
            </w:r>
            <w:r w:rsidRPr="000D017C">
              <w:t>open/close without difficulty and have handles.</w:t>
            </w:r>
          </w:p>
        </w:tc>
        <w:sdt>
          <w:sdtPr>
            <w:id w:val="320009484"/>
            <w14:checkbox>
              <w14:checked w14:val="0"/>
              <w14:checkedState w14:val="2612" w14:font="MS Gothic"/>
              <w14:uncheckedState w14:val="2610" w14:font="MS Gothic"/>
            </w14:checkbox>
          </w:sdtPr>
          <w:sdtContent>
            <w:tc>
              <w:tcPr>
                <w:tcW w:w="439" w:type="pct"/>
              </w:tcPr>
              <w:p w14:paraId="4DA6BD41" w14:textId="23820715" w:rsidR="004E2751" w:rsidRPr="00F22A90" w:rsidRDefault="00806EA6" w:rsidP="00746D30">
                <w:pPr>
                  <w:pStyle w:val="Tabletext"/>
                  <w:jc w:val="center"/>
                </w:pPr>
                <w:r>
                  <w:rPr>
                    <w:rFonts w:ascii="MS Gothic" w:eastAsia="MS Gothic" w:hAnsi="MS Gothic" w:hint="eastAsia"/>
                  </w:rPr>
                  <w:t>☐</w:t>
                </w:r>
              </w:p>
            </w:tc>
          </w:sdtContent>
        </w:sdt>
        <w:sdt>
          <w:sdtPr>
            <w:id w:val="-1666396248"/>
            <w14:checkbox>
              <w14:checked w14:val="0"/>
              <w14:checkedState w14:val="2612" w14:font="MS Gothic"/>
              <w14:uncheckedState w14:val="2610" w14:font="MS Gothic"/>
            </w14:checkbox>
          </w:sdtPr>
          <w:sdtContent>
            <w:tc>
              <w:tcPr>
                <w:tcW w:w="376" w:type="pct"/>
              </w:tcPr>
              <w:p w14:paraId="1CC4DCDB" w14:textId="5DD530E6" w:rsidR="004E2751" w:rsidRPr="00F22A90" w:rsidRDefault="00806EA6" w:rsidP="00746D30">
                <w:pPr>
                  <w:pStyle w:val="Tabletext"/>
                  <w:jc w:val="center"/>
                </w:pPr>
                <w:r>
                  <w:rPr>
                    <w:rFonts w:ascii="MS Gothic" w:eastAsia="MS Gothic" w:hAnsi="MS Gothic" w:hint="eastAsia"/>
                  </w:rPr>
                  <w:t>☐</w:t>
                </w:r>
              </w:p>
            </w:tc>
          </w:sdtContent>
        </w:sdt>
      </w:tr>
      <w:tr w:rsidR="004E2751" w14:paraId="24119F56" w14:textId="475987D0" w:rsidTr="009F0F50">
        <w:tc>
          <w:tcPr>
            <w:tcW w:w="826" w:type="pct"/>
            <w:vMerge w:val="restart"/>
          </w:tcPr>
          <w:p w14:paraId="4F2FA76D" w14:textId="301BD1DA" w:rsidR="004E2751" w:rsidRPr="000D017C" w:rsidRDefault="004E2751" w:rsidP="004E2751">
            <w:pPr>
              <w:pStyle w:val="Tabletext"/>
            </w:pPr>
            <w:r w:rsidRPr="00F93FC4">
              <w:t>Yard/</w:t>
            </w:r>
            <w:r w:rsidR="00E55FE0">
              <w:t>e</w:t>
            </w:r>
            <w:r w:rsidRPr="00F93FC4">
              <w:t>xterior</w:t>
            </w:r>
          </w:p>
        </w:tc>
        <w:tc>
          <w:tcPr>
            <w:tcW w:w="925" w:type="pct"/>
          </w:tcPr>
          <w:p w14:paraId="7236CE12" w14:textId="5D42D29E" w:rsidR="004E2751" w:rsidRPr="000D017C" w:rsidRDefault="004E2751" w:rsidP="004E2751">
            <w:pPr>
              <w:pStyle w:val="Tabletext"/>
            </w:pPr>
            <w:r w:rsidRPr="00F93FC4">
              <w:t xml:space="preserve">Functional </w:t>
            </w:r>
            <w:r w:rsidR="00E55FE0">
              <w:t>l</w:t>
            </w:r>
            <w:r w:rsidRPr="00F93FC4">
              <w:t xml:space="preserve">etterbox </w:t>
            </w:r>
            <w:r>
              <w:t>and</w:t>
            </w:r>
            <w:r w:rsidRPr="00F93FC4">
              <w:t xml:space="preserve"> </w:t>
            </w:r>
            <w:r w:rsidR="00E55FE0">
              <w:t>c</w:t>
            </w:r>
            <w:r w:rsidRPr="00F93FC4">
              <w:t>lothesline/</w:t>
            </w:r>
            <w:r w:rsidR="00E55FE0">
              <w:t>s</w:t>
            </w:r>
            <w:r w:rsidRPr="00F93FC4">
              <w:t>hed</w:t>
            </w:r>
          </w:p>
        </w:tc>
        <w:tc>
          <w:tcPr>
            <w:tcW w:w="2434" w:type="pct"/>
          </w:tcPr>
          <w:p w14:paraId="3B8C81B3" w14:textId="35D13B7B" w:rsidR="004E2751" w:rsidRDefault="004E2751" w:rsidP="004E2751">
            <w:pPr>
              <w:pStyle w:val="Tabletext"/>
              <w:tabs>
                <w:tab w:val="left" w:pos="1165"/>
              </w:tabs>
            </w:pPr>
            <w:r w:rsidRPr="00F93FC4">
              <w:t>Confirm property has a functional letterbox, clothesline, and garden shed/storage locker if applicable.</w:t>
            </w:r>
          </w:p>
        </w:tc>
        <w:sdt>
          <w:sdtPr>
            <w:id w:val="-854416180"/>
            <w14:checkbox>
              <w14:checked w14:val="0"/>
              <w14:checkedState w14:val="2612" w14:font="MS Gothic"/>
              <w14:uncheckedState w14:val="2610" w14:font="MS Gothic"/>
            </w14:checkbox>
          </w:sdtPr>
          <w:sdtContent>
            <w:tc>
              <w:tcPr>
                <w:tcW w:w="439" w:type="pct"/>
              </w:tcPr>
              <w:p w14:paraId="5FA0E5CA" w14:textId="10093DA2" w:rsidR="004E2751" w:rsidRPr="00F22A90" w:rsidRDefault="00806EA6" w:rsidP="00746D30">
                <w:pPr>
                  <w:pStyle w:val="Tabletext"/>
                  <w:jc w:val="center"/>
                </w:pPr>
                <w:r>
                  <w:rPr>
                    <w:rFonts w:ascii="MS Gothic" w:eastAsia="MS Gothic" w:hAnsi="MS Gothic" w:hint="eastAsia"/>
                  </w:rPr>
                  <w:t>☐</w:t>
                </w:r>
              </w:p>
            </w:tc>
          </w:sdtContent>
        </w:sdt>
        <w:sdt>
          <w:sdtPr>
            <w:id w:val="-1782259833"/>
            <w14:checkbox>
              <w14:checked w14:val="0"/>
              <w14:checkedState w14:val="2612" w14:font="MS Gothic"/>
              <w14:uncheckedState w14:val="2610" w14:font="MS Gothic"/>
            </w14:checkbox>
          </w:sdtPr>
          <w:sdtContent>
            <w:tc>
              <w:tcPr>
                <w:tcW w:w="376" w:type="pct"/>
              </w:tcPr>
              <w:p w14:paraId="50BC10A0" w14:textId="4D8E207B" w:rsidR="004E2751" w:rsidRPr="00F22A90" w:rsidRDefault="00806EA6" w:rsidP="00746D30">
                <w:pPr>
                  <w:pStyle w:val="Tabletext"/>
                  <w:jc w:val="center"/>
                </w:pPr>
                <w:r>
                  <w:rPr>
                    <w:rFonts w:ascii="MS Gothic" w:eastAsia="MS Gothic" w:hAnsi="MS Gothic" w:hint="eastAsia"/>
                  </w:rPr>
                  <w:t>☐</w:t>
                </w:r>
              </w:p>
            </w:tc>
          </w:sdtContent>
        </w:sdt>
      </w:tr>
      <w:tr w:rsidR="004E2751" w14:paraId="34B46BF8" w14:textId="3973F639" w:rsidTr="009F0F50">
        <w:tc>
          <w:tcPr>
            <w:tcW w:w="826" w:type="pct"/>
            <w:vMerge/>
          </w:tcPr>
          <w:p w14:paraId="520D0196" w14:textId="77777777" w:rsidR="004E2751" w:rsidRPr="000D017C" w:rsidRDefault="004E2751" w:rsidP="004E2751">
            <w:pPr>
              <w:pStyle w:val="Tabletext"/>
            </w:pPr>
          </w:p>
        </w:tc>
        <w:tc>
          <w:tcPr>
            <w:tcW w:w="925" w:type="pct"/>
          </w:tcPr>
          <w:p w14:paraId="5802C5EF" w14:textId="5A459A0A" w:rsidR="004E2751" w:rsidRPr="000D017C" w:rsidRDefault="004E2751" w:rsidP="004E2751">
            <w:pPr>
              <w:pStyle w:val="Tabletext"/>
            </w:pPr>
            <w:r w:rsidRPr="00F93FC4">
              <w:t xml:space="preserve">Tree </w:t>
            </w:r>
            <w:r w:rsidR="00E55FE0">
              <w:t>p</w:t>
            </w:r>
            <w:r w:rsidR="00E55FE0" w:rsidRPr="00F93FC4">
              <w:t>roximity</w:t>
            </w:r>
            <w:r w:rsidRPr="00F93FC4">
              <w:t xml:space="preserve"> to </w:t>
            </w:r>
            <w:r w:rsidR="00E55FE0">
              <w:t>e</w:t>
            </w:r>
            <w:r w:rsidRPr="00F93FC4">
              <w:t xml:space="preserve">xternal </w:t>
            </w:r>
            <w:r w:rsidR="00E55FE0">
              <w:t>w</w:t>
            </w:r>
            <w:r w:rsidRPr="00F93FC4">
              <w:t>alls</w:t>
            </w:r>
          </w:p>
        </w:tc>
        <w:tc>
          <w:tcPr>
            <w:tcW w:w="2434" w:type="pct"/>
          </w:tcPr>
          <w:p w14:paraId="7D7057FC" w14:textId="12B8E83B" w:rsidR="004E2751" w:rsidRDefault="004E2751" w:rsidP="004E2751">
            <w:pPr>
              <w:pStyle w:val="Tabletext"/>
              <w:tabs>
                <w:tab w:val="left" w:pos="1165"/>
              </w:tabs>
            </w:pPr>
            <w:r w:rsidRPr="00F93FC4">
              <w:t>Ensure no trees are within 1 meter of external brick walls; check for trees/shrubs impeding access or impacting structures.</w:t>
            </w:r>
          </w:p>
        </w:tc>
        <w:sdt>
          <w:sdtPr>
            <w:id w:val="-1056860298"/>
            <w14:checkbox>
              <w14:checked w14:val="0"/>
              <w14:checkedState w14:val="2612" w14:font="MS Gothic"/>
              <w14:uncheckedState w14:val="2610" w14:font="MS Gothic"/>
            </w14:checkbox>
          </w:sdtPr>
          <w:sdtContent>
            <w:tc>
              <w:tcPr>
                <w:tcW w:w="439" w:type="pct"/>
              </w:tcPr>
              <w:p w14:paraId="5DA97C66" w14:textId="7675A488" w:rsidR="004E2751" w:rsidRPr="00F22A90" w:rsidRDefault="00806EA6" w:rsidP="00746D30">
                <w:pPr>
                  <w:pStyle w:val="Tabletext"/>
                  <w:jc w:val="center"/>
                </w:pPr>
                <w:r>
                  <w:rPr>
                    <w:rFonts w:ascii="MS Gothic" w:eastAsia="MS Gothic" w:hAnsi="MS Gothic" w:hint="eastAsia"/>
                  </w:rPr>
                  <w:t>☐</w:t>
                </w:r>
              </w:p>
            </w:tc>
          </w:sdtContent>
        </w:sdt>
        <w:sdt>
          <w:sdtPr>
            <w:id w:val="879445916"/>
            <w14:checkbox>
              <w14:checked w14:val="0"/>
              <w14:checkedState w14:val="2612" w14:font="MS Gothic"/>
              <w14:uncheckedState w14:val="2610" w14:font="MS Gothic"/>
            </w14:checkbox>
          </w:sdtPr>
          <w:sdtContent>
            <w:tc>
              <w:tcPr>
                <w:tcW w:w="376" w:type="pct"/>
              </w:tcPr>
              <w:p w14:paraId="30B9A9E5" w14:textId="40FB1573" w:rsidR="004E2751" w:rsidRPr="00F22A90" w:rsidRDefault="00806EA6" w:rsidP="00746D30">
                <w:pPr>
                  <w:pStyle w:val="Tabletext"/>
                  <w:jc w:val="center"/>
                </w:pPr>
                <w:r>
                  <w:rPr>
                    <w:rFonts w:ascii="MS Gothic" w:eastAsia="MS Gothic" w:hAnsi="MS Gothic" w:hint="eastAsia"/>
                  </w:rPr>
                  <w:t>☐</w:t>
                </w:r>
              </w:p>
            </w:tc>
          </w:sdtContent>
        </w:sdt>
      </w:tr>
      <w:tr w:rsidR="004E2751" w14:paraId="34AAE092" w14:textId="5DB79114" w:rsidTr="009F0F50">
        <w:tc>
          <w:tcPr>
            <w:tcW w:w="826" w:type="pct"/>
            <w:vMerge/>
          </w:tcPr>
          <w:p w14:paraId="43D7C301" w14:textId="77777777" w:rsidR="004E2751" w:rsidRPr="000D017C" w:rsidRDefault="004E2751" w:rsidP="004E2751">
            <w:pPr>
              <w:pStyle w:val="Tabletext"/>
            </w:pPr>
          </w:p>
        </w:tc>
        <w:tc>
          <w:tcPr>
            <w:tcW w:w="925" w:type="pct"/>
          </w:tcPr>
          <w:p w14:paraId="4760CD50" w14:textId="4F7F09FD" w:rsidR="004E2751" w:rsidRPr="000D017C" w:rsidRDefault="004E2751" w:rsidP="004E2751">
            <w:pPr>
              <w:pStyle w:val="Tabletext"/>
            </w:pPr>
            <w:r>
              <w:t xml:space="preserve">Swimming </w:t>
            </w:r>
            <w:r w:rsidR="00E55FE0">
              <w:t>p</w:t>
            </w:r>
            <w:r w:rsidRPr="00F93FC4">
              <w:t>ool</w:t>
            </w:r>
            <w:r>
              <w:t>s</w:t>
            </w:r>
          </w:p>
        </w:tc>
        <w:tc>
          <w:tcPr>
            <w:tcW w:w="2434" w:type="pct"/>
          </w:tcPr>
          <w:p w14:paraId="67B148A2" w14:textId="73975677" w:rsidR="004E2751" w:rsidRDefault="004E2751" w:rsidP="004E2751">
            <w:pPr>
              <w:pStyle w:val="Tabletext"/>
              <w:tabs>
                <w:tab w:val="left" w:pos="1227"/>
              </w:tabs>
            </w:pPr>
            <w:r w:rsidRPr="00F93FC4">
              <w:t>Confirm no swimming pools or external spas are present</w:t>
            </w:r>
            <w:r>
              <w:t>.</w:t>
            </w:r>
          </w:p>
        </w:tc>
        <w:sdt>
          <w:sdtPr>
            <w:id w:val="-152766489"/>
            <w14:checkbox>
              <w14:checked w14:val="0"/>
              <w14:checkedState w14:val="2612" w14:font="MS Gothic"/>
              <w14:uncheckedState w14:val="2610" w14:font="MS Gothic"/>
            </w14:checkbox>
          </w:sdtPr>
          <w:sdtContent>
            <w:tc>
              <w:tcPr>
                <w:tcW w:w="439" w:type="pct"/>
              </w:tcPr>
              <w:p w14:paraId="52595E9C" w14:textId="5332DA69" w:rsidR="004E2751" w:rsidRPr="00F22A90" w:rsidRDefault="001B290D" w:rsidP="00746D30">
                <w:pPr>
                  <w:pStyle w:val="Tabletext"/>
                  <w:jc w:val="center"/>
                </w:pPr>
                <w:r>
                  <w:rPr>
                    <w:rFonts w:ascii="MS Gothic" w:eastAsia="MS Gothic" w:hAnsi="MS Gothic" w:hint="eastAsia"/>
                  </w:rPr>
                  <w:t>☐</w:t>
                </w:r>
              </w:p>
            </w:tc>
          </w:sdtContent>
        </w:sdt>
        <w:sdt>
          <w:sdtPr>
            <w:id w:val="675999024"/>
            <w14:checkbox>
              <w14:checked w14:val="0"/>
              <w14:checkedState w14:val="2612" w14:font="MS Gothic"/>
              <w14:uncheckedState w14:val="2610" w14:font="MS Gothic"/>
            </w14:checkbox>
          </w:sdtPr>
          <w:sdtContent>
            <w:tc>
              <w:tcPr>
                <w:tcW w:w="376" w:type="pct"/>
              </w:tcPr>
              <w:p w14:paraId="664592C4" w14:textId="5EE03A37" w:rsidR="004E2751" w:rsidRPr="00F22A90" w:rsidRDefault="00806EA6" w:rsidP="00746D30">
                <w:pPr>
                  <w:pStyle w:val="Tabletext"/>
                  <w:jc w:val="center"/>
                </w:pPr>
                <w:r>
                  <w:rPr>
                    <w:rFonts w:ascii="MS Gothic" w:eastAsia="MS Gothic" w:hAnsi="MS Gothic" w:hint="eastAsia"/>
                  </w:rPr>
                  <w:t>☐</w:t>
                </w:r>
              </w:p>
            </w:tc>
          </w:sdtContent>
        </w:sdt>
      </w:tr>
    </w:tbl>
    <w:p w14:paraId="2C2875AC" w14:textId="77777777" w:rsidR="000C3115" w:rsidRDefault="000C3115" w:rsidP="00E6477B">
      <w:pPr>
        <w:pStyle w:val="Body"/>
      </w:pPr>
    </w:p>
    <w:p w14:paraId="775BD283" w14:textId="77777777" w:rsidR="00F32010" w:rsidRDefault="00F32010" w:rsidP="00F32010">
      <w:pPr>
        <w:rPr>
          <w:rFonts w:eastAsia="Times"/>
        </w:rPr>
        <w:sectPr w:rsidR="00F32010" w:rsidSect="00C66E1D">
          <w:pgSz w:w="16838" w:h="11906" w:orient="landscape" w:code="9"/>
          <w:pgMar w:top="1304" w:right="851" w:bottom="1304" w:left="1418" w:header="680" w:footer="567" w:gutter="0"/>
          <w:cols w:space="340"/>
          <w:docGrid w:linePitch="360"/>
        </w:sectPr>
      </w:pPr>
    </w:p>
    <w:p w14:paraId="0AB0C0A6" w14:textId="4F460C33" w:rsidR="00C80900" w:rsidRPr="003161E0" w:rsidRDefault="00DD5274" w:rsidP="004B5ECD">
      <w:pPr>
        <w:pStyle w:val="Heading1"/>
      </w:pPr>
      <w:bookmarkStart w:id="29" w:name="_Toc224119182"/>
      <w:r w:rsidRPr="003161E0">
        <w:rPr>
          <w:rStyle w:val="Heading1Char"/>
        </w:rPr>
        <w:lastRenderedPageBreak/>
        <w:t>Vacant unit referrals to Asset Managemen</w:t>
      </w:r>
      <w:r w:rsidRPr="003161E0">
        <w:t>t</w:t>
      </w:r>
      <w:r w:rsidR="00E202AB" w:rsidRPr="003161E0">
        <w:t xml:space="preserve"> Branch</w:t>
      </w:r>
      <w:bookmarkEnd w:id="29"/>
    </w:p>
    <w:p w14:paraId="39DB5FB2" w14:textId="77777777" w:rsidR="00C80900" w:rsidRPr="00DD5274" w:rsidRDefault="00C80900" w:rsidP="00DD5274">
      <w:pPr>
        <w:rPr>
          <w:rFonts w:eastAsia="Times"/>
          <w:lang w:eastAsia="en-GB"/>
        </w:rPr>
      </w:pPr>
      <w:r w:rsidRPr="00DD5274">
        <w:rPr>
          <w:rFonts w:eastAsia="Times"/>
          <w:lang w:eastAsia="en-GB"/>
        </w:rPr>
        <w:t>When assessing a vacant property for escalation, staff must identify which works fall within local office responsibility and capacity, and which require involvement from</w:t>
      </w:r>
      <w:r w:rsidR="00DD5274" w:rsidRPr="00DD5274">
        <w:rPr>
          <w:rFonts w:eastAsia="Times"/>
          <w:lang w:eastAsia="en-GB"/>
        </w:rPr>
        <w:t xml:space="preserve"> Homes Victoria’s Asset Management Branch. </w:t>
      </w:r>
    </w:p>
    <w:p w14:paraId="5819859B" w14:textId="42CCE29B" w:rsidR="00C80900" w:rsidRPr="00DD5274" w:rsidRDefault="002F29FA" w:rsidP="006570A1">
      <w:pPr>
        <w:pStyle w:val="Body"/>
        <w:rPr>
          <w:b/>
          <w:lang w:eastAsia="en-GB"/>
        </w:rPr>
      </w:pPr>
      <w:r>
        <w:t xml:space="preserve">The following tables outline the different types of works, clarify responsibility for each, and provide examples to assist in determining whether a referral is required. </w:t>
      </w:r>
      <w:r w:rsidRPr="00C81675">
        <w:t>Staff must</w:t>
      </w:r>
      <w:r w:rsidR="004E3D24" w:rsidRPr="00C81675">
        <w:t xml:space="preserve"> also</w:t>
      </w:r>
      <w:r w:rsidRPr="00C81675">
        <w:t xml:space="preserve"> refer </w:t>
      </w:r>
      <w:r w:rsidRPr="00C81675">
        <w:rPr>
          <w:bCs/>
        </w:rPr>
        <w:t>to</w:t>
      </w:r>
      <w:r w:rsidRPr="00DF5789">
        <w:rPr>
          <w:rFonts w:ascii="-webkit-standard" w:hAnsi="-webkit-standard"/>
          <w:b/>
          <w:sz w:val="27"/>
          <w:szCs w:val="27"/>
        </w:rPr>
        <w:t> </w:t>
      </w:r>
      <w:hyperlink w:anchor="_Referral_guide_and" w:history="1">
        <w:r w:rsidRPr="00DF5789">
          <w:rPr>
            <w:rStyle w:val="Hyperlink"/>
          </w:rPr>
          <w:t>Section 1</w:t>
        </w:r>
        <w:r w:rsidR="004B5ECD" w:rsidRPr="00DF5789">
          <w:rPr>
            <w:rStyle w:val="Hyperlink"/>
          </w:rPr>
          <w:t>0</w:t>
        </w:r>
        <w:r w:rsidRPr="00DF5789">
          <w:rPr>
            <w:rStyle w:val="Hyperlink"/>
          </w:rPr>
          <w:t xml:space="preserve"> Referral </w:t>
        </w:r>
        <w:r w:rsidR="00203CC3" w:rsidRPr="00DF5789">
          <w:rPr>
            <w:rStyle w:val="Hyperlink"/>
          </w:rPr>
          <w:t>guide</w:t>
        </w:r>
        <w:r w:rsidRPr="00DF5789">
          <w:rPr>
            <w:rStyle w:val="Hyperlink"/>
          </w:rPr>
          <w:t xml:space="preserve"> and </w:t>
        </w:r>
        <w:r w:rsidR="00203CC3" w:rsidRPr="00DF5789">
          <w:rPr>
            <w:rStyle w:val="Hyperlink"/>
          </w:rPr>
          <w:t>assessment</w:t>
        </w:r>
        <w:r w:rsidRPr="00DF5789">
          <w:rPr>
            <w:rStyle w:val="Hyperlink"/>
          </w:rPr>
          <w:t xml:space="preserve"> – Asset Management Branch</w:t>
        </w:r>
        <w:r w:rsidRPr="00DF5789">
          <w:rPr>
            <w:rStyle w:val="Hyperlink"/>
            <w:rFonts w:ascii="-webkit-standard" w:hAnsi="-webkit-standard"/>
            <w:b/>
            <w:sz w:val="27"/>
            <w:szCs w:val="27"/>
          </w:rPr>
          <w:t> </w:t>
        </w:r>
      </w:hyperlink>
      <w:r w:rsidRPr="00C81675">
        <w:rPr>
          <w:bCs/>
        </w:rPr>
        <w:t>when determining responsibility and prior to submitting a referral.</w:t>
      </w:r>
    </w:p>
    <w:p w14:paraId="17D7C186" w14:textId="3EDFBC7D" w:rsidR="00DD5274" w:rsidRPr="00DD5274" w:rsidRDefault="00DD5274" w:rsidP="00DD5274">
      <w:pPr>
        <w:keepNext/>
        <w:keepLines/>
        <w:spacing w:before="240" w:line="250" w:lineRule="atLeast"/>
        <w:rPr>
          <w:b/>
        </w:rPr>
      </w:pPr>
      <w:r w:rsidRPr="00DD5274">
        <w:rPr>
          <w:rFonts w:eastAsia="MS Mincho"/>
          <w:b/>
        </w:rPr>
        <w:t xml:space="preserve">Table </w:t>
      </w:r>
      <w:r w:rsidR="00BE25A2">
        <w:rPr>
          <w:rFonts w:eastAsia="MS Mincho"/>
          <w:b/>
        </w:rPr>
        <w:t>9</w:t>
      </w:r>
      <w:r w:rsidRPr="00DD5274">
        <w:rPr>
          <w:rFonts w:eastAsia="MS Mincho"/>
          <w:b/>
        </w:rPr>
        <w:t>: Capital works (Asset Management Branch responsibility)</w:t>
      </w:r>
    </w:p>
    <w:tbl>
      <w:tblPr>
        <w:tblStyle w:val="TableGrid"/>
        <w:tblW w:w="0" w:type="auto"/>
        <w:tblLook w:val="04A0" w:firstRow="1" w:lastRow="0" w:firstColumn="1" w:lastColumn="0" w:noHBand="0" w:noVBand="1"/>
      </w:tblPr>
      <w:tblGrid>
        <w:gridCol w:w="2263"/>
        <w:gridCol w:w="7025"/>
      </w:tblGrid>
      <w:tr w:rsidR="00DD5274" w:rsidRPr="00DD5274" w14:paraId="3062F349" w14:textId="77777777" w:rsidTr="00396475">
        <w:trPr>
          <w:tblHeader/>
        </w:trPr>
        <w:tc>
          <w:tcPr>
            <w:tcW w:w="2263" w:type="dxa"/>
            <w:hideMark/>
          </w:tcPr>
          <w:p w14:paraId="4B27EEBF" w14:textId="77777777" w:rsidR="00DD5274" w:rsidRPr="00DD5274" w:rsidRDefault="00DD5274" w:rsidP="00DD5274">
            <w:pPr>
              <w:spacing w:before="80" w:after="60" w:line="240" w:lineRule="auto"/>
              <w:rPr>
                <w:b/>
                <w:color w:val="201547"/>
              </w:rPr>
            </w:pPr>
            <w:r w:rsidRPr="00DD5274">
              <w:rPr>
                <w:rFonts w:eastAsia="MS Mincho"/>
                <w:b/>
                <w:color w:val="201547"/>
              </w:rPr>
              <w:t>Category</w:t>
            </w:r>
          </w:p>
        </w:tc>
        <w:tc>
          <w:tcPr>
            <w:tcW w:w="7025" w:type="dxa"/>
            <w:hideMark/>
          </w:tcPr>
          <w:p w14:paraId="55FEF0A6" w14:textId="77777777" w:rsidR="00DD5274" w:rsidRPr="00DD5274" w:rsidRDefault="00DD5274" w:rsidP="00DD5274">
            <w:pPr>
              <w:spacing w:before="80" w:after="60" w:line="240" w:lineRule="auto"/>
              <w:rPr>
                <w:b/>
                <w:color w:val="201547"/>
              </w:rPr>
            </w:pPr>
            <w:r w:rsidRPr="00DD5274">
              <w:rPr>
                <w:rFonts w:eastAsia="MS Mincho"/>
                <w:b/>
                <w:color w:val="201547"/>
              </w:rPr>
              <w:t>Description</w:t>
            </w:r>
          </w:p>
        </w:tc>
      </w:tr>
      <w:tr w:rsidR="00DD5274" w:rsidRPr="00DD5274" w14:paraId="59E5EF0F" w14:textId="77777777">
        <w:tc>
          <w:tcPr>
            <w:tcW w:w="2263" w:type="dxa"/>
            <w:hideMark/>
          </w:tcPr>
          <w:p w14:paraId="5F1C0F55" w14:textId="77777777" w:rsidR="00DD5274" w:rsidRPr="009F0F50" w:rsidRDefault="00DD5274" w:rsidP="00F17779">
            <w:pPr>
              <w:pStyle w:val="Tabletext"/>
            </w:pPr>
            <w:r w:rsidRPr="00F17779">
              <w:rPr>
                <w:rFonts w:eastAsia="MS Mincho"/>
              </w:rPr>
              <w:t>Definition</w:t>
            </w:r>
          </w:p>
        </w:tc>
        <w:tc>
          <w:tcPr>
            <w:tcW w:w="7025" w:type="dxa"/>
            <w:hideMark/>
          </w:tcPr>
          <w:p w14:paraId="52852B96" w14:textId="77777777" w:rsidR="00DD5274" w:rsidRPr="00DD5274" w:rsidRDefault="00DD5274" w:rsidP="00DD5274">
            <w:pPr>
              <w:numPr>
                <w:ilvl w:val="0"/>
                <w:numId w:val="3"/>
              </w:numPr>
              <w:spacing w:before="80" w:after="60" w:line="240" w:lineRule="auto"/>
            </w:pPr>
            <w:r w:rsidRPr="00DD5274">
              <w:t xml:space="preserve">Significant repairs, upgrades or replacements that restore or improve the </w:t>
            </w:r>
            <w:r w:rsidRPr="00A94EE8">
              <w:rPr>
                <w:rFonts w:eastAsia="MS Mincho"/>
              </w:rPr>
              <w:t>long</w:t>
            </w:r>
            <w:r w:rsidRPr="00A94EE8">
              <w:rPr>
                <w:rFonts w:eastAsia="MS Mincho"/>
              </w:rPr>
              <w:noBreakHyphen/>
              <w:t>term function</w:t>
            </w:r>
            <w:r w:rsidRPr="00A94EE8">
              <w:t xml:space="preserve"> of</w:t>
            </w:r>
            <w:r w:rsidRPr="00DD5274">
              <w:t xml:space="preserve"> the property. These works usually exceed the financial and operational capacity of local offices.</w:t>
            </w:r>
          </w:p>
        </w:tc>
      </w:tr>
      <w:tr w:rsidR="00DD5274" w:rsidRPr="00DD5274" w14:paraId="1D473610" w14:textId="77777777">
        <w:tc>
          <w:tcPr>
            <w:tcW w:w="2263" w:type="dxa"/>
            <w:hideMark/>
          </w:tcPr>
          <w:p w14:paraId="6510FCEC" w14:textId="77777777" w:rsidR="00DD5274" w:rsidRPr="009F0F50" w:rsidRDefault="00DD5274" w:rsidP="00F17779">
            <w:pPr>
              <w:pStyle w:val="Tabletext"/>
            </w:pPr>
            <w:r w:rsidRPr="00F17779">
              <w:rPr>
                <w:rFonts w:eastAsia="MS Mincho"/>
              </w:rPr>
              <w:t>Delivery pathways</w:t>
            </w:r>
          </w:p>
        </w:tc>
        <w:tc>
          <w:tcPr>
            <w:tcW w:w="7025" w:type="dxa"/>
            <w:hideMark/>
          </w:tcPr>
          <w:p w14:paraId="57C3C7D8" w14:textId="77777777" w:rsidR="00DD5274" w:rsidRPr="00A94EE8" w:rsidRDefault="00DD5274" w:rsidP="00DD5274">
            <w:pPr>
              <w:numPr>
                <w:ilvl w:val="0"/>
                <w:numId w:val="3"/>
              </w:numPr>
              <w:spacing w:before="80" w:after="60" w:line="240" w:lineRule="auto"/>
            </w:pPr>
            <w:r w:rsidRPr="00A94EE8">
              <w:rPr>
                <w:rFonts w:eastAsia="MS Mincho"/>
              </w:rPr>
              <w:t>Programmed capital works</w:t>
            </w:r>
            <w:r w:rsidRPr="00A94EE8">
              <w:t xml:space="preserve"> delivered annually by Homes Victoria. </w:t>
            </w:r>
          </w:p>
          <w:p w14:paraId="0CD688B5" w14:textId="77777777" w:rsidR="00DD5274" w:rsidRPr="00DD5274" w:rsidRDefault="00DD5274" w:rsidP="00DD5274">
            <w:pPr>
              <w:numPr>
                <w:ilvl w:val="0"/>
                <w:numId w:val="3"/>
              </w:numPr>
              <w:spacing w:before="80" w:after="60" w:line="240" w:lineRule="auto"/>
            </w:pPr>
            <w:r w:rsidRPr="00A94EE8">
              <w:rPr>
                <w:rFonts w:eastAsia="MS Mincho"/>
              </w:rPr>
              <w:t>Minor capital works</w:t>
            </w:r>
            <w:r w:rsidRPr="00A94EE8">
              <w:t xml:space="preserve"> delivered</w:t>
            </w:r>
            <w:r w:rsidRPr="00DD5274">
              <w:t xml:space="preserve"> locally under the Schedule of Rates (SOR) or as Not on Schedule (NOS) items.</w:t>
            </w:r>
          </w:p>
        </w:tc>
      </w:tr>
      <w:tr w:rsidR="00DD5274" w:rsidRPr="00DD5274" w14:paraId="04F6F66E" w14:textId="77777777">
        <w:tc>
          <w:tcPr>
            <w:tcW w:w="2263" w:type="dxa"/>
          </w:tcPr>
          <w:p w14:paraId="4FF1C107" w14:textId="77777777" w:rsidR="00DD5274" w:rsidRPr="009F0F50" w:rsidRDefault="00DD5274" w:rsidP="00F17779">
            <w:pPr>
              <w:pStyle w:val="Tabletext"/>
              <w:rPr>
                <w:rFonts w:eastAsia="MS Mincho"/>
              </w:rPr>
            </w:pPr>
            <w:r w:rsidRPr="00F17779">
              <w:rPr>
                <w:rFonts w:eastAsia="MS Mincho"/>
              </w:rPr>
              <w:t>Examples of capital works</w:t>
            </w:r>
          </w:p>
        </w:tc>
        <w:tc>
          <w:tcPr>
            <w:tcW w:w="7025" w:type="dxa"/>
          </w:tcPr>
          <w:p w14:paraId="088712BF" w14:textId="77777777" w:rsidR="00DD5274" w:rsidRPr="00DD5274" w:rsidRDefault="00DD5274" w:rsidP="00DD5274">
            <w:pPr>
              <w:numPr>
                <w:ilvl w:val="0"/>
                <w:numId w:val="3"/>
              </w:numPr>
              <w:spacing w:before="80" w:after="60" w:line="240" w:lineRule="auto"/>
              <w:rPr>
                <w:rFonts w:eastAsia="MS Mincho"/>
              </w:rPr>
            </w:pPr>
            <w:r w:rsidRPr="00DD5274">
              <w:rPr>
                <w:rFonts w:eastAsia="MS Mincho"/>
                <w:b/>
                <w:bCs/>
              </w:rPr>
              <w:t xml:space="preserve">Structural repairs: </w:t>
            </w:r>
            <w:r w:rsidRPr="00DD5274">
              <w:rPr>
                <w:rFonts w:eastAsia="MS Mincho"/>
              </w:rPr>
              <w:t>major roof replacement, structural wall repairs, extensive flooring replacement.</w:t>
            </w:r>
          </w:p>
          <w:p w14:paraId="40E6DDC3" w14:textId="77777777" w:rsidR="00DD5274" w:rsidRPr="00DD5274" w:rsidRDefault="00DD5274" w:rsidP="00DD5274">
            <w:pPr>
              <w:numPr>
                <w:ilvl w:val="0"/>
                <w:numId w:val="3"/>
              </w:numPr>
              <w:spacing w:before="80" w:after="60" w:line="240" w:lineRule="auto"/>
              <w:rPr>
                <w:rFonts w:eastAsia="MS Mincho"/>
              </w:rPr>
            </w:pPr>
            <w:r w:rsidRPr="00DD5274">
              <w:rPr>
                <w:rFonts w:eastAsia="MS Mincho"/>
                <w:b/>
                <w:bCs/>
              </w:rPr>
              <w:t xml:space="preserve">Compliance </w:t>
            </w:r>
            <w:proofErr w:type="gramStart"/>
            <w:r w:rsidRPr="00DD5274">
              <w:rPr>
                <w:rFonts w:eastAsia="MS Mincho"/>
                <w:b/>
                <w:bCs/>
              </w:rPr>
              <w:t>works:</w:t>
            </w:r>
            <w:proofErr w:type="gramEnd"/>
            <w:r w:rsidRPr="00DD5274">
              <w:rPr>
                <w:rFonts w:eastAsia="MS Mincho"/>
                <w:b/>
                <w:bCs/>
              </w:rPr>
              <w:t xml:space="preserve"> </w:t>
            </w:r>
            <w:r w:rsidRPr="00DD5274">
              <w:rPr>
                <w:rFonts w:eastAsia="MS Mincho"/>
              </w:rPr>
              <w:t>fire safety upgrades, asbestos removal, accessibility modifications.</w:t>
            </w:r>
          </w:p>
          <w:p w14:paraId="73D65A67" w14:textId="77777777" w:rsidR="00DD5274" w:rsidRPr="00DD5274" w:rsidRDefault="00DD5274" w:rsidP="00DD5274">
            <w:pPr>
              <w:numPr>
                <w:ilvl w:val="0"/>
                <w:numId w:val="3"/>
              </w:numPr>
              <w:spacing w:before="80" w:after="60" w:line="240" w:lineRule="auto"/>
              <w:rPr>
                <w:rFonts w:eastAsia="MS Mincho"/>
              </w:rPr>
            </w:pPr>
            <w:r w:rsidRPr="00DD5274">
              <w:rPr>
                <w:rFonts w:eastAsia="MS Mincho"/>
                <w:b/>
                <w:bCs/>
              </w:rPr>
              <w:t>Extensive damage repairs:</w:t>
            </w:r>
            <w:r w:rsidRPr="00DD5274">
              <w:rPr>
                <w:rFonts w:eastAsia="MS Mincho"/>
              </w:rPr>
              <w:t xml:space="preserve"> fire</w:t>
            </w:r>
            <w:r w:rsidRPr="00DD5274">
              <w:rPr>
                <w:rFonts w:ascii="Cambria Math" w:eastAsia="MS Mincho" w:hAnsi="Cambria Math" w:cs="Cambria Math"/>
              </w:rPr>
              <w:t>‑</w:t>
            </w:r>
            <w:r w:rsidRPr="00DD5274">
              <w:rPr>
                <w:rFonts w:eastAsia="MS Mincho"/>
              </w:rPr>
              <w:t>damaged properties, major vandalism repairs, methamphetamine/mould/pest contamination remediation.</w:t>
            </w:r>
          </w:p>
          <w:p w14:paraId="01571616" w14:textId="12E9DD30" w:rsidR="00DD5274" w:rsidRPr="00DD5274" w:rsidRDefault="00DD5274" w:rsidP="00DD5274">
            <w:pPr>
              <w:numPr>
                <w:ilvl w:val="0"/>
                <w:numId w:val="3"/>
              </w:numPr>
              <w:spacing w:before="80" w:after="60" w:line="240" w:lineRule="auto"/>
              <w:rPr>
                <w:rFonts w:eastAsia="MS Mincho"/>
              </w:rPr>
            </w:pPr>
            <w:r w:rsidRPr="00DD5274">
              <w:rPr>
                <w:rFonts w:eastAsia="MS Mincho"/>
                <w:b/>
                <w:bCs/>
              </w:rPr>
              <w:t xml:space="preserve">Terrain and site works: </w:t>
            </w:r>
            <w:r w:rsidRPr="00DD5274">
              <w:rPr>
                <w:rFonts w:eastAsia="MS Mincho"/>
              </w:rPr>
              <w:t>retaining walls, major drainage works, significant landscaping or earthwor</w:t>
            </w:r>
            <w:r>
              <w:rPr>
                <w:rFonts w:eastAsia="MS Mincho"/>
              </w:rPr>
              <w:t>ks</w:t>
            </w:r>
            <w:r w:rsidRPr="00DD5274">
              <w:rPr>
                <w:rFonts w:eastAsia="MS Mincho"/>
                <w:b/>
                <w:bCs/>
              </w:rPr>
              <w:t>.</w:t>
            </w:r>
          </w:p>
        </w:tc>
      </w:tr>
      <w:tr w:rsidR="00DD5274" w:rsidRPr="00DD5274" w14:paraId="3AA1B808" w14:textId="77777777">
        <w:tc>
          <w:tcPr>
            <w:tcW w:w="2263" w:type="dxa"/>
            <w:hideMark/>
          </w:tcPr>
          <w:p w14:paraId="1158826D" w14:textId="77777777" w:rsidR="00DD5274" w:rsidRPr="009F0F50" w:rsidRDefault="00DD5274" w:rsidP="00F17779">
            <w:pPr>
              <w:pStyle w:val="Tabletext"/>
            </w:pPr>
            <w:r w:rsidRPr="00F17779">
              <w:rPr>
                <w:rFonts w:eastAsia="MS Mincho"/>
              </w:rPr>
              <w:t>Referral requirement</w:t>
            </w:r>
          </w:p>
        </w:tc>
        <w:tc>
          <w:tcPr>
            <w:tcW w:w="7025" w:type="dxa"/>
            <w:hideMark/>
          </w:tcPr>
          <w:p w14:paraId="0B9051E0" w14:textId="6842F4EA" w:rsidR="00DD5274" w:rsidRPr="00A94EE8" w:rsidRDefault="00DD5274" w:rsidP="00DD5274">
            <w:pPr>
              <w:spacing w:before="80" w:after="60" w:line="240" w:lineRule="auto"/>
            </w:pPr>
            <w:r w:rsidRPr="00A94EE8">
              <w:t xml:space="preserve">Vacant properties requiring this level of work </w:t>
            </w:r>
            <w:r w:rsidRPr="00A94EE8">
              <w:rPr>
                <w:rFonts w:eastAsia="MS Mincho"/>
              </w:rPr>
              <w:t xml:space="preserve">must be referred to </w:t>
            </w:r>
            <w:r w:rsidR="00D240DA" w:rsidRPr="00A94EE8">
              <w:rPr>
                <w:rFonts w:eastAsia="MS Mincho"/>
              </w:rPr>
              <w:t xml:space="preserve">the </w:t>
            </w:r>
            <w:r w:rsidRPr="00A94EE8">
              <w:rPr>
                <w:rFonts w:eastAsia="MS Mincho"/>
              </w:rPr>
              <w:t>Asset Management</w:t>
            </w:r>
            <w:r w:rsidRPr="00A94EE8">
              <w:t xml:space="preserve"> </w:t>
            </w:r>
            <w:r w:rsidR="00D240DA" w:rsidRPr="00A94EE8">
              <w:t xml:space="preserve">Branch </w:t>
            </w:r>
            <w:r w:rsidRPr="00A94EE8">
              <w:t>for assessment.</w:t>
            </w:r>
          </w:p>
        </w:tc>
      </w:tr>
    </w:tbl>
    <w:p w14:paraId="691DEF32" w14:textId="3A91FAD1" w:rsidR="00DD5274" w:rsidRPr="00DD5274" w:rsidRDefault="00DD5274" w:rsidP="000B6413">
      <w:pPr>
        <w:pStyle w:val="Tablecaption"/>
      </w:pPr>
      <w:r w:rsidRPr="00DD5274">
        <w:rPr>
          <w:rFonts w:eastAsia="MS Mincho"/>
          <w:bCs/>
        </w:rPr>
        <w:t xml:space="preserve">Table </w:t>
      </w:r>
      <w:r w:rsidR="00BE25A2">
        <w:rPr>
          <w:rFonts w:eastAsia="MS Mincho"/>
          <w:bCs/>
        </w:rPr>
        <w:t>10</w:t>
      </w:r>
      <w:r w:rsidRPr="00DD5274">
        <w:rPr>
          <w:rFonts w:eastAsia="MS Mincho"/>
          <w:bCs/>
        </w:rPr>
        <w:t>: Non</w:t>
      </w:r>
      <w:r w:rsidRPr="00DD5274">
        <w:rPr>
          <w:rFonts w:eastAsia="MS Mincho"/>
          <w:bCs/>
        </w:rPr>
        <w:noBreakHyphen/>
        <w:t>capital works (Local office responsibility)</w:t>
      </w:r>
    </w:p>
    <w:tbl>
      <w:tblPr>
        <w:tblStyle w:val="TableGrid"/>
        <w:tblW w:w="0" w:type="auto"/>
        <w:tblLook w:val="04A0" w:firstRow="1" w:lastRow="0" w:firstColumn="1" w:lastColumn="0" w:noHBand="0" w:noVBand="1"/>
      </w:tblPr>
      <w:tblGrid>
        <w:gridCol w:w="2263"/>
        <w:gridCol w:w="7025"/>
      </w:tblGrid>
      <w:tr w:rsidR="00DD5274" w:rsidRPr="00DD5274" w14:paraId="7F1DD48F" w14:textId="77777777" w:rsidTr="00396475">
        <w:trPr>
          <w:tblHeader/>
        </w:trPr>
        <w:tc>
          <w:tcPr>
            <w:tcW w:w="2263" w:type="dxa"/>
            <w:hideMark/>
          </w:tcPr>
          <w:p w14:paraId="3C6E430E" w14:textId="77777777" w:rsidR="00DD5274" w:rsidRPr="00DD5274" w:rsidRDefault="00DD5274" w:rsidP="007412A6">
            <w:pPr>
              <w:pStyle w:val="Tablecolhead"/>
            </w:pPr>
            <w:r w:rsidRPr="00DD5274">
              <w:rPr>
                <w:rFonts w:eastAsia="MS Mincho"/>
              </w:rPr>
              <w:t>Category</w:t>
            </w:r>
          </w:p>
        </w:tc>
        <w:tc>
          <w:tcPr>
            <w:tcW w:w="7025" w:type="dxa"/>
            <w:hideMark/>
          </w:tcPr>
          <w:p w14:paraId="6D0F4D85" w14:textId="77777777" w:rsidR="00DD5274" w:rsidRPr="00DD5274" w:rsidRDefault="00DD5274" w:rsidP="007412A6">
            <w:pPr>
              <w:pStyle w:val="Tablecolhead"/>
            </w:pPr>
            <w:r w:rsidRPr="00DD5274">
              <w:rPr>
                <w:rFonts w:eastAsia="MS Mincho"/>
              </w:rPr>
              <w:t>Description</w:t>
            </w:r>
          </w:p>
        </w:tc>
      </w:tr>
      <w:tr w:rsidR="00DD5274" w:rsidRPr="00DD5274" w14:paraId="7AD945C4" w14:textId="77777777">
        <w:tc>
          <w:tcPr>
            <w:tcW w:w="2263" w:type="dxa"/>
            <w:hideMark/>
          </w:tcPr>
          <w:p w14:paraId="36706BB5" w14:textId="77777777" w:rsidR="00DD5274" w:rsidRPr="00DD5274" w:rsidRDefault="00DD5274" w:rsidP="00F17779">
            <w:pPr>
              <w:pStyle w:val="Tabletext"/>
            </w:pPr>
            <w:r w:rsidRPr="00DD5274">
              <w:rPr>
                <w:rFonts w:eastAsia="MS Mincho"/>
              </w:rPr>
              <w:t>Definition</w:t>
            </w:r>
          </w:p>
        </w:tc>
        <w:tc>
          <w:tcPr>
            <w:tcW w:w="7025" w:type="dxa"/>
            <w:hideMark/>
          </w:tcPr>
          <w:p w14:paraId="11E0DF0A" w14:textId="77777777" w:rsidR="00DD5274" w:rsidRPr="00DD5274" w:rsidRDefault="00DD5274" w:rsidP="00B42A32">
            <w:pPr>
              <w:pStyle w:val="Tabletext"/>
            </w:pPr>
            <w:r w:rsidRPr="00DD5274">
              <w:t>Day</w:t>
            </w:r>
            <w:r w:rsidRPr="00DD5274">
              <w:noBreakHyphen/>
              <w:t>to</w:t>
            </w:r>
            <w:r w:rsidRPr="00DD5274">
              <w:noBreakHyphen/>
              <w:t xml:space="preserve">day maintenance and minor repairs needed to keep a property safe, functional, and ready for reletting. These works </w:t>
            </w:r>
            <w:r w:rsidRPr="00A94EE8">
              <w:rPr>
                <w:rFonts w:eastAsia="MS Mincho"/>
              </w:rPr>
              <w:t>do not extend the asset’s life</w:t>
            </w:r>
            <w:r w:rsidRPr="00A94EE8">
              <w:t xml:space="preserve"> and are carried out locally.</w:t>
            </w:r>
          </w:p>
        </w:tc>
      </w:tr>
      <w:tr w:rsidR="00DD5274" w:rsidRPr="00DD5274" w14:paraId="09158479" w14:textId="77777777">
        <w:tc>
          <w:tcPr>
            <w:tcW w:w="2263" w:type="dxa"/>
            <w:hideMark/>
          </w:tcPr>
          <w:p w14:paraId="7C5666D0" w14:textId="77777777" w:rsidR="00DD5274" w:rsidRPr="00DD5274" w:rsidRDefault="00DD5274" w:rsidP="00F17779">
            <w:pPr>
              <w:pStyle w:val="Tabletext"/>
            </w:pPr>
            <w:r w:rsidRPr="00DD5274">
              <w:rPr>
                <w:rFonts w:eastAsia="MS Mincho"/>
              </w:rPr>
              <w:t>Delivery pathway</w:t>
            </w:r>
          </w:p>
        </w:tc>
        <w:tc>
          <w:tcPr>
            <w:tcW w:w="7025" w:type="dxa"/>
            <w:hideMark/>
          </w:tcPr>
          <w:p w14:paraId="19B32816" w14:textId="77777777" w:rsidR="00DD5274" w:rsidRPr="00DD5274" w:rsidRDefault="00DD5274" w:rsidP="00B42A32">
            <w:pPr>
              <w:pStyle w:val="Tabletext"/>
            </w:pPr>
            <w:r w:rsidRPr="00DD5274">
              <w:t>Local housing offices raise work orders under the SOR for vacant maintenance and fair wear</w:t>
            </w:r>
            <w:r w:rsidRPr="00DD5274">
              <w:noBreakHyphen/>
              <w:t>and</w:t>
            </w:r>
            <w:r w:rsidRPr="00DD5274">
              <w:noBreakHyphen/>
              <w:t>tear repairs.</w:t>
            </w:r>
          </w:p>
        </w:tc>
      </w:tr>
      <w:tr w:rsidR="00DD5274" w:rsidRPr="00DD5274" w14:paraId="5318BCC9" w14:textId="77777777">
        <w:tc>
          <w:tcPr>
            <w:tcW w:w="2263" w:type="dxa"/>
          </w:tcPr>
          <w:p w14:paraId="1987DD71" w14:textId="77777777" w:rsidR="00DD5274" w:rsidRPr="00DD5274" w:rsidRDefault="00DD5274" w:rsidP="00F17779">
            <w:pPr>
              <w:pStyle w:val="Tabletext"/>
              <w:rPr>
                <w:rFonts w:eastAsia="MS Mincho"/>
              </w:rPr>
            </w:pPr>
            <w:r w:rsidRPr="00DD5274">
              <w:rPr>
                <w:rFonts w:eastAsia="MS Mincho"/>
              </w:rPr>
              <w:t>Examples of non</w:t>
            </w:r>
            <w:r w:rsidRPr="00DD5274">
              <w:rPr>
                <w:rFonts w:ascii="Cambria Math" w:eastAsia="MS Mincho" w:hAnsi="Cambria Math" w:cs="Cambria Math"/>
              </w:rPr>
              <w:t>‑</w:t>
            </w:r>
            <w:r w:rsidRPr="00DD5274">
              <w:rPr>
                <w:rFonts w:eastAsia="MS Mincho"/>
              </w:rPr>
              <w:t>capital works</w:t>
            </w:r>
          </w:p>
        </w:tc>
        <w:tc>
          <w:tcPr>
            <w:tcW w:w="7025" w:type="dxa"/>
          </w:tcPr>
          <w:p w14:paraId="0C46F678" w14:textId="77777777" w:rsidR="00DD5274" w:rsidRPr="00DD5274" w:rsidRDefault="00DD5274" w:rsidP="00DD5274">
            <w:pPr>
              <w:numPr>
                <w:ilvl w:val="0"/>
                <w:numId w:val="3"/>
              </w:numPr>
              <w:spacing w:before="80" w:after="60" w:line="240" w:lineRule="auto"/>
            </w:pPr>
            <w:r w:rsidRPr="00DD5274">
              <w:rPr>
                <w:b/>
                <w:bCs/>
              </w:rPr>
              <w:t>General maintenance:</w:t>
            </w:r>
            <w:r w:rsidRPr="00DD5274">
              <w:t xml:space="preserve"> lock changes, repairing windows, fixing taps.</w:t>
            </w:r>
          </w:p>
          <w:p w14:paraId="196A18D6" w14:textId="77777777" w:rsidR="00DD5274" w:rsidRPr="00DD5274" w:rsidRDefault="00DD5274" w:rsidP="00DD5274">
            <w:pPr>
              <w:numPr>
                <w:ilvl w:val="0"/>
                <w:numId w:val="3"/>
              </w:numPr>
              <w:spacing w:before="80" w:after="60" w:line="240" w:lineRule="auto"/>
            </w:pPr>
            <w:r w:rsidRPr="00DD5274">
              <w:rPr>
                <w:b/>
                <w:bCs/>
              </w:rPr>
              <w:t>Cleaning and waste removal:</w:t>
            </w:r>
            <w:r w:rsidRPr="00DD5274">
              <w:t xml:space="preserve"> rubbish removal, pest control, internal and external cleaning.</w:t>
            </w:r>
          </w:p>
          <w:p w14:paraId="164788E9" w14:textId="77777777" w:rsidR="00DD5274" w:rsidRPr="00DD5274" w:rsidRDefault="00DD5274" w:rsidP="00DD5274">
            <w:pPr>
              <w:numPr>
                <w:ilvl w:val="0"/>
                <w:numId w:val="3"/>
              </w:numPr>
              <w:spacing w:before="80" w:after="60" w:line="240" w:lineRule="auto"/>
            </w:pPr>
            <w:r w:rsidRPr="00DD5274">
              <w:rPr>
                <w:b/>
                <w:bCs/>
              </w:rPr>
              <w:t>Minor repairs:</w:t>
            </w:r>
            <w:r w:rsidRPr="00DD5274">
              <w:t xml:space="preserve"> patching walls, securing loose fixtures, partial gutter replacements, minor flooring repairs.</w:t>
            </w:r>
          </w:p>
          <w:p w14:paraId="515C0AD7" w14:textId="77777777" w:rsidR="00DD5274" w:rsidRPr="00DD5274" w:rsidRDefault="00DD5274" w:rsidP="00DD5274">
            <w:pPr>
              <w:numPr>
                <w:ilvl w:val="0"/>
                <w:numId w:val="3"/>
              </w:numPr>
              <w:spacing w:before="80" w:after="60" w:line="240" w:lineRule="auto"/>
            </w:pPr>
            <w:r w:rsidRPr="00DD5274">
              <w:rPr>
                <w:b/>
                <w:bCs/>
              </w:rPr>
              <w:t>Safety and security:</w:t>
            </w:r>
            <w:r w:rsidRPr="00DD5274">
              <w:t xml:space="preserve"> fence repairs, reattaching cupboard doors, replacing smoke alarm batteries, fixing broken tiles or benchtops.</w:t>
            </w:r>
          </w:p>
        </w:tc>
      </w:tr>
      <w:tr w:rsidR="00DD5274" w:rsidRPr="00DD5274" w14:paraId="6FE0C753" w14:textId="77777777">
        <w:tc>
          <w:tcPr>
            <w:tcW w:w="2263" w:type="dxa"/>
            <w:hideMark/>
          </w:tcPr>
          <w:p w14:paraId="770F4D53" w14:textId="77777777" w:rsidR="00DD5274" w:rsidRPr="00DD5274" w:rsidRDefault="00DD5274" w:rsidP="00F17779">
            <w:pPr>
              <w:pStyle w:val="Tabletext"/>
            </w:pPr>
            <w:r w:rsidRPr="00DD5274">
              <w:rPr>
                <w:rFonts w:eastAsia="MS Mincho"/>
              </w:rPr>
              <w:lastRenderedPageBreak/>
              <w:t>Referral requirement</w:t>
            </w:r>
          </w:p>
        </w:tc>
        <w:tc>
          <w:tcPr>
            <w:tcW w:w="7025" w:type="dxa"/>
            <w:hideMark/>
          </w:tcPr>
          <w:p w14:paraId="21164EFB" w14:textId="77777777" w:rsidR="00DD5274" w:rsidRPr="00B42A32" w:rsidRDefault="00DD5274" w:rsidP="00B42A32">
            <w:pPr>
              <w:pStyle w:val="Tabletext"/>
            </w:pPr>
            <w:r w:rsidRPr="00B42A32">
              <w:t xml:space="preserve">These works </w:t>
            </w:r>
            <w:r w:rsidRPr="00B42A32">
              <w:rPr>
                <w:rFonts w:eastAsia="MS Mincho"/>
              </w:rPr>
              <w:t>should be completed locally</w:t>
            </w:r>
            <w:r w:rsidRPr="00B42A32">
              <w:t xml:space="preserve">. They </w:t>
            </w:r>
            <w:r w:rsidRPr="00B42A32">
              <w:rPr>
                <w:rFonts w:eastAsia="MS Mincho"/>
              </w:rPr>
              <w:t>do not</w:t>
            </w:r>
            <w:r w:rsidRPr="00B42A32">
              <w:t xml:space="preserve"> require referral to the Asset Management Branch.</w:t>
            </w:r>
          </w:p>
        </w:tc>
      </w:tr>
    </w:tbl>
    <w:p w14:paraId="1D4BBAAF" w14:textId="77777777" w:rsidR="00DD5274" w:rsidRPr="00DD5274" w:rsidRDefault="00DD5274" w:rsidP="00DD5274">
      <w:pPr>
        <w:spacing w:before="240"/>
        <w:rPr>
          <w:rFonts w:eastAsia="Times"/>
        </w:rPr>
      </w:pPr>
      <w:r w:rsidRPr="00DD5274">
        <w:rPr>
          <w:rFonts w:eastAsia="Times"/>
        </w:rPr>
        <w:t>In some situations, routine maintenance may uncover underlying issues that require Capital Works. For example, a leaking roof may be repaired locally, but a Field Services Officer inspection may reveal that the roof is significantly deteriorated and requires full replacement. When this occurs:</w:t>
      </w:r>
    </w:p>
    <w:p w14:paraId="7D4584E4" w14:textId="77777777" w:rsidR="00DD5274" w:rsidRPr="00DD5274" w:rsidRDefault="00DD5274" w:rsidP="00DD5274">
      <w:pPr>
        <w:numPr>
          <w:ilvl w:val="0"/>
          <w:numId w:val="2"/>
        </w:numPr>
        <w:spacing w:after="40"/>
        <w:rPr>
          <w:rFonts w:eastAsia="Times"/>
        </w:rPr>
      </w:pPr>
      <w:r w:rsidRPr="00DD5274">
        <w:rPr>
          <w:rFonts w:eastAsia="Times"/>
        </w:rPr>
        <w:t>local offices should complete the immediate non</w:t>
      </w:r>
      <w:r w:rsidRPr="00DD5274">
        <w:rPr>
          <w:rFonts w:ascii="Cambria Math" w:eastAsia="Times" w:hAnsi="Cambria Math" w:cs="Cambria Math"/>
        </w:rPr>
        <w:t>‑</w:t>
      </w:r>
      <w:r w:rsidRPr="00DD5274">
        <w:rPr>
          <w:rFonts w:eastAsia="Times"/>
        </w:rPr>
        <w:t>capital maintenance needed to address the presenting issue (e.g. repairing the active leak).</w:t>
      </w:r>
    </w:p>
    <w:p w14:paraId="3FE6F4EB" w14:textId="77777777" w:rsidR="00405CCD" w:rsidRDefault="00DD5274" w:rsidP="00DD5274">
      <w:pPr>
        <w:numPr>
          <w:ilvl w:val="0"/>
          <w:numId w:val="2"/>
        </w:numPr>
        <w:spacing w:after="40"/>
        <w:rPr>
          <w:rFonts w:eastAsia="Times"/>
        </w:rPr>
        <w:sectPr w:rsidR="00405CCD" w:rsidSect="00405CCD">
          <w:pgSz w:w="11906" w:h="16838" w:code="9"/>
          <w:pgMar w:top="1418" w:right="1304" w:bottom="851" w:left="1304" w:header="680" w:footer="567" w:gutter="0"/>
          <w:cols w:space="340"/>
          <w:docGrid w:linePitch="360"/>
        </w:sectPr>
      </w:pPr>
      <w:r w:rsidRPr="00DD5274">
        <w:rPr>
          <w:rFonts w:eastAsia="Times"/>
        </w:rPr>
        <w:t>if further investigation identifies major or extensive works, the local office must document the findings and submit a referral to the Asset Management Branch for assessment.</w:t>
      </w:r>
    </w:p>
    <w:p w14:paraId="1142414E" w14:textId="2B997190" w:rsidR="00F32010" w:rsidRDefault="00405CCD" w:rsidP="00405CCD">
      <w:pPr>
        <w:pStyle w:val="Heading1"/>
      </w:pPr>
      <w:bookmarkStart w:id="30" w:name="_Referral_guide_and"/>
      <w:bookmarkStart w:id="31" w:name="_Toc224119183"/>
      <w:bookmarkEnd w:id="30"/>
      <w:r w:rsidRPr="00405CCD">
        <w:lastRenderedPageBreak/>
        <w:t>Referral guide and assessment - Asset Management Branch</w:t>
      </w:r>
      <w:bookmarkEnd w:id="31"/>
    </w:p>
    <w:tbl>
      <w:tblPr>
        <w:tblStyle w:val="TableGrid"/>
        <w:tblW w:w="5000" w:type="pct"/>
        <w:tblLook w:val="04A0" w:firstRow="1" w:lastRow="0" w:firstColumn="1" w:lastColumn="0" w:noHBand="0" w:noVBand="1"/>
      </w:tblPr>
      <w:tblGrid>
        <w:gridCol w:w="2970"/>
        <w:gridCol w:w="11589"/>
      </w:tblGrid>
      <w:tr w:rsidR="005C62C9" w:rsidRPr="00911DE6" w14:paraId="04B6B3B4" w14:textId="77777777" w:rsidTr="00405CCD">
        <w:trPr>
          <w:trHeight w:val="362"/>
        </w:trPr>
        <w:tc>
          <w:tcPr>
            <w:tcW w:w="1020" w:type="pct"/>
            <w:noWrap/>
          </w:tcPr>
          <w:p w14:paraId="4790836A" w14:textId="099F88C8" w:rsidR="005C62C9" w:rsidRPr="00911DE6" w:rsidRDefault="005C62C9" w:rsidP="00CF2B06">
            <w:pPr>
              <w:pStyle w:val="Tablecolhead"/>
              <w:rPr>
                <w:lang w:eastAsia="en-AU"/>
              </w:rPr>
            </w:pPr>
            <w:r w:rsidRPr="00911DE6">
              <w:rPr>
                <w:lang w:eastAsia="en-AU"/>
              </w:rPr>
              <w:t xml:space="preserve">Property </w:t>
            </w:r>
            <w:r>
              <w:rPr>
                <w:lang w:eastAsia="en-AU"/>
              </w:rPr>
              <w:t>a</w:t>
            </w:r>
            <w:r w:rsidRPr="00911DE6">
              <w:rPr>
                <w:lang w:eastAsia="en-AU"/>
              </w:rPr>
              <w:t>ddress</w:t>
            </w:r>
          </w:p>
        </w:tc>
        <w:sdt>
          <w:sdtPr>
            <w:rPr>
              <w:lang w:eastAsia="en-AU"/>
            </w:rPr>
            <w:alias w:val="Property address"/>
            <w:tag w:val="Property address"/>
            <w:id w:val="-1328438610"/>
            <w:placeholder>
              <w:docPart w:val="DefaultPlaceholder_-1854013440"/>
            </w:placeholder>
            <w:showingPlcHdr/>
          </w:sdtPr>
          <w:sdtContent>
            <w:tc>
              <w:tcPr>
                <w:tcW w:w="3980" w:type="pct"/>
                <w:noWrap/>
              </w:tcPr>
              <w:p w14:paraId="46F01DDE" w14:textId="7F3A6DD7" w:rsidR="005C62C9" w:rsidRPr="00911DE6" w:rsidRDefault="0094225F" w:rsidP="0094225F">
                <w:pPr>
                  <w:pStyle w:val="Tabletext"/>
                  <w:rPr>
                    <w:lang w:eastAsia="en-AU"/>
                  </w:rPr>
                </w:pPr>
                <w:r w:rsidRPr="00EE0B3B">
                  <w:rPr>
                    <w:rStyle w:val="PlaceholderText"/>
                  </w:rPr>
                  <w:t>Click or tap here to enter text.</w:t>
                </w:r>
              </w:p>
            </w:tc>
          </w:sdtContent>
        </w:sdt>
      </w:tr>
    </w:tbl>
    <w:p w14:paraId="29D3BF98" w14:textId="77777777" w:rsidR="00E02666" w:rsidRDefault="00E02666"/>
    <w:tbl>
      <w:tblPr>
        <w:tblStyle w:val="TableGrid"/>
        <w:tblW w:w="5000" w:type="pct"/>
        <w:tblLook w:val="04A0" w:firstRow="1" w:lastRow="0" w:firstColumn="1" w:lastColumn="0" w:noHBand="0" w:noVBand="1"/>
      </w:tblPr>
      <w:tblGrid>
        <w:gridCol w:w="2971"/>
        <w:gridCol w:w="2971"/>
        <w:gridCol w:w="2971"/>
        <w:gridCol w:w="3031"/>
        <w:gridCol w:w="2615"/>
      </w:tblGrid>
      <w:tr w:rsidR="005C62C9" w:rsidRPr="00911DE6" w14:paraId="6A07D6EA" w14:textId="47169C37" w:rsidTr="00E02666">
        <w:trPr>
          <w:trHeight w:val="362"/>
        </w:trPr>
        <w:tc>
          <w:tcPr>
            <w:tcW w:w="1020" w:type="pct"/>
            <w:noWrap/>
            <w:hideMark/>
          </w:tcPr>
          <w:p w14:paraId="3BBCAC93" w14:textId="77777777" w:rsidR="005C62C9" w:rsidRPr="00911DE6" w:rsidRDefault="005C62C9" w:rsidP="00CF2B06">
            <w:pPr>
              <w:pStyle w:val="Tablecolhead"/>
              <w:rPr>
                <w:lang w:eastAsia="en-AU"/>
              </w:rPr>
            </w:pPr>
            <w:r w:rsidRPr="00911DE6">
              <w:rPr>
                <w:lang w:eastAsia="en-AU"/>
              </w:rPr>
              <w:t> Property PIN</w:t>
            </w:r>
          </w:p>
        </w:tc>
        <w:tc>
          <w:tcPr>
            <w:tcW w:w="1020" w:type="pct"/>
            <w:noWrap/>
            <w:hideMark/>
          </w:tcPr>
          <w:p w14:paraId="50355AB1" w14:textId="77777777" w:rsidR="005C62C9" w:rsidRPr="00911DE6" w:rsidRDefault="005C62C9" w:rsidP="00CF2B06">
            <w:pPr>
              <w:pStyle w:val="Tablecolhead"/>
              <w:rPr>
                <w:lang w:eastAsia="en-AU"/>
              </w:rPr>
            </w:pPr>
            <w:r w:rsidRPr="00911DE6">
              <w:rPr>
                <w:lang w:eastAsia="en-AU"/>
              </w:rPr>
              <w:t> Land PIN</w:t>
            </w:r>
          </w:p>
        </w:tc>
        <w:tc>
          <w:tcPr>
            <w:tcW w:w="1020" w:type="pct"/>
            <w:noWrap/>
            <w:hideMark/>
          </w:tcPr>
          <w:p w14:paraId="29E52998" w14:textId="66F12159" w:rsidR="005C62C9" w:rsidRPr="00911DE6" w:rsidRDefault="005C62C9" w:rsidP="00CF2B06">
            <w:pPr>
              <w:pStyle w:val="Tablecolhead"/>
              <w:rPr>
                <w:lang w:eastAsia="en-AU"/>
              </w:rPr>
            </w:pPr>
            <w:r w:rsidRPr="00911DE6">
              <w:rPr>
                <w:lang w:eastAsia="en-AU"/>
              </w:rPr>
              <w:t xml:space="preserve"> Year </w:t>
            </w:r>
            <w:r>
              <w:rPr>
                <w:lang w:eastAsia="en-AU"/>
              </w:rPr>
              <w:t>b</w:t>
            </w:r>
            <w:r w:rsidRPr="00911DE6">
              <w:rPr>
                <w:lang w:eastAsia="en-AU"/>
              </w:rPr>
              <w:t>uilt</w:t>
            </w:r>
          </w:p>
        </w:tc>
        <w:tc>
          <w:tcPr>
            <w:tcW w:w="1041" w:type="pct"/>
          </w:tcPr>
          <w:p w14:paraId="57797845" w14:textId="2589CD85" w:rsidR="005C62C9" w:rsidRPr="00911DE6" w:rsidRDefault="005C62C9" w:rsidP="00CF2B06">
            <w:pPr>
              <w:pStyle w:val="Tablecolhead"/>
              <w:rPr>
                <w:lang w:eastAsia="en-AU"/>
              </w:rPr>
            </w:pPr>
            <w:r w:rsidRPr="00911DE6">
              <w:rPr>
                <w:lang w:eastAsia="en-AU"/>
              </w:rPr>
              <w:t xml:space="preserve">Cladding </w:t>
            </w:r>
            <w:r>
              <w:rPr>
                <w:lang w:eastAsia="en-AU"/>
              </w:rPr>
              <w:t>type</w:t>
            </w:r>
          </w:p>
        </w:tc>
        <w:tc>
          <w:tcPr>
            <w:tcW w:w="898" w:type="pct"/>
          </w:tcPr>
          <w:p w14:paraId="527B4EBB" w14:textId="5CB91E37" w:rsidR="005C62C9" w:rsidRPr="00911DE6" w:rsidRDefault="005C62C9" w:rsidP="00CF2B06">
            <w:pPr>
              <w:pStyle w:val="Tablecolhead"/>
              <w:rPr>
                <w:lang w:eastAsia="en-AU"/>
              </w:rPr>
            </w:pPr>
            <w:r w:rsidRPr="00911DE6">
              <w:rPr>
                <w:lang w:eastAsia="en-AU"/>
              </w:rPr>
              <w:t>Demand and supply</w:t>
            </w:r>
          </w:p>
        </w:tc>
      </w:tr>
      <w:tr w:rsidR="005C62C9" w:rsidRPr="00911DE6" w14:paraId="7FF2231D" w14:textId="1E21C186" w:rsidTr="00E02666">
        <w:trPr>
          <w:trHeight w:val="362"/>
        </w:trPr>
        <w:sdt>
          <w:sdtPr>
            <w:rPr>
              <w:rFonts w:ascii="Aptos" w:hAnsi="Aptos"/>
              <w:color w:val="000000"/>
              <w:sz w:val="20"/>
              <w:lang w:eastAsia="en-AU"/>
            </w:rPr>
            <w:id w:val="1571388727"/>
            <w:placeholder>
              <w:docPart w:val="DefaultPlaceholder_-1854013440"/>
            </w:placeholder>
            <w:showingPlcHdr/>
            <w:text/>
          </w:sdtPr>
          <w:sdtContent>
            <w:tc>
              <w:tcPr>
                <w:tcW w:w="1020" w:type="pct"/>
                <w:noWrap/>
              </w:tcPr>
              <w:p w14:paraId="69E63D04" w14:textId="0D41511B" w:rsidR="005C62C9" w:rsidRPr="00911DE6" w:rsidRDefault="0094225F" w:rsidP="0094225F">
                <w:pPr>
                  <w:pStyle w:val="Tabletext"/>
                  <w:rPr>
                    <w:rFonts w:ascii="Aptos" w:hAnsi="Aptos"/>
                    <w:color w:val="000000"/>
                    <w:sz w:val="20"/>
                    <w:lang w:eastAsia="en-AU"/>
                  </w:rPr>
                </w:pPr>
                <w:r w:rsidRPr="00EE0B3B">
                  <w:rPr>
                    <w:rStyle w:val="PlaceholderText"/>
                  </w:rPr>
                  <w:t>Click or tap here to enter text.</w:t>
                </w:r>
              </w:p>
            </w:tc>
          </w:sdtContent>
        </w:sdt>
        <w:sdt>
          <w:sdtPr>
            <w:rPr>
              <w:rFonts w:ascii="Aptos" w:hAnsi="Aptos"/>
              <w:color w:val="000000"/>
              <w:sz w:val="20"/>
              <w:lang w:eastAsia="en-AU"/>
            </w:rPr>
            <w:id w:val="-857041667"/>
            <w:placeholder>
              <w:docPart w:val="DefaultPlaceholder_-1854013440"/>
            </w:placeholder>
            <w:showingPlcHdr/>
            <w:text/>
          </w:sdtPr>
          <w:sdtContent>
            <w:tc>
              <w:tcPr>
                <w:tcW w:w="1020" w:type="pct"/>
                <w:noWrap/>
              </w:tcPr>
              <w:p w14:paraId="40BFC281" w14:textId="03FACFEA" w:rsidR="005C62C9" w:rsidRPr="00911DE6" w:rsidRDefault="0094225F" w:rsidP="0094225F">
                <w:pPr>
                  <w:pStyle w:val="Tabletext"/>
                  <w:rPr>
                    <w:rFonts w:ascii="Aptos" w:hAnsi="Aptos"/>
                    <w:color w:val="000000"/>
                    <w:sz w:val="20"/>
                    <w:lang w:eastAsia="en-AU"/>
                  </w:rPr>
                </w:pPr>
                <w:r w:rsidRPr="00EE0B3B">
                  <w:rPr>
                    <w:rStyle w:val="PlaceholderText"/>
                  </w:rPr>
                  <w:t>Click or tap here to enter text.</w:t>
                </w:r>
              </w:p>
            </w:tc>
          </w:sdtContent>
        </w:sdt>
        <w:sdt>
          <w:sdtPr>
            <w:rPr>
              <w:rFonts w:ascii="Aptos" w:hAnsi="Aptos"/>
              <w:color w:val="000000"/>
              <w:sz w:val="20"/>
              <w:lang w:eastAsia="en-AU"/>
            </w:rPr>
            <w:id w:val="-952553413"/>
            <w:placeholder>
              <w:docPart w:val="DefaultPlaceholder_-1854013440"/>
            </w:placeholder>
            <w:showingPlcHdr/>
            <w:text/>
          </w:sdtPr>
          <w:sdtContent>
            <w:tc>
              <w:tcPr>
                <w:tcW w:w="1020" w:type="pct"/>
                <w:noWrap/>
              </w:tcPr>
              <w:p w14:paraId="1795B8F7" w14:textId="4D799C6D" w:rsidR="005C62C9" w:rsidRPr="00911DE6" w:rsidRDefault="0094225F" w:rsidP="0094225F">
                <w:pPr>
                  <w:pStyle w:val="Tabletext"/>
                  <w:rPr>
                    <w:rFonts w:ascii="Aptos" w:hAnsi="Aptos"/>
                    <w:color w:val="000000"/>
                    <w:sz w:val="20"/>
                    <w:lang w:eastAsia="en-AU"/>
                  </w:rPr>
                </w:pPr>
                <w:r w:rsidRPr="00EE0B3B">
                  <w:rPr>
                    <w:rStyle w:val="PlaceholderText"/>
                  </w:rPr>
                  <w:t>Click or tap here to enter text.</w:t>
                </w:r>
              </w:p>
            </w:tc>
          </w:sdtContent>
        </w:sdt>
        <w:sdt>
          <w:sdtPr>
            <w:rPr>
              <w:rFonts w:ascii="Aptos" w:hAnsi="Aptos"/>
              <w:color w:val="000000"/>
              <w:sz w:val="20"/>
              <w:lang w:eastAsia="en-AU"/>
            </w:rPr>
            <w:id w:val="-1515995069"/>
            <w:placeholder>
              <w:docPart w:val="DefaultPlaceholder_-1854013440"/>
            </w:placeholder>
            <w:showingPlcHdr/>
            <w:text/>
          </w:sdtPr>
          <w:sdtContent>
            <w:tc>
              <w:tcPr>
                <w:tcW w:w="1041" w:type="pct"/>
              </w:tcPr>
              <w:p w14:paraId="65E596FF" w14:textId="11E41822" w:rsidR="005C62C9" w:rsidRPr="00911DE6" w:rsidRDefault="0094225F" w:rsidP="0094225F">
                <w:pPr>
                  <w:pStyle w:val="Tabletext"/>
                  <w:rPr>
                    <w:rFonts w:ascii="Aptos" w:hAnsi="Aptos"/>
                    <w:color w:val="000000"/>
                    <w:sz w:val="20"/>
                    <w:lang w:eastAsia="en-AU"/>
                  </w:rPr>
                </w:pPr>
                <w:r w:rsidRPr="00EE0B3B">
                  <w:rPr>
                    <w:rStyle w:val="PlaceholderText"/>
                  </w:rPr>
                  <w:t>Click or tap here to enter text.</w:t>
                </w:r>
              </w:p>
            </w:tc>
          </w:sdtContent>
        </w:sdt>
        <w:sdt>
          <w:sdtPr>
            <w:alias w:val="Demand and supply"/>
            <w:tag w:val="Demand and supply"/>
            <w:id w:val="708297191"/>
            <w:placeholder>
              <w:docPart w:val="0147660C07584147A713D67A693B4495"/>
            </w:placeholder>
            <w:showingPlcHdr/>
            <w:comboBox>
              <w:listItem w:value="Choose an item."/>
              <w:listItem w:displayText="High demand area" w:value="High demand area"/>
              <w:listItem w:displayText="Neighbourhood fatigue " w:value="Neighbourhood fatigue "/>
              <w:listItem w:displayText="Low demand area" w:value="Low demand area"/>
              <w:listItem w:displayText="High density area with Social Housing" w:value="High density area with Social Housing"/>
            </w:comboBox>
          </w:sdtPr>
          <w:sdtContent>
            <w:tc>
              <w:tcPr>
                <w:tcW w:w="898" w:type="pct"/>
              </w:tcPr>
              <w:p w14:paraId="33DEA87A" w14:textId="2293CD4A" w:rsidR="005C62C9" w:rsidRPr="00240B4D" w:rsidRDefault="005C62C9" w:rsidP="0094225F">
                <w:pPr>
                  <w:pStyle w:val="Tabletext"/>
                </w:pPr>
                <w:r w:rsidRPr="000914CF">
                  <w:rPr>
                    <w:rStyle w:val="PlaceholderText"/>
                  </w:rPr>
                  <w:t>Choose an item.</w:t>
                </w:r>
              </w:p>
            </w:tc>
          </w:sdtContent>
        </w:sdt>
      </w:tr>
    </w:tbl>
    <w:p w14:paraId="1B800CC6" w14:textId="712C44A0" w:rsidR="005C62C9" w:rsidRDefault="005C62C9" w:rsidP="005C62C9">
      <w:pPr>
        <w:pStyle w:val="Heading2"/>
        <w:numPr>
          <w:ilvl w:val="0"/>
          <w:numId w:val="0"/>
        </w:numPr>
        <w:ind w:left="576" w:hanging="576"/>
      </w:pPr>
      <w:bookmarkStart w:id="32" w:name="_Toc224119184"/>
      <w:r>
        <w:t>Asset intent</w:t>
      </w:r>
      <w:bookmarkEnd w:id="32"/>
    </w:p>
    <w:p w14:paraId="0C03E4BA" w14:textId="20B84235" w:rsidR="005C62C9" w:rsidRDefault="00C9390D" w:rsidP="006E0679">
      <w:pPr>
        <w:pStyle w:val="Body"/>
      </w:pPr>
      <w:r>
        <w:t>S</w:t>
      </w:r>
      <w:r w:rsidR="005C62C9" w:rsidRPr="005C62C9">
        <w:t>elect the relevant asset intent</w:t>
      </w:r>
      <w:r>
        <w:t>.</w:t>
      </w:r>
      <w:r w:rsidR="009C00D0">
        <w:t xml:space="preserve"> Refer </w:t>
      </w:r>
      <w:hyperlink w:anchor="_Asset_intent_descriptions" w:history="1">
        <w:r w:rsidR="009C00D0" w:rsidRPr="00C107EB">
          <w:rPr>
            <w:rStyle w:val="Hyperlink"/>
          </w:rPr>
          <w:t xml:space="preserve">Asset intent </w:t>
        </w:r>
        <w:r w:rsidR="00C107EB" w:rsidRPr="00C107EB">
          <w:rPr>
            <w:rStyle w:val="Hyperlink"/>
          </w:rPr>
          <w:t>descriptions</w:t>
        </w:r>
      </w:hyperlink>
      <w:r w:rsidR="009C00D0">
        <w:t xml:space="preserve"> for more information.</w:t>
      </w:r>
    </w:p>
    <w:tbl>
      <w:tblPr>
        <w:tblStyle w:val="TableGrid"/>
        <w:tblW w:w="0" w:type="auto"/>
        <w:tblLayout w:type="fixed"/>
        <w:tblLook w:val="04A0" w:firstRow="1" w:lastRow="0" w:firstColumn="1" w:lastColumn="0" w:noHBand="0" w:noVBand="1"/>
      </w:tblPr>
      <w:tblGrid>
        <w:gridCol w:w="2689"/>
        <w:gridCol w:w="11870"/>
      </w:tblGrid>
      <w:tr w:rsidR="0016775E" w14:paraId="44C55D24" w14:textId="7BAC8EE0" w:rsidTr="00396475">
        <w:trPr>
          <w:tblHeader/>
        </w:trPr>
        <w:tc>
          <w:tcPr>
            <w:tcW w:w="2689" w:type="dxa"/>
          </w:tcPr>
          <w:p w14:paraId="3C0E633A" w14:textId="27B2C970" w:rsidR="0016775E" w:rsidRDefault="0016775E" w:rsidP="0016775E">
            <w:pPr>
              <w:pStyle w:val="Tablecolhead"/>
            </w:pPr>
            <w:r>
              <w:t>Asset intent</w:t>
            </w:r>
          </w:p>
        </w:tc>
        <w:tc>
          <w:tcPr>
            <w:tcW w:w="11870" w:type="dxa"/>
          </w:tcPr>
          <w:p w14:paraId="0F016D28" w14:textId="6ACE6C83" w:rsidR="0016775E" w:rsidRDefault="0016775E" w:rsidP="0016775E">
            <w:pPr>
              <w:pStyle w:val="Tablecolhead"/>
            </w:pPr>
            <w:r w:rsidRPr="0016775E">
              <w:t>Referral requirements</w:t>
            </w:r>
          </w:p>
        </w:tc>
      </w:tr>
      <w:tr w:rsidR="0016775E" w14:paraId="5D689EE4" w14:textId="77777777" w:rsidTr="001B0C5A">
        <w:sdt>
          <w:sdtPr>
            <w:alias w:val="Asset intent"/>
            <w:tag w:val="Asset intent"/>
            <w:id w:val="-1905828011"/>
            <w:placeholder>
              <w:docPart w:val="DD93823BE1B7430FACD18C4756EF8DEC"/>
            </w:placeholder>
            <w:showingPlcHdr/>
            <w:comboBox>
              <w:listItem w:value="Choose an item."/>
              <w:listItem w:displayText="Hold and improve" w:value="Hold and improve"/>
              <w:listItem w:displayText="Hold and maintain" w:value="Hold and maintain"/>
              <w:listItem w:displayText="Review" w:value="Review"/>
              <w:listItem w:displayText="Sell" w:value="Sell"/>
              <w:listItem w:displayText="Redevelop" w:value="Redevelop"/>
            </w:comboBox>
          </w:sdtPr>
          <w:sdtContent>
            <w:tc>
              <w:tcPr>
                <w:tcW w:w="2689" w:type="dxa"/>
              </w:tcPr>
              <w:p w14:paraId="3BEE1FCA" w14:textId="1F21A384" w:rsidR="0016775E" w:rsidRDefault="0016775E" w:rsidP="0016775E">
                <w:pPr>
                  <w:pStyle w:val="Tabletext"/>
                </w:pPr>
                <w:r w:rsidRPr="000914CF">
                  <w:rPr>
                    <w:rStyle w:val="PlaceholderText"/>
                  </w:rPr>
                  <w:t>Choose an item.</w:t>
                </w:r>
              </w:p>
            </w:tc>
          </w:sdtContent>
        </w:sdt>
        <w:tc>
          <w:tcPr>
            <w:tcW w:w="11870" w:type="dxa"/>
          </w:tcPr>
          <w:p w14:paraId="2A9FBBFA" w14:textId="2FE30440" w:rsidR="0016775E" w:rsidRPr="00CF7BB8" w:rsidRDefault="0016775E" w:rsidP="00F07005">
            <w:pPr>
              <w:pStyle w:val="Tablebullet1"/>
            </w:pPr>
            <w:r w:rsidRPr="00CF7BB8">
              <w:t>Where the asset intent is ‘Hold and Improve’ or ‘Hold and Maintain’, the referral must be submitted via the OurService</w:t>
            </w:r>
            <w:r w:rsidR="00F07005" w:rsidRPr="00CF7BB8">
              <w:t xml:space="preserve"> </w:t>
            </w:r>
            <w:hyperlink r:id="rId32" w:history="1">
              <w:r w:rsidR="00F07005" w:rsidRPr="00CF7BB8">
                <w:rPr>
                  <w:rStyle w:val="Hyperlink"/>
                </w:rPr>
                <w:t>Upgrade Referral Request e</w:t>
              </w:r>
              <w:r w:rsidRPr="00CF7BB8">
                <w:rPr>
                  <w:rStyle w:val="Hyperlink"/>
                </w:rPr>
                <w:t>form</w:t>
              </w:r>
            </w:hyperlink>
            <w:r w:rsidR="00536CF7">
              <w:t xml:space="preserve"> (internal link) </w:t>
            </w:r>
            <w:r w:rsidR="00536CF7" w:rsidRPr="00536CF7">
              <w:t>https://ourservice.support.vic.gov.au/ourservice?id=sc_cat_item&amp;sys_id=5bfb744adb6a2110ddf5bc56f39619b1&amp;sysparm_category=dfeb09fe1bc52110af5d98ef0d4bcb79</w:t>
            </w:r>
            <w:r w:rsidR="005F46F7">
              <w:t>.</w:t>
            </w:r>
          </w:p>
          <w:p w14:paraId="39465F4D" w14:textId="25A462B2" w:rsidR="0016775E" w:rsidRDefault="0016775E" w:rsidP="005C62C9">
            <w:pPr>
              <w:pStyle w:val="Tablebullet1"/>
            </w:pPr>
            <w:r w:rsidRPr="00CF7BB8">
              <w:t>Where the asset intent is ‘Review’, ‘Sell’ or ‘Redevelop’, the referral must be submitted via the OurService</w:t>
            </w:r>
            <w:hyperlink r:id="rId33" w:history="1">
              <w:r w:rsidR="004D2E79" w:rsidRPr="00CF7BB8">
                <w:rPr>
                  <w:rStyle w:val="Hyperlink"/>
                </w:rPr>
                <w:t xml:space="preserve"> Disposal Referral Request </w:t>
              </w:r>
              <w:r w:rsidR="00D912E6" w:rsidRPr="00CF7BB8">
                <w:rPr>
                  <w:rStyle w:val="Hyperlink"/>
                </w:rPr>
                <w:t>eform</w:t>
              </w:r>
            </w:hyperlink>
            <w:r w:rsidR="00CB182B">
              <w:t xml:space="preserve"> (internal link) </w:t>
            </w:r>
            <w:r w:rsidR="00CB182B" w:rsidRPr="00CB182B">
              <w:t>https://ourservice.support.vic.gov.au/ourservice?id=sc_cat_item&amp;sys_id=edc96f261b2e6510af5d98ef0d4bcbf9</w:t>
            </w:r>
            <w:r w:rsidR="005F46F7">
              <w:t>.</w:t>
            </w:r>
          </w:p>
        </w:tc>
      </w:tr>
    </w:tbl>
    <w:p w14:paraId="4FBD18A2" w14:textId="77777777" w:rsidR="009F0F50" w:rsidRDefault="009F0F50" w:rsidP="009F0F50">
      <w:pPr>
        <w:pStyle w:val="Body"/>
        <w:sectPr w:rsidR="009F0F50" w:rsidSect="00F32010">
          <w:pgSz w:w="16838" w:h="11906" w:orient="landscape" w:code="9"/>
          <w:pgMar w:top="1304" w:right="1418" w:bottom="1304" w:left="851" w:header="680" w:footer="567" w:gutter="0"/>
          <w:cols w:space="340"/>
          <w:docGrid w:linePitch="360"/>
        </w:sectPr>
      </w:pPr>
      <w:bookmarkStart w:id="33" w:name="_Asset_intent_definitions"/>
      <w:bookmarkEnd w:id="33"/>
    </w:p>
    <w:p w14:paraId="19472A6A" w14:textId="645D1411" w:rsidR="008D33F0" w:rsidRDefault="008D33F0" w:rsidP="002245CA">
      <w:pPr>
        <w:pStyle w:val="Heading2"/>
        <w:numPr>
          <w:ilvl w:val="0"/>
          <w:numId w:val="0"/>
        </w:numPr>
        <w:ind w:left="576" w:hanging="576"/>
      </w:pPr>
      <w:bookmarkStart w:id="34" w:name="_Toc224119185"/>
      <w:r>
        <w:lastRenderedPageBreak/>
        <w:t xml:space="preserve">Condition </w:t>
      </w:r>
      <w:r w:rsidR="00BB37A8">
        <w:t>based referral check</w:t>
      </w:r>
      <w:bookmarkEnd w:id="34"/>
    </w:p>
    <w:p w14:paraId="74BCDF2B" w14:textId="276204F7" w:rsidR="005504D7" w:rsidRPr="005504D7" w:rsidRDefault="005504D7" w:rsidP="005504D7">
      <w:pPr>
        <w:pStyle w:val="Body"/>
      </w:pPr>
      <w:r w:rsidRPr="005504D7">
        <w:t xml:space="preserve">Is the </w:t>
      </w:r>
      <w:r w:rsidR="00E66BEC">
        <w:t xml:space="preserve">property </w:t>
      </w:r>
      <w:r w:rsidR="00BB37A8">
        <w:t xml:space="preserve">affected by any of the following conditions? </w:t>
      </w:r>
      <w:r w:rsidRPr="005504D7">
        <w:t>(</w:t>
      </w:r>
      <w:r w:rsidR="00E51328">
        <w:t>Select</w:t>
      </w:r>
      <w:r w:rsidRPr="005504D7">
        <w:t xml:space="preserve"> all that apply)</w:t>
      </w:r>
      <w:r w:rsidR="007E2365">
        <w:t xml:space="preserve">. </w:t>
      </w:r>
      <w:r w:rsidR="00C373A7" w:rsidRPr="00C373A7">
        <w:t>If any listed condition applies, use the</w:t>
      </w:r>
      <w:r w:rsidR="00C373A7">
        <w:t xml:space="preserve"> </w:t>
      </w:r>
      <w:r w:rsidR="002C14AA" w:rsidRPr="002C14AA">
        <w:t xml:space="preserve">OurService </w:t>
      </w:r>
      <w:hyperlink r:id="rId34" w:history="1">
        <w:r w:rsidR="007E2365" w:rsidRPr="00CF7BB8">
          <w:rPr>
            <w:rStyle w:val="Hyperlink"/>
          </w:rPr>
          <w:t>Upgrade Referral Request eform</w:t>
        </w:r>
      </w:hyperlink>
      <w:r w:rsidR="003A37ED">
        <w:t xml:space="preserve"> (internal link) </w:t>
      </w:r>
      <w:r w:rsidR="003A37ED" w:rsidRPr="003A37ED">
        <w:t>https://ourservice.support.vic.gov.au/ourservice?id=sc_cat_item&amp;sys_id=5bfb744adb6a2110ddf5bc56f39619b1&amp;sysparm_category=dfeb09fe1bc52110af5d98ef0d4bcb79</w:t>
      </w:r>
      <w:r w:rsidR="00A77DAA">
        <w:t>.</w:t>
      </w:r>
    </w:p>
    <w:tbl>
      <w:tblPr>
        <w:tblStyle w:val="TableGrid"/>
        <w:tblW w:w="5000" w:type="pct"/>
        <w:tblLook w:val="04A0" w:firstRow="1" w:lastRow="0" w:firstColumn="1" w:lastColumn="0" w:noHBand="0" w:noVBand="1"/>
      </w:tblPr>
      <w:tblGrid>
        <w:gridCol w:w="1956"/>
        <w:gridCol w:w="2270"/>
        <w:gridCol w:w="1512"/>
        <w:gridCol w:w="3617"/>
        <w:gridCol w:w="2126"/>
        <w:gridCol w:w="3078"/>
      </w:tblGrid>
      <w:tr w:rsidR="007E2365" w:rsidRPr="0053558D" w14:paraId="756BEC8F" w14:textId="4E67B4CB" w:rsidTr="00396475">
        <w:trPr>
          <w:tblHeader/>
        </w:trPr>
        <w:tc>
          <w:tcPr>
            <w:tcW w:w="672" w:type="pct"/>
            <w:hideMark/>
          </w:tcPr>
          <w:p w14:paraId="152265A9" w14:textId="116A5455" w:rsidR="007E2365" w:rsidRPr="0053558D" w:rsidRDefault="007E2365" w:rsidP="0053558D">
            <w:pPr>
              <w:pStyle w:val="Tablecolhead"/>
              <w:rPr>
                <w:lang w:eastAsia="en-AU"/>
              </w:rPr>
            </w:pPr>
            <w:r w:rsidRPr="0053558D">
              <w:rPr>
                <w:lang w:eastAsia="en-AU"/>
              </w:rPr>
              <w:t>Condition</w:t>
            </w:r>
            <w:r>
              <w:rPr>
                <w:lang w:eastAsia="en-AU"/>
              </w:rPr>
              <w:t xml:space="preserve"> category</w:t>
            </w:r>
          </w:p>
        </w:tc>
        <w:tc>
          <w:tcPr>
            <w:tcW w:w="933" w:type="pct"/>
          </w:tcPr>
          <w:p w14:paraId="660921AA" w14:textId="34C87758" w:rsidR="007E2365" w:rsidRPr="0053558D" w:rsidRDefault="007E2365" w:rsidP="008F4D0D">
            <w:pPr>
              <w:pStyle w:val="Tablecolhead"/>
              <w:jc w:val="center"/>
              <w:rPr>
                <w:lang w:eastAsia="en-AU"/>
              </w:rPr>
            </w:pPr>
            <w:r>
              <w:rPr>
                <w:lang w:eastAsia="en-AU"/>
              </w:rPr>
              <w:t>Yes / No</w:t>
            </w:r>
          </w:p>
        </w:tc>
        <w:tc>
          <w:tcPr>
            <w:tcW w:w="135" w:type="pct"/>
          </w:tcPr>
          <w:p w14:paraId="783CA6C2" w14:textId="341D0ACA" w:rsidR="007E2365" w:rsidRPr="0053558D" w:rsidRDefault="007E2365" w:rsidP="0053558D">
            <w:pPr>
              <w:pStyle w:val="Tablecolhead"/>
              <w:rPr>
                <w:lang w:eastAsia="en-AU"/>
              </w:rPr>
            </w:pPr>
            <w:r>
              <w:rPr>
                <w:lang w:eastAsia="en-AU"/>
              </w:rPr>
              <w:t xml:space="preserve">Referral required </w:t>
            </w:r>
          </w:p>
        </w:tc>
        <w:tc>
          <w:tcPr>
            <w:tcW w:w="1319" w:type="pct"/>
            <w:hideMark/>
          </w:tcPr>
          <w:p w14:paraId="63A2BE50" w14:textId="2672F323" w:rsidR="007E2365" w:rsidRPr="0053558D" w:rsidRDefault="007E2365" w:rsidP="0053558D">
            <w:pPr>
              <w:pStyle w:val="Tablecolhead"/>
              <w:rPr>
                <w:lang w:eastAsia="en-AU"/>
              </w:rPr>
            </w:pPr>
            <w:r>
              <w:rPr>
                <w:lang w:eastAsia="en-AU"/>
              </w:rPr>
              <w:t xml:space="preserve">Criteria / referral requirements </w:t>
            </w:r>
          </w:p>
        </w:tc>
        <w:tc>
          <w:tcPr>
            <w:tcW w:w="807" w:type="pct"/>
          </w:tcPr>
          <w:p w14:paraId="6C750BC9" w14:textId="04AEE7F5" w:rsidR="007E2365" w:rsidRDefault="007E2365" w:rsidP="0053558D">
            <w:pPr>
              <w:pStyle w:val="Tablecolhead"/>
              <w:rPr>
                <w:lang w:eastAsia="en-AU"/>
              </w:rPr>
            </w:pPr>
            <w:r w:rsidRPr="00776A52">
              <w:rPr>
                <w:lang w:eastAsia="en-AU"/>
              </w:rPr>
              <w:t>Supporting documents attached</w:t>
            </w:r>
          </w:p>
        </w:tc>
        <w:tc>
          <w:tcPr>
            <w:tcW w:w="1134" w:type="pct"/>
          </w:tcPr>
          <w:p w14:paraId="7B8FB10A" w14:textId="36EDBE3E" w:rsidR="007E2365" w:rsidRPr="00776A52" w:rsidRDefault="007E2365" w:rsidP="0053558D">
            <w:pPr>
              <w:pStyle w:val="Tablecolhead"/>
              <w:rPr>
                <w:lang w:eastAsia="en-AU"/>
              </w:rPr>
            </w:pPr>
            <w:r>
              <w:rPr>
                <w:lang w:eastAsia="en-AU"/>
              </w:rPr>
              <w:t>Referral notes</w:t>
            </w:r>
          </w:p>
        </w:tc>
      </w:tr>
      <w:tr w:rsidR="007E2365" w:rsidRPr="0053558D" w14:paraId="7D925E5B" w14:textId="0A671CA7" w:rsidTr="00385A13">
        <w:tc>
          <w:tcPr>
            <w:tcW w:w="672" w:type="pct"/>
            <w:hideMark/>
          </w:tcPr>
          <w:p w14:paraId="485F208F" w14:textId="77777777" w:rsidR="007E2365" w:rsidRPr="002C6BDE" w:rsidRDefault="007E2365" w:rsidP="002C6BDE">
            <w:pPr>
              <w:pStyle w:val="Tabletext"/>
            </w:pPr>
            <w:r w:rsidRPr="002C6BDE">
              <w:rPr>
                <w:rFonts w:eastAsia="MS Gothic"/>
              </w:rPr>
              <w:t>Fire damage</w:t>
            </w:r>
          </w:p>
        </w:tc>
        <w:tc>
          <w:tcPr>
            <w:tcW w:w="933" w:type="pct"/>
          </w:tcPr>
          <w:p w14:paraId="3121206A" w14:textId="2B2E9663" w:rsidR="007E2365" w:rsidRPr="0053558D" w:rsidRDefault="007E2365" w:rsidP="00BF4E6A">
            <w:pPr>
              <w:pStyle w:val="Tabletext"/>
              <w:jc w:val="center"/>
              <w:rPr>
                <w:rFonts w:eastAsia="MS Gothic"/>
              </w:rPr>
            </w:pPr>
            <w:r>
              <w:rPr>
                <w:rFonts w:eastAsia="MS Gothic"/>
              </w:rPr>
              <w:t xml:space="preserve">Yes </w:t>
            </w:r>
            <w:sdt>
              <w:sdtPr>
                <w:id w:val="17677719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17131112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176645805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35" w:type="pct"/>
          </w:tcPr>
          <w:p w14:paraId="7105DD81" w14:textId="11E94766" w:rsidR="007E2365" w:rsidRPr="0053558D" w:rsidRDefault="007E2365" w:rsidP="00B07250">
            <w:pPr>
              <w:pStyle w:val="Tabletext"/>
              <w:jc w:val="center"/>
              <w:rPr>
                <w:rFonts w:eastAsia="MS Gothic"/>
              </w:rPr>
            </w:pPr>
            <w:r>
              <w:rPr>
                <w:rFonts w:eastAsia="MS Gothic"/>
              </w:rPr>
              <w:t>Yes</w:t>
            </w:r>
          </w:p>
        </w:tc>
        <w:tc>
          <w:tcPr>
            <w:tcW w:w="1319" w:type="pct"/>
            <w:hideMark/>
          </w:tcPr>
          <w:p w14:paraId="5789E8EB" w14:textId="1A8AA297" w:rsidR="007E2365" w:rsidRDefault="007E2365" w:rsidP="002C6BDE">
            <w:pPr>
              <w:pStyle w:val="Tabletext"/>
              <w:rPr>
                <w:rFonts w:eastAsia="MS Gothic"/>
              </w:rPr>
            </w:pPr>
            <w:r>
              <w:rPr>
                <w:rFonts w:eastAsia="MS Gothic"/>
              </w:rPr>
              <w:t>A</w:t>
            </w:r>
            <w:r w:rsidRPr="0056113C">
              <w:rPr>
                <w:rFonts w:eastAsia="MS Gothic"/>
              </w:rPr>
              <w:t>ll fire</w:t>
            </w:r>
            <w:r w:rsidRPr="0056113C">
              <w:rPr>
                <w:rFonts w:ascii="Cambria Math" w:eastAsia="MS Gothic" w:hAnsi="Cambria Math" w:cs="Cambria Math"/>
              </w:rPr>
              <w:t>‑</w:t>
            </w:r>
            <w:r w:rsidRPr="0056113C">
              <w:rPr>
                <w:rFonts w:eastAsia="MS Gothic"/>
              </w:rPr>
              <w:t xml:space="preserve">damaged properties must be referred via </w:t>
            </w:r>
            <w:r w:rsidRPr="00CF7BB8">
              <w:t>OurService</w:t>
            </w:r>
            <w:r>
              <w:t>.</w:t>
            </w:r>
          </w:p>
          <w:p w14:paraId="0470FC79" w14:textId="3EA4B10E" w:rsidR="007E2365" w:rsidRPr="0053558D" w:rsidRDefault="007E2365" w:rsidP="003161E0">
            <w:pPr>
              <w:pStyle w:val="Tablebullet1"/>
              <w:numPr>
                <w:ilvl w:val="0"/>
                <w:numId w:val="0"/>
              </w:numPr>
              <w:ind w:left="227" w:hanging="227"/>
            </w:pPr>
          </w:p>
        </w:tc>
        <w:tc>
          <w:tcPr>
            <w:tcW w:w="807" w:type="pct"/>
          </w:tcPr>
          <w:p w14:paraId="075C0C19" w14:textId="56E6C515" w:rsidR="007E2365" w:rsidRDefault="007E2365" w:rsidP="008F4D0D">
            <w:pPr>
              <w:pStyle w:val="Tabletext"/>
              <w:jc w:val="center"/>
              <w:rPr>
                <w:rFonts w:eastAsia="MS Gothic"/>
              </w:rPr>
            </w:pPr>
            <w:r>
              <w:rPr>
                <w:rFonts w:eastAsia="MS Gothic"/>
              </w:rPr>
              <w:t xml:space="preserve">Yes </w:t>
            </w:r>
            <w:sdt>
              <w:sdtPr>
                <w:id w:val="133610933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20101691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1571457354"/>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rPr>
              <w:rFonts w:eastAsia="MS Gothic"/>
            </w:rPr>
            <w:alias w:val="Free text"/>
            <w:tag w:val="Free text"/>
            <w:id w:val="-861125805"/>
            <w:placeholder>
              <w:docPart w:val="191F0616271041FFA5B324031B589B7D"/>
            </w:placeholder>
            <w:showingPlcHdr/>
            <w:text/>
          </w:sdtPr>
          <w:sdtContent>
            <w:tc>
              <w:tcPr>
                <w:tcW w:w="1134" w:type="pct"/>
              </w:tcPr>
              <w:p w14:paraId="30C2F97A" w14:textId="172175A5" w:rsidR="007E2365" w:rsidRDefault="00E2685F" w:rsidP="00044AE8">
                <w:pPr>
                  <w:pStyle w:val="Tabletext"/>
                  <w:rPr>
                    <w:rFonts w:eastAsia="MS Gothic"/>
                  </w:rPr>
                </w:pPr>
                <w:r w:rsidRPr="00EE0B3B">
                  <w:rPr>
                    <w:rStyle w:val="PlaceholderText"/>
                  </w:rPr>
                  <w:t>Click or tap here to enter text.</w:t>
                </w:r>
              </w:p>
            </w:tc>
          </w:sdtContent>
        </w:sdt>
      </w:tr>
      <w:tr w:rsidR="007E2365" w:rsidRPr="0053558D" w14:paraId="216EE267" w14:textId="243EBFAE" w:rsidTr="00385A13">
        <w:tc>
          <w:tcPr>
            <w:tcW w:w="672" w:type="pct"/>
            <w:hideMark/>
          </w:tcPr>
          <w:p w14:paraId="733AD64C" w14:textId="77777777" w:rsidR="007E2365" w:rsidRPr="002C6BDE" w:rsidRDefault="007E2365" w:rsidP="002C6BDE">
            <w:pPr>
              <w:pStyle w:val="Tabletext"/>
            </w:pPr>
            <w:r w:rsidRPr="002C6BDE">
              <w:t>Renter damage</w:t>
            </w:r>
          </w:p>
        </w:tc>
        <w:tc>
          <w:tcPr>
            <w:tcW w:w="933" w:type="pct"/>
          </w:tcPr>
          <w:p w14:paraId="75638E17" w14:textId="32028A42" w:rsidR="007E2365" w:rsidRPr="0053558D" w:rsidRDefault="007E2365" w:rsidP="00BF4E6A">
            <w:pPr>
              <w:pStyle w:val="Tabletext"/>
              <w:jc w:val="center"/>
            </w:pPr>
            <w:r>
              <w:rPr>
                <w:rFonts w:eastAsia="MS Gothic"/>
              </w:rPr>
              <w:t xml:space="preserve">Yes </w:t>
            </w:r>
            <w:sdt>
              <w:sdtPr>
                <w:id w:val="51627631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4239483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w:t>
            </w:r>
            <w:r>
              <w:rPr>
                <w:rFonts w:eastAsia="MS Gothic"/>
              </w:rPr>
              <w:t xml:space="preserve"> </w:t>
            </w:r>
            <w:sdt>
              <w:sdtPr>
                <w:id w:val="-156532869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35" w:type="pct"/>
          </w:tcPr>
          <w:p w14:paraId="0227599D" w14:textId="3DDB8EC6" w:rsidR="007E2365" w:rsidRPr="0053558D" w:rsidRDefault="007E2365" w:rsidP="00B07250">
            <w:pPr>
              <w:pStyle w:val="Tabletext"/>
              <w:jc w:val="center"/>
            </w:pPr>
            <w:r w:rsidRPr="00E356DA">
              <w:t>Case</w:t>
            </w:r>
            <w:r w:rsidRPr="00E356DA">
              <w:rPr>
                <w:rFonts w:ascii="Cambria Math" w:hAnsi="Cambria Math" w:cs="Cambria Math"/>
              </w:rPr>
              <w:t>‑</w:t>
            </w:r>
            <w:r w:rsidRPr="00E356DA">
              <w:t>by</w:t>
            </w:r>
            <w:r w:rsidRPr="00E356DA">
              <w:rPr>
                <w:rFonts w:ascii="Cambria Math" w:hAnsi="Cambria Math" w:cs="Cambria Math"/>
              </w:rPr>
              <w:t>‑</w:t>
            </w:r>
            <w:r w:rsidRPr="00E356DA">
              <w:t>case</w:t>
            </w:r>
          </w:p>
        </w:tc>
        <w:tc>
          <w:tcPr>
            <w:tcW w:w="1319" w:type="pct"/>
            <w:hideMark/>
          </w:tcPr>
          <w:p w14:paraId="1E75EC95" w14:textId="77777777" w:rsidR="007E2365" w:rsidRDefault="007E2365" w:rsidP="00E43764">
            <w:pPr>
              <w:pStyle w:val="Tabletext"/>
            </w:pPr>
            <w:r>
              <w:t xml:space="preserve">Renter damage may be identified where deterioration or damage is caused by the actions, misuse, or neglect of renters or their visitors. </w:t>
            </w:r>
          </w:p>
          <w:p w14:paraId="09861E8A" w14:textId="4F703389" w:rsidR="007E2365" w:rsidRDefault="007E2365" w:rsidP="00E43764">
            <w:pPr>
              <w:pStyle w:val="Tabletext"/>
            </w:pPr>
            <w:r>
              <w:t>Referral applies when:</w:t>
            </w:r>
          </w:p>
          <w:p w14:paraId="074A59EF" w14:textId="77777777" w:rsidR="007E2365" w:rsidRDefault="007E2365" w:rsidP="00E43764">
            <w:pPr>
              <w:pStyle w:val="Tablebullet1"/>
            </w:pPr>
            <w:r>
              <w:t>the damage impacts structural integrity, safety, or RTA compliance</w:t>
            </w:r>
          </w:p>
          <w:p w14:paraId="333C0A96" w14:textId="679A2BB7" w:rsidR="007E2365" w:rsidRPr="0053558D" w:rsidRDefault="007E2365" w:rsidP="003161E0">
            <w:pPr>
              <w:pStyle w:val="Tablebullet1"/>
            </w:pPr>
            <w:r>
              <w:t>specialist trades or significant rectification are needed</w:t>
            </w:r>
            <w:r w:rsidR="006062BC">
              <w:t>.</w:t>
            </w:r>
          </w:p>
        </w:tc>
        <w:tc>
          <w:tcPr>
            <w:tcW w:w="807" w:type="pct"/>
          </w:tcPr>
          <w:p w14:paraId="278D8FE6" w14:textId="0C1E22F0" w:rsidR="007E2365" w:rsidRDefault="007E2365" w:rsidP="008F4D0D">
            <w:pPr>
              <w:pStyle w:val="Tabletext"/>
              <w:jc w:val="center"/>
            </w:pPr>
            <w:r>
              <w:rPr>
                <w:rFonts w:eastAsia="MS Gothic"/>
              </w:rPr>
              <w:t xml:space="preserve">Yes </w:t>
            </w:r>
            <w:sdt>
              <w:sdtPr>
                <w:id w:val="73375110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17277519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1564981888"/>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rPr>
              <w:rFonts w:eastAsia="MS Gothic"/>
            </w:rPr>
            <w:alias w:val="Free text"/>
            <w:tag w:val="Free text"/>
            <w:id w:val="-439454932"/>
            <w:placeholder>
              <w:docPart w:val="AF2DFBC68ADA464FB5EEF11F459124F4"/>
            </w:placeholder>
            <w:showingPlcHdr/>
            <w:text/>
          </w:sdtPr>
          <w:sdtContent>
            <w:tc>
              <w:tcPr>
                <w:tcW w:w="1134" w:type="pct"/>
              </w:tcPr>
              <w:p w14:paraId="164C3168" w14:textId="57EC7693" w:rsidR="007E2365" w:rsidRDefault="007E2365" w:rsidP="00044AE8">
                <w:pPr>
                  <w:pStyle w:val="Tabletext"/>
                  <w:rPr>
                    <w:rFonts w:eastAsia="MS Gothic"/>
                  </w:rPr>
                </w:pPr>
                <w:r w:rsidRPr="00EE0B3B">
                  <w:rPr>
                    <w:rStyle w:val="PlaceholderText"/>
                  </w:rPr>
                  <w:t>Click or tap here to enter text.</w:t>
                </w:r>
              </w:p>
            </w:tc>
          </w:sdtContent>
        </w:sdt>
      </w:tr>
      <w:tr w:rsidR="007E2365" w:rsidRPr="0053558D" w14:paraId="448E1D53" w14:textId="6DA7CC20" w:rsidTr="00385A13">
        <w:tc>
          <w:tcPr>
            <w:tcW w:w="672" w:type="pct"/>
            <w:hideMark/>
          </w:tcPr>
          <w:p w14:paraId="35F04EF4" w14:textId="77777777" w:rsidR="007E2365" w:rsidRPr="002C6BDE" w:rsidRDefault="007E2365" w:rsidP="00E932A8">
            <w:pPr>
              <w:pStyle w:val="Tabletext"/>
            </w:pPr>
            <w:r w:rsidRPr="002C6BDE">
              <w:t>Vandalism / squatters</w:t>
            </w:r>
          </w:p>
        </w:tc>
        <w:tc>
          <w:tcPr>
            <w:tcW w:w="933" w:type="pct"/>
          </w:tcPr>
          <w:p w14:paraId="150BD2FB" w14:textId="60F79AFC" w:rsidR="007E2365" w:rsidRPr="0053558D" w:rsidRDefault="007E2365" w:rsidP="00E932A8">
            <w:pPr>
              <w:pStyle w:val="Tabletext"/>
              <w:jc w:val="center"/>
            </w:pPr>
            <w:r>
              <w:rPr>
                <w:rFonts w:eastAsia="MS Gothic"/>
              </w:rPr>
              <w:t xml:space="preserve">Yes </w:t>
            </w:r>
            <w:sdt>
              <w:sdtPr>
                <w:id w:val="214362171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1339348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155874490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35" w:type="pct"/>
          </w:tcPr>
          <w:p w14:paraId="599D6278" w14:textId="07AD30ED" w:rsidR="007E2365" w:rsidRPr="0053558D" w:rsidRDefault="007E2365" w:rsidP="00E932A8">
            <w:pPr>
              <w:pStyle w:val="Tabletext"/>
              <w:jc w:val="center"/>
            </w:pPr>
            <w:r w:rsidRPr="00E356DA">
              <w:t>Case</w:t>
            </w:r>
            <w:r w:rsidRPr="00E356DA">
              <w:rPr>
                <w:rFonts w:ascii="Cambria Math" w:hAnsi="Cambria Math" w:cs="Cambria Math"/>
              </w:rPr>
              <w:t>‑</w:t>
            </w:r>
            <w:r w:rsidRPr="00E356DA">
              <w:t>by</w:t>
            </w:r>
            <w:r w:rsidRPr="00E356DA">
              <w:rPr>
                <w:rFonts w:ascii="Cambria Math" w:hAnsi="Cambria Math" w:cs="Cambria Math"/>
              </w:rPr>
              <w:t>‑</w:t>
            </w:r>
            <w:r w:rsidRPr="00E356DA">
              <w:t>case</w:t>
            </w:r>
          </w:p>
        </w:tc>
        <w:tc>
          <w:tcPr>
            <w:tcW w:w="1319" w:type="pct"/>
            <w:hideMark/>
          </w:tcPr>
          <w:p w14:paraId="337FF895" w14:textId="77777777" w:rsidR="007E2365" w:rsidRDefault="007E2365" w:rsidP="00E932A8">
            <w:pPr>
              <w:pStyle w:val="Tabletext"/>
            </w:pPr>
            <w:r>
              <w:t xml:space="preserve">Vandalism or squatter damage may be identified where unauthorised individuals have caused damage to the property, affecting security or habitability. </w:t>
            </w:r>
          </w:p>
          <w:p w14:paraId="71F6765B" w14:textId="72189102" w:rsidR="007E2365" w:rsidRDefault="007E2365" w:rsidP="00E932A8">
            <w:pPr>
              <w:pStyle w:val="Tabletext"/>
            </w:pPr>
            <w:r>
              <w:t>Referral applies when:</w:t>
            </w:r>
          </w:p>
          <w:p w14:paraId="5FE78C7C" w14:textId="77777777" w:rsidR="007E2365" w:rsidRDefault="007E2365" w:rsidP="00E932A8">
            <w:pPr>
              <w:pStyle w:val="Tablebullet1"/>
            </w:pPr>
            <w:r>
              <w:t>the damage is significant or affects essential services, safety, or structural elements</w:t>
            </w:r>
          </w:p>
          <w:p w14:paraId="5F11AFB2" w14:textId="555CE3C0" w:rsidR="007E2365" w:rsidRPr="0053558D" w:rsidRDefault="007E2365" w:rsidP="00E932A8">
            <w:pPr>
              <w:pStyle w:val="Tablebullet1"/>
            </w:pPr>
            <w:r>
              <w:lastRenderedPageBreak/>
              <w:t>specialist rectification or security upgrades are required</w:t>
            </w:r>
            <w:r w:rsidR="006062BC">
              <w:t>.</w:t>
            </w:r>
          </w:p>
        </w:tc>
        <w:tc>
          <w:tcPr>
            <w:tcW w:w="807" w:type="pct"/>
          </w:tcPr>
          <w:p w14:paraId="44B4D29B" w14:textId="36A91683" w:rsidR="007E2365" w:rsidRDefault="007E2365" w:rsidP="00E932A8">
            <w:pPr>
              <w:pStyle w:val="Tabletext"/>
              <w:jc w:val="center"/>
            </w:pPr>
            <w:r>
              <w:rPr>
                <w:rFonts w:eastAsia="MS Gothic"/>
              </w:rPr>
              <w:lastRenderedPageBreak/>
              <w:t xml:space="preserve">Yes </w:t>
            </w:r>
            <w:sdt>
              <w:sdtPr>
                <w:id w:val="-123985657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7059926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1235627035"/>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rPr>
              <w:rFonts w:eastAsia="MS Gothic"/>
            </w:rPr>
            <w:alias w:val="Free text"/>
            <w:tag w:val="Free text"/>
            <w:id w:val="1555193027"/>
            <w:placeholder>
              <w:docPart w:val="EA0C508761314C3F980461EFF691F482"/>
            </w:placeholder>
            <w:showingPlcHdr/>
            <w:text/>
          </w:sdtPr>
          <w:sdtContent>
            <w:tc>
              <w:tcPr>
                <w:tcW w:w="1134" w:type="pct"/>
              </w:tcPr>
              <w:p w14:paraId="594EC8A8" w14:textId="07633388" w:rsidR="007E2365" w:rsidRDefault="007E2365" w:rsidP="00044AE8">
                <w:pPr>
                  <w:pStyle w:val="Tabletext"/>
                  <w:rPr>
                    <w:rFonts w:eastAsia="MS Gothic"/>
                  </w:rPr>
                </w:pPr>
                <w:r w:rsidRPr="00EE0B3B">
                  <w:rPr>
                    <w:rStyle w:val="PlaceholderText"/>
                  </w:rPr>
                  <w:t>Click or tap here to enter text.</w:t>
                </w:r>
              </w:p>
            </w:tc>
          </w:sdtContent>
        </w:sdt>
      </w:tr>
      <w:tr w:rsidR="007E2365" w:rsidRPr="0053558D" w14:paraId="6A677D75" w14:textId="668F5DF0" w:rsidTr="00385A13">
        <w:tc>
          <w:tcPr>
            <w:tcW w:w="672" w:type="pct"/>
            <w:hideMark/>
          </w:tcPr>
          <w:p w14:paraId="1B07D4F1" w14:textId="52F6384E" w:rsidR="007E2365" w:rsidRPr="002C6BDE" w:rsidRDefault="007E2365" w:rsidP="00E932A8">
            <w:pPr>
              <w:pStyle w:val="Tabletext"/>
            </w:pPr>
            <w:r>
              <w:t xml:space="preserve">Methamphetamine contamination </w:t>
            </w:r>
          </w:p>
        </w:tc>
        <w:tc>
          <w:tcPr>
            <w:tcW w:w="933" w:type="pct"/>
          </w:tcPr>
          <w:p w14:paraId="66536D0C" w14:textId="6E6A928F" w:rsidR="007E2365" w:rsidRPr="0053558D" w:rsidRDefault="007E2365" w:rsidP="00E932A8">
            <w:pPr>
              <w:pStyle w:val="Tabletext"/>
              <w:jc w:val="center"/>
            </w:pPr>
            <w:r>
              <w:rPr>
                <w:rFonts w:eastAsia="MS Gothic"/>
              </w:rPr>
              <w:t xml:space="preserve">Yes </w:t>
            </w:r>
            <w:sdt>
              <w:sdtPr>
                <w:id w:val="-213517013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16200221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191808335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35" w:type="pct"/>
          </w:tcPr>
          <w:p w14:paraId="67198956" w14:textId="38946111" w:rsidR="007E2365" w:rsidRPr="0053558D" w:rsidRDefault="007E2365" w:rsidP="00E932A8">
            <w:pPr>
              <w:pStyle w:val="Tabletext"/>
              <w:jc w:val="center"/>
            </w:pPr>
            <w:r w:rsidRPr="007F48C3">
              <w:t>Case</w:t>
            </w:r>
            <w:r w:rsidRPr="007F48C3">
              <w:rPr>
                <w:rFonts w:ascii="Cambria Math" w:hAnsi="Cambria Math" w:cs="Cambria Math"/>
              </w:rPr>
              <w:t>‑</w:t>
            </w:r>
            <w:r w:rsidRPr="007F48C3">
              <w:t>by</w:t>
            </w:r>
            <w:r w:rsidRPr="007F48C3">
              <w:rPr>
                <w:rFonts w:ascii="Cambria Math" w:hAnsi="Cambria Math" w:cs="Cambria Math"/>
              </w:rPr>
              <w:t>‑</w:t>
            </w:r>
            <w:r w:rsidRPr="007F48C3">
              <w:t>case</w:t>
            </w:r>
          </w:p>
        </w:tc>
        <w:tc>
          <w:tcPr>
            <w:tcW w:w="1319" w:type="pct"/>
            <w:hideMark/>
          </w:tcPr>
          <w:p w14:paraId="19351BB7" w14:textId="77777777" w:rsidR="007E2365" w:rsidRDefault="007E2365" w:rsidP="00E932A8">
            <w:pPr>
              <w:pStyle w:val="Tabletext"/>
            </w:pPr>
            <w:r w:rsidRPr="006675AC">
              <w:t>Methamphetamine contamination is identified when local testing confirms the presence of conta</w:t>
            </w:r>
            <w:r>
              <w:t>mination requiring remediation.</w:t>
            </w:r>
          </w:p>
          <w:p w14:paraId="2574E884" w14:textId="77777777" w:rsidR="007E2365" w:rsidRDefault="007E2365" w:rsidP="00E932A8">
            <w:pPr>
              <w:pStyle w:val="Tabletext"/>
            </w:pPr>
            <w:r>
              <w:t>Referral applies when:</w:t>
            </w:r>
          </w:p>
          <w:p w14:paraId="193279A5" w14:textId="77777777" w:rsidR="007E2365" w:rsidRDefault="007E2365" w:rsidP="00E932A8">
            <w:pPr>
              <w:pStyle w:val="Tablebullet1"/>
            </w:pPr>
            <w:r>
              <w:t>remediation involves significant strip</w:t>
            </w:r>
            <w:r>
              <w:rPr>
                <w:rFonts w:ascii="Cambria Math" w:hAnsi="Cambria Math" w:cs="Cambria Math"/>
              </w:rPr>
              <w:t>‑</w:t>
            </w:r>
            <w:r>
              <w:t>out works</w:t>
            </w:r>
          </w:p>
          <w:p w14:paraId="1680E896" w14:textId="5CFF9DFD" w:rsidR="007E2365" w:rsidRPr="0053558D" w:rsidRDefault="007E2365" w:rsidP="00B44BC0">
            <w:pPr>
              <w:pStyle w:val="Tablebullet1"/>
            </w:pPr>
            <w:r>
              <w:t>contamination impacts habitability or compliance</w:t>
            </w:r>
            <w:r w:rsidR="006062BC">
              <w:t>.</w:t>
            </w:r>
          </w:p>
        </w:tc>
        <w:tc>
          <w:tcPr>
            <w:tcW w:w="807" w:type="pct"/>
          </w:tcPr>
          <w:p w14:paraId="76B089AD" w14:textId="0DB3E492" w:rsidR="007E2365" w:rsidRPr="006675AC" w:rsidRDefault="007E2365" w:rsidP="00E932A8">
            <w:pPr>
              <w:pStyle w:val="Tabletext"/>
              <w:jc w:val="center"/>
            </w:pPr>
            <w:r>
              <w:rPr>
                <w:rFonts w:eastAsia="MS Gothic"/>
              </w:rPr>
              <w:t xml:space="preserve">Yes </w:t>
            </w:r>
            <w:sdt>
              <w:sdtPr>
                <w:id w:val="-64774645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8112938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192530135"/>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rPr>
              <w:rFonts w:eastAsia="MS Gothic"/>
            </w:rPr>
            <w:alias w:val="Free text"/>
            <w:tag w:val="Free text"/>
            <w:id w:val="-928734193"/>
            <w:placeholder>
              <w:docPart w:val="035649D32EAC460B955430E2927E5C57"/>
            </w:placeholder>
            <w:showingPlcHdr/>
            <w:text/>
          </w:sdtPr>
          <w:sdtContent>
            <w:tc>
              <w:tcPr>
                <w:tcW w:w="1134" w:type="pct"/>
              </w:tcPr>
              <w:p w14:paraId="2513B1C8" w14:textId="1B02E81E" w:rsidR="007E2365" w:rsidRDefault="007E2365" w:rsidP="00044AE8">
                <w:pPr>
                  <w:pStyle w:val="Tabletext"/>
                  <w:rPr>
                    <w:rFonts w:eastAsia="MS Gothic"/>
                  </w:rPr>
                </w:pPr>
                <w:r w:rsidRPr="00EE0B3B">
                  <w:rPr>
                    <w:rStyle w:val="PlaceholderText"/>
                  </w:rPr>
                  <w:t>Click or tap here to enter text.</w:t>
                </w:r>
              </w:p>
            </w:tc>
          </w:sdtContent>
        </w:sdt>
      </w:tr>
      <w:tr w:rsidR="007E2365" w:rsidRPr="0053558D" w14:paraId="63939DB8" w14:textId="3D29062A" w:rsidTr="00385A13">
        <w:tc>
          <w:tcPr>
            <w:tcW w:w="672" w:type="pct"/>
            <w:hideMark/>
          </w:tcPr>
          <w:p w14:paraId="1F44EFD6" w14:textId="21A259FE" w:rsidR="007E2365" w:rsidRPr="002C6BDE" w:rsidRDefault="007E2365" w:rsidP="00E932A8">
            <w:pPr>
              <w:pStyle w:val="Tabletext"/>
            </w:pPr>
            <w:r w:rsidRPr="002C6BDE">
              <w:t>Early degradation</w:t>
            </w:r>
          </w:p>
        </w:tc>
        <w:tc>
          <w:tcPr>
            <w:tcW w:w="933" w:type="pct"/>
          </w:tcPr>
          <w:p w14:paraId="05F1410A" w14:textId="20E9E042" w:rsidR="007E2365" w:rsidRPr="0053558D" w:rsidRDefault="007E2365" w:rsidP="00E932A8">
            <w:pPr>
              <w:pStyle w:val="Tabletext"/>
              <w:jc w:val="center"/>
            </w:pPr>
            <w:r>
              <w:rPr>
                <w:rFonts w:eastAsia="MS Gothic"/>
              </w:rPr>
              <w:t xml:space="preserve">Yes </w:t>
            </w:r>
            <w:sdt>
              <w:sdtPr>
                <w:id w:val="142352930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19743631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192961803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35" w:type="pct"/>
          </w:tcPr>
          <w:p w14:paraId="1FE15843" w14:textId="5C22B6BD" w:rsidR="007E2365" w:rsidRPr="0053558D" w:rsidRDefault="007E2365" w:rsidP="00E932A8">
            <w:pPr>
              <w:pStyle w:val="Tabletext"/>
              <w:jc w:val="center"/>
            </w:pPr>
            <w:r w:rsidRPr="007F48C3">
              <w:t>Case</w:t>
            </w:r>
            <w:r w:rsidRPr="007F48C3">
              <w:rPr>
                <w:rFonts w:ascii="Cambria Math" w:hAnsi="Cambria Math" w:cs="Cambria Math"/>
              </w:rPr>
              <w:t>‑</w:t>
            </w:r>
            <w:r w:rsidRPr="007F48C3">
              <w:t>by</w:t>
            </w:r>
            <w:r w:rsidRPr="007F48C3">
              <w:rPr>
                <w:rFonts w:ascii="Cambria Math" w:hAnsi="Cambria Math" w:cs="Cambria Math"/>
              </w:rPr>
              <w:t>‑</w:t>
            </w:r>
            <w:r w:rsidRPr="007F48C3">
              <w:t>case</w:t>
            </w:r>
          </w:p>
        </w:tc>
        <w:tc>
          <w:tcPr>
            <w:tcW w:w="1319" w:type="pct"/>
          </w:tcPr>
          <w:p w14:paraId="55749519" w14:textId="1034242F" w:rsidR="007E2365" w:rsidRDefault="007E2365" w:rsidP="00E932A8">
            <w:pPr>
              <w:pStyle w:val="Tabletext"/>
            </w:pPr>
            <w:r>
              <w:t>Early degradation may be identified where the level of deterioration is beyond what the local office can reasonably repair. Referral applies when:</w:t>
            </w:r>
          </w:p>
          <w:p w14:paraId="0BF74C83" w14:textId="77777777" w:rsidR="007E2365" w:rsidRDefault="007E2365" w:rsidP="00E932A8">
            <w:pPr>
              <w:pStyle w:val="Tablebullet1"/>
            </w:pPr>
            <w:r>
              <w:t>specialist trades or structural rectification are needed</w:t>
            </w:r>
          </w:p>
          <w:p w14:paraId="293F0479" w14:textId="0C380AB6" w:rsidR="007E2365" w:rsidRDefault="007E2365" w:rsidP="00E932A8">
            <w:pPr>
              <w:pStyle w:val="Tablebullet1"/>
            </w:pPr>
            <w:r>
              <w:t>the issue is likely to escalate without broader asset intervention</w:t>
            </w:r>
            <w:r w:rsidR="006062BC">
              <w:t>.</w:t>
            </w:r>
          </w:p>
          <w:p w14:paraId="722581E7" w14:textId="72492D7E" w:rsidR="007E2365" w:rsidRDefault="007E2365" w:rsidP="00E932A8">
            <w:pPr>
              <w:pStyle w:val="Tabletext"/>
            </w:pPr>
            <w:r>
              <w:t>In addition, the deterioration must not be:</w:t>
            </w:r>
          </w:p>
          <w:p w14:paraId="170ED939" w14:textId="7C632ED6" w:rsidR="007E2365" w:rsidRDefault="007E2365" w:rsidP="00E932A8">
            <w:pPr>
              <w:pStyle w:val="Tablebullet1"/>
            </w:pPr>
            <w:r>
              <w:t>due to renter damage</w:t>
            </w:r>
          </w:p>
          <w:p w14:paraId="2FB02E62" w14:textId="0408AF86" w:rsidR="007E2365" w:rsidRDefault="007E2365" w:rsidP="00E932A8">
            <w:pPr>
              <w:pStyle w:val="Tablebullet1"/>
            </w:pPr>
            <w:r>
              <w:t>caused by fire, contamination, or vandalism</w:t>
            </w:r>
          </w:p>
          <w:p w14:paraId="32B1A1A9" w14:textId="45320F86" w:rsidR="007E2365" w:rsidRPr="0053558D" w:rsidRDefault="007E2365" w:rsidP="00E932A8">
            <w:pPr>
              <w:pStyle w:val="Tablebullet1"/>
            </w:pPr>
            <w:r>
              <w:t>the result of an isolated incident, but instead systemic or building</w:t>
            </w:r>
            <w:r>
              <w:rPr>
                <w:rFonts w:ascii="Cambria Math" w:hAnsi="Cambria Math" w:cs="Cambria Math"/>
              </w:rPr>
              <w:t>‑</w:t>
            </w:r>
            <w:r>
              <w:t>related.</w:t>
            </w:r>
          </w:p>
        </w:tc>
        <w:tc>
          <w:tcPr>
            <w:tcW w:w="807" w:type="pct"/>
          </w:tcPr>
          <w:p w14:paraId="45BDC300" w14:textId="6A5C461E" w:rsidR="007E2365" w:rsidRDefault="007E2365" w:rsidP="00E932A8">
            <w:pPr>
              <w:pStyle w:val="Tabletext"/>
              <w:jc w:val="center"/>
            </w:pPr>
            <w:r>
              <w:rPr>
                <w:rFonts w:eastAsia="MS Gothic"/>
              </w:rPr>
              <w:t xml:space="preserve">Yes </w:t>
            </w:r>
            <w:sdt>
              <w:sdtPr>
                <w:id w:val="-190466257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789056879"/>
                <w14:checkbox>
                  <w14:checked w14:val="0"/>
                  <w14:checkedState w14:val="2612" w14:font="MS Gothic"/>
                  <w14:uncheckedState w14:val="2610" w14:font="MS Gothic"/>
                </w14:checkbox>
              </w:sdtPr>
              <w:sdtContent>
                <w:r w:rsidR="003A37ED">
                  <w:rPr>
                    <w:rFonts w:ascii="MS Gothic" w:eastAsia="MS Gothic" w:hAnsi="MS Gothic" w:hint="eastAsia"/>
                  </w:rPr>
                  <w:t>☐</w:t>
                </w:r>
              </w:sdtContent>
            </w:sdt>
            <w:r>
              <w:t xml:space="preserve"> </w:t>
            </w:r>
            <w:r>
              <w:rPr>
                <w:rFonts w:eastAsia="MS Gothic"/>
              </w:rPr>
              <w:t xml:space="preserve">N/A </w:t>
            </w:r>
            <w:sdt>
              <w:sdtPr>
                <w:id w:val="253940318"/>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rPr>
              <w:rFonts w:eastAsia="MS Gothic"/>
            </w:rPr>
            <w:alias w:val="Free text"/>
            <w:tag w:val="Free text"/>
            <w:id w:val="-986713802"/>
            <w:placeholder>
              <w:docPart w:val="3DEEDB43A15A4C3FBB4D82F63A2659B9"/>
            </w:placeholder>
            <w:showingPlcHdr/>
            <w:text/>
          </w:sdtPr>
          <w:sdtContent>
            <w:tc>
              <w:tcPr>
                <w:tcW w:w="1134" w:type="pct"/>
              </w:tcPr>
              <w:p w14:paraId="69DE4F20" w14:textId="0ABB066D" w:rsidR="007E2365" w:rsidRDefault="007E2365" w:rsidP="00044AE8">
                <w:pPr>
                  <w:pStyle w:val="Tabletext"/>
                  <w:rPr>
                    <w:rFonts w:eastAsia="MS Gothic"/>
                  </w:rPr>
                </w:pPr>
                <w:r w:rsidRPr="00EE0B3B">
                  <w:rPr>
                    <w:rStyle w:val="PlaceholderText"/>
                  </w:rPr>
                  <w:t>Click or tap here to enter text.</w:t>
                </w:r>
              </w:p>
            </w:tc>
          </w:sdtContent>
        </w:sdt>
      </w:tr>
      <w:tr w:rsidR="007E2365" w:rsidRPr="0053558D" w14:paraId="284D48EA" w14:textId="133EC858" w:rsidTr="00385A13">
        <w:tc>
          <w:tcPr>
            <w:tcW w:w="672" w:type="pct"/>
          </w:tcPr>
          <w:p w14:paraId="00F237C3" w14:textId="3F63F302" w:rsidR="007E2365" w:rsidRPr="002C6BDE" w:rsidRDefault="007E2365" w:rsidP="00E932A8">
            <w:pPr>
              <w:pStyle w:val="Tabletext"/>
            </w:pPr>
            <w:r>
              <w:lastRenderedPageBreak/>
              <w:t>Structural repairs</w:t>
            </w:r>
          </w:p>
        </w:tc>
        <w:tc>
          <w:tcPr>
            <w:tcW w:w="933" w:type="pct"/>
          </w:tcPr>
          <w:p w14:paraId="4B8E66D3" w14:textId="05CB750C" w:rsidR="007E2365" w:rsidRPr="00DC053B" w:rsidRDefault="007E2365" w:rsidP="00E932A8">
            <w:pPr>
              <w:pStyle w:val="Tabletext"/>
              <w:jc w:val="center"/>
            </w:pPr>
            <w:r>
              <w:rPr>
                <w:rFonts w:eastAsia="MS Gothic"/>
              </w:rPr>
              <w:t xml:space="preserve">Yes </w:t>
            </w:r>
            <w:sdt>
              <w:sdtPr>
                <w:id w:val="19712731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11535192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89042208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35" w:type="pct"/>
          </w:tcPr>
          <w:p w14:paraId="310B819F" w14:textId="2988AED6" w:rsidR="007E2365" w:rsidRPr="00B07250" w:rsidRDefault="007E2365" w:rsidP="00E932A8">
            <w:pPr>
              <w:pStyle w:val="Tabletext"/>
              <w:jc w:val="center"/>
            </w:pPr>
            <w:r w:rsidRPr="007F48C3">
              <w:t>Case</w:t>
            </w:r>
            <w:r w:rsidRPr="007F48C3">
              <w:rPr>
                <w:rFonts w:ascii="Cambria Math" w:hAnsi="Cambria Math" w:cs="Cambria Math"/>
              </w:rPr>
              <w:t>‑</w:t>
            </w:r>
            <w:r w:rsidRPr="007F48C3">
              <w:t>by</w:t>
            </w:r>
            <w:r w:rsidRPr="007F48C3">
              <w:rPr>
                <w:rFonts w:ascii="Cambria Math" w:hAnsi="Cambria Math" w:cs="Cambria Math"/>
              </w:rPr>
              <w:t>‑</w:t>
            </w:r>
            <w:r w:rsidRPr="007F48C3">
              <w:t>case</w:t>
            </w:r>
          </w:p>
        </w:tc>
        <w:tc>
          <w:tcPr>
            <w:tcW w:w="1319" w:type="pct"/>
          </w:tcPr>
          <w:p w14:paraId="41067A7C" w14:textId="77777777" w:rsidR="007E2365" w:rsidRDefault="007E2365" w:rsidP="00E932A8">
            <w:pPr>
              <w:pStyle w:val="Tabletext"/>
            </w:pPr>
            <w:r>
              <w:t>Structural repair needs may be identified when damage or deterioration affects the building’s structural integrity or safety.</w:t>
            </w:r>
          </w:p>
          <w:p w14:paraId="3095CDC6" w14:textId="77777777" w:rsidR="007E2365" w:rsidRDefault="007E2365" w:rsidP="00E932A8">
            <w:pPr>
              <w:pStyle w:val="Tabletext"/>
            </w:pPr>
            <w:r>
              <w:t>Referral applies when:</w:t>
            </w:r>
          </w:p>
          <w:p w14:paraId="7A7CBB4C" w14:textId="77777777" w:rsidR="007E2365" w:rsidRDefault="007E2365" w:rsidP="00E932A8">
            <w:pPr>
              <w:pStyle w:val="Tablebullet1"/>
            </w:pPr>
            <w:r>
              <w:t>works relate to foundations, load</w:t>
            </w:r>
            <w:r>
              <w:rPr>
                <w:rFonts w:ascii="Cambria Math" w:hAnsi="Cambria Math" w:cs="Cambria Math"/>
              </w:rPr>
              <w:t>‑</w:t>
            </w:r>
            <w:r>
              <w:t>bearing elements, framing, or other structural components</w:t>
            </w:r>
          </w:p>
          <w:p w14:paraId="1E2A3AFD" w14:textId="77777777" w:rsidR="007E2365" w:rsidRDefault="007E2365" w:rsidP="00E932A8">
            <w:pPr>
              <w:pStyle w:val="Tablebullet1"/>
            </w:pPr>
            <w:r>
              <w:t>engineering assessment or specialist trades are required</w:t>
            </w:r>
          </w:p>
          <w:p w14:paraId="767D705E" w14:textId="208C0C0F" w:rsidR="007E2365" w:rsidRDefault="007E2365" w:rsidP="00E932A8">
            <w:pPr>
              <w:pStyle w:val="Tablebullet1"/>
            </w:pPr>
            <w:r>
              <w:t>the extent of structural work exceeds the high</w:t>
            </w:r>
            <w:r>
              <w:rPr>
                <w:rFonts w:ascii="Cambria Math" w:hAnsi="Cambria Math" w:cs="Cambria Math"/>
              </w:rPr>
              <w:t>‑</w:t>
            </w:r>
            <w:r>
              <w:t>cost vacant threshold</w:t>
            </w:r>
            <w:r w:rsidR="006062BC">
              <w:t>.</w:t>
            </w:r>
          </w:p>
          <w:p w14:paraId="217889DB" w14:textId="0022F671" w:rsidR="007E2365" w:rsidRPr="00B42A32" w:rsidRDefault="007E2365" w:rsidP="00B42A32">
            <w:pPr>
              <w:pStyle w:val="Tabletext"/>
            </w:pPr>
            <w:r w:rsidRPr="00B42A32">
              <w:t>Structural issues must not be managed locally where safety or structural integrity is compromised.</w:t>
            </w:r>
          </w:p>
        </w:tc>
        <w:tc>
          <w:tcPr>
            <w:tcW w:w="807" w:type="pct"/>
          </w:tcPr>
          <w:p w14:paraId="3F052085" w14:textId="5882FA3A" w:rsidR="007E2365" w:rsidRDefault="007E2365" w:rsidP="00E932A8">
            <w:pPr>
              <w:pStyle w:val="Tabletext"/>
              <w:jc w:val="center"/>
            </w:pPr>
            <w:r>
              <w:rPr>
                <w:rFonts w:eastAsia="MS Gothic"/>
              </w:rPr>
              <w:t xml:space="preserve">Yes </w:t>
            </w:r>
            <w:sdt>
              <w:sdtPr>
                <w:id w:val="36055821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19953302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1821266178"/>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rPr>
              <w:rFonts w:eastAsia="MS Gothic"/>
            </w:rPr>
            <w:alias w:val="Free text"/>
            <w:tag w:val="Free text"/>
            <w:id w:val="580336381"/>
            <w:placeholder>
              <w:docPart w:val="D424AD65F84E4F49869D361054F527DC"/>
            </w:placeholder>
            <w:showingPlcHdr/>
            <w:text/>
          </w:sdtPr>
          <w:sdtContent>
            <w:tc>
              <w:tcPr>
                <w:tcW w:w="1134" w:type="pct"/>
              </w:tcPr>
              <w:p w14:paraId="6A989E8D" w14:textId="2D148822" w:rsidR="007E2365" w:rsidRDefault="007E2365" w:rsidP="00044AE8">
                <w:pPr>
                  <w:pStyle w:val="Tabletext"/>
                  <w:rPr>
                    <w:rFonts w:eastAsia="MS Gothic"/>
                  </w:rPr>
                </w:pPr>
                <w:r w:rsidRPr="00EE0B3B">
                  <w:rPr>
                    <w:rStyle w:val="PlaceholderText"/>
                  </w:rPr>
                  <w:t>Click or tap here to enter text.</w:t>
                </w:r>
              </w:p>
            </w:tc>
          </w:sdtContent>
        </w:sdt>
      </w:tr>
      <w:tr w:rsidR="007E2365" w:rsidRPr="0053558D" w14:paraId="58CE1A89" w14:textId="2812E889" w:rsidTr="00385A13">
        <w:tc>
          <w:tcPr>
            <w:tcW w:w="672" w:type="pct"/>
          </w:tcPr>
          <w:p w14:paraId="0B678D2F" w14:textId="6BDE27EE" w:rsidR="007E2365" w:rsidRPr="002C6BDE" w:rsidRDefault="007E2365" w:rsidP="00E932A8">
            <w:pPr>
              <w:pStyle w:val="Tabletext"/>
            </w:pPr>
            <w:r w:rsidRPr="002C6BDE">
              <w:t>Full upgrade is required due to major issues not related to fire, renter damage or contamination</w:t>
            </w:r>
          </w:p>
        </w:tc>
        <w:tc>
          <w:tcPr>
            <w:tcW w:w="933" w:type="pct"/>
          </w:tcPr>
          <w:p w14:paraId="3D39D162" w14:textId="50A7CCEB" w:rsidR="007E2365" w:rsidRPr="0053558D" w:rsidRDefault="007E2365" w:rsidP="00E932A8">
            <w:pPr>
              <w:pStyle w:val="Tabletext"/>
              <w:jc w:val="center"/>
            </w:pPr>
            <w:r>
              <w:rPr>
                <w:rFonts w:eastAsia="MS Gothic"/>
              </w:rPr>
              <w:t xml:space="preserve">Yes </w:t>
            </w:r>
            <w:sdt>
              <w:sdtPr>
                <w:id w:val="-14279653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20271657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79402683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35" w:type="pct"/>
          </w:tcPr>
          <w:p w14:paraId="13A347D6" w14:textId="469C6BDF" w:rsidR="007E2365" w:rsidRDefault="007E2365" w:rsidP="00E932A8">
            <w:pPr>
              <w:pStyle w:val="Tabletext"/>
              <w:jc w:val="center"/>
            </w:pPr>
            <w:r w:rsidRPr="007F48C3">
              <w:t>Case</w:t>
            </w:r>
            <w:r w:rsidRPr="007F48C3">
              <w:rPr>
                <w:rFonts w:ascii="Cambria Math" w:hAnsi="Cambria Math" w:cs="Cambria Math"/>
              </w:rPr>
              <w:t>‑</w:t>
            </w:r>
            <w:r w:rsidRPr="007F48C3">
              <w:t>by</w:t>
            </w:r>
            <w:r w:rsidRPr="007F48C3">
              <w:rPr>
                <w:rFonts w:ascii="Cambria Math" w:hAnsi="Cambria Math" w:cs="Cambria Math"/>
              </w:rPr>
              <w:t>‑</w:t>
            </w:r>
            <w:r w:rsidRPr="007F48C3">
              <w:t>case</w:t>
            </w:r>
          </w:p>
        </w:tc>
        <w:tc>
          <w:tcPr>
            <w:tcW w:w="1319" w:type="pct"/>
          </w:tcPr>
          <w:p w14:paraId="668496C2" w14:textId="6A829D0D" w:rsidR="007E2365" w:rsidRDefault="007E2365" w:rsidP="00E932A8">
            <w:pPr>
              <w:pStyle w:val="Tabletext"/>
            </w:pPr>
            <w:r>
              <w:t>A full upgrade may be identified when the property has significant deterioration or functional failure requiring comprehensive renewal.</w:t>
            </w:r>
          </w:p>
          <w:p w14:paraId="07987615" w14:textId="77777777" w:rsidR="007E2365" w:rsidRDefault="007E2365" w:rsidP="00E932A8">
            <w:pPr>
              <w:pStyle w:val="Tabletext"/>
            </w:pPr>
            <w:r>
              <w:t>Referral applies when:</w:t>
            </w:r>
          </w:p>
          <w:p w14:paraId="5B9BC44E" w14:textId="77777777" w:rsidR="007E2365" w:rsidRDefault="007E2365" w:rsidP="00E932A8">
            <w:pPr>
              <w:pStyle w:val="Tablebullet1"/>
            </w:pPr>
            <w:r>
              <w:t>multiple building elements have reached end</w:t>
            </w:r>
            <w:r>
              <w:rPr>
                <w:rFonts w:ascii="Cambria Math" w:hAnsi="Cambria Math" w:cs="Cambria Math"/>
              </w:rPr>
              <w:t>‑</w:t>
            </w:r>
            <w:r>
              <w:t>of</w:t>
            </w:r>
            <w:r>
              <w:rPr>
                <w:rFonts w:ascii="Cambria Math" w:hAnsi="Cambria Math" w:cs="Cambria Math"/>
              </w:rPr>
              <w:t>‑</w:t>
            </w:r>
            <w:r>
              <w:t>life or require replacement</w:t>
            </w:r>
          </w:p>
          <w:p w14:paraId="01C6C72C" w14:textId="77777777" w:rsidR="007E2365" w:rsidRDefault="007E2365" w:rsidP="00E932A8">
            <w:pPr>
              <w:pStyle w:val="Tablebullet1"/>
            </w:pPr>
            <w:r>
              <w:t>the scale of works exceeds local office capacity</w:t>
            </w:r>
          </w:p>
          <w:p w14:paraId="77FA4FA3" w14:textId="37B7699A" w:rsidR="007E2365" w:rsidRPr="0053558D" w:rsidRDefault="007E2365" w:rsidP="00E932A8">
            <w:pPr>
              <w:pStyle w:val="Tablebullet1"/>
            </w:pPr>
            <w:r>
              <w:t>specialist or coordinated upgrade planning is required</w:t>
            </w:r>
            <w:r w:rsidR="006062BC">
              <w:t>.</w:t>
            </w:r>
          </w:p>
        </w:tc>
        <w:tc>
          <w:tcPr>
            <w:tcW w:w="807" w:type="pct"/>
          </w:tcPr>
          <w:p w14:paraId="433913BC" w14:textId="0C593730" w:rsidR="007E2365" w:rsidRDefault="007E2365" w:rsidP="00E932A8">
            <w:pPr>
              <w:pStyle w:val="Tabletext"/>
              <w:jc w:val="center"/>
            </w:pPr>
            <w:r>
              <w:rPr>
                <w:rFonts w:eastAsia="MS Gothic"/>
              </w:rPr>
              <w:t xml:space="preserve">Yes </w:t>
            </w:r>
            <w:sdt>
              <w:sdtPr>
                <w:id w:val="-118435857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15937397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939805350"/>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rPr>
              <w:rFonts w:eastAsia="MS Gothic"/>
            </w:rPr>
            <w:alias w:val="Free text"/>
            <w:tag w:val="Free text"/>
            <w:id w:val="335967461"/>
            <w:placeholder>
              <w:docPart w:val="C441C5A134334D5B8CA167BC6C64A5CC"/>
            </w:placeholder>
            <w:showingPlcHdr/>
            <w:text/>
          </w:sdtPr>
          <w:sdtContent>
            <w:tc>
              <w:tcPr>
                <w:tcW w:w="1134" w:type="pct"/>
              </w:tcPr>
              <w:p w14:paraId="786F8BDC" w14:textId="5F32A501" w:rsidR="007E2365" w:rsidRDefault="007E2365" w:rsidP="00044AE8">
                <w:pPr>
                  <w:pStyle w:val="Tabletext"/>
                  <w:rPr>
                    <w:rFonts w:eastAsia="MS Gothic"/>
                  </w:rPr>
                </w:pPr>
                <w:r w:rsidRPr="00EE0B3B">
                  <w:rPr>
                    <w:rStyle w:val="PlaceholderText"/>
                  </w:rPr>
                  <w:t>Click or tap here to enter text.</w:t>
                </w:r>
              </w:p>
            </w:tc>
          </w:sdtContent>
        </w:sdt>
      </w:tr>
      <w:tr w:rsidR="007E2365" w:rsidRPr="0053558D" w14:paraId="6AE6F79C" w14:textId="6B1BEB04" w:rsidTr="00385A13">
        <w:tc>
          <w:tcPr>
            <w:tcW w:w="672" w:type="pct"/>
          </w:tcPr>
          <w:p w14:paraId="0C800585" w14:textId="7C86821C" w:rsidR="007E2365" w:rsidRPr="002C6BDE" w:rsidRDefault="007E2365" w:rsidP="00E932A8">
            <w:pPr>
              <w:pStyle w:val="Tabletext"/>
            </w:pPr>
            <w:r w:rsidRPr="002C6BDE">
              <w:lastRenderedPageBreak/>
              <w:t>Age related upgrade</w:t>
            </w:r>
          </w:p>
        </w:tc>
        <w:tc>
          <w:tcPr>
            <w:tcW w:w="933" w:type="pct"/>
          </w:tcPr>
          <w:p w14:paraId="5BB0B7F8" w14:textId="0E7FE95E" w:rsidR="007E2365" w:rsidRPr="00DC053B" w:rsidRDefault="007E2365" w:rsidP="00E932A8">
            <w:pPr>
              <w:pStyle w:val="Tabletext"/>
              <w:jc w:val="center"/>
            </w:pPr>
            <w:r>
              <w:rPr>
                <w:rFonts w:eastAsia="MS Gothic"/>
              </w:rPr>
              <w:t xml:space="preserve">Yes </w:t>
            </w:r>
            <w:sdt>
              <w:sdtPr>
                <w:id w:val="-60211191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595556024"/>
                <w14:checkbox>
                  <w14:checked w14:val="0"/>
                  <w14:checkedState w14:val="2612" w14:font="MS Gothic"/>
                  <w14:uncheckedState w14:val="2610" w14:font="MS Gothic"/>
                </w14:checkbox>
              </w:sdtPr>
              <w:sdtContent>
                <w:r w:rsidR="005130A1">
                  <w:rPr>
                    <w:rFonts w:ascii="MS Gothic" w:eastAsia="MS Gothic" w:hAnsi="MS Gothic" w:hint="eastAsia"/>
                  </w:rPr>
                  <w:t>☐</w:t>
                </w:r>
              </w:sdtContent>
            </w:sdt>
            <w:r>
              <w:t xml:space="preserve"> </w:t>
            </w:r>
            <w:r>
              <w:rPr>
                <w:rFonts w:eastAsia="MS Gothic"/>
              </w:rPr>
              <w:t xml:space="preserve">N/A </w:t>
            </w:r>
            <w:sdt>
              <w:sdtPr>
                <w:id w:val="-429431528"/>
                <w14:checkbox>
                  <w14:checked w14:val="0"/>
                  <w14:checkedState w14:val="2612" w14:font="MS Gothic"/>
                  <w14:uncheckedState w14:val="2610" w14:font="MS Gothic"/>
                </w14:checkbox>
              </w:sdtPr>
              <w:sdtContent>
                <w:r w:rsidR="005130A1">
                  <w:rPr>
                    <w:rFonts w:ascii="MS Gothic" w:eastAsia="MS Gothic" w:hAnsi="MS Gothic" w:hint="eastAsia"/>
                  </w:rPr>
                  <w:t>☐</w:t>
                </w:r>
              </w:sdtContent>
            </w:sdt>
          </w:p>
        </w:tc>
        <w:tc>
          <w:tcPr>
            <w:tcW w:w="135" w:type="pct"/>
          </w:tcPr>
          <w:p w14:paraId="00871161" w14:textId="5DB3ADC8" w:rsidR="007E2365" w:rsidRPr="00B00EF1" w:rsidRDefault="007E2365" w:rsidP="00E932A8">
            <w:pPr>
              <w:pStyle w:val="Tabletext"/>
              <w:jc w:val="center"/>
            </w:pPr>
            <w:r w:rsidRPr="000605F7">
              <w:t>No (unless unsafe)</w:t>
            </w:r>
          </w:p>
        </w:tc>
        <w:tc>
          <w:tcPr>
            <w:tcW w:w="1319" w:type="pct"/>
          </w:tcPr>
          <w:p w14:paraId="35FBA0F5" w14:textId="77777777" w:rsidR="007E2365" w:rsidRDefault="007E2365" w:rsidP="00E932A8">
            <w:pPr>
              <w:pStyle w:val="Tabletext"/>
            </w:pPr>
            <w:r>
              <w:t>Age</w:t>
            </w:r>
            <w:r>
              <w:rPr>
                <w:rFonts w:ascii="Cambria Math" w:hAnsi="Cambria Math" w:cs="Cambria Math"/>
              </w:rPr>
              <w:t>‑</w:t>
            </w:r>
            <w:r>
              <w:t>related upgrade need may be identified where the property is safe and habitable but approaching the point where major renewal will soon be required.</w:t>
            </w:r>
          </w:p>
          <w:p w14:paraId="115AABE7" w14:textId="77777777" w:rsidR="007E2365" w:rsidRDefault="007E2365" w:rsidP="00E932A8">
            <w:pPr>
              <w:pStyle w:val="Tabletext"/>
            </w:pPr>
            <w:r>
              <w:t>Referral is not required unless safety is compromised.</w:t>
            </w:r>
          </w:p>
          <w:p w14:paraId="259991B0" w14:textId="3C88CA50" w:rsidR="007E2365" w:rsidRDefault="007E2365" w:rsidP="00E932A8">
            <w:pPr>
              <w:pStyle w:val="Tabletext"/>
            </w:pPr>
            <w:r>
              <w:t>Where the property remains compliant with the RTA, staff should:</w:t>
            </w:r>
          </w:p>
          <w:p w14:paraId="0F76C271" w14:textId="77777777" w:rsidR="007E2365" w:rsidRDefault="007E2365" w:rsidP="00E932A8">
            <w:pPr>
              <w:pStyle w:val="Tablebullet1"/>
            </w:pPr>
            <w:r>
              <w:t>relet the property</w:t>
            </w:r>
          </w:p>
          <w:p w14:paraId="258E9B42" w14:textId="3B0207C3" w:rsidR="007E2365" w:rsidRDefault="007E2365" w:rsidP="00EA2803">
            <w:pPr>
              <w:pStyle w:val="Tablebullet1"/>
            </w:pPr>
            <w:r>
              <w:t>submit a request for inclusion in future upgrade programs via OurService.</w:t>
            </w:r>
          </w:p>
        </w:tc>
        <w:tc>
          <w:tcPr>
            <w:tcW w:w="807" w:type="pct"/>
          </w:tcPr>
          <w:p w14:paraId="0DC52FF1" w14:textId="1613DE93" w:rsidR="007E2365" w:rsidRDefault="007E2365" w:rsidP="00E932A8">
            <w:pPr>
              <w:pStyle w:val="Tabletext"/>
              <w:jc w:val="center"/>
            </w:pPr>
            <w:r>
              <w:rPr>
                <w:rFonts w:eastAsia="MS Gothic"/>
              </w:rPr>
              <w:t xml:space="preserve">Yes </w:t>
            </w:r>
            <w:sdt>
              <w:sdtPr>
                <w:id w:val="-60757822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MS Gothic"/>
              </w:rPr>
              <w:t xml:space="preserve"> No </w:t>
            </w:r>
            <w:sdt>
              <w:sdtPr>
                <w:id w:val="-14283382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rFonts w:eastAsia="MS Gothic"/>
              </w:rPr>
              <w:t xml:space="preserve">N/A </w:t>
            </w:r>
            <w:sdt>
              <w:sdtPr>
                <w:id w:val="271529026"/>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rPr>
              <w:rFonts w:eastAsia="MS Gothic"/>
            </w:rPr>
            <w:alias w:val="Free text"/>
            <w:tag w:val="Free text"/>
            <w:id w:val="441350587"/>
            <w:placeholder>
              <w:docPart w:val="2331CF5A2A4248FCA1D48BFF38F4F7B4"/>
            </w:placeholder>
            <w:showingPlcHdr/>
            <w:text/>
          </w:sdtPr>
          <w:sdtContent>
            <w:tc>
              <w:tcPr>
                <w:tcW w:w="1134" w:type="pct"/>
              </w:tcPr>
              <w:p w14:paraId="2913F775" w14:textId="2AEF748B" w:rsidR="007E2365" w:rsidRDefault="007E2365" w:rsidP="00044AE8">
                <w:pPr>
                  <w:pStyle w:val="Tabletext"/>
                  <w:rPr>
                    <w:rFonts w:eastAsia="MS Gothic"/>
                  </w:rPr>
                </w:pPr>
                <w:r w:rsidRPr="00EE0B3B">
                  <w:rPr>
                    <w:rStyle w:val="PlaceholderText"/>
                  </w:rPr>
                  <w:t>Click or tap here to enter text.</w:t>
                </w:r>
              </w:p>
            </w:tc>
          </w:sdtContent>
        </w:sdt>
      </w:tr>
    </w:tbl>
    <w:p w14:paraId="2C032E22" w14:textId="04381138" w:rsidR="007C0360" w:rsidRDefault="007C0360" w:rsidP="007C0360">
      <w:pPr>
        <w:pStyle w:val="Heading2"/>
        <w:numPr>
          <w:ilvl w:val="0"/>
          <w:numId w:val="0"/>
        </w:numPr>
        <w:ind w:left="576" w:hanging="576"/>
      </w:pPr>
      <w:bookmarkStart w:id="35" w:name="_Asset_intent_definitions_1"/>
      <w:bookmarkStart w:id="36" w:name="_Asset_intent_descriptions"/>
      <w:bookmarkStart w:id="37" w:name="_Toc224119186"/>
      <w:bookmarkEnd w:id="35"/>
      <w:bookmarkEnd w:id="36"/>
      <w:r>
        <w:t xml:space="preserve">Asset intent </w:t>
      </w:r>
      <w:r w:rsidR="00780147">
        <w:t>descriptions</w:t>
      </w:r>
      <w:bookmarkEnd w:id="37"/>
    </w:p>
    <w:tbl>
      <w:tblPr>
        <w:tblStyle w:val="TableGrid"/>
        <w:tblW w:w="5000" w:type="pct"/>
        <w:tblLook w:val="04A0" w:firstRow="1" w:lastRow="0" w:firstColumn="1" w:lastColumn="0" w:noHBand="0" w:noVBand="1"/>
      </w:tblPr>
      <w:tblGrid>
        <w:gridCol w:w="3060"/>
        <w:gridCol w:w="11499"/>
      </w:tblGrid>
      <w:tr w:rsidR="00581B7E" w14:paraId="775C6EBC" w14:textId="77777777" w:rsidTr="00396475">
        <w:trPr>
          <w:tblHeader/>
        </w:trPr>
        <w:tc>
          <w:tcPr>
            <w:tcW w:w="1051" w:type="pct"/>
          </w:tcPr>
          <w:p w14:paraId="110DAAAB" w14:textId="77777777" w:rsidR="00581B7E" w:rsidRDefault="00581B7E" w:rsidP="002F0B85">
            <w:pPr>
              <w:pStyle w:val="Tablecolhead"/>
            </w:pPr>
            <w:r>
              <w:t>Asset intent</w:t>
            </w:r>
          </w:p>
        </w:tc>
        <w:tc>
          <w:tcPr>
            <w:tcW w:w="3949" w:type="pct"/>
          </w:tcPr>
          <w:p w14:paraId="2E107B30" w14:textId="42A18E6C" w:rsidR="00581B7E" w:rsidRDefault="00581B7E" w:rsidP="002F0B85">
            <w:pPr>
              <w:pStyle w:val="Tablecolhead"/>
            </w:pPr>
            <w:r>
              <w:t>Description</w:t>
            </w:r>
          </w:p>
        </w:tc>
      </w:tr>
      <w:tr w:rsidR="00581B7E" w14:paraId="46042627" w14:textId="77777777" w:rsidTr="00581B7E">
        <w:tc>
          <w:tcPr>
            <w:tcW w:w="1051" w:type="pct"/>
          </w:tcPr>
          <w:p w14:paraId="30112340" w14:textId="77777777" w:rsidR="00581B7E" w:rsidRDefault="00581B7E" w:rsidP="002F0B85">
            <w:pPr>
              <w:pStyle w:val="Tabletext"/>
            </w:pPr>
            <w:r>
              <w:t>Hold and improve</w:t>
            </w:r>
          </w:p>
        </w:tc>
        <w:tc>
          <w:tcPr>
            <w:tcW w:w="3949" w:type="pct"/>
          </w:tcPr>
          <w:p w14:paraId="3465A65C" w14:textId="2A99AC20" w:rsidR="00581B7E" w:rsidRDefault="00567412" w:rsidP="00567412">
            <w:pPr>
              <w:pStyle w:val="Tabletext"/>
            </w:pPr>
            <w:r w:rsidRPr="00567412">
              <w:t>This intent applies where the property meets Homes Victoria’s asset objectives and continues to be a productive asset to be maintained and potentially improved.</w:t>
            </w:r>
          </w:p>
        </w:tc>
      </w:tr>
      <w:tr w:rsidR="00581B7E" w14:paraId="402E59F0" w14:textId="77777777" w:rsidTr="00581B7E">
        <w:tc>
          <w:tcPr>
            <w:tcW w:w="1051" w:type="pct"/>
          </w:tcPr>
          <w:p w14:paraId="28387405" w14:textId="77777777" w:rsidR="00581B7E" w:rsidRDefault="00581B7E" w:rsidP="002F0B85">
            <w:pPr>
              <w:pStyle w:val="Tabletext"/>
            </w:pPr>
            <w:r>
              <w:t>Hold and maintain</w:t>
            </w:r>
          </w:p>
        </w:tc>
        <w:tc>
          <w:tcPr>
            <w:tcW w:w="3949" w:type="pct"/>
          </w:tcPr>
          <w:p w14:paraId="157571BD" w14:textId="77777777" w:rsidR="00581B7E" w:rsidRDefault="00581B7E" w:rsidP="008D2D44">
            <w:pPr>
              <w:pStyle w:val="Tabletext"/>
            </w:pPr>
            <w:r w:rsidRPr="00C06805">
              <w:t xml:space="preserve">This intent applies where the property is older and close to the end of its asset lifecycle but requires minimal maintenance or periodical renewal. </w:t>
            </w:r>
          </w:p>
          <w:p w14:paraId="474D87F6" w14:textId="28161042" w:rsidR="00581B7E" w:rsidRDefault="00581B7E" w:rsidP="008D2D44">
            <w:pPr>
              <w:pStyle w:val="Tabletext"/>
            </w:pPr>
            <w:r w:rsidRPr="00581B7E">
              <w:t>At the end of its lifecycle, the site may be suitable for redevelopment or sale.</w:t>
            </w:r>
          </w:p>
          <w:p w14:paraId="5CAFFA9C" w14:textId="43079895" w:rsidR="00581B7E" w:rsidRDefault="00581B7E" w:rsidP="008D2D44">
            <w:pPr>
              <w:pStyle w:val="Tabletext"/>
            </w:pPr>
            <w:r w:rsidRPr="00024240">
              <w:t>The property should be maintained to meet the requirements of the Residential Tenancies Act</w:t>
            </w:r>
            <w:r>
              <w:t>, including Minium Rental Standards.</w:t>
            </w:r>
          </w:p>
        </w:tc>
      </w:tr>
      <w:tr w:rsidR="00581B7E" w14:paraId="7F4737DF" w14:textId="77777777" w:rsidTr="00581B7E">
        <w:tc>
          <w:tcPr>
            <w:tcW w:w="1051" w:type="pct"/>
          </w:tcPr>
          <w:p w14:paraId="4D3D2B32" w14:textId="77777777" w:rsidR="00581B7E" w:rsidRDefault="00581B7E" w:rsidP="002F0B85">
            <w:pPr>
              <w:pStyle w:val="Tabletext"/>
            </w:pPr>
            <w:r w:rsidRPr="0011192B">
              <w:t>Redevelop</w:t>
            </w:r>
          </w:p>
        </w:tc>
        <w:tc>
          <w:tcPr>
            <w:tcW w:w="3949" w:type="pct"/>
          </w:tcPr>
          <w:p w14:paraId="4FE3F82E" w14:textId="77777777" w:rsidR="007F0C74" w:rsidRDefault="007F0C74" w:rsidP="007F0C74">
            <w:pPr>
              <w:pStyle w:val="Tabletext"/>
            </w:pPr>
            <w:r>
              <w:t>This intent applies where the land should be retained as it meets Homes Victoria’s overall objectives. Redevelopment may:</w:t>
            </w:r>
          </w:p>
          <w:p w14:paraId="77B4E010" w14:textId="61492DA1" w:rsidR="007F0C74" w:rsidRDefault="007F0C74" w:rsidP="007F0C74">
            <w:pPr>
              <w:pStyle w:val="Tablebullet1"/>
            </w:pPr>
            <w:r>
              <w:t>retain and redevelop the site for social housing, including planning, demolition and construction of new dwellings; or</w:t>
            </w:r>
          </w:p>
          <w:p w14:paraId="2AF1302B" w14:textId="745980C2" w:rsidR="00581B7E" w:rsidRPr="00BD6B84" w:rsidRDefault="007F0C74" w:rsidP="007F0C74">
            <w:pPr>
              <w:pStyle w:val="Tablebullet1"/>
            </w:pPr>
            <w:r>
              <w:lastRenderedPageBreak/>
              <w:t>retain the land for commercial objectives, such as commercial retail or ground lease options.</w:t>
            </w:r>
          </w:p>
        </w:tc>
      </w:tr>
      <w:tr w:rsidR="00581B7E" w14:paraId="6C6CF08B" w14:textId="77777777" w:rsidTr="00581B7E">
        <w:tc>
          <w:tcPr>
            <w:tcW w:w="1051" w:type="pct"/>
          </w:tcPr>
          <w:p w14:paraId="6A375607" w14:textId="77777777" w:rsidR="00581B7E" w:rsidRDefault="00581B7E" w:rsidP="002F0B85">
            <w:pPr>
              <w:pStyle w:val="Tabletext"/>
            </w:pPr>
            <w:r>
              <w:lastRenderedPageBreak/>
              <w:t>Sell</w:t>
            </w:r>
          </w:p>
        </w:tc>
        <w:tc>
          <w:tcPr>
            <w:tcW w:w="3949" w:type="pct"/>
          </w:tcPr>
          <w:p w14:paraId="1323B0C7" w14:textId="151A9A01" w:rsidR="00581B7E" w:rsidRPr="00EB18E6" w:rsidRDefault="000F6903" w:rsidP="002F0B85">
            <w:pPr>
              <w:pStyle w:val="Tabletext"/>
            </w:pPr>
            <w:r w:rsidRPr="000F6903">
              <w:t>This intent applies where the property does not adequately meet Homes Victoria’s asset objectives or is not financially prudent to invest in (e.g. lower</w:t>
            </w:r>
            <w:r w:rsidRPr="000F6903">
              <w:rPr>
                <w:rFonts w:ascii="Cambria Math" w:hAnsi="Cambria Math" w:cs="Cambria Math"/>
              </w:rPr>
              <w:t>‑</w:t>
            </w:r>
            <w:r w:rsidRPr="000F6903">
              <w:t>demand locations, limited or expensive redevelopment options, neighbourhood fatigue, site limitations, or restrictive/prohibitive planning controls)</w:t>
            </w:r>
          </w:p>
        </w:tc>
      </w:tr>
      <w:tr w:rsidR="00581B7E" w14:paraId="3F57576B" w14:textId="77777777" w:rsidTr="00581B7E">
        <w:tc>
          <w:tcPr>
            <w:tcW w:w="1051" w:type="pct"/>
          </w:tcPr>
          <w:p w14:paraId="2A54F0C5" w14:textId="77777777" w:rsidR="00581B7E" w:rsidRDefault="00581B7E" w:rsidP="002F0B85">
            <w:pPr>
              <w:pStyle w:val="Tabletext"/>
            </w:pPr>
            <w:r w:rsidRPr="00BA774C">
              <w:t>Review</w:t>
            </w:r>
          </w:p>
        </w:tc>
        <w:tc>
          <w:tcPr>
            <w:tcW w:w="3949" w:type="pct"/>
          </w:tcPr>
          <w:p w14:paraId="3D85AEDE" w14:textId="23703699" w:rsidR="00D5214B" w:rsidRPr="00D5214B" w:rsidRDefault="00D5214B" w:rsidP="00D5214B">
            <w:pPr>
              <w:pStyle w:val="Tabletext"/>
            </w:pPr>
            <w:r w:rsidRPr="00D5214B">
              <w:t xml:space="preserve">This intent applies where a more detailed review is required to determine the appropriate intent for the property. </w:t>
            </w:r>
            <w:r>
              <w:t>E</w:t>
            </w:r>
            <w:r w:rsidRPr="00D5214B">
              <w:t>xamples include:</w:t>
            </w:r>
          </w:p>
          <w:p w14:paraId="630B531A" w14:textId="77777777" w:rsidR="00B83C5D" w:rsidRDefault="00B83C5D" w:rsidP="00B83C5D">
            <w:pPr>
              <w:pStyle w:val="Tablebullet1"/>
            </w:pPr>
            <w:r>
              <w:t>the property is at end of life but still occupied</w:t>
            </w:r>
          </w:p>
          <w:p w14:paraId="447FEC21" w14:textId="69407945" w:rsidR="00B83C5D" w:rsidRDefault="00B83C5D" w:rsidP="00B83C5D">
            <w:pPr>
              <w:pStyle w:val="Tablebullet1"/>
            </w:pPr>
            <w:r>
              <w:t>development opportunities exist on contiguous sites that are occupied</w:t>
            </w:r>
          </w:p>
          <w:p w14:paraId="7A92861A" w14:textId="1D9B63DD" w:rsidR="00B83C5D" w:rsidRDefault="00B83C5D" w:rsidP="00B83C5D">
            <w:pPr>
              <w:pStyle w:val="Tablebullet1"/>
            </w:pPr>
            <w:r>
              <w:t xml:space="preserve">alignment is required with precinct development </w:t>
            </w:r>
            <w:r w:rsidRPr="00B83C5D">
              <w:t>or neighbourhood strategy</w:t>
            </w:r>
          </w:p>
          <w:p w14:paraId="622F84A9" w14:textId="6EBC0C04" w:rsidR="00B83C5D" w:rsidRDefault="00B83C5D" w:rsidP="00B83C5D">
            <w:pPr>
              <w:pStyle w:val="Tablebullet1"/>
            </w:pPr>
            <w:r>
              <w:t>the property is part of broader work to confirm intent for a precinct or walk</w:t>
            </w:r>
            <w:r>
              <w:rPr>
                <w:rFonts w:ascii="Cambria Math" w:hAnsi="Cambria Math" w:cs="Cambria Math"/>
              </w:rPr>
              <w:t>‑</w:t>
            </w:r>
            <w:r>
              <w:t>up block and depends on a realisation plan</w:t>
            </w:r>
          </w:p>
          <w:p w14:paraId="56587485" w14:textId="58374DC1" w:rsidR="00581B7E" w:rsidRDefault="00B83C5D" w:rsidP="00B83C5D">
            <w:pPr>
              <w:pStyle w:val="Tablebullet1"/>
            </w:pPr>
            <w:r>
              <w:t>significant work is needed to determine intent for a complex precinct</w:t>
            </w:r>
            <w:r w:rsidR="008D2D44">
              <w:t>.</w:t>
            </w:r>
          </w:p>
        </w:tc>
      </w:tr>
    </w:tbl>
    <w:p w14:paraId="01A96F28" w14:textId="5082F306" w:rsidR="00891C87" w:rsidRDefault="00EB0789" w:rsidP="00891C87">
      <w:pPr>
        <w:pStyle w:val="Bodyaftertablefigure"/>
      </w:pPr>
      <w:r>
        <w:t>P</w:t>
      </w:r>
      <w:r w:rsidR="00891C87">
        <w:t>roperties should not be referred to the Asset Management Branch when:</w:t>
      </w:r>
    </w:p>
    <w:p w14:paraId="6B536583" w14:textId="77777777" w:rsidR="00891C87" w:rsidRDefault="00891C87" w:rsidP="00891C87">
      <w:pPr>
        <w:pStyle w:val="Bullet1"/>
      </w:pPr>
      <w:r>
        <w:t>the issue can be addressed through standard make</w:t>
      </w:r>
      <w:r>
        <w:rPr>
          <w:rFonts w:ascii="Cambria Math" w:hAnsi="Cambria Math" w:cs="Cambria Math"/>
        </w:rPr>
        <w:t>‑</w:t>
      </w:r>
      <w:r>
        <w:t>safe or minor repairs</w:t>
      </w:r>
    </w:p>
    <w:p w14:paraId="1ABDC42A" w14:textId="796A459A" w:rsidR="0009689B" w:rsidRDefault="00891C87" w:rsidP="00891C87">
      <w:pPr>
        <w:pStyle w:val="Bullet1"/>
      </w:pPr>
      <w:r>
        <w:t>costs fall within local office repair capacity</w:t>
      </w:r>
    </w:p>
    <w:p w14:paraId="295831B5" w14:textId="77777777" w:rsidR="007A1958" w:rsidRPr="007A1958" w:rsidRDefault="007A1958" w:rsidP="007A1958">
      <w:pPr>
        <w:pStyle w:val="Bullet1"/>
        <w:rPr>
          <w:lang w:eastAsia="en-GB"/>
        </w:rPr>
      </w:pPr>
      <w:r w:rsidRPr="007A1958">
        <w:rPr>
          <w:lang w:eastAsia="en-GB"/>
        </w:rPr>
        <w:t>the CSHS manager has not reviewed and approved the referral</w:t>
      </w:r>
    </w:p>
    <w:p w14:paraId="0AD13941" w14:textId="476323CC" w:rsidR="00F81A38" w:rsidRDefault="007A1958" w:rsidP="00F81A38">
      <w:pPr>
        <w:pStyle w:val="Bullet1"/>
        <w:rPr>
          <w:lang w:eastAsia="en-GB"/>
        </w:rPr>
      </w:pPr>
      <w:r w:rsidRPr="007A1958">
        <w:rPr>
          <w:lang w:eastAsia="en-GB"/>
        </w:rPr>
        <w:t>relevant information required has not been provided (e.g., year built, cladding type)</w:t>
      </w:r>
    </w:p>
    <w:p w14:paraId="398D0C58" w14:textId="77777777" w:rsidR="006A04ED" w:rsidRDefault="007A1958" w:rsidP="008B219D">
      <w:pPr>
        <w:pStyle w:val="Bullet1"/>
        <w:rPr>
          <w:lang w:eastAsia="en-GB"/>
        </w:rPr>
      </w:pPr>
      <w:r w:rsidRPr="007A1958">
        <w:rPr>
          <w:lang w:eastAsia="en-GB"/>
        </w:rPr>
        <w:t>pre</w:t>
      </w:r>
      <w:r w:rsidRPr="007A1958">
        <w:rPr>
          <w:lang w:eastAsia="en-GB"/>
        </w:rPr>
        <w:noBreakHyphen/>
        <w:t>referral vacant unit work is not complete</w:t>
      </w:r>
    </w:p>
    <w:p w14:paraId="4575823C" w14:textId="1958C1FB" w:rsidR="00EB0789" w:rsidRDefault="006A04ED" w:rsidP="008B219D">
      <w:pPr>
        <w:pStyle w:val="Bullet1"/>
        <w:rPr>
          <w:lang w:eastAsia="en-GB"/>
        </w:rPr>
      </w:pPr>
      <w:r>
        <w:rPr>
          <w:lang w:eastAsia="en-GB"/>
        </w:rPr>
        <w:t xml:space="preserve">the </w:t>
      </w:r>
      <w:r w:rsidR="00901578" w:rsidRPr="00901578">
        <w:rPr>
          <w:lang w:eastAsia="en-GB"/>
        </w:rPr>
        <w:t xml:space="preserve">required documentation for the condition </w:t>
      </w:r>
      <w:r w:rsidR="007C7EBB">
        <w:rPr>
          <w:lang w:eastAsia="en-GB"/>
        </w:rPr>
        <w:t>category</w:t>
      </w:r>
      <w:r w:rsidR="00901578" w:rsidRPr="00901578">
        <w:rPr>
          <w:lang w:eastAsia="en-GB"/>
        </w:rPr>
        <w:t xml:space="preserve"> has not been attached to the referral</w:t>
      </w:r>
      <w:r w:rsidR="00901578">
        <w:rPr>
          <w:lang w:eastAsia="en-GB"/>
        </w:rPr>
        <w:t>.</w:t>
      </w:r>
    </w:p>
    <w:p w14:paraId="071497E2" w14:textId="172FD730" w:rsidR="00F10133" w:rsidRDefault="00F10133" w:rsidP="00117FA7">
      <w:pPr>
        <w:pStyle w:val="Bodyafterbullets"/>
        <w:rPr>
          <w:lang w:eastAsia="en-GB"/>
        </w:rPr>
      </w:pPr>
      <w:r>
        <w:rPr>
          <w:lang w:eastAsia="en-GB"/>
        </w:rPr>
        <w:t>For subsequent procedures refer to</w:t>
      </w:r>
      <w:r w:rsidR="00117FA7">
        <w:rPr>
          <w:lang w:eastAsia="en-GB"/>
        </w:rPr>
        <w:t>:</w:t>
      </w:r>
    </w:p>
    <w:p w14:paraId="00DD53B2" w14:textId="77777777" w:rsidR="00117FA7" w:rsidRDefault="00C93D19" w:rsidP="00117FA7">
      <w:pPr>
        <w:pStyle w:val="Bullet1"/>
        <w:rPr>
          <w:lang w:eastAsia="en-GB"/>
        </w:rPr>
      </w:pPr>
      <w:hyperlink w:anchor="_Pre_referral_requirements" w:history="1">
        <w:r w:rsidRPr="00117FA7">
          <w:rPr>
            <w:rStyle w:val="Hyperlink"/>
            <w:lang w:eastAsia="en-GB"/>
          </w:rPr>
          <w:t>Section 10.1 Pre referral requirements</w:t>
        </w:r>
      </w:hyperlink>
    </w:p>
    <w:p w14:paraId="6B0F2A55" w14:textId="2B51E417" w:rsidR="00117FA7" w:rsidRDefault="00117FA7" w:rsidP="002F0B85">
      <w:pPr>
        <w:pStyle w:val="Bullet1"/>
        <w:rPr>
          <w:lang w:eastAsia="en-GB"/>
        </w:rPr>
      </w:pPr>
      <w:hyperlink w:anchor="_CSHS_Manager_oversight" w:history="1">
        <w:r w:rsidRPr="0003052E">
          <w:rPr>
            <w:rStyle w:val="Hyperlink"/>
            <w:lang w:eastAsia="en-GB"/>
          </w:rPr>
          <w:t>Section 10.2</w:t>
        </w:r>
        <w:r w:rsidR="00BB7AED" w:rsidRPr="0003052E">
          <w:rPr>
            <w:rStyle w:val="Hyperlink"/>
            <w:lang w:eastAsia="en-GB"/>
          </w:rPr>
          <w:t xml:space="preserve"> CSHS Manager oversight and approval</w:t>
        </w:r>
      </w:hyperlink>
    </w:p>
    <w:p w14:paraId="4BE4C827" w14:textId="1C441CB9" w:rsidR="00BB7AED" w:rsidRDefault="0003052E" w:rsidP="00EA2803">
      <w:pPr>
        <w:pStyle w:val="Bullet1"/>
        <w:rPr>
          <w:lang w:eastAsia="en-GB"/>
        </w:rPr>
      </w:pPr>
      <w:hyperlink w:anchor="_Reletting_restrictions_and" w:history="1">
        <w:r w:rsidRPr="0003052E">
          <w:rPr>
            <w:rStyle w:val="Hyperlink"/>
            <w:lang w:eastAsia="en-GB"/>
          </w:rPr>
          <w:t>Section 10.3 Reletting restrictions and vacancy management</w:t>
        </w:r>
      </w:hyperlink>
    </w:p>
    <w:p w14:paraId="5C9DF795" w14:textId="77777777" w:rsidR="00BB7AED" w:rsidRDefault="00BB7AED" w:rsidP="00BB7AED">
      <w:pPr>
        <w:pStyle w:val="Bullet1"/>
        <w:numPr>
          <w:ilvl w:val="0"/>
          <w:numId w:val="0"/>
        </w:numPr>
        <w:ind w:left="284" w:hanging="284"/>
        <w:rPr>
          <w:lang w:eastAsia="en-GB"/>
        </w:rPr>
      </w:pPr>
    </w:p>
    <w:p w14:paraId="30D055D6" w14:textId="4EC9068A" w:rsidR="00BB7AED" w:rsidRDefault="00BB7AED" w:rsidP="00BB7AED">
      <w:pPr>
        <w:pStyle w:val="Bullet1"/>
        <w:rPr>
          <w:lang w:eastAsia="en-GB"/>
        </w:rPr>
        <w:sectPr w:rsidR="00BB7AED" w:rsidSect="00F32010">
          <w:pgSz w:w="16838" w:h="11906" w:orient="landscape" w:code="9"/>
          <w:pgMar w:top="1304" w:right="1418" w:bottom="1304" w:left="851" w:header="680" w:footer="567" w:gutter="0"/>
          <w:cols w:space="340"/>
          <w:docGrid w:linePitch="360"/>
        </w:sectPr>
      </w:pPr>
    </w:p>
    <w:p w14:paraId="3FF4460F" w14:textId="77777777" w:rsidR="00F32010" w:rsidRPr="00DD5274" w:rsidRDefault="00F32010" w:rsidP="00F32010">
      <w:pPr>
        <w:pStyle w:val="Heading2"/>
      </w:pPr>
      <w:bookmarkStart w:id="38" w:name="_Pre_referral_requirements"/>
      <w:bookmarkStart w:id="39" w:name="_Toc224119187"/>
      <w:bookmarkEnd w:id="38"/>
      <w:r w:rsidRPr="00DD5274">
        <w:lastRenderedPageBreak/>
        <w:t>Pre referral requirements</w:t>
      </w:r>
      <w:bookmarkEnd w:id="39"/>
      <w:r w:rsidRPr="00DD5274">
        <w:t xml:space="preserve"> </w:t>
      </w:r>
    </w:p>
    <w:p w14:paraId="19307276" w14:textId="77777777" w:rsidR="00F32010" w:rsidRPr="00DD5274" w:rsidRDefault="00F32010" w:rsidP="003A37ED">
      <w:pPr>
        <w:pStyle w:val="Body"/>
      </w:pPr>
      <w:r w:rsidRPr="00DD5274">
        <w:t>When properties require substantial interventions beyond the scope of routine maintenance or local office capacity, staff and man</w:t>
      </w:r>
      <w:r>
        <w:t>a</w:t>
      </w:r>
      <w:r w:rsidRPr="00DD5274">
        <w:t xml:space="preserve">gers should determine if </w:t>
      </w:r>
      <w:r>
        <w:t xml:space="preserve">the </w:t>
      </w:r>
      <w:r w:rsidRPr="00DD5274">
        <w:t>Asset Management</w:t>
      </w:r>
      <w:r>
        <w:t xml:space="preserve"> Branch’s</w:t>
      </w:r>
      <w:r w:rsidRPr="00DD5274">
        <w:t xml:space="preserve"> involvement is required to support appropriate escalation.</w:t>
      </w:r>
    </w:p>
    <w:p w14:paraId="72A3D781" w14:textId="77777777" w:rsidR="00F32010" w:rsidRPr="00DD5274" w:rsidRDefault="00F32010" w:rsidP="003A37ED">
      <w:pPr>
        <w:pStyle w:val="Body"/>
      </w:pPr>
      <w:r w:rsidRPr="00DD5274">
        <w:t>Before raising and escalating a reletting restriction and an OurService referral, including product type changes, staff must first initiate the necessary vacant unit works, which include:</w:t>
      </w:r>
    </w:p>
    <w:p w14:paraId="128F6A60" w14:textId="77777777" w:rsidR="00F32010" w:rsidRPr="00DD5274" w:rsidRDefault="00F32010" w:rsidP="003A37ED">
      <w:pPr>
        <w:pStyle w:val="Tablecaption"/>
      </w:pPr>
      <w:r w:rsidRPr="00DD5274">
        <w:t xml:space="preserve">Table </w:t>
      </w:r>
      <w:r>
        <w:t>11</w:t>
      </w:r>
      <w:r w:rsidRPr="00DD5274">
        <w:t>: Required actions before raising a reletting restriction and referral</w:t>
      </w:r>
    </w:p>
    <w:tbl>
      <w:tblPr>
        <w:tblStyle w:val="TableGrid"/>
        <w:tblW w:w="0" w:type="auto"/>
        <w:tblLook w:val="04A0" w:firstRow="1" w:lastRow="0" w:firstColumn="1" w:lastColumn="0" w:noHBand="0" w:noVBand="1"/>
      </w:tblPr>
      <w:tblGrid>
        <w:gridCol w:w="2724"/>
        <w:gridCol w:w="6564"/>
      </w:tblGrid>
      <w:tr w:rsidR="00F32010" w:rsidRPr="00DD5274" w14:paraId="60294E69" w14:textId="77777777" w:rsidTr="00396475">
        <w:trPr>
          <w:tblHeader/>
        </w:trPr>
        <w:tc>
          <w:tcPr>
            <w:tcW w:w="0" w:type="auto"/>
            <w:hideMark/>
          </w:tcPr>
          <w:p w14:paraId="22F097C1" w14:textId="77777777" w:rsidR="00F32010" w:rsidRPr="00DD5274" w:rsidRDefault="00F32010" w:rsidP="003A37ED">
            <w:pPr>
              <w:pStyle w:val="Tablecolhead"/>
            </w:pPr>
            <w:r w:rsidRPr="00DD5274">
              <w:t>Requirement</w:t>
            </w:r>
          </w:p>
        </w:tc>
        <w:tc>
          <w:tcPr>
            <w:tcW w:w="0" w:type="auto"/>
            <w:hideMark/>
          </w:tcPr>
          <w:p w14:paraId="02FA8768" w14:textId="77777777" w:rsidR="00F32010" w:rsidRPr="00DD5274" w:rsidRDefault="00F32010" w:rsidP="003A37ED">
            <w:pPr>
              <w:pStyle w:val="Tablecolhead"/>
            </w:pPr>
            <w:r w:rsidRPr="00DD5274">
              <w:rPr>
                <w:rFonts w:eastAsia="MS Gothic"/>
              </w:rPr>
              <w:t>Description</w:t>
            </w:r>
          </w:p>
        </w:tc>
      </w:tr>
      <w:tr w:rsidR="00F32010" w:rsidRPr="00DD5274" w14:paraId="0D677960" w14:textId="77777777">
        <w:tc>
          <w:tcPr>
            <w:tcW w:w="0" w:type="auto"/>
            <w:hideMark/>
          </w:tcPr>
          <w:p w14:paraId="2BB203BD" w14:textId="77777777" w:rsidR="00F32010" w:rsidRPr="00DD5274" w:rsidRDefault="00F32010" w:rsidP="003A37ED">
            <w:pPr>
              <w:pStyle w:val="Tabletext"/>
            </w:pPr>
            <w:r w:rsidRPr="00DD5274">
              <w:rPr>
                <w:rFonts w:eastAsia="MS Gothic"/>
              </w:rPr>
              <w:t>Secure the property</w:t>
            </w:r>
          </w:p>
        </w:tc>
        <w:tc>
          <w:tcPr>
            <w:tcW w:w="0" w:type="auto"/>
            <w:hideMark/>
          </w:tcPr>
          <w:p w14:paraId="67464239" w14:textId="77777777" w:rsidR="00F32010" w:rsidRPr="00DD5274" w:rsidRDefault="00F32010" w:rsidP="003A37ED">
            <w:pPr>
              <w:pStyle w:val="Tabletext"/>
              <w:rPr>
                <w:rFonts w:eastAsia="Times"/>
              </w:rPr>
            </w:pPr>
            <w:r w:rsidRPr="00DD5274">
              <w:rPr>
                <w:rFonts w:eastAsia="Times"/>
              </w:rPr>
              <w:t>Change all locks and place keys in the on</w:t>
            </w:r>
            <w:r w:rsidRPr="00DD5274">
              <w:rPr>
                <w:rFonts w:eastAsia="Times"/>
              </w:rPr>
              <w:noBreakHyphen/>
              <w:t>site key safe.</w:t>
            </w:r>
          </w:p>
        </w:tc>
      </w:tr>
      <w:tr w:rsidR="00F32010" w:rsidRPr="00DD5274" w14:paraId="752B9CEC" w14:textId="77777777">
        <w:tc>
          <w:tcPr>
            <w:tcW w:w="0" w:type="auto"/>
            <w:hideMark/>
          </w:tcPr>
          <w:p w14:paraId="55A8043B" w14:textId="77777777" w:rsidR="00F32010" w:rsidRPr="00DD5274" w:rsidRDefault="00F32010" w:rsidP="003A37ED">
            <w:pPr>
              <w:pStyle w:val="Tabletext"/>
            </w:pPr>
            <w:r w:rsidRPr="00DD5274">
              <w:rPr>
                <w:rFonts w:eastAsia="MS Gothic"/>
              </w:rPr>
              <w:t>Remove all rubbish and goods</w:t>
            </w:r>
          </w:p>
        </w:tc>
        <w:tc>
          <w:tcPr>
            <w:tcW w:w="0" w:type="auto"/>
            <w:hideMark/>
          </w:tcPr>
          <w:p w14:paraId="29B739A8" w14:textId="77777777" w:rsidR="00F32010" w:rsidRPr="00DD5274" w:rsidRDefault="00F32010" w:rsidP="003A37ED">
            <w:pPr>
              <w:pStyle w:val="Tabletext"/>
              <w:rPr>
                <w:rFonts w:eastAsia="Times"/>
              </w:rPr>
            </w:pPr>
            <w:r w:rsidRPr="00DD5274">
              <w:rPr>
                <w:rFonts w:eastAsia="Times"/>
              </w:rPr>
              <w:t>Remove all rubbish and personal goods from internal and external areas, including sheds</w:t>
            </w:r>
          </w:p>
        </w:tc>
      </w:tr>
      <w:tr w:rsidR="00F32010" w:rsidRPr="00DD5274" w14:paraId="45809B15" w14:textId="77777777">
        <w:tc>
          <w:tcPr>
            <w:tcW w:w="0" w:type="auto"/>
            <w:hideMark/>
          </w:tcPr>
          <w:p w14:paraId="25300119" w14:textId="77777777" w:rsidR="00F32010" w:rsidRPr="00DD5274" w:rsidRDefault="00F32010" w:rsidP="003A37ED">
            <w:pPr>
              <w:pStyle w:val="Tabletext"/>
            </w:pPr>
            <w:r w:rsidRPr="00DD5274">
              <w:rPr>
                <w:rFonts w:eastAsia="MS Gothic"/>
              </w:rPr>
              <w:t>Arrange a basic clean</w:t>
            </w:r>
          </w:p>
        </w:tc>
        <w:tc>
          <w:tcPr>
            <w:tcW w:w="0" w:type="auto"/>
            <w:hideMark/>
          </w:tcPr>
          <w:p w14:paraId="3DA6DD32" w14:textId="4F44F619" w:rsidR="00F32010" w:rsidRPr="00DD5274" w:rsidRDefault="00F32010" w:rsidP="003A37ED">
            <w:pPr>
              <w:pStyle w:val="Tabletext"/>
              <w:rPr>
                <w:rFonts w:eastAsia="Times"/>
              </w:rPr>
            </w:pPr>
            <w:r w:rsidRPr="00DD5274">
              <w:rPr>
                <w:rFonts w:eastAsia="Times"/>
              </w:rPr>
              <w:t xml:space="preserve">Raise work orders for a clean based on the property’s </w:t>
            </w:r>
            <w:r w:rsidR="002F0B85" w:rsidRPr="00DD5274">
              <w:rPr>
                <w:rFonts w:eastAsia="Times"/>
              </w:rPr>
              <w:t>condition and</w:t>
            </w:r>
            <w:r w:rsidRPr="00DD5274">
              <w:rPr>
                <w:rFonts w:eastAsia="Times"/>
              </w:rPr>
              <w:t xml:space="preserve"> complete the clean as required.</w:t>
            </w:r>
          </w:p>
        </w:tc>
      </w:tr>
      <w:tr w:rsidR="00F32010" w:rsidRPr="00DD5274" w14:paraId="6ABF68C0" w14:textId="77777777">
        <w:tc>
          <w:tcPr>
            <w:tcW w:w="0" w:type="auto"/>
            <w:hideMark/>
          </w:tcPr>
          <w:p w14:paraId="71CA5F40" w14:textId="77777777" w:rsidR="00F32010" w:rsidRPr="00DD5274" w:rsidRDefault="00F32010" w:rsidP="003A37ED">
            <w:pPr>
              <w:pStyle w:val="Tabletext"/>
            </w:pPr>
            <w:r w:rsidRPr="00DD5274">
              <w:rPr>
                <w:rFonts w:eastAsia="MS Gothic"/>
              </w:rPr>
              <w:t>Address suspected meth contamination</w:t>
            </w:r>
          </w:p>
        </w:tc>
        <w:tc>
          <w:tcPr>
            <w:tcW w:w="0" w:type="auto"/>
            <w:hideMark/>
          </w:tcPr>
          <w:p w14:paraId="7BB5064B" w14:textId="77777777" w:rsidR="00F32010" w:rsidRPr="00DD5274" w:rsidRDefault="00F32010" w:rsidP="003A37ED">
            <w:pPr>
              <w:pStyle w:val="Tabletext"/>
              <w:rPr>
                <w:rFonts w:eastAsia="Times"/>
              </w:rPr>
            </w:pPr>
            <w:r w:rsidRPr="00DD5274">
              <w:rPr>
                <w:rFonts w:eastAsia="Times"/>
              </w:rPr>
              <w:t>If methamphetamine contamination is suspected, obtain an Occupational Hygienist report and remediation quotation.</w:t>
            </w:r>
          </w:p>
        </w:tc>
      </w:tr>
      <w:tr w:rsidR="00F32010" w:rsidRPr="00DD5274" w14:paraId="63304F6F" w14:textId="77777777">
        <w:tc>
          <w:tcPr>
            <w:tcW w:w="0" w:type="auto"/>
            <w:hideMark/>
          </w:tcPr>
          <w:p w14:paraId="4C22712E" w14:textId="77777777" w:rsidR="00F32010" w:rsidRPr="00DD5274" w:rsidRDefault="00F32010" w:rsidP="003A37ED">
            <w:pPr>
              <w:pStyle w:val="Tabletext"/>
            </w:pPr>
            <w:r w:rsidRPr="00DD5274">
              <w:rPr>
                <w:rFonts w:eastAsia="MS Gothic"/>
              </w:rPr>
              <w:t>Prepare cost estimates</w:t>
            </w:r>
          </w:p>
        </w:tc>
        <w:tc>
          <w:tcPr>
            <w:tcW w:w="0" w:type="auto"/>
            <w:hideMark/>
          </w:tcPr>
          <w:p w14:paraId="605CCCF9" w14:textId="77777777" w:rsidR="00F32010" w:rsidRPr="00DD5274" w:rsidRDefault="00F32010" w:rsidP="003A37ED">
            <w:pPr>
              <w:pStyle w:val="Tabletext"/>
              <w:rPr>
                <w:rFonts w:eastAsia="Times"/>
              </w:rPr>
            </w:pPr>
            <w:r w:rsidRPr="00DD5274">
              <w:rPr>
                <w:rFonts w:eastAsia="Times"/>
              </w:rPr>
              <w:t>Provide an estimate for vacant unit works, referencing the Schedule of Rates where applicable.</w:t>
            </w:r>
          </w:p>
        </w:tc>
      </w:tr>
    </w:tbl>
    <w:p w14:paraId="4F645381" w14:textId="77777777" w:rsidR="00F32010" w:rsidRPr="00DD5274" w:rsidRDefault="00F32010" w:rsidP="00976C33">
      <w:pPr>
        <w:pStyle w:val="Bodyaftertablefigure"/>
      </w:pPr>
      <w:r w:rsidRPr="00DD5274">
        <w:t>Staff must also compile comprehensive information for a thorough and well-documented referral, including:</w:t>
      </w:r>
    </w:p>
    <w:p w14:paraId="56E45135" w14:textId="3AE6ABD7" w:rsidR="00F32010" w:rsidRPr="00DD5274" w:rsidRDefault="00F32010" w:rsidP="00976C33">
      <w:pPr>
        <w:pStyle w:val="Tablecaption"/>
      </w:pPr>
      <w:r w:rsidRPr="00DD5274">
        <w:t xml:space="preserve">Table </w:t>
      </w:r>
      <w:r>
        <w:t>12</w:t>
      </w:r>
      <w:r w:rsidRPr="00DD5274">
        <w:t>: Required documentation for escalation</w:t>
      </w:r>
    </w:p>
    <w:tbl>
      <w:tblPr>
        <w:tblStyle w:val="TableGrid"/>
        <w:tblW w:w="0" w:type="auto"/>
        <w:tblLook w:val="04A0" w:firstRow="1" w:lastRow="0" w:firstColumn="1" w:lastColumn="0" w:noHBand="0" w:noVBand="1"/>
      </w:tblPr>
      <w:tblGrid>
        <w:gridCol w:w="2689"/>
        <w:gridCol w:w="6599"/>
      </w:tblGrid>
      <w:tr w:rsidR="00F32010" w:rsidRPr="00DD5274" w14:paraId="3910BBF3" w14:textId="77777777" w:rsidTr="00396475">
        <w:trPr>
          <w:tblHeader/>
        </w:trPr>
        <w:tc>
          <w:tcPr>
            <w:tcW w:w="2689" w:type="dxa"/>
            <w:hideMark/>
          </w:tcPr>
          <w:p w14:paraId="100C33D3" w14:textId="77777777" w:rsidR="00F32010" w:rsidRPr="00DD5274" w:rsidRDefault="00F32010" w:rsidP="00976C33">
            <w:pPr>
              <w:pStyle w:val="Tablecolhead"/>
              <w:rPr>
                <w:rFonts w:eastAsia="Times"/>
              </w:rPr>
            </w:pPr>
            <w:r w:rsidRPr="00DD5274">
              <w:t>Documentation</w:t>
            </w:r>
          </w:p>
        </w:tc>
        <w:tc>
          <w:tcPr>
            <w:tcW w:w="6599" w:type="dxa"/>
            <w:hideMark/>
          </w:tcPr>
          <w:p w14:paraId="3F2CE9C3" w14:textId="77777777" w:rsidR="00F32010" w:rsidRPr="00DD5274" w:rsidRDefault="00F32010" w:rsidP="00976C33">
            <w:pPr>
              <w:pStyle w:val="Tablecolhead"/>
              <w:rPr>
                <w:rFonts w:eastAsia="Times"/>
              </w:rPr>
            </w:pPr>
            <w:r w:rsidRPr="00DD5274">
              <w:rPr>
                <w:rFonts w:eastAsia="Times"/>
              </w:rPr>
              <w:t>Description</w:t>
            </w:r>
          </w:p>
        </w:tc>
      </w:tr>
      <w:tr w:rsidR="00F32010" w:rsidRPr="00DD5274" w14:paraId="4B689D8E" w14:textId="77777777">
        <w:tc>
          <w:tcPr>
            <w:tcW w:w="2689" w:type="dxa"/>
            <w:hideMark/>
          </w:tcPr>
          <w:p w14:paraId="52073883" w14:textId="77777777" w:rsidR="00F32010" w:rsidRPr="00DD5274" w:rsidRDefault="00F32010" w:rsidP="00976C33">
            <w:pPr>
              <w:pStyle w:val="Tabletext"/>
            </w:pPr>
            <w:r w:rsidRPr="00DD5274">
              <w:rPr>
                <w:rFonts w:eastAsia="MS Gothic"/>
              </w:rPr>
              <w:t>Explanation of reletting restriction</w:t>
            </w:r>
          </w:p>
        </w:tc>
        <w:tc>
          <w:tcPr>
            <w:tcW w:w="6599" w:type="dxa"/>
            <w:hideMark/>
          </w:tcPr>
          <w:p w14:paraId="7A0FCE41" w14:textId="77777777" w:rsidR="00F32010" w:rsidRPr="00DD5274" w:rsidRDefault="00F32010" w:rsidP="00976C33">
            <w:pPr>
              <w:pStyle w:val="Tabletext"/>
            </w:pPr>
            <w:r w:rsidRPr="00DD5274">
              <w:t>Detailed notes outlining the reasons for the restriction, including assessments and decisions made.</w:t>
            </w:r>
          </w:p>
        </w:tc>
      </w:tr>
      <w:tr w:rsidR="00F32010" w:rsidRPr="00DD5274" w14:paraId="3EFD8AEF" w14:textId="77777777">
        <w:tc>
          <w:tcPr>
            <w:tcW w:w="2689" w:type="dxa"/>
            <w:hideMark/>
          </w:tcPr>
          <w:p w14:paraId="077139DD" w14:textId="77777777" w:rsidR="00F32010" w:rsidRPr="00DD5274" w:rsidRDefault="00F32010" w:rsidP="00976C33">
            <w:pPr>
              <w:pStyle w:val="Tabletext"/>
            </w:pPr>
            <w:r w:rsidRPr="00DD5274">
              <w:rPr>
                <w:rFonts w:eastAsia="MS Gothic"/>
              </w:rPr>
              <w:t>Field Service Officer report</w:t>
            </w:r>
          </w:p>
        </w:tc>
        <w:tc>
          <w:tcPr>
            <w:tcW w:w="6599" w:type="dxa"/>
            <w:hideMark/>
          </w:tcPr>
          <w:p w14:paraId="1DC58EA1" w14:textId="77777777" w:rsidR="00F32010" w:rsidRPr="00DD5274" w:rsidRDefault="00F32010" w:rsidP="00976C33">
            <w:pPr>
              <w:pStyle w:val="Tabletext"/>
            </w:pPr>
            <w:r w:rsidRPr="00DD5274">
              <w:t>Assessment of the property’s condition.</w:t>
            </w:r>
          </w:p>
        </w:tc>
      </w:tr>
      <w:tr w:rsidR="00F32010" w:rsidRPr="00DD5274" w14:paraId="21A81EA5" w14:textId="77777777">
        <w:tc>
          <w:tcPr>
            <w:tcW w:w="2689" w:type="dxa"/>
            <w:hideMark/>
          </w:tcPr>
          <w:p w14:paraId="1FC7C180" w14:textId="77777777" w:rsidR="00F32010" w:rsidRPr="00DD5274" w:rsidRDefault="00F32010" w:rsidP="00976C33">
            <w:pPr>
              <w:pStyle w:val="Tabletext"/>
            </w:pPr>
            <w:r w:rsidRPr="00DD5274">
              <w:rPr>
                <w:rFonts w:eastAsia="MS Gothic"/>
              </w:rPr>
              <w:t>Council Emergency Orders</w:t>
            </w:r>
          </w:p>
        </w:tc>
        <w:tc>
          <w:tcPr>
            <w:tcW w:w="6599" w:type="dxa"/>
            <w:hideMark/>
          </w:tcPr>
          <w:p w14:paraId="4D571AB3" w14:textId="77777777" w:rsidR="00F32010" w:rsidRPr="00DD5274" w:rsidRDefault="00F32010" w:rsidP="00976C33">
            <w:pPr>
              <w:pStyle w:val="Tabletext"/>
            </w:pPr>
            <w:r w:rsidRPr="00DD5274">
              <w:t>Include where relevant, particularly for fire</w:t>
            </w:r>
            <w:r w:rsidRPr="00DD5274">
              <w:noBreakHyphen/>
              <w:t>damaged properties.</w:t>
            </w:r>
          </w:p>
        </w:tc>
      </w:tr>
      <w:tr w:rsidR="00F32010" w:rsidRPr="00DD5274" w14:paraId="25A85554" w14:textId="77777777">
        <w:tc>
          <w:tcPr>
            <w:tcW w:w="2689" w:type="dxa"/>
            <w:hideMark/>
          </w:tcPr>
          <w:p w14:paraId="49AC5CB5" w14:textId="1C1B7C83" w:rsidR="00F32010" w:rsidRPr="00DD5274" w:rsidRDefault="00F32010" w:rsidP="00976C33">
            <w:pPr>
              <w:pStyle w:val="Tabletext"/>
            </w:pPr>
            <w:r w:rsidRPr="00DD5274">
              <w:rPr>
                <w:rFonts w:eastAsia="MS Gothic"/>
              </w:rPr>
              <w:t>Methamphetamine reports and costs</w:t>
            </w:r>
            <w:r w:rsidR="00B44BC0">
              <w:rPr>
                <w:rFonts w:eastAsia="MS Gothic"/>
              </w:rPr>
              <w:t xml:space="preserve"> (if applicable)</w:t>
            </w:r>
          </w:p>
        </w:tc>
        <w:tc>
          <w:tcPr>
            <w:tcW w:w="6599" w:type="dxa"/>
            <w:hideMark/>
          </w:tcPr>
          <w:p w14:paraId="0F9B4B99" w14:textId="34B00AFF" w:rsidR="00B44BC0" w:rsidRPr="00976C33" w:rsidRDefault="00B44BC0" w:rsidP="00976C33">
            <w:pPr>
              <w:pStyle w:val="Tablebullet1"/>
            </w:pPr>
            <w:r w:rsidRPr="00976C33">
              <w:t>Certified Occupational Hygienist report, including the testing report and remediation action plan</w:t>
            </w:r>
          </w:p>
          <w:p w14:paraId="53AFDEC8" w14:textId="0B89DDE3" w:rsidR="00B44BC0" w:rsidRPr="00976C33" w:rsidRDefault="00B44BC0" w:rsidP="00976C33">
            <w:pPr>
              <w:pStyle w:val="Tablebullet1"/>
            </w:pPr>
            <w:r w:rsidRPr="00976C33">
              <w:t>Field Services Officer property report, including the Property Survey Report (PCA001)</w:t>
            </w:r>
          </w:p>
          <w:p w14:paraId="1D029352" w14:textId="6DF96B1B" w:rsidR="00B44BC0" w:rsidRPr="00976C33" w:rsidRDefault="00B44BC0" w:rsidP="00976C33">
            <w:pPr>
              <w:pStyle w:val="Tablebullet1"/>
            </w:pPr>
            <w:r w:rsidRPr="00976C33">
              <w:t>Methamphetamine remediation cost estimate worksheet.</w:t>
            </w:r>
          </w:p>
          <w:p w14:paraId="746D7181" w14:textId="06DA8384" w:rsidR="00B44BC0" w:rsidRPr="00DD5274" w:rsidRDefault="00B44BC0" w:rsidP="00976C33">
            <w:pPr>
              <w:pStyle w:val="Tabletext"/>
            </w:pPr>
            <w:r>
              <w:t>Remediation cost estimates must not include the cost of vacated maintenance works or the removal of rubbish that can be disposed of through normal municipal waste services.</w:t>
            </w:r>
          </w:p>
        </w:tc>
      </w:tr>
      <w:tr w:rsidR="00F32010" w:rsidRPr="00DD5274" w14:paraId="7CB09559" w14:textId="77777777">
        <w:tc>
          <w:tcPr>
            <w:tcW w:w="2689" w:type="dxa"/>
            <w:hideMark/>
          </w:tcPr>
          <w:p w14:paraId="45DE4DE8" w14:textId="77777777" w:rsidR="00F32010" w:rsidRPr="00DD5274" w:rsidRDefault="00F32010" w:rsidP="00976C33">
            <w:pPr>
              <w:pStyle w:val="Tabletext"/>
            </w:pPr>
            <w:r w:rsidRPr="00DD5274">
              <w:rPr>
                <w:rFonts w:eastAsia="MS Gothic"/>
              </w:rPr>
              <w:t>Photographs</w:t>
            </w:r>
          </w:p>
        </w:tc>
        <w:tc>
          <w:tcPr>
            <w:tcW w:w="6599" w:type="dxa"/>
            <w:hideMark/>
          </w:tcPr>
          <w:p w14:paraId="7C5FA7AD" w14:textId="77777777" w:rsidR="00F32010" w:rsidRPr="00DD5274" w:rsidRDefault="00F32010" w:rsidP="00976C33">
            <w:pPr>
              <w:pStyle w:val="Tabletext"/>
            </w:pPr>
            <w:r w:rsidRPr="00DD5274">
              <w:t>Internal and external images clearly showing the issues prompting escalation.</w:t>
            </w:r>
          </w:p>
        </w:tc>
      </w:tr>
      <w:tr w:rsidR="00F32010" w:rsidRPr="00DD5274" w14:paraId="22AF5E51" w14:textId="77777777">
        <w:tc>
          <w:tcPr>
            <w:tcW w:w="2689" w:type="dxa"/>
            <w:hideMark/>
          </w:tcPr>
          <w:p w14:paraId="1D5E8121" w14:textId="77777777" w:rsidR="00F32010" w:rsidRPr="00DD5274" w:rsidRDefault="00F32010" w:rsidP="00976C33">
            <w:pPr>
              <w:pStyle w:val="Tabletext"/>
            </w:pPr>
            <w:r w:rsidRPr="00DD5274">
              <w:rPr>
                <w:rFonts w:eastAsia="MS Gothic"/>
              </w:rPr>
              <w:t>Other relevant documentation</w:t>
            </w:r>
          </w:p>
        </w:tc>
        <w:tc>
          <w:tcPr>
            <w:tcW w:w="6599" w:type="dxa"/>
            <w:hideMark/>
          </w:tcPr>
          <w:p w14:paraId="4D8C83F6" w14:textId="77777777" w:rsidR="00F32010" w:rsidRPr="00DD5274" w:rsidRDefault="00F32010" w:rsidP="00976C33">
            <w:pPr>
              <w:pStyle w:val="Tabletext"/>
            </w:pPr>
            <w:r w:rsidRPr="00DD5274">
              <w:t>Any additional reports or evidence relating to the property’s condition.</w:t>
            </w:r>
          </w:p>
        </w:tc>
      </w:tr>
      <w:tr w:rsidR="00F32010" w:rsidRPr="00DD5274" w14:paraId="2F79863B" w14:textId="77777777">
        <w:tc>
          <w:tcPr>
            <w:tcW w:w="2689" w:type="dxa"/>
            <w:hideMark/>
          </w:tcPr>
          <w:p w14:paraId="3CC21D1F" w14:textId="77777777" w:rsidR="00F32010" w:rsidRPr="00DD5274" w:rsidRDefault="00F32010" w:rsidP="00976C33">
            <w:pPr>
              <w:pStyle w:val="Tabletext"/>
            </w:pPr>
            <w:r w:rsidRPr="00DD5274">
              <w:rPr>
                <w:rFonts w:eastAsia="MS Gothic"/>
              </w:rPr>
              <w:t>Vacancy checklist</w:t>
            </w:r>
          </w:p>
        </w:tc>
        <w:tc>
          <w:tcPr>
            <w:tcW w:w="6599" w:type="dxa"/>
            <w:hideMark/>
          </w:tcPr>
          <w:p w14:paraId="7DE403FA" w14:textId="77777777" w:rsidR="00F32010" w:rsidRPr="00DD5274" w:rsidRDefault="00F32010" w:rsidP="00976C33">
            <w:pPr>
              <w:pStyle w:val="Tabletext"/>
            </w:pPr>
            <w:r w:rsidRPr="00DD5274">
              <w:t>Completed checklist confirming the property’s status and condition.</w:t>
            </w:r>
          </w:p>
        </w:tc>
      </w:tr>
      <w:tr w:rsidR="00A44CD5" w:rsidRPr="00DD5274" w14:paraId="14A3A816" w14:textId="77777777">
        <w:tc>
          <w:tcPr>
            <w:tcW w:w="2689" w:type="dxa"/>
          </w:tcPr>
          <w:p w14:paraId="3E68CBAE" w14:textId="41FCE455" w:rsidR="00A44CD5" w:rsidRPr="00DD5274" w:rsidRDefault="00A44CD5" w:rsidP="00976C33">
            <w:pPr>
              <w:pStyle w:val="Tabletext"/>
              <w:rPr>
                <w:rFonts w:eastAsia="MS Gothic"/>
              </w:rPr>
            </w:pPr>
            <w:r w:rsidRPr="00A44CD5">
              <w:rPr>
                <w:rFonts w:eastAsia="MS Gothic"/>
              </w:rPr>
              <w:lastRenderedPageBreak/>
              <w:t>Referral guide and assessment - Asset Management Branch</w:t>
            </w:r>
          </w:p>
        </w:tc>
        <w:tc>
          <w:tcPr>
            <w:tcW w:w="6599" w:type="dxa"/>
          </w:tcPr>
          <w:p w14:paraId="555ABA23" w14:textId="74557FEF" w:rsidR="00A44CD5" w:rsidRPr="00DD5274" w:rsidRDefault="00A44CD5" w:rsidP="00976C33">
            <w:pPr>
              <w:pStyle w:val="Tabletext"/>
            </w:pPr>
            <w:r>
              <w:t xml:space="preserve">Completed </w:t>
            </w:r>
            <w:r w:rsidR="00AC1EC6">
              <w:t xml:space="preserve">referral guide </w:t>
            </w:r>
            <w:r w:rsidR="001B7F88">
              <w:t>to the Asset Management Branch, where applicable.</w:t>
            </w:r>
          </w:p>
        </w:tc>
      </w:tr>
    </w:tbl>
    <w:p w14:paraId="641F5B60" w14:textId="77777777" w:rsidR="00F32010" w:rsidRPr="00DD5274" w:rsidRDefault="00F32010" w:rsidP="00BA7DC5">
      <w:pPr>
        <w:pStyle w:val="Bodyaftertablefigure"/>
      </w:pPr>
      <w:r w:rsidRPr="00DD5274">
        <w:t>Once the above has been completed, staff must simultaneously:</w:t>
      </w:r>
    </w:p>
    <w:p w14:paraId="220158D4" w14:textId="77777777" w:rsidR="00F32010" w:rsidRPr="00DD5274" w:rsidRDefault="00F32010" w:rsidP="00976C33">
      <w:pPr>
        <w:pStyle w:val="Tablecaption"/>
      </w:pPr>
      <w:r w:rsidRPr="00DD5274">
        <w:t xml:space="preserve">Table </w:t>
      </w:r>
      <w:r>
        <w:t>13</w:t>
      </w:r>
      <w:r w:rsidRPr="00DD5274">
        <w:t>: Actions to complete after prerequisites are finalised</w:t>
      </w:r>
    </w:p>
    <w:tbl>
      <w:tblPr>
        <w:tblStyle w:val="TableGrid"/>
        <w:tblW w:w="0" w:type="auto"/>
        <w:tblLook w:val="04A0" w:firstRow="1" w:lastRow="0" w:firstColumn="1" w:lastColumn="0" w:noHBand="0" w:noVBand="1"/>
      </w:tblPr>
      <w:tblGrid>
        <w:gridCol w:w="2689"/>
        <w:gridCol w:w="6599"/>
      </w:tblGrid>
      <w:tr w:rsidR="00F32010" w:rsidRPr="00DD5274" w14:paraId="405A81A9" w14:textId="77777777" w:rsidTr="00396475">
        <w:trPr>
          <w:tblHeader/>
        </w:trPr>
        <w:tc>
          <w:tcPr>
            <w:tcW w:w="2689" w:type="dxa"/>
            <w:hideMark/>
          </w:tcPr>
          <w:p w14:paraId="28B98686" w14:textId="77777777" w:rsidR="00F32010" w:rsidRPr="00DD5274" w:rsidRDefault="00F32010">
            <w:pPr>
              <w:spacing w:before="80" w:after="60" w:line="240" w:lineRule="auto"/>
              <w:rPr>
                <w:rFonts w:eastAsia="Times"/>
                <w:b/>
                <w:color w:val="201547"/>
              </w:rPr>
            </w:pPr>
            <w:r w:rsidRPr="00DD5274">
              <w:rPr>
                <w:rFonts w:eastAsia="Times"/>
                <w:b/>
                <w:color w:val="201547"/>
              </w:rPr>
              <w:t>Action</w:t>
            </w:r>
          </w:p>
        </w:tc>
        <w:tc>
          <w:tcPr>
            <w:tcW w:w="6599" w:type="dxa"/>
            <w:hideMark/>
          </w:tcPr>
          <w:p w14:paraId="706A7D6C" w14:textId="77777777" w:rsidR="00F32010" w:rsidRPr="00DD5274" w:rsidRDefault="00F32010">
            <w:pPr>
              <w:spacing w:before="80" w:after="60" w:line="240" w:lineRule="auto"/>
              <w:rPr>
                <w:rFonts w:eastAsia="Times"/>
                <w:b/>
                <w:color w:val="201547"/>
              </w:rPr>
            </w:pPr>
            <w:r w:rsidRPr="00DD5274">
              <w:rPr>
                <w:rFonts w:eastAsia="Times"/>
                <w:b/>
                <w:color w:val="201547"/>
              </w:rPr>
              <w:t>Description</w:t>
            </w:r>
          </w:p>
        </w:tc>
      </w:tr>
      <w:tr w:rsidR="00F32010" w:rsidRPr="00DD5274" w14:paraId="07F221E9" w14:textId="77777777">
        <w:tc>
          <w:tcPr>
            <w:tcW w:w="2689" w:type="dxa"/>
            <w:hideMark/>
          </w:tcPr>
          <w:p w14:paraId="6B2CF9BF" w14:textId="77777777" w:rsidR="00F32010" w:rsidRPr="00DD5274" w:rsidRDefault="00F32010" w:rsidP="00976C33">
            <w:pPr>
              <w:pStyle w:val="Tabletext"/>
              <w:rPr>
                <w:rFonts w:eastAsia="Times"/>
              </w:rPr>
            </w:pPr>
            <w:r w:rsidRPr="00DD5274">
              <w:rPr>
                <w:rFonts w:eastAsia="Times"/>
              </w:rPr>
              <w:t>Apply and escalate the reletting restriction in HiiP</w:t>
            </w:r>
          </w:p>
        </w:tc>
        <w:tc>
          <w:tcPr>
            <w:tcW w:w="6599" w:type="dxa"/>
            <w:hideMark/>
          </w:tcPr>
          <w:p w14:paraId="37760DEC" w14:textId="77777777" w:rsidR="00F32010" w:rsidRPr="00DD5274" w:rsidRDefault="00F32010" w:rsidP="00976C33">
            <w:pPr>
              <w:pStyle w:val="Tablebullet1"/>
              <w:rPr>
                <w:rFonts w:eastAsia="Times"/>
              </w:rPr>
            </w:pPr>
            <w:r w:rsidRPr="00DD5274">
              <w:rPr>
                <w:rFonts w:eastAsia="Times"/>
              </w:rPr>
              <w:t xml:space="preserve">Apply and escalate the relevant reletting restriction within 24-48 hours of identifying the need for Asset Management involvement. </w:t>
            </w:r>
          </w:p>
          <w:p w14:paraId="4700E230" w14:textId="77777777" w:rsidR="00F32010" w:rsidRPr="00DD5274" w:rsidRDefault="00F32010" w:rsidP="00976C33">
            <w:pPr>
              <w:pStyle w:val="Tablebullet1"/>
              <w:rPr>
                <w:rFonts w:eastAsia="Times"/>
              </w:rPr>
            </w:pPr>
            <w:r w:rsidRPr="00DD5274">
              <w:rPr>
                <w:rFonts w:eastAsia="Times"/>
              </w:rPr>
              <w:t>Include the OurService reference number in the comments to support accurate tracking and follow</w:t>
            </w:r>
            <w:r w:rsidRPr="00DD5274">
              <w:rPr>
                <w:rFonts w:eastAsia="Times"/>
              </w:rPr>
              <w:noBreakHyphen/>
              <w:t>up.</w:t>
            </w:r>
          </w:p>
        </w:tc>
      </w:tr>
      <w:tr w:rsidR="00F32010" w:rsidRPr="00DD5274" w14:paraId="242254DD" w14:textId="77777777">
        <w:tc>
          <w:tcPr>
            <w:tcW w:w="2689" w:type="dxa"/>
            <w:hideMark/>
          </w:tcPr>
          <w:p w14:paraId="6F0B8C48" w14:textId="77777777" w:rsidR="00F32010" w:rsidRPr="00DD5274" w:rsidRDefault="00F32010" w:rsidP="00976C33">
            <w:pPr>
              <w:pStyle w:val="Tabletext"/>
              <w:rPr>
                <w:rFonts w:eastAsia="Times"/>
              </w:rPr>
            </w:pPr>
            <w:r w:rsidRPr="00DD5274">
              <w:rPr>
                <w:rFonts w:eastAsia="Times"/>
              </w:rPr>
              <w:t>Initiate an OurService referral</w:t>
            </w:r>
          </w:p>
        </w:tc>
        <w:tc>
          <w:tcPr>
            <w:tcW w:w="6599" w:type="dxa"/>
            <w:hideMark/>
          </w:tcPr>
          <w:p w14:paraId="29119F8B" w14:textId="77777777" w:rsidR="00F32010" w:rsidRPr="00DD5274" w:rsidRDefault="00F32010" w:rsidP="00976C33">
            <w:pPr>
              <w:pStyle w:val="Tablebullet1"/>
              <w:rPr>
                <w:rFonts w:eastAsia="Times"/>
              </w:rPr>
            </w:pPr>
            <w:r w:rsidRPr="00DD5274">
              <w:rPr>
                <w:rFonts w:eastAsia="Times"/>
              </w:rPr>
              <w:t xml:space="preserve">Submit a referral through the OurService Catalogue under </w:t>
            </w:r>
            <w:r w:rsidRPr="00DD5274">
              <w:rPr>
                <w:rFonts w:eastAsia="Times"/>
                <w:i/>
                <w:iCs/>
              </w:rPr>
              <w:t>Housing Services</w:t>
            </w:r>
            <w:r w:rsidRPr="00DD5274">
              <w:rPr>
                <w:rFonts w:eastAsia="Times"/>
              </w:rPr>
              <w:t>, selecting the request type appropriate to the situation.</w:t>
            </w:r>
          </w:p>
        </w:tc>
      </w:tr>
      <w:tr w:rsidR="00F32010" w:rsidRPr="00DD5274" w14:paraId="7FFF953A" w14:textId="77777777">
        <w:tc>
          <w:tcPr>
            <w:tcW w:w="2689" w:type="dxa"/>
            <w:hideMark/>
          </w:tcPr>
          <w:p w14:paraId="541E730F" w14:textId="77777777" w:rsidR="00F32010" w:rsidRPr="00DD5274" w:rsidRDefault="00F32010" w:rsidP="00976C33">
            <w:pPr>
              <w:pStyle w:val="Tabletext"/>
              <w:rPr>
                <w:rFonts w:eastAsia="Times"/>
              </w:rPr>
            </w:pPr>
            <w:r w:rsidRPr="00DD5274">
              <w:rPr>
                <w:rFonts w:eastAsia="Times"/>
              </w:rPr>
              <w:t>Submit for CSHS Manager review and approval</w:t>
            </w:r>
          </w:p>
        </w:tc>
        <w:tc>
          <w:tcPr>
            <w:tcW w:w="6599" w:type="dxa"/>
            <w:hideMark/>
          </w:tcPr>
          <w:p w14:paraId="2F30D8F2" w14:textId="77777777" w:rsidR="00F32010" w:rsidRPr="00DD5274" w:rsidRDefault="00F32010" w:rsidP="00976C33">
            <w:pPr>
              <w:pStyle w:val="Tablebullet1"/>
              <w:rPr>
                <w:rFonts w:eastAsia="Times"/>
              </w:rPr>
            </w:pPr>
            <w:r w:rsidRPr="00DD5274">
              <w:rPr>
                <w:rFonts w:eastAsia="Times"/>
              </w:rPr>
              <w:t>Forward the reletting restriction and referral through the HiiP and OurService workflows to the CSHS Manager (or equivalent) for review and approval.</w:t>
            </w:r>
          </w:p>
        </w:tc>
      </w:tr>
    </w:tbl>
    <w:p w14:paraId="0B0CBFB2" w14:textId="77777777" w:rsidR="00F32010" w:rsidRPr="00DD5274" w:rsidRDefault="00F32010" w:rsidP="00F32010">
      <w:pPr>
        <w:pStyle w:val="Heading2"/>
      </w:pPr>
      <w:bookmarkStart w:id="40" w:name="_CSHS_Manager_oversight"/>
      <w:bookmarkStart w:id="41" w:name="_Toc224119188"/>
      <w:bookmarkEnd w:id="40"/>
      <w:r w:rsidRPr="00DD5274">
        <w:t>CSHS Manager oversight and approval</w:t>
      </w:r>
      <w:bookmarkEnd w:id="41"/>
      <w:r w:rsidRPr="00DD5274">
        <w:t xml:space="preserve"> </w:t>
      </w:r>
    </w:p>
    <w:p w14:paraId="0322B941" w14:textId="77777777" w:rsidR="00F32010" w:rsidRPr="00DD5274" w:rsidRDefault="00F32010" w:rsidP="00976C33">
      <w:pPr>
        <w:pStyle w:val="Body"/>
      </w:pPr>
      <w:r w:rsidRPr="00DD5274">
        <w:t>Before approving a referral, CSHS Managers must first determine if works can be completed locally. This includes confirming that:</w:t>
      </w:r>
    </w:p>
    <w:p w14:paraId="66299ED2" w14:textId="77777777" w:rsidR="00F32010" w:rsidRPr="00DD5274" w:rsidRDefault="00F32010" w:rsidP="00976C33">
      <w:pPr>
        <w:pStyle w:val="Tablecaption"/>
      </w:pPr>
      <w:r w:rsidRPr="00DD5274">
        <w:t>Table 1</w:t>
      </w:r>
      <w:r>
        <w:t>4</w:t>
      </w:r>
      <w:r w:rsidRPr="00DD5274">
        <w:t>: CSHS Manager requirements before approving a referral</w:t>
      </w:r>
    </w:p>
    <w:tbl>
      <w:tblPr>
        <w:tblStyle w:val="TableGrid"/>
        <w:tblW w:w="0" w:type="auto"/>
        <w:tblLook w:val="04A0" w:firstRow="1" w:lastRow="0" w:firstColumn="1" w:lastColumn="0" w:noHBand="0" w:noVBand="1"/>
      </w:tblPr>
      <w:tblGrid>
        <w:gridCol w:w="2653"/>
        <w:gridCol w:w="6635"/>
      </w:tblGrid>
      <w:tr w:rsidR="00F32010" w:rsidRPr="00DD5274" w14:paraId="1B3C86AE" w14:textId="77777777" w:rsidTr="003A37ED">
        <w:trPr>
          <w:tblHeader/>
        </w:trPr>
        <w:tc>
          <w:tcPr>
            <w:tcW w:w="0" w:type="auto"/>
            <w:hideMark/>
          </w:tcPr>
          <w:p w14:paraId="65BEBE93" w14:textId="77777777" w:rsidR="00F32010" w:rsidRPr="00DD5274" w:rsidRDefault="00F32010" w:rsidP="00976C33">
            <w:pPr>
              <w:pStyle w:val="Tablecolhead"/>
              <w:rPr>
                <w:rFonts w:eastAsia="Times"/>
              </w:rPr>
            </w:pPr>
            <w:r w:rsidRPr="00DD5274">
              <w:rPr>
                <w:rFonts w:eastAsia="Times"/>
              </w:rPr>
              <w:t>Requirement</w:t>
            </w:r>
          </w:p>
        </w:tc>
        <w:tc>
          <w:tcPr>
            <w:tcW w:w="0" w:type="auto"/>
            <w:hideMark/>
          </w:tcPr>
          <w:p w14:paraId="61A1E78A" w14:textId="77777777" w:rsidR="00F32010" w:rsidRPr="00DD5274" w:rsidRDefault="00F32010" w:rsidP="00976C33">
            <w:pPr>
              <w:pStyle w:val="Tablecolhead"/>
              <w:rPr>
                <w:rFonts w:eastAsia="Times"/>
              </w:rPr>
            </w:pPr>
            <w:r w:rsidRPr="00DD5274">
              <w:rPr>
                <w:rFonts w:eastAsia="Times"/>
              </w:rPr>
              <w:t>Description</w:t>
            </w:r>
          </w:p>
        </w:tc>
      </w:tr>
      <w:tr w:rsidR="00F32010" w:rsidRPr="00DD5274" w14:paraId="380DFE12" w14:textId="77777777" w:rsidTr="003A37ED">
        <w:tc>
          <w:tcPr>
            <w:tcW w:w="0" w:type="auto"/>
            <w:hideMark/>
          </w:tcPr>
          <w:p w14:paraId="7C078A1D" w14:textId="77777777" w:rsidR="00F32010" w:rsidRPr="00DD5274" w:rsidRDefault="00F32010" w:rsidP="00976C33">
            <w:pPr>
              <w:pStyle w:val="Tabletext"/>
            </w:pPr>
            <w:r w:rsidRPr="00DD5274">
              <w:rPr>
                <w:rFonts w:eastAsia="MS Gothic"/>
              </w:rPr>
              <w:t>Assess local capability</w:t>
            </w:r>
          </w:p>
        </w:tc>
        <w:tc>
          <w:tcPr>
            <w:tcW w:w="0" w:type="auto"/>
            <w:hideMark/>
          </w:tcPr>
          <w:p w14:paraId="484A709F" w14:textId="77777777" w:rsidR="00F32010" w:rsidRPr="00DD5274" w:rsidRDefault="00F32010" w:rsidP="00976C33">
            <w:pPr>
              <w:pStyle w:val="Tabletext"/>
            </w:pPr>
            <w:r w:rsidRPr="00DD5274">
              <w:t>Confirm whether the work can be completed locally, including:</w:t>
            </w:r>
          </w:p>
          <w:p w14:paraId="6ACF67CA" w14:textId="77777777" w:rsidR="00F32010" w:rsidRPr="00DD5274" w:rsidRDefault="00F32010" w:rsidP="00976C33">
            <w:pPr>
              <w:pStyle w:val="Tablebullet1"/>
            </w:pPr>
            <w:r w:rsidRPr="00DD5274">
              <w:t>whether repairs are minor, and</w:t>
            </w:r>
          </w:p>
          <w:p w14:paraId="31CD9D08" w14:textId="77777777" w:rsidR="00F32010" w:rsidRPr="00DD5274" w:rsidRDefault="00F32010" w:rsidP="00976C33">
            <w:pPr>
              <w:pStyle w:val="Tablebullet1"/>
            </w:pPr>
            <w:r w:rsidRPr="00DD5274">
              <w:t>within local cost limits</w:t>
            </w:r>
          </w:p>
        </w:tc>
      </w:tr>
      <w:tr w:rsidR="00F32010" w:rsidRPr="00DD5274" w14:paraId="297C2717" w14:textId="77777777" w:rsidTr="003A37ED">
        <w:tc>
          <w:tcPr>
            <w:tcW w:w="0" w:type="auto"/>
            <w:hideMark/>
          </w:tcPr>
          <w:p w14:paraId="0BD8BAEE" w14:textId="77777777" w:rsidR="00F32010" w:rsidRPr="00DD5274" w:rsidRDefault="00F32010" w:rsidP="00976C33">
            <w:pPr>
              <w:pStyle w:val="Tabletext"/>
            </w:pPr>
            <w:r w:rsidRPr="00DD5274">
              <w:rPr>
                <w:rFonts w:eastAsia="MS Gothic"/>
              </w:rPr>
              <w:t>Review supporting evidence</w:t>
            </w:r>
          </w:p>
        </w:tc>
        <w:tc>
          <w:tcPr>
            <w:tcW w:w="0" w:type="auto"/>
            <w:hideMark/>
          </w:tcPr>
          <w:p w14:paraId="1487ED64" w14:textId="77777777" w:rsidR="00F32010" w:rsidRPr="00DD5274" w:rsidRDefault="00F32010" w:rsidP="00976C33">
            <w:pPr>
              <w:pStyle w:val="Tabletext"/>
            </w:pPr>
            <w:r w:rsidRPr="00DD5274">
              <w:t>Review:</w:t>
            </w:r>
          </w:p>
          <w:p w14:paraId="3DAAE042" w14:textId="77777777" w:rsidR="00F32010" w:rsidRPr="00DD5274" w:rsidRDefault="00F32010" w:rsidP="00976C33">
            <w:pPr>
              <w:pStyle w:val="Tablebullet1"/>
            </w:pPr>
            <w:r w:rsidRPr="00DD5274">
              <w:t>Field Service Officer reports</w:t>
            </w:r>
          </w:p>
          <w:p w14:paraId="5F6A1007" w14:textId="77777777" w:rsidR="00F32010" w:rsidRPr="00DD5274" w:rsidRDefault="00F32010" w:rsidP="00976C33">
            <w:pPr>
              <w:pStyle w:val="Tablebullet1"/>
            </w:pPr>
            <w:r w:rsidRPr="00DD5274">
              <w:t xml:space="preserve">cost estimates, and </w:t>
            </w:r>
          </w:p>
          <w:p w14:paraId="02F5C466" w14:textId="77777777" w:rsidR="00F32010" w:rsidRPr="00DD5274" w:rsidRDefault="00F32010" w:rsidP="00976C33">
            <w:pPr>
              <w:pStyle w:val="Tablebullet1"/>
            </w:pPr>
            <w:r w:rsidRPr="00DD5274">
              <w:t>risk assessments to confirm they clearly show whether the work can be managed locally or requires escalation.</w:t>
            </w:r>
          </w:p>
        </w:tc>
      </w:tr>
      <w:tr w:rsidR="00F32010" w:rsidRPr="00DD5274" w14:paraId="6F7F6D01" w14:textId="77777777" w:rsidTr="003A37ED">
        <w:tc>
          <w:tcPr>
            <w:tcW w:w="0" w:type="auto"/>
            <w:hideMark/>
          </w:tcPr>
          <w:p w14:paraId="1AF47361" w14:textId="77777777" w:rsidR="00F32010" w:rsidRPr="00DD5274" w:rsidRDefault="00F32010" w:rsidP="00976C33">
            <w:pPr>
              <w:pStyle w:val="Tabletext"/>
            </w:pPr>
            <w:r w:rsidRPr="00DD5274">
              <w:rPr>
                <w:rFonts w:eastAsia="MS Gothic"/>
              </w:rPr>
              <w:t>Confirm reletting restriction status</w:t>
            </w:r>
          </w:p>
        </w:tc>
        <w:tc>
          <w:tcPr>
            <w:tcW w:w="0" w:type="auto"/>
            <w:hideMark/>
          </w:tcPr>
          <w:p w14:paraId="2EFB0870" w14:textId="77777777" w:rsidR="00F32010" w:rsidRPr="00DD5274" w:rsidRDefault="00F32010" w:rsidP="00976C33">
            <w:pPr>
              <w:pStyle w:val="Tabletext"/>
            </w:pPr>
            <w:r w:rsidRPr="00DD5274">
              <w:t>Validate a RAM</w:t>
            </w:r>
            <w:r w:rsidRPr="00DD5274">
              <w:noBreakHyphen/>
              <w:t>endorsed reletting restriction has been applied in HiiP, with accurate and complete notes outlining the reason for escalation.</w:t>
            </w:r>
          </w:p>
        </w:tc>
      </w:tr>
      <w:tr w:rsidR="00F32010" w:rsidRPr="00DD5274" w14:paraId="4E088293" w14:textId="77777777" w:rsidTr="003A37ED">
        <w:tc>
          <w:tcPr>
            <w:tcW w:w="0" w:type="auto"/>
            <w:hideMark/>
          </w:tcPr>
          <w:p w14:paraId="0685A1AC" w14:textId="77777777" w:rsidR="00F32010" w:rsidRPr="00DD5274" w:rsidRDefault="00F32010" w:rsidP="00976C33">
            <w:pPr>
              <w:pStyle w:val="Tabletext"/>
            </w:pPr>
            <w:r w:rsidRPr="00DD5274">
              <w:rPr>
                <w:rFonts w:eastAsia="MS Gothic"/>
              </w:rPr>
              <w:t>Validate referral pathway</w:t>
            </w:r>
          </w:p>
        </w:tc>
        <w:tc>
          <w:tcPr>
            <w:tcW w:w="0" w:type="auto"/>
            <w:hideMark/>
          </w:tcPr>
          <w:p w14:paraId="4F9802F3" w14:textId="77777777" w:rsidR="00F32010" w:rsidRPr="00DD5274" w:rsidRDefault="00F32010" w:rsidP="00976C33">
            <w:pPr>
              <w:pStyle w:val="Tabletext"/>
            </w:pPr>
            <w:r w:rsidRPr="00DD5274">
              <w:t>Validate the referral aligns with the correct path based on:</w:t>
            </w:r>
          </w:p>
          <w:p w14:paraId="15B5F85A" w14:textId="77777777" w:rsidR="00F32010" w:rsidRPr="00DD5274" w:rsidRDefault="00F32010" w:rsidP="00976C33">
            <w:pPr>
              <w:pStyle w:val="Tablebullet1"/>
            </w:pPr>
            <w:r w:rsidRPr="00DD5274">
              <w:t>asset intent</w:t>
            </w:r>
          </w:p>
          <w:p w14:paraId="01054088" w14:textId="77777777" w:rsidR="00F32010" w:rsidRPr="00DD5274" w:rsidRDefault="00F32010" w:rsidP="00976C33">
            <w:pPr>
              <w:pStyle w:val="Tablebullet1"/>
            </w:pPr>
            <w:r w:rsidRPr="00DD5274">
              <w:t xml:space="preserve">property type, and </w:t>
            </w:r>
          </w:p>
          <w:p w14:paraId="41895ED9" w14:textId="77777777" w:rsidR="00F32010" w:rsidRPr="00DD5274" w:rsidRDefault="00F32010" w:rsidP="00976C33">
            <w:pPr>
              <w:pStyle w:val="Tablebullet1"/>
            </w:pPr>
            <w:r w:rsidRPr="00DD5274">
              <w:t>cladding considerations.</w:t>
            </w:r>
          </w:p>
        </w:tc>
      </w:tr>
      <w:tr w:rsidR="00F32010" w:rsidRPr="00DD5274" w14:paraId="797EB68D" w14:textId="77777777" w:rsidTr="003A37ED">
        <w:tc>
          <w:tcPr>
            <w:tcW w:w="0" w:type="auto"/>
            <w:hideMark/>
          </w:tcPr>
          <w:p w14:paraId="37861B3E" w14:textId="77777777" w:rsidR="00F32010" w:rsidRPr="00DD5274" w:rsidRDefault="00F32010" w:rsidP="00976C33">
            <w:pPr>
              <w:pStyle w:val="Tabletext"/>
            </w:pPr>
            <w:r w:rsidRPr="00DD5274">
              <w:rPr>
                <w:rFonts w:eastAsia="MS Gothic"/>
              </w:rPr>
              <w:t>Confirm OurService referral completeness</w:t>
            </w:r>
          </w:p>
        </w:tc>
        <w:tc>
          <w:tcPr>
            <w:tcW w:w="0" w:type="auto"/>
            <w:hideMark/>
          </w:tcPr>
          <w:p w14:paraId="2ECFEB32" w14:textId="77777777" w:rsidR="00F32010" w:rsidRPr="00DD5274" w:rsidRDefault="00F32010" w:rsidP="00976C33">
            <w:pPr>
              <w:pStyle w:val="Tabletext"/>
            </w:pPr>
            <w:r w:rsidRPr="00DD5274">
              <w:t>Make sure all relevant information has been entered into the OurService form, with an accurate description and the correct request type selected.</w:t>
            </w:r>
          </w:p>
        </w:tc>
      </w:tr>
      <w:tr w:rsidR="00F32010" w:rsidRPr="00DD5274" w14:paraId="31D18B6F" w14:textId="77777777" w:rsidTr="003A37ED">
        <w:tc>
          <w:tcPr>
            <w:tcW w:w="0" w:type="auto"/>
            <w:hideMark/>
          </w:tcPr>
          <w:p w14:paraId="0D2E33D1" w14:textId="77777777" w:rsidR="00F32010" w:rsidRPr="00DD5274" w:rsidRDefault="00F32010" w:rsidP="00976C33">
            <w:pPr>
              <w:pStyle w:val="Tabletext"/>
            </w:pPr>
            <w:r w:rsidRPr="00DD5274">
              <w:rPr>
                <w:rFonts w:eastAsia="MS Gothic"/>
              </w:rPr>
              <w:lastRenderedPageBreak/>
              <w:t>Verify required documentation is attached</w:t>
            </w:r>
          </w:p>
        </w:tc>
        <w:tc>
          <w:tcPr>
            <w:tcW w:w="0" w:type="auto"/>
            <w:hideMark/>
          </w:tcPr>
          <w:p w14:paraId="40867E51" w14:textId="77777777" w:rsidR="00F32010" w:rsidRPr="00DD5274" w:rsidRDefault="00F32010" w:rsidP="00976C33">
            <w:pPr>
              <w:pStyle w:val="Tabletext"/>
            </w:pPr>
            <w:r w:rsidRPr="00DD5274">
              <w:t xml:space="preserve">Confirm submission includes: </w:t>
            </w:r>
          </w:p>
          <w:p w14:paraId="02A8B568" w14:textId="77777777" w:rsidR="00F32010" w:rsidRPr="00DD5274" w:rsidRDefault="00F32010" w:rsidP="00976C33">
            <w:pPr>
              <w:pStyle w:val="Tablebullet1"/>
            </w:pPr>
            <w:r w:rsidRPr="00DD5274">
              <w:t xml:space="preserve">Field Service Officer report(s) </w:t>
            </w:r>
          </w:p>
          <w:p w14:paraId="1D44114D" w14:textId="77777777" w:rsidR="00F32010" w:rsidRPr="00DD5274" w:rsidRDefault="00F32010" w:rsidP="00976C33">
            <w:pPr>
              <w:pStyle w:val="Tablebullet1"/>
            </w:pPr>
            <w:r w:rsidRPr="00DD5274">
              <w:t xml:space="preserve">council Emergency Order (if applicable) </w:t>
            </w:r>
          </w:p>
          <w:p w14:paraId="57588B7E" w14:textId="77777777" w:rsidR="00F32010" w:rsidRPr="00DD5274" w:rsidRDefault="00F32010" w:rsidP="00976C33">
            <w:pPr>
              <w:pStyle w:val="Tablebullet1"/>
            </w:pPr>
            <w:r w:rsidRPr="00DD5274">
              <w:t>methamphetamine remediation reports and costings (if required)</w:t>
            </w:r>
          </w:p>
          <w:p w14:paraId="7AEC4D6B" w14:textId="77777777" w:rsidR="00F32010" w:rsidRPr="00DD5274" w:rsidRDefault="00F32010" w:rsidP="00976C33">
            <w:pPr>
              <w:pStyle w:val="Tablebullet1"/>
            </w:pPr>
            <w:r w:rsidRPr="00DD5274">
              <w:t xml:space="preserve">internal and external photographs showing the issues </w:t>
            </w:r>
          </w:p>
          <w:p w14:paraId="5662EA3F" w14:textId="77777777" w:rsidR="00F32010" w:rsidRPr="00DD5274" w:rsidRDefault="00F32010" w:rsidP="00976C33">
            <w:pPr>
              <w:pStyle w:val="Tablebullet1"/>
            </w:pPr>
            <w:r w:rsidRPr="00DD5274">
              <w:t xml:space="preserve">any other relevant reports or documentation </w:t>
            </w:r>
          </w:p>
          <w:p w14:paraId="2BC14DC7" w14:textId="77777777" w:rsidR="00F32010" w:rsidRPr="00DD5274" w:rsidRDefault="00F32010" w:rsidP="00976C33">
            <w:pPr>
              <w:pStyle w:val="Tablebullet1"/>
            </w:pPr>
            <w:r w:rsidRPr="00DD5274">
              <w:t>completed vacancy checklist</w:t>
            </w:r>
          </w:p>
        </w:tc>
      </w:tr>
      <w:tr w:rsidR="00F32010" w:rsidRPr="00DD5274" w14:paraId="600E8FB7" w14:textId="77777777" w:rsidTr="003A37ED">
        <w:tc>
          <w:tcPr>
            <w:tcW w:w="0" w:type="auto"/>
            <w:hideMark/>
          </w:tcPr>
          <w:p w14:paraId="4EDEE762" w14:textId="77777777" w:rsidR="00F32010" w:rsidRPr="00DD5274" w:rsidRDefault="00F32010" w:rsidP="00976C33">
            <w:pPr>
              <w:pStyle w:val="Tabletext"/>
            </w:pPr>
            <w:r w:rsidRPr="00DD5274">
              <w:rPr>
                <w:rFonts w:eastAsia="MS Gothic"/>
              </w:rPr>
              <w:t>Record recommendation and decision</w:t>
            </w:r>
          </w:p>
        </w:tc>
        <w:tc>
          <w:tcPr>
            <w:tcW w:w="0" w:type="auto"/>
            <w:hideMark/>
          </w:tcPr>
          <w:p w14:paraId="585F6E12" w14:textId="77777777" w:rsidR="00F32010" w:rsidRPr="00DD5274" w:rsidRDefault="00F32010" w:rsidP="00976C33">
            <w:pPr>
              <w:pStyle w:val="Tabletext"/>
            </w:pPr>
            <w:r w:rsidRPr="00DD5274">
              <w:t>Provide recommended upgrade reason(s), include a brief description of the property’s condition, and approve or decline the referral in a timely manner.</w:t>
            </w:r>
          </w:p>
        </w:tc>
      </w:tr>
    </w:tbl>
    <w:p w14:paraId="29AC3DE4" w14:textId="77777777" w:rsidR="00F32010" w:rsidRPr="00DD5274" w:rsidRDefault="00F32010" w:rsidP="00976C33">
      <w:pPr>
        <w:pStyle w:val="Bodyaftertablefigure"/>
      </w:pPr>
      <w:r w:rsidRPr="00DD5274">
        <w:t>If these conditions are met, the referral should not be approved and the work managed locally.</w:t>
      </w:r>
    </w:p>
    <w:p w14:paraId="4FCF2892" w14:textId="0C55D85C" w:rsidR="00F32010" w:rsidRPr="00DD5274" w:rsidRDefault="00F32010" w:rsidP="00F32010">
      <w:pPr>
        <w:pStyle w:val="Heading2"/>
      </w:pPr>
      <w:bookmarkStart w:id="42" w:name="_Reletting_restrictions_1"/>
      <w:bookmarkStart w:id="43" w:name="_Reletting_restrictions_and"/>
      <w:bookmarkStart w:id="44" w:name="_Toc224119189"/>
      <w:bookmarkEnd w:id="42"/>
      <w:bookmarkEnd w:id="43"/>
      <w:r w:rsidRPr="00DD5274">
        <w:t xml:space="preserve">Reletting restrictions </w:t>
      </w:r>
      <w:r w:rsidR="001D7056">
        <w:t>and vacancy management</w:t>
      </w:r>
      <w:bookmarkEnd w:id="44"/>
    </w:p>
    <w:p w14:paraId="34DE6048" w14:textId="07E6DFFB" w:rsidR="00BA4055" w:rsidRDefault="00F32010" w:rsidP="00976C33">
      <w:pPr>
        <w:pStyle w:val="Body"/>
      </w:pPr>
      <w:r w:rsidRPr="00DD5274">
        <w:t xml:space="preserve">If a referral is accepted by </w:t>
      </w:r>
      <w:r w:rsidR="006D7E97">
        <w:t xml:space="preserve">the </w:t>
      </w:r>
      <w:r w:rsidRPr="00DD5274">
        <w:t>Asset Management</w:t>
      </w:r>
      <w:r w:rsidR="006D7E97">
        <w:t xml:space="preserve"> Branch</w:t>
      </w:r>
      <w:r w:rsidRPr="00DD5274">
        <w:t>, the</w:t>
      </w:r>
      <w:r w:rsidR="00DE3D8E">
        <w:t xml:space="preserve"> associated</w:t>
      </w:r>
      <w:r w:rsidRPr="00DD5274">
        <w:t xml:space="preserve"> reletting restriction may be applied. </w:t>
      </w:r>
      <w:r w:rsidR="00BA4055" w:rsidRPr="00BA4055">
        <w:t>The local office retains responsibility for vacancy management tasks, including:</w:t>
      </w:r>
    </w:p>
    <w:p w14:paraId="13178693" w14:textId="77777777" w:rsidR="00F32010" w:rsidRPr="00DD5274" w:rsidRDefault="00F32010" w:rsidP="00976C33">
      <w:pPr>
        <w:pStyle w:val="Bullet1"/>
      </w:pPr>
      <w:r w:rsidRPr="00DD5274">
        <w:t>securing the property in the event of any incidents</w:t>
      </w:r>
    </w:p>
    <w:p w14:paraId="08926A28" w14:textId="77777777" w:rsidR="00F32010" w:rsidRPr="00DD5274" w:rsidRDefault="00F32010" w:rsidP="00976C33">
      <w:pPr>
        <w:pStyle w:val="Bullet1"/>
      </w:pPr>
      <w:r w:rsidRPr="00DD5274">
        <w:t>maintaining the grounds, including grass cutting, and</w:t>
      </w:r>
    </w:p>
    <w:p w14:paraId="73FF2F35" w14:textId="77777777" w:rsidR="00F32010" w:rsidRPr="00DD5274" w:rsidRDefault="00F32010" w:rsidP="00976C33">
      <w:pPr>
        <w:pStyle w:val="Bullet1"/>
      </w:pPr>
      <w:r w:rsidRPr="00DD5274">
        <w:t>taking appropriate action against illegal occupants, if necessary.</w:t>
      </w:r>
    </w:p>
    <w:p w14:paraId="1AA69292" w14:textId="77777777" w:rsidR="00F32010" w:rsidRPr="00DD5274" w:rsidRDefault="00F32010" w:rsidP="00F32010">
      <w:pPr>
        <w:pStyle w:val="Heading2"/>
      </w:pPr>
      <w:bookmarkStart w:id="45" w:name="_Toc224119190"/>
      <w:r w:rsidRPr="00DD5274">
        <w:t>Vacancy durations</w:t>
      </w:r>
      <w:bookmarkEnd w:id="45"/>
      <w:r w:rsidRPr="00DD5274">
        <w:t xml:space="preserve"> </w:t>
      </w:r>
    </w:p>
    <w:p w14:paraId="0351A8C9" w14:textId="39237D39" w:rsidR="00F32010" w:rsidRPr="00DD5274" w:rsidRDefault="002F0BBA" w:rsidP="00976C33">
      <w:pPr>
        <w:pStyle w:val="Body"/>
      </w:pPr>
      <w:r w:rsidRPr="002F0BBA">
        <w:t>When a property is referred for assessment or works, it may remain vacant for an extended period due to the nature of the works or decisions involved. The typical vacancy durations are:</w:t>
      </w:r>
    </w:p>
    <w:p w14:paraId="6EC4CDE8" w14:textId="77777777" w:rsidR="00F32010" w:rsidRPr="00DD5274" w:rsidRDefault="00F32010" w:rsidP="00976C33">
      <w:pPr>
        <w:pStyle w:val="Tablecaption"/>
      </w:pPr>
      <w:r w:rsidRPr="00DD5274">
        <w:t>Table 1</w:t>
      </w:r>
      <w:r>
        <w:t>6</w:t>
      </w:r>
      <w:r w:rsidRPr="00DD5274">
        <w:t>: Typical vacancy durations</w:t>
      </w:r>
    </w:p>
    <w:tbl>
      <w:tblPr>
        <w:tblStyle w:val="TableGrid"/>
        <w:tblW w:w="0" w:type="auto"/>
        <w:tblLayout w:type="fixed"/>
        <w:tblLook w:val="04A0" w:firstRow="1" w:lastRow="0" w:firstColumn="1" w:lastColumn="0" w:noHBand="0" w:noVBand="1"/>
      </w:tblPr>
      <w:tblGrid>
        <w:gridCol w:w="1696"/>
        <w:gridCol w:w="7592"/>
      </w:tblGrid>
      <w:tr w:rsidR="00F32010" w:rsidRPr="00DD5274" w14:paraId="2EC66E2F" w14:textId="77777777" w:rsidTr="009F0F50">
        <w:trPr>
          <w:tblHeader/>
        </w:trPr>
        <w:tc>
          <w:tcPr>
            <w:tcW w:w="1696" w:type="dxa"/>
          </w:tcPr>
          <w:p w14:paraId="0F1C218A" w14:textId="77777777" w:rsidR="00F32010" w:rsidRPr="00DD5274" w:rsidRDefault="00F32010" w:rsidP="00976C33">
            <w:pPr>
              <w:pStyle w:val="Tablecolhead"/>
            </w:pPr>
            <w:r w:rsidRPr="00DD5274">
              <w:t>Duration</w:t>
            </w:r>
          </w:p>
        </w:tc>
        <w:tc>
          <w:tcPr>
            <w:tcW w:w="7592" w:type="dxa"/>
          </w:tcPr>
          <w:p w14:paraId="453F7709" w14:textId="77777777" w:rsidR="00F32010" w:rsidRPr="00DD5274" w:rsidRDefault="00F32010" w:rsidP="00976C33">
            <w:pPr>
              <w:pStyle w:val="Tablecolhead"/>
            </w:pPr>
            <w:r w:rsidRPr="00DD5274">
              <w:t>Description</w:t>
            </w:r>
          </w:p>
        </w:tc>
      </w:tr>
      <w:tr w:rsidR="00F32010" w:rsidRPr="00DD5274" w14:paraId="764B4922" w14:textId="77777777" w:rsidTr="009F0F50">
        <w:tc>
          <w:tcPr>
            <w:tcW w:w="1696" w:type="dxa"/>
          </w:tcPr>
          <w:p w14:paraId="0D7DD9B8" w14:textId="77777777" w:rsidR="00F32010" w:rsidRPr="00DD5274" w:rsidRDefault="00F32010" w:rsidP="00976C33">
            <w:pPr>
              <w:pStyle w:val="Tabletext"/>
            </w:pPr>
            <w:r w:rsidRPr="00DD5274">
              <w:t>30 days</w:t>
            </w:r>
          </w:p>
        </w:tc>
        <w:tc>
          <w:tcPr>
            <w:tcW w:w="7592" w:type="dxa"/>
          </w:tcPr>
          <w:p w14:paraId="301616C0" w14:textId="77777777" w:rsidR="00F32010" w:rsidRPr="00DD5274" w:rsidRDefault="00F32010" w:rsidP="00976C33">
            <w:pPr>
              <w:pStyle w:val="Tabletext"/>
            </w:pPr>
            <w:r w:rsidRPr="00DD5274">
              <w:t>Usually applies to:</w:t>
            </w:r>
          </w:p>
          <w:p w14:paraId="5A739259" w14:textId="77777777" w:rsidR="00F32010" w:rsidRPr="00DD5274" w:rsidRDefault="00F32010" w:rsidP="00976C33">
            <w:pPr>
              <w:pStyle w:val="Tablebullet1"/>
            </w:pPr>
            <w:r w:rsidRPr="00DD5274">
              <w:t>new constructions that have reached approximately 75% completion</w:t>
            </w:r>
          </w:p>
          <w:p w14:paraId="1EC24EEE" w14:textId="77777777" w:rsidR="00F32010" w:rsidRPr="00DD5274" w:rsidRDefault="00F32010" w:rsidP="00976C33">
            <w:pPr>
              <w:pStyle w:val="Tablebullet1"/>
            </w:pPr>
            <w:r w:rsidRPr="00DD5274">
              <w:t>recently acquired properties, and</w:t>
            </w:r>
          </w:p>
          <w:p w14:paraId="1F5AB7D6" w14:textId="77777777" w:rsidR="00F32010" w:rsidRPr="00DD5274" w:rsidRDefault="00F32010" w:rsidP="00976C33">
            <w:pPr>
              <w:pStyle w:val="Tablebullet1"/>
            </w:pPr>
            <w:r w:rsidRPr="00DD5274">
              <w:t>properties under review by Asset Management</w:t>
            </w:r>
          </w:p>
        </w:tc>
      </w:tr>
      <w:tr w:rsidR="00F32010" w:rsidRPr="00DD5274" w14:paraId="067564B3" w14:textId="77777777" w:rsidTr="009F0F50">
        <w:tc>
          <w:tcPr>
            <w:tcW w:w="1696" w:type="dxa"/>
          </w:tcPr>
          <w:p w14:paraId="414186A0" w14:textId="77777777" w:rsidR="00F32010" w:rsidRPr="00DD5274" w:rsidRDefault="00F32010" w:rsidP="00976C33">
            <w:pPr>
              <w:pStyle w:val="Tabletext"/>
            </w:pPr>
            <w:r w:rsidRPr="00DD5274">
              <w:t>60 days</w:t>
            </w:r>
          </w:p>
        </w:tc>
        <w:tc>
          <w:tcPr>
            <w:tcW w:w="7592" w:type="dxa"/>
          </w:tcPr>
          <w:p w14:paraId="09D689E9" w14:textId="77777777" w:rsidR="00F32010" w:rsidRPr="00DD5274" w:rsidRDefault="00F32010" w:rsidP="00976C33">
            <w:pPr>
              <w:pStyle w:val="Tabletext"/>
            </w:pPr>
            <w:r w:rsidRPr="00DD5274">
              <w:t>For relocation projects managed centrally.</w:t>
            </w:r>
          </w:p>
        </w:tc>
      </w:tr>
      <w:tr w:rsidR="00F32010" w:rsidRPr="00DD5274" w14:paraId="17B7F777" w14:textId="77777777" w:rsidTr="009F0F50">
        <w:tc>
          <w:tcPr>
            <w:tcW w:w="1696" w:type="dxa"/>
          </w:tcPr>
          <w:p w14:paraId="60A4CB37" w14:textId="77777777" w:rsidR="00F32010" w:rsidRPr="00DD5274" w:rsidRDefault="00F32010" w:rsidP="00976C33">
            <w:pPr>
              <w:pStyle w:val="Tabletext"/>
            </w:pPr>
            <w:r w:rsidRPr="00DD5274">
              <w:t>90 days</w:t>
            </w:r>
          </w:p>
        </w:tc>
        <w:tc>
          <w:tcPr>
            <w:tcW w:w="7592" w:type="dxa"/>
          </w:tcPr>
          <w:p w14:paraId="2D14F2EB" w14:textId="77777777" w:rsidR="00F32010" w:rsidRPr="00DD5274" w:rsidRDefault="00F32010" w:rsidP="00976C33">
            <w:pPr>
              <w:pStyle w:val="Tabletext"/>
            </w:pPr>
            <w:r w:rsidRPr="00DD5274">
              <w:t>When handover of new construction properties is delayed due to postponed service connections.</w:t>
            </w:r>
          </w:p>
        </w:tc>
      </w:tr>
      <w:tr w:rsidR="00F32010" w:rsidRPr="00DD5274" w14:paraId="79E9C8AA" w14:textId="77777777" w:rsidTr="009F0F50">
        <w:tc>
          <w:tcPr>
            <w:tcW w:w="1696" w:type="dxa"/>
          </w:tcPr>
          <w:p w14:paraId="079D5EC2" w14:textId="77777777" w:rsidR="00F32010" w:rsidRPr="00DD5274" w:rsidRDefault="00F32010" w:rsidP="00976C33">
            <w:pPr>
              <w:pStyle w:val="Tabletext"/>
            </w:pPr>
            <w:r w:rsidRPr="00DD5274">
              <w:t>185 days</w:t>
            </w:r>
          </w:p>
        </w:tc>
        <w:tc>
          <w:tcPr>
            <w:tcW w:w="7592" w:type="dxa"/>
          </w:tcPr>
          <w:p w14:paraId="3B48F9BD" w14:textId="77777777" w:rsidR="00F32010" w:rsidRPr="00DD5274" w:rsidRDefault="00F32010" w:rsidP="00976C33">
            <w:pPr>
              <w:pStyle w:val="Tabletext"/>
            </w:pPr>
            <w:r w:rsidRPr="00DD5274">
              <w:t>For properties:</w:t>
            </w:r>
          </w:p>
          <w:p w14:paraId="79A1A983" w14:textId="77777777" w:rsidR="00F32010" w:rsidRPr="00DD5274" w:rsidRDefault="00F32010" w:rsidP="00976C33">
            <w:pPr>
              <w:pStyle w:val="Tablebullet1"/>
            </w:pPr>
            <w:r w:rsidRPr="00DD5274">
              <w:t>requiring major works</w:t>
            </w:r>
          </w:p>
          <w:p w14:paraId="49F10F55" w14:textId="77777777" w:rsidR="00F32010" w:rsidRPr="00DD5274" w:rsidRDefault="00F32010" w:rsidP="00976C33">
            <w:pPr>
              <w:pStyle w:val="Tablebullet1"/>
            </w:pPr>
            <w:r w:rsidRPr="00DD5274">
              <w:t xml:space="preserve">earmarked for future redevelopment, or </w:t>
            </w:r>
          </w:p>
          <w:p w14:paraId="3FE61CC0" w14:textId="77777777" w:rsidR="00F32010" w:rsidRPr="00DD5274" w:rsidRDefault="00F32010" w:rsidP="00976C33">
            <w:pPr>
              <w:pStyle w:val="Tablebullet1"/>
            </w:pPr>
            <w:r w:rsidRPr="00DD5274">
              <w:t>inclusion in the sale pipeline.</w:t>
            </w:r>
          </w:p>
        </w:tc>
      </w:tr>
      <w:tr w:rsidR="00F32010" w:rsidRPr="00DD5274" w14:paraId="3FA3D583" w14:textId="77777777" w:rsidTr="009F0F50">
        <w:tc>
          <w:tcPr>
            <w:tcW w:w="1696" w:type="dxa"/>
          </w:tcPr>
          <w:p w14:paraId="18C41693" w14:textId="77777777" w:rsidR="00F32010" w:rsidRPr="00DD5274" w:rsidRDefault="00F32010" w:rsidP="00976C33">
            <w:pPr>
              <w:pStyle w:val="Tabletext"/>
            </w:pPr>
            <w:r w:rsidRPr="00DD5274">
              <w:t>365 days</w:t>
            </w:r>
          </w:p>
        </w:tc>
        <w:tc>
          <w:tcPr>
            <w:tcW w:w="7592" w:type="dxa"/>
          </w:tcPr>
          <w:p w14:paraId="35A2BFC6" w14:textId="77777777" w:rsidR="00F32010" w:rsidRPr="00DD5274" w:rsidRDefault="00F32010" w:rsidP="00976C33">
            <w:pPr>
              <w:pStyle w:val="Tabletext"/>
            </w:pPr>
            <w:r w:rsidRPr="00DD5274">
              <w:t>For properties undergoing fire rectification works.</w:t>
            </w:r>
          </w:p>
        </w:tc>
      </w:tr>
      <w:tr w:rsidR="00F32010" w:rsidRPr="00DD5274" w14:paraId="3347F46E" w14:textId="77777777" w:rsidTr="009F0F50">
        <w:tc>
          <w:tcPr>
            <w:tcW w:w="1696" w:type="dxa"/>
          </w:tcPr>
          <w:p w14:paraId="0B42E07B" w14:textId="77777777" w:rsidR="00F32010" w:rsidRPr="00DD5274" w:rsidRDefault="00F32010" w:rsidP="00976C33">
            <w:pPr>
              <w:pStyle w:val="Tabletext"/>
            </w:pPr>
            <w:r w:rsidRPr="00DD5274">
              <w:t>No fixed end date</w:t>
            </w:r>
          </w:p>
        </w:tc>
        <w:tc>
          <w:tcPr>
            <w:tcW w:w="7592" w:type="dxa"/>
          </w:tcPr>
          <w:p w14:paraId="1FAA72A7" w14:textId="77777777" w:rsidR="00F32010" w:rsidRPr="00DD5274" w:rsidRDefault="00F32010" w:rsidP="00976C33">
            <w:pPr>
              <w:pStyle w:val="Tabletext"/>
            </w:pPr>
            <w:r w:rsidRPr="00DD5274">
              <w:t>For properties:</w:t>
            </w:r>
          </w:p>
          <w:p w14:paraId="68FD2B56" w14:textId="77777777" w:rsidR="00F32010" w:rsidRPr="00DD5274" w:rsidRDefault="00F32010" w:rsidP="00976C33">
            <w:pPr>
              <w:pStyle w:val="Tablebullet1"/>
            </w:pPr>
            <w:r w:rsidRPr="00DD5274">
              <w:t>approved for redevelopment or sale, or</w:t>
            </w:r>
          </w:p>
          <w:p w14:paraId="537464B2" w14:textId="77777777" w:rsidR="00F32010" w:rsidRPr="00DD5274" w:rsidRDefault="00F32010" w:rsidP="00976C33">
            <w:pPr>
              <w:pStyle w:val="Tablebullet1"/>
            </w:pPr>
            <w:r w:rsidRPr="00DD5274">
              <w:lastRenderedPageBreak/>
              <w:t>undergoing major upgrades such as full restoration after fire damage</w:t>
            </w:r>
          </w:p>
        </w:tc>
      </w:tr>
    </w:tbl>
    <w:p w14:paraId="45EC971B" w14:textId="196D0588" w:rsidR="00280565" w:rsidRDefault="00280565" w:rsidP="00EA2803">
      <w:pPr>
        <w:pStyle w:val="Body"/>
      </w:pPr>
    </w:p>
    <w:sectPr w:rsidR="00280565" w:rsidSect="00AA1581">
      <w:pgSz w:w="11906" w:h="16838" w:code="9"/>
      <w:pgMar w:top="1418" w:right="1304" w:bottom="1418"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E4D0" w14:textId="77777777" w:rsidR="002054E1" w:rsidRDefault="002054E1">
      <w:r>
        <w:separator/>
      </w:r>
    </w:p>
    <w:p w14:paraId="1F39B331" w14:textId="77777777" w:rsidR="002054E1" w:rsidRDefault="002054E1"/>
  </w:endnote>
  <w:endnote w:type="continuationSeparator" w:id="0">
    <w:p w14:paraId="16535582" w14:textId="77777777" w:rsidR="002054E1" w:rsidRDefault="002054E1">
      <w:r>
        <w:continuationSeparator/>
      </w:r>
    </w:p>
    <w:p w14:paraId="16042B34" w14:textId="77777777" w:rsidR="002054E1" w:rsidRDefault="002054E1"/>
  </w:endnote>
  <w:endnote w:type="continuationNotice" w:id="1">
    <w:p w14:paraId="70DA9313" w14:textId="77777777" w:rsidR="002054E1" w:rsidRDefault="00205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C640" w14:textId="77777777" w:rsidR="002054E1" w:rsidRDefault="002054E1" w:rsidP="00207717">
      <w:pPr>
        <w:spacing w:before="120"/>
      </w:pPr>
      <w:r>
        <w:separator/>
      </w:r>
    </w:p>
  </w:footnote>
  <w:footnote w:type="continuationSeparator" w:id="0">
    <w:p w14:paraId="1C1A129D" w14:textId="77777777" w:rsidR="002054E1" w:rsidRDefault="002054E1">
      <w:r>
        <w:continuationSeparator/>
      </w:r>
    </w:p>
    <w:p w14:paraId="2F48CBDB" w14:textId="77777777" w:rsidR="002054E1" w:rsidRDefault="002054E1"/>
  </w:footnote>
  <w:footnote w:type="continuationNotice" w:id="1">
    <w:p w14:paraId="12BD1804" w14:textId="77777777" w:rsidR="002054E1" w:rsidRDefault="002054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D3351ED" w14:paraId="3D23C60D" w14:textId="77777777" w:rsidTr="5D3351ED">
      <w:trPr>
        <w:trHeight w:val="300"/>
      </w:trPr>
      <w:tc>
        <w:tcPr>
          <w:tcW w:w="3095" w:type="dxa"/>
        </w:tcPr>
        <w:p w14:paraId="5F4112FC" w14:textId="3A3EFAD1" w:rsidR="5D3351ED" w:rsidRDefault="5D3351ED" w:rsidP="5D3351ED">
          <w:pPr>
            <w:pStyle w:val="Header"/>
            <w:ind w:left="-115"/>
          </w:pPr>
        </w:p>
      </w:tc>
      <w:tc>
        <w:tcPr>
          <w:tcW w:w="3095" w:type="dxa"/>
        </w:tcPr>
        <w:p w14:paraId="1219A0AE" w14:textId="23DD69F1" w:rsidR="5D3351ED" w:rsidRDefault="5D3351ED" w:rsidP="5D3351ED">
          <w:pPr>
            <w:pStyle w:val="Header"/>
            <w:jc w:val="center"/>
          </w:pPr>
        </w:p>
      </w:tc>
      <w:tc>
        <w:tcPr>
          <w:tcW w:w="3095" w:type="dxa"/>
        </w:tcPr>
        <w:p w14:paraId="7801FDE7" w14:textId="60876CDE" w:rsidR="5D3351ED" w:rsidRDefault="5D3351ED" w:rsidP="5D3351ED">
          <w:pPr>
            <w:pStyle w:val="Header"/>
            <w:ind w:right="-115"/>
            <w:jc w:val="right"/>
          </w:pPr>
        </w:p>
      </w:tc>
    </w:tr>
  </w:tbl>
  <w:p w14:paraId="6976C9DD" w14:textId="31E22B03" w:rsidR="5D3351ED" w:rsidRDefault="5D3351ED" w:rsidP="5D335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235646E8" w:rsidR="00562811" w:rsidRPr="001C7128" w:rsidRDefault="00EE1BBA" w:rsidP="001C7128">
    <w:pPr>
      <w:pStyle w:val="Header"/>
    </w:pPr>
    <w:r>
      <w:t>Vacant Unit Maintenance Operational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ADA"/>
    <w:multiLevelType w:val="hybridMultilevel"/>
    <w:tmpl w:val="BA4A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A56E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34AFD"/>
    <w:multiLevelType w:val="hybridMultilevel"/>
    <w:tmpl w:val="E460CEC6"/>
    <w:lvl w:ilvl="0" w:tplc="4CD4CC0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6D25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52229"/>
    <w:multiLevelType w:val="multilevel"/>
    <w:tmpl w:val="601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1A800BA"/>
    <w:multiLevelType w:val="multilevel"/>
    <w:tmpl w:val="2D10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66429B"/>
    <w:multiLevelType w:val="multilevel"/>
    <w:tmpl w:val="FE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5795470"/>
    <w:multiLevelType w:val="hybridMultilevel"/>
    <w:tmpl w:val="458A16DA"/>
    <w:lvl w:ilvl="0" w:tplc="1818B6F0">
      <w:start w:val="1"/>
      <w:numFmt w:val="bullet"/>
      <w:lvlText w:val=""/>
      <w:lvlJc w:val="left"/>
      <w:pPr>
        <w:ind w:left="1080" w:hanging="360"/>
      </w:pPr>
      <w:rPr>
        <w:rFonts w:ascii="Symbol" w:hAnsi="Symbol"/>
      </w:rPr>
    </w:lvl>
    <w:lvl w:ilvl="1" w:tplc="B82E2CF8">
      <w:start w:val="1"/>
      <w:numFmt w:val="bullet"/>
      <w:lvlText w:val=""/>
      <w:lvlJc w:val="left"/>
      <w:pPr>
        <w:ind w:left="1080" w:hanging="360"/>
      </w:pPr>
      <w:rPr>
        <w:rFonts w:ascii="Symbol" w:hAnsi="Symbol"/>
      </w:rPr>
    </w:lvl>
    <w:lvl w:ilvl="2" w:tplc="A96E7C0A">
      <w:start w:val="1"/>
      <w:numFmt w:val="bullet"/>
      <w:lvlText w:val=""/>
      <w:lvlJc w:val="left"/>
      <w:pPr>
        <w:ind w:left="1080" w:hanging="360"/>
      </w:pPr>
      <w:rPr>
        <w:rFonts w:ascii="Symbol" w:hAnsi="Symbol"/>
      </w:rPr>
    </w:lvl>
    <w:lvl w:ilvl="3" w:tplc="EA208744">
      <w:start w:val="1"/>
      <w:numFmt w:val="bullet"/>
      <w:lvlText w:val=""/>
      <w:lvlJc w:val="left"/>
      <w:pPr>
        <w:ind w:left="1080" w:hanging="360"/>
      </w:pPr>
      <w:rPr>
        <w:rFonts w:ascii="Symbol" w:hAnsi="Symbol"/>
      </w:rPr>
    </w:lvl>
    <w:lvl w:ilvl="4" w:tplc="DBE68130">
      <w:start w:val="1"/>
      <w:numFmt w:val="bullet"/>
      <w:lvlText w:val=""/>
      <w:lvlJc w:val="left"/>
      <w:pPr>
        <w:ind w:left="1080" w:hanging="360"/>
      </w:pPr>
      <w:rPr>
        <w:rFonts w:ascii="Symbol" w:hAnsi="Symbol"/>
      </w:rPr>
    </w:lvl>
    <w:lvl w:ilvl="5" w:tplc="82464726">
      <w:start w:val="1"/>
      <w:numFmt w:val="bullet"/>
      <w:lvlText w:val=""/>
      <w:lvlJc w:val="left"/>
      <w:pPr>
        <w:ind w:left="1080" w:hanging="360"/>
      </w:pPr>
      <w:rPr>
        <w:rFonts w:ascii="Symbol" w:hAnsi="Symbol"/>
      </w:rPr>
    </w:lvl>
    <w:lvl w:ilvl="6" w:tplc="C8865B0E">
      <w:start w:val="1"/>
      <w:numFmt w:val="bullet"/>
      <w:lvlText w:val=""/>
      <w:lvlJc w:val="left"/>
      <w:pPr>
        <w:ind w:left="1080" w:hanging="360"/>
      </w:pPr>
      <w:rPr>
        <w:rFonts w:ascii="Symbol" w:hAnsi="Symbol"/>
      </w:rPr>
    </w:lvl>
    <w:lvl w:ilvl="7" w:tplc="92F8D8BC">
      <w:start w:val="1"/>
      <w:numFmt w:val="bullet"/>
      <w:lvlText w:val=""/>
      <w:lvlJc w:val="left"/>
      <w:pPr>
        <w:ind w:left="1080" w:hanging="360"/>
      </w:pPr>
      <w:rPr>
        <w:rFonts w:ascii="Symbol" w:hAnsi="Symbol"/>
      </w:rPr>
    </w:lvl>
    <w:lvl w:ilvl="8" w:tplc="3E443096">
      <w:start w:val="1"/>
      <w:numFmt w:val="bullet"/>
      <w:lvlText w:val=""/>
      <w:lvlJc w:val="left"/>
      <w:pPr>
        <w:ind w:left="1080" w:hanging="360"/>
      </w:pPr>
      <w:rPr>
        <w:rFonts w:ascii="Symbol" w:hAnsi="Symbol"/>
      </w:rPr>
    </w:lvl>
  </w:abstractNum>
  <w:abstractNum w:abstractNumId="14" w15:restartNumberingAfterBreak="0">
    <w:nsid w:val="5FBF67F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AB02F3D"/>
    <w:multiLevelType w:val="multilevel"/>
    <w:tmpl w:val="D55C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D610E0"/>
    <w:multiLevelType w:val="hybridMultilevel"/>
    <w:tmpl w:val="204C8148"/>
    <w:lvl w:ilvl="0" w:tplc="4CAE2974">
      <w:start w:val="1"/>
      <w:numFmt w:val="bullet"/>
      <w:lvlText w:val=""/>
      <w:lvlJc w:val="left"/>
      <w:pPr>
        <w:ind w:left="1080" w:hanging="360"/>
      </w:pPr>
      <w:rPr>
        <w:rFonts w:ascii="Symbol" w:hAnsi="Symbol"/>
      </w:rPr>
    </w:lvl>
    <w:lvl w:ilvl="1" w:tplc="B1C462CE">
      <w:start w:val="1"/>
      <w:numFmt w:val="bullet"/>
      <w:lvlText w:val=""/>
      <w:lvlJc w:val="left"/>
      <w:pPr>
        <w:ind w:left="1080" w:hanging="360"/>
      </w:pPr>
      <w:rPr>
        <w:rFonts w:ascii="Symbol" w:hAnsi="Symbol"/>
      </w:rPr>
    </w:lvl>
    <w:lvl w:ilvl="2" w:tplc="16F03CBA">
      <w:start w:val="1"/>
      <w:numFmt w:val="bullet"/>
      <w:lvlText w:val=""/>
      <w:lvlJc w:val="left"/>
      <w:pPr>
        <w:ind w:left="1080" w:hanging="360"/>
      </w:pPr>
      <w:rPr>
        <w:rFonts w:ascii="Symbol" w:hAnsi="Symbol"/>
      </w:rPr>
    </w:lvl>
    <w:lvl w:ilvl="3" w:tplc="2FFE70BA">
      <w:start w:val="1"/>
      <w:numFmt w:val="bullet"/>
      <w:lvlText w:val=""/>
      <w:lvlJc w:val="left"/>
      <w:pPr>
        <w:ind w:left="1080" w:hanging="360"/>
      </w:pPr>
      <w:rPr>
        <w:rFonts w:ascii="Symbol" w:hAnsi="Symbol"/>
      </w:rPr>
    </w:lvl>
    <w:lvl w:ilvl="4" w:tplc="11320A9C">
      <w:start w:val="1"/>
      <w:numFmt w:val="bullet"/>
      <w:lvlText w:val=""/>
      <w:lvlJc w:val="left"/>
      <w:pPr>
        <w:ind w:left="1080" w:hanging="360"/>
      </w:pPr>
      <w:rPr>
        <w:rFonts w:ascii="Symbol" w:hAnsi="Symbol"/>
      </w:rPr>
    </w:lvl>
    <w:lvl w:ilvl="5" w:tplc="4AE22540">
      <w:start w:val="1"/>
      <w:numFmt w:val="bullet"/>
      <w:lvlText w:val=""/>
      <w:lvlJc w:val="left"/>
      <w:pPr>
        <w:ind w:left="1080" w:hanging="360"/>
      </w:pPr>
      <w:rPr>
        <w:rFonts w:ascii="Symbol" w:hAnsi="Symbol"/>
      </w:rPr>
    </w:lvl>
    <w:lvl w:ilvl="6" w:tplc="4D7E33A8">
      <w:start w:val="1"/>
      <w:numFmt w:val="bullet"/>
      <w:lvlText w:val=""/>
      <w:lvlJc w:val="left"/>
      <w:pPr>
        <w:ind w:left="1080" w:hanging="360"/>
      </w:pPr>
      <w:rPr>
        <w:rFonts w:ascii="Symbol" w:hAnsi="Symbol"/>
      </w:rPr>
    </w:lvl>
    <w:lvl w:ilvl="7" w:tplc="3EA225EC">
      <w:start w:val="1"/>
      <w:numFmt w:val="bullet"/>
      <w:lvlText w:val=""/>
      <w:lvlJc w:val="left"/>
      <w:pPr>
        <w:ind w:left="1080" w:hanging="360"/>
      </w:pPr>
      <w:rPr>
        <w:rFonts w:ascii="Symbol" w:hAnsi="Symbol"/>
      </w:rPr>
    </w:lvl>
    <w:lvl w:ilvl="8" w:tplc="283033A0">
      <w:start w:val="1"/>
      <w:numFmt w:val="bullet"/>
      <w:lvlText w:val=""/>
      <w:lvlJc w:val="left"/>
      <w:pPr>
        <w:ind w:left="1080" w:hanging="360"/>
      </w:pPr>
      <w:rPr>
        <w:rFonts w:ascii="Symbol" w:hAnsi="Symbol"/>
      </w:rPr>
    </w:lvl>
  </w:abstractNum>
  <w:abstractNum w:abstractNumId="18" w15:restartNumberingAfterBreak="0">
    <w:nsid w:val="7FF36E56"/>
    <w:multiLevelType w:val="multilevel"/>
    <w:tmpl w:val="49F0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2296183">
    <w:abstractNumId w:val="7"/>
  </w:num>
  <w:num w:numId="2" w16cid:durableId="805197647">
    <w:abstractNumId w:val="12"/>
  </w:num>
  <w:num w:numId="3" w16cid:durableId="550965074">
    <w:abstractNumId w:val="11"/>
  </w:num>
  <w:num w:numId="4" w16cid:durableId="1994794103">
    <w:abstractNumId w:val="15"/>
  </w:num>
  <w:num w:numId="5" w16cid:durableId="106892274">
    <w:abstractNumId w:val="8"/>
  </w:num>
  <w:num w:numId="6" w16cid:durableId="809711174">
    <w:abstractNumId w:val="1"/>
  </w:num>
  <w:num w:numId="7" w16cid:durableId="361982231">
    <w:abstractNumId w:val="14"/>
  </w:num>
  <w:num w:numId="8" w16cid:durableId="426780108">
    <w:abstractNumId w:val="6"/>
  </w:num>
  <w:num w:numId="9" w16cid:durableId="718168151">
    <w:abstractNumId w:val="5"/>
  </w:num>
  <w:num w:numId="10" w16cid:durableId="973633523">
    <w:abstractNumId w:val="4"/>
  </w:num>
  <w:num w:numId="11" w16cid:durableId="556740922">
    <w:abstractNumId w:val="13"/>
  </w:num>
  <w:num w:numId="12" w16cid:durableId="1988975744">
    <w:abstractNumId w:val="17"/>
  </w:num>
  <w:num w:numId="13" w16cid:durableId="1014575502">
    <w:abstractNumId w:val="10"/>
  </w:num>
  <w:num w:numId="14" w16cid:durableId="1230774806">
    <w:abstractNumId w:val="9"/>
  </w:num>
  <w:num w:numId="15" w16cid:durableId="1864705140">
    <w:abstractNumId w:val="16"/>
  </w:num>
  <w:num w:numId="16" w16cid:durableId="520700342">
    <w:abstractNumId w:val="18"/>
  </w:num>
  <w:num w:numId="17" w16cid:durableId="1465805447">
    <w:abstractNumId w:val="0"/>
  </w:num>
  <w:num w:numId="18" w16cid:durableId="2007509233">
    <w:abstractNumId w:val="2"/>
  </w:num>
  <w:num w:numId="19" w16cid:durableId="192564504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127"/>
    <w:rsid w:val="00000719"/>
    <w:rsid w:val="000027C5"/>
    <w:rsid w:val="00002D68"/>
    <w:rsid w:val="00003009"/>
    <w:rsid w:val="000033F7"/>
    <w:rsid w:val="00003403"/>
    <w:rsid w:val="00003755"/>
    <w:rsid w:val="00004937"/>
    <w:rsid w:val="000049DE"/>
    <w:rsid w:val="00005347"/>
    <w:rsid w:val="00005F80"/>
    <w:rsid w:val="00006425"/>
    <w:rsid w:val="000067A4"/>
    <w:rsid w:val="000072B6"/>
    <w:rsid w:val="00007623"/>
    <w:rsid w:val="0001021B"/>
    <w:rsid w:val="000111C7"/>
    <w:rsid w:val="000112DF"/>
    <w:rsid w:val="00011641"/>
    <w:rsid w:val="00011D89"/>
    <w:rsid w:val="00012016"/>
    <w:rsid w:val="000128E9"/>
    <w:rsid w:val="00013CA6"/>
    <w:rsid w:val="00013EA0"/>
    <w:rsid w:val="0001470A"/>
    <w:rsid w:val="000154FD"/>
    <w:rsid w:val="00015C45"/>
    <w:rsid w:val="00015F6D"/>
    <w:rsid w:val="00016009"/>
    <w:rsid w:val="000161EB"/>
    <w:rsid w:val="00016B80"/>
    <w:rsid w:val="00017245"/>
    <w:rsid w:val="000173BE"/>
    <w:rsid w:val="0002042C"/>
    <w:rsid w:val="00020678"/>
    <w:rsid w:val="00020797"/>
    <w:rsid w:val="000220DB"/>
    <w:rsid w:val="00022271"/>
    <w:rsid w:val="00023201"/>
    <w:rsid w:val="000235E8"/>
    <w:rsid w:val="00024240"/>
    <w:rsid w:val="0002487F"/>
    <w:rsid w:val="00024D89"/>
    <w:rsid w:val="000250B6"/>
    <w:rsid w:val="00027076"/>
    <w:rsid w:val="000275FF"/>
    <w:rsid w:val="00027FD2"/>
    <w:rsid w:val="00030492"/>
    <w:rsid w:val="0003052E"/>
    <w:rsid w:val="00030CB0"/>
    <w:rsid w:val="00031DBB"/>
    <w:rsid w:val="00033AF2"/>
    <w:rsid w:val="00033B9B"/>
    <w:rsid w:val="00033C49"/>
    <w:rsid w:val="00033D81"/>
    <w:rsid w:val="00033DC9"/>
    <w:rsid w:val="00033E57"/>
    <w:rsid w:val="00034E4B"/>
    <w:rsid w:val="00034EDB"/>
    <w:rsid w:val="00035401"/>
    <w:rsid w:val="000359CC"/>
    <w:rsid w:val="00037074"/>
    <w:rsid w:val="000372F4"/>
    <w:rsid w:val="0003735A"/>
    <w:rsid w:val="00037366"/>
    <w:rsid w:val="00037626"/>
    <w:rsid w:val="0003797B"/>
    <w:rsid w:val="00041113"/>
    <w:rsid w:val="00041BF0"/>
    <w:rsid w:val="0004227E"/>
    <w:rsid w:val="00042C8A"/>
    <w:rsid w:val="00044AE8"/>
    <w:rsid w:val="00044F37"/>
    <w:rsid w:val="0004536B"/>
    <w:rsid w:val="00046B68"/>
    <w:rsid w:val="00047837"/>
    <w:rsid w:val="000527DD"/>
    <w:rsid w:val="00054526"/>
    <w:rsid w:val="00055E7C"/>
    <w:rsid w:val="00056EC4"/>
    <w:rsid w:val="000578B2"/>
    <w:rsid w:val="00057B2B"/>
    <w:rsid w:val="00057FD8"/>
    <w:rsid w:val="000605D0"/>
    <w:rsid w:val="000605F7"/>
    <w:rsid w:val="00060959"/>
    <w:rsid w:val="00060C8F"/>
    <w:rsid w:val="00060DE3"/>
    <w:rsid w:val="00062558"/>
    <w:rsid w:val="0006273B"/>
    <w:rsid w:val="0006298A"/>
    <w:rsid w:val="000635E2"/>
    <w:rsid w:val="0006360A"/>
    <w:rsid w:val="00064011"/>
    <w:rsid w:val="00064952"/>
    <w:rsid w:val="00065125"/>
    <w:rsid w:val="00065E4F"/>
    <w:rsid w:val="000663CD"/>
    <w:rsid w:val="00066ACD"/>
    <w:rsid w:val="00067795"/>
    <w:rsid w:val="00067B13"/>
    <w:rsid w:val="00067D57"/>
    <w:rsid w:val="00070880"/>
    <w:rsid w:val="00070DE9"/>
    <w:rsid w:val="00070E4A"/>
    <w:rsid w:val="0007155D"/>
    <w:rsid w:val="000715BA"/>
    <w:rsid w:val="000722D9"/>
    <w:rsid w:val="00072841"/>
    <w:rsid w:val="00072D13"/>
    <w:rsid w:val="000733FE"/>
    <w:rsid w:val="00074105"/>
    <w:rsid w:val="00074219"/>
    <w:rsid w:val="0007448E"/>
    <w:rsid w:val="00074ED5"/>
    <w:rsid w:val="00075058"/>
    <w:rsid w:val="00075E8A"/>
    <w:rsid w:val="00076928"/>
    <w:rsid w:val="00080351"/>
    <w:rsid w:val="0008170F"/>
    <w:rsid w:val="0008204A"/>
    <w:rsid w:val="00082673"/>
    <w:rsid w:val="00082D52"/>
    <w:rsid w:val="00083AC9"/>
    <w:rsid w:val="00084692"/>
    <w:rsid w:val="00084C02"/>
    <w:rsid w:val="0008508E"/>
    <w:rsid w:val="000852E0"/>
    <w:rsid w:val="000858C3"/>
    <w:rsid w:val="00086194"/>
    <w:rsid w:val="0008710E"/>
    <w:rsid w:val="0008724F"/>
    <w:rsid w:val="00087951"/>
    <w:rsid w:val="000905B5"/>
    <w:rsid w:val="00090A54"/>
    <w:rsid w:val="0009113B"/>
    <w:rsid w:val="00092899"/>
    <w:rsid w:val="00093402"/>
    <w:rsid w:val="000939ED"/>
    <w:rsid w:val="00093B7C"/>
    <w:rsid w:val="000940B0"/>
    <w:rsid w:val="00094DA3"/>
    <w:rsid w:val="000959F8"/>
    <w:rsid w:val="00096478"/>
    <w:rsid w:val="00096565"/>
    <w:rsid w:val="0009689B"/>
    <w:rsid w:val="00096CD1"/>
    <w:rsid w:val="00096F71"/>
    <w:rsid w:val="00097DC2"/>
    <w:rsid w:val="000A012C"/>
    <w:rsid w:val="000A0887"/>
    <w:rsid w:val="000A0EB9"/>
    <w:rsid w:val="000A11B7"/>
    <w:rsid w:val="000A186C"/>
    <w:rsid w:val="000A1CE1"/>
    <w:rsid w:val="000A1EA4"/>
    <w:rsid w:val="000A2069"/>
    <w:rsid w:val="000A2323"/>
    <w:rsid w:val="000A2476"/>
    <w:rsid w:val="000A28B5"/>
    <w:rsid w:val="000A2A59"/>
    <w:rsid w:val="000A60DC"/>
    <w:rsid w:val="000A641A"/>
    <w:rsid w:val="000B032A"/>
    <w:rsid w:val="000B0B6C"/>
    <w:rsid w:val="000B1668"/>
    <w:rsid w:val="000B1A9D"/>
    <w:rsid w:val="000B270C"/>
    <w:rsid w:val="000B2C36"/>
    <w:rsid w:val="000B3EDB"/>
    <w:rsid w:val="000B4917"/>
    <w:rsid w:val="000B543D"/>
    <w:rsid w:val="000B55F9"/>
    <w:rsid w:val="000B57A0"/>
    <w:rsid w:val="000B5928"/>
    <w:rsid w:val="000B5BF7"/>
    <w:rsid w:val="000B6285"/>
    <w:rsid w:val="000B6413"/>
    <w:rsid w:val="000B6A93"/>
    <w:rsid w:val="000B6BC8"/>
    <w:rsid w:val="000B73B7"/>
    <w:rsid w:val="000C0303"/>
    <w:rsid w:val="000C0B68"/>
    <w:rsid w:val="000C0C62"/>
    <w:rsid w:val="000C12E0"/>
    <w:rsid w:val="000C1CC8"/>
    <w:rsid w:val="000C25C1"/>
    <w:rsid w:val="000C2DED"/>
    <w:rsid w:val="000C3115"/>
    <w:rsid w:val="000C352B"/>
    <w:rsid w:val="000C3FAC"/>
    <w:rsid w:val="000C4267"/>
    <w:rsid w:val="000C42EA"/>
    <w:rsid w:val="000C4546"/>
    <w:rsid w:val="000C5303"/>
    <w:rsid w:val="000C5E55"/>
    <w:rsid w:val="000C6AC1"/>
    <w:rsid w:val="000D0033"/>
    <w:rsid w:val="000D017C"/>
    <w:rsid w:val="000D02EC"/>
    <w:rsid w:val="000D08FA"/>
    <w:rsid w:val="000D09FF"/>
    <w:rsid w:val="000D0C9E"/>
    <w:rsid w:val="000D0F88"/>
    <w:rsid w:val="000D1242"/>
    <w:rsid w:val="000D2ABA"/>
    <w:rsid w:val="000D3082"/>
    <w:rsid w:val="000D3145"/>
    <w:rsid w:val="000D36F6"/>
    <w:rsid w:val="000D3C5B"/>
    <w:rsid w:val="000D4491"/>
    <w:rsid w:val="000D589F"/>
    <w:rsid w:val="000D6248"/>
    <w:rsid w:val="000E0970"/>
    <w:rsid w:val="000E3CC7"/>
    <w:rsid w:val="000E3FBC"/>
    <w:rsid w:val="000E456C"/>
    <w:rsid w:val="000E4719"/>
    <w:rsid w:val="000E4CB6"/>
    <w:rsid w:val="000E649C"/>
    <w:rsid w:val="000E6BD4"/>
    <w:rsid w:val="000E6D6D"/>
    <w:rsid w:val="000E6E6D"/>
    <w:rsid w:val="000E735C"/>
    <w:rsid w:val="000F089D"/>
    <w:rsid w:val="000F0DF8"/>
    <w:rsid w:val="000F1F1E"/>
    <w:rsid w:val="000F2259"/>
    <w:rsid w:val="000F25B0"/>
    <w:rsid w:val="000F29E5"/>
    <w:rsid w:val="000F2DDA"/>
    <w:rsid w:val="000F2EA0"/>
    <w:rsid w:val="000F43CE"/>
    <w:rsid w:val="000F5213"/>
    <w:rsid w:val="000F61FB"/>
    <w:rsid w:val="000F673C"/>
    <w:rsid w:val="000F6903"/>
    <w:rsid w:val="000F7F5D"/>
    <w:rsid w:val="000F7FCA"/>
    <w:rsid w:val="001007CD"/>
    <w:rsid w:val="00100C1F"/>
    <w:rsid w:val="00101001"/>
    <w:rsid w:val="00102510"/>
    <w:rsid w:val="00103276"/>
    <w:rsid w:val="0010392D"/>
    <w:rsid w:val="0010447F"/>
    <w:rsid w:val="00104FE3"/>
    <w:rsid w:val="0010714F"/>
    <w:rsid w:val="0011192B"/>
    <w:rsid w:val="001120C5"/>
    <w:rsid w:val="001146DF"/>
    <w:rsid w:val="00115275"/>
    <w:rsid w:val="00116D8C"/>
    <w:rsid w:val="00117739"/>
    <w:rsid w:val="00117FA7"/>
    <w:rsid w:val="001208D4"/>
    <w:rsid w:val="00120BD3"/>
    <w:rsid w:val="0012119F"/>
    <w:rsid w:val="00122FEA"/>
    <w:rsid w:val="001232BD"/>
    <w:rsid w:val="001244FA"/>
    <w:rsid w:val="00124ED5"/>
    <w:rsid w:val="0012582F"/>
    <w:rsid w:val="00126338"/>
    <w:rsid w:val="00127269"/>
    <w:rsid w:val="001276FA"/>
    <w:rsid w:val="001309FD"/>
    <w:rsid w:val="00131CC0"/>
    <w:rsid w:val="00135207"/>
    <w:rsid w:val="0013567A"/>
    <w:rsid w:val="00135E32"/>
    <w:rsid w:val="001369E1"/>
    <w:rsid w:val="00137210"/>
    <w:rsid w:val="0014026F"/>
    <w:rsid w:val="001405F4"/>
    <w:rsid w:val="00141022"/>
    <w:rsid w:val="001415D4"/>
    <w:rsid w:val="00142238"/>
    <w:rsid w:val="00142852"/>
    <w:rsid w:val="00142DEA"/>
    <w:rsid w:val="001443A8"/>
    <w:rsid w:val="001447B3"/>
    <w:rsid w:val="00146BB6"/>
    <w:rsid w:val="0015033A"/>
    <w:rsid w:val="00151395"/>
    <w:rsid w:val="00152073"/>
    <w:rsid w:val="0015212F"/>
    <w:rsid w:val="00152329"/>
    <w:rsid w:val="0015254D"/>
    <w:rsid w:val="001526C3"/>
    <w:rsid w:val="00152F1C"/>
    <w:rsid w:val="00153ECD"/>
    <w:rsid w:val="00154305"/>
    <w:rsid w:val="00154379"/>
    <w:rsid w:val="00154FE6"/>
    <w:rsid w:val="001553CB"/>
    <w:rsid w:val="00156598"/>
    <w:rsid w:val="00156754"/>
    <w:rsid w:val="00157507"/>
    <w:rsid w:val="001576A3"/>
    <w:rsid w:val="001602D6"/>
    <w:rsid w:val="001603B6"/>
    <w:rsid w:val="00161939"/>
    <w:rsid w:val="00161AA0"/>
    <w:rsid w:val="00161D2E"/>
    <w:rsid w:val="00161E57"/>
    <w:rsid w:val="00161F3E"/>
    <w:rsid w:val="00162093"/>
    <w:rsid w:val="0016255F"/>
    <w:rsid w:val="00162CA9"/>
    <w:rsid w:val="001652B4"/>
    <w:rsid w:val="00165459"/>
    <w:rsid w:val="00165A57"/>
    <w:rsid w:val="00166BC8"/>
    <w:rsid w:val="0016775E"/>
    <w:rsid w:val="00167CE7"/>
    <w:rsid w:val="00167EC2"/>
    <w:rsid w:val="001708A9"/>
    <w:rsid w:val="00171019"/>
    <w:rsid w:val="001712C2"/>
    <w:rsid w:val="00172BAF"/>
    <w:rsid w:val="00172ED0"/>
    <w:rsid w:val="0017674D"/>
    <w:rsid w:val="001771DD"/>
    <w:rsid w:val="00177809"/>
    <w:rsid w:val="00177995"/>
    <w:rsid w:val="00177A8C"/>
    <w:rsid w:val="0018082C"/>
    <w:rsid w:val="0018244E"/>
    <w:rsid w:val="001827A8"/>
    <w:rsid w:val="00183356"/>
    <w:rsid w:val="001852CF"/>
    <w:rsid w:val="00186144"/>
    <w:rsid w:val="00186B33"/>
    <w:rsid w:val="00190090"/>
    <w:rsid w:val="001902E0"/>
    <w:rsid w:val="00192F9D"/>
    <w:rsid w:val="00193DE5"/>
    <w:rsid w:val="00193E4E"/>
    <w:rsid w:val="00194CF6"/>
    <w:rsid w:val="00195F20"/>
    <w:rsid w:val="00195FE3"/>
    <w:rsid w:val="00196EB8"/>
    <w:rsid w:val="00196EFB"/>
    <w:rsid w:val="001979FF"/>
    <w:rsid w:val="00197B17"/>
    <w:rsid w:val="001A00B3"/>
    <w:rsid w:val="001A0A3F"/>
    <w:rsid w:val="001A1902"/>
    <w:rsid w:val="001A1950"/>
    <w:rsid w:val="001A1C54"/>
    <w:rsid w:val="001A3ACE"/>
    <w:rsid w:val="001A402A"/>
    <w:rsid w:val="001A44A9"/>
    <w:rsid w:val="001A44E9"/>
    <w:rsid w:val="001A58A4"/>
    <w:rsid w:val="001A6272"/>
    <w:rsid w:val="001A680B"/>
    <w:rsid w:val="001A6A5A"/>
    <w:rsid w:val="001A6CF7"/>
    <w:rsid w:val="001A7C36"/>
    <w:rsid w:val="001B0202"/>
    <w:rsid w:val="001B058F"/>
    <w:rsid w:val="001B099D"/>
    <w:rsid w:val="001B0C5A"/>
    <w:rsid w:val="001B0D81"/>
    <w:rsid w:val="001B163C"/>
    <w:rsid w:val="001B26A4"/>
    <w:rsid w:val="001B290D"/>
    <w:rsid w:val="001B2DC0"/>
    <w:rsid w:val="001B3469"/>
    <w:rsid w:val="001B4B22"/>
    <w:rsid w:val="001B6B96"/>
    <w:rsid w:val="001B70B0"/>
    <w:rsid w:val="001B738B"/>
    <w:rsid w:val="001B7A99"/>
    <w:rsid w:val="001B7F88"/>
    <w:rsid w:val="001C09DB"/>
    <w:rsid w:val="001C124F"/>
    <w:rsid w:val="001C1866"/>
    <w:rsid w:val="001C277E"/>
    <w:rsid w:val="001C2992"/>
    <w:rsid w:val="001C2A72"/>
    <w:rsid w:val="001C31B7"/>
    <w:rsid w:val="001C3FE5"/>
    <w:rsid w:val="001C4404"/>
    <w:rsid w:val="001C5127"/>
    <w:rsid w:val="001C5AA6"/>
    <w:rsid w:val="001C5F82"/>
    <w:rsid w:val="001C657F"/>
    <w:rsid w:val="001C7128"/>
    <w:rsid w:val="001C735D"/>
    <w:rsid w:val="001D0B75"/>
    <w:rsid w:val="001D12C0"/>
    <w:rsid w:val="001D3130"/>
    <w:rsid w:val="001D39A5"/>
    <w:rsid w:val="001D3C09"/>
    <w:rsid w:val="001D44E8"/>
    <w:rsid w:val="001D5B14"/>
    <w:rsid w:val="001D60EC"/>
    <w:rsid w:val="001D622E"/>
    <w:rsid w:val="001D6CFD"/>
    <w:rsid w:val="001D6F59"/>
    <w:rsid w:val="001D7056"/>
    <w:rsid w:val="001D76B1"/>
    <w:rsid w:val="001E1B0F"/>
    <w:rsid w:val="001E210A"/>
    <w:rsid w:val="001E2111"/>
    <w:rsid w:val="001E23CE"/>
    <w:rsid w:val="001E2ABB"/>
    <w:rsid w:val="001E331D"/>
    <w:rsid w:val="001E44DF"/>
    <w:rsid w:val="001E4994"/>
    <w:rsid w:val="001E5280"/>
    <w:rsid w:val="001E5822"/>
    <w:rsid w:val="001E68A5"/>
    <w:rsid w:val="001E6BB0"/>
    <w:rsid w:val="001E7282"/>
    <w:rsid w:val="001E74D7"/>
    <w:rsid w:val="001E776E"/>
    <w:rsid w:val="001E7CE9"/>
    <w:rsid w:val="001F05D3"/>
    <w:rsid w:val="001F148F"/>
    <w:rsid w:val="001F1598"/>
    <w:rsid w:val="001F2688"/>
    <w:rsid w:val="001F2A2D"/>
    <w:rsid w:val="001F2B79"/>
    <w:rsid w:val="001F3826"/>
    <w:rsid w:val="001F3EFA"/>
    <w:rsid w:val="001F6054"/>
    <w:rsid w:val="001F6E46"/>
    <w:rsid w:val="001F6FA6"/>
    <w:rsid w:val="001F76F2"/>
    <w:rsid w:val="001F7C91"/>
    <w:rsid w:val="002000EA"/>
    <w:rsid w:val="00200A39"/>
    <w:rsid w:val="00200E16"/>
    <w:rsid w:val="00201400"/>
    <w:rsid w:val="0020291A"/>
    <w:rsid w:val="00202C64"/>
    <w:rsid w:val="002033B7"/>
    <w:rsid w:val="00203CC3"/>
    <w:rsid w:val="002042F2"/>
    <w:rsid w:val="0020441C"/>
    <w:rsid w:val="00204810"/>
    <w:rsid w:val="00205114"/>
    <w:rsid w:val="002054E1"/>
    <w:rsid w:val="00205E35"/>
    <w:rsid w:val="00206463"/>
    <w:rsid w:val="00206F2F"/>
    <w:rsid w:val="00207717"/>
    <w:rsid w:val="00207D02"/>
    <w:rsid w:val="002100BC"/>
    <w:rsid w:val="002102D6"/>
    <w:rsid w:val="0021053D"/>
    <w:rsid w:val="00210A92"/>
    <w:rsid w:val="0021105C"/>
    <w:rsid w:val="00212236"/>
    <w:rsid w:val="00212911"/>
    <w:rsid w:val="00212B95"/>
    <w:rsid w:val="002133EC"/>
    <w:rsid w:val="00213A35"/>
    <w:rsid w:val="0021483F"/>
    <w:rsid w:val="00215CC8"/>
    <w:rsid w:val="00215F41"/>
    <w:rsid w:val="00216415"/>
    <w:rsid w:val="00216AA2"/>
    <w:rsid w:val="00216C03"/>
    <w:rsid w:val="00220A1A"/>
    <w:rsid w:val="00220C04"/>
    <w:rsid w:val="0022278D"/>
    <w:rsid w:val="0022340B"/>
    <w:rsid w:val="00223B34"/>
    <w:rsid w:val="002245CA"/>
    <w:rsid w:val="00225E96"/>
    <w:rsid w:val="00225EC1"/>
    <w:rsid w:val="00226376"/>
    <w:rsid w:val="00226B7C"/>
    <w:rsid w:val="0022701F"/>
    <w:rsid w:val="00227608"/>
    <w:rsid w:val="00227C68"/>
    <w:rsid w:val="0023057F"/>
    <w:rsid w:val="002319D1"/>
    <w:rsid w:val="002333F5"/>
    <w:rsid w:val="00233724"/>
    <w:rsid w:val="00234FD1"/>
    <w:rsid w:val="002365B4"/>
    <w:rsid w:val="00236CD8"/>
    <w:rsid w:val="00237D86"/>
    <w:rsid w:val="002400B0"/>
    <w:rsid w:val="00240B4D"/>
    <w:rsid w:val="0024169E"/>
    <w:rsid w:val="002432E1"/>
    <w:rsid w:val="00245642"/>
    <w:rsid w:val="002459D1"/>
    <w:rsid w:val="00246207"/>
    <w:rsid w:val="00246641"/>
    <w:rsid w:val="00246965"/>
    <w:rsid w:val="00246AFF"/>
    <w:rsid w:val="00246C5E"/>
    <w:rsid w:val="00250123"/>
    <w:rsid w:val="00250960"/>
    <w:rsid w:val="00251029"/>
    <w:rsid w:val="00251343"/>
    <w:rsid w:val="00253507"/>
    <w:rsid w:val="002536A4"/>
    <w:rsid w:val="00253A3E"/>
    <w:rsid w:val="002547CF"/>
    <w:rsid w:val="00254ADF"/>
    <w:rsid w:val="00254F58"/>
    <w:rsid w:val="00255CD4"/>
    <w:rsid w:val="00256010"/>
    <w:rsid w:val="002562E8"/>
    <w:rsid w:val="00256B38"/>
    <w:rsid w:val="0025734A"/>
    <w:rsid w:val="002574C4"/>
    <w:rsid w:val="002577B3"/>
    <w:rsid w:val="002600BD"/>
    <w:rsid w:val="002619E5"/>
    <w:rsid w:val="002620BC"/>
    <w:rsid w:val="00262802"/>
    <w:rsid w:val="00262F24"/>
    <w:rsid w:val="00263A90"/>
    <w:rsid w:val="00263BDC"/>
    <w:rsid w:val="0026408B"/>
    <w:rsid w:val="00264BEB"/>
    <w:rsid w:val="00266637"/>
    <w:rsid w:val="00267B28"/>
    <w:rsid w:val="00267C3E"/>
    <w:rsid w:val="002709BB"/>
    <w:rsid w:val="00270EBF"/>
    <w:rsid w:val="0027131C"/>
    <w:rsid w:val="00272B4B"/>
    <w:rsid w:val="00273BAC"/>
    <w:rsid w:val="00274A9A"/>
    <w:rsid w:val="00274F9C"/>
    <w:rsid w:val="002752C6"/>
    <w:rsid w:val="00276260"/>
    <w:rsid w:val="002763B3"/>
    <w:rsid w:val="002764BF"/>
    <w:rsid w:val="00277762"/>
    <w:rsid w:val="00277F95"/>
    <w:rsid w:val="002802E3"/>
    <w:rsid w:val="00280565"/>
    <w:rsid w:val="0028121C"/>
    <w:rsid w:val="00282137"/>
    <w:rsid w:val="0028213D"/>
    <w:rsid w:val="0028296F"/>
    <w:rsid w:val="00282A7F"/>
    <w:rsid w:val="00282A8A"/>
    <w:rsid w:val="002834B5"/>
    <w:rsid w:val="00285A84"/>
    <w:rsid w:val="002862F1"/>
    <w:rsid w:val="00286506"/>
    <w:rsid w:val="00286D55"/>
    <w:rsid w:val="0028718C"/>
    <w:rsid w:val="002878B5"/>
    <w:rsid w:val="002906A4"/>
    <w:rsid w:val="00290BFD"/>
    <w:rsid w:val="00291373"/>
    <w:rsid w:val="00291DE8"/>
    <w:rsid w:val="00291E14"/>
    <w:rsid w:val="0029394E"/>
    <w:rsid w:val="00294EBC"/>
    <w:rsid w:val="0029597D"/>
    <w:rsid w:val="00295A08"/>
    <w:rsid w:val="002962C3"/>
    <w:rsid w:val="00297273"/>
    <w:rsid w:val="0029752B"/>
    <w:rsid w:val="00297B00"/>
    <w:rsid w:val="002A02D1"/>
    <w:rsid w:val="002A0A9C"/>
    <w:rsid w:val="002A140C"/>
    <w:rsid w:val="002A3251"/>
    <w:rsid w:val="002A40E3"/>
    <w:rsid w:val="002A483C"/>
    <w:rsid w:val="002A5540"/>
    <w:rsid w:val="002B0C7C"/>
    <w:rsid w:val="002B15ED"/>
    <w:rsid w:val="002B1729"/>
    <w:rsid w:val="002B1FFD"/>
    <w:rsid w:val="002B36C7"/>
    <w:rsid w:val="002B373B"/>
    <w:rsid w:val="002B4DD4"/>
    <w:rsid w:val="002B4DD9"/>
    <w:rsid w:val="002B4E55"/>
    <w:rsid w:val="002B521D"/>
    <w:rsid w:val="002B5277"/>
    <w:rsid w:val="002B5375"/>
    <w:rsid w:val="002B552F"/>
    <w:rsid w:val="002B66FE"/>
    <w:rsid w:val="002B6C72"/>
    <w:rsid w:val="002B6CCB"/>
    <w:rsid w:val="002B6CD1"/>
    <w:rsid w:val="002B77C1"/>
    <w:rsid w:val="002B7848"/>
    <w:rsid w:val="002C0753"/>
    <w:rsid w:val="002C0ED7"/>
    <w:rsid w:val="002C0F1F"/>
    <w:rsid w:val="002C14AA"/>
    <w:rsid w:val="002C17CF"/>
    <w:rsid w:val="002C209A"/>
    <w:rsid w:val="002C2728"/>
    <w:rsid w:val="002C2752"/>
    <w:rsid w:val="002C49F9"/>
    <w:rsid w:val="002C4DC6"/>
    <w:rsid w:val="002C4DFB"/>
    <w:rsid w:val="002C50A2"/>
    <w:rsid w:val="002C53AD"/>
    <w:rsid w:val="002C58D6"/>
    <w:rsid w:val="002C5B7C"/>
    <w:rsid w:val="002C5EF6"/>
    <w:rsid w:val="002C6BDE"/>
    <w:rsid w:val="002C71E8"/>
    <w:rsid w:val="002C79EB"/>
    <w:rsid w:val="002C7C10"/>
    <w:rsid w:val="002D055F"/>
    <w:rsid w:val="002D0CBD"/>
    <w:rsid w:val="002D1307"/>
    <w:rsid w:val="002D153D"/>
    <w:rsid w:val="002D1E0D"/>
    <w:rsid w:val="002D3E57"/>
    <w:rsid w:val="002D5006"/>
    <w:rsid w:val="002D58BC"/>
    <w:rsid w:val="002D73D3"/>
    <w:rsid w:val="002D7C61"/>
    <w:rsid w:val="002D7C8A"/>
    <w:rsid w:val="002E01D0"/>
    <w:rsid w:val="002E161D"/>
    <w:rsid w:val="002E213C"/>
    <w:rsid w:val="002E28A2"/>
    <w:rsid w:val="002E3100"/>
    <w:rsid w:val="002E5C74"/>
    <w:rsid w:val="002E699C"/>
    <w:rsid w:val="002E6C95"/>
    <w:rsid w:val="002E7C36"/>
    <w:rsid w:val="002E7C3D"/>
    <w:rsid w:val="002F017D"/>
    <w:rsid w:val="002F0B85"/>
    <w:rsid w:val="002F0BBA"/>
    <w:rsid w:val="002F21D3"/>
    <w:rsid w:val="002F29FA"/>
    <w:rsid w:val="002F3D32"/>
    <w:rsid w:val="002F5340"/>
    <w:rsid w:val="002F57E8"/>
    <w:rsid w:val="002F5F31"/>
    <w:rsid w:val="002F5F46"/>
    <w:rsid w:val="002F6CEF"/>
    <w:rsid w:val="002F6FC3"/>
    <w:rsid w:val="002F738D"/>
    <w:rsid w:val="00300402"/>
    <w:rsid w:val="003015D4"/>
    <w:rsid w:val="00301E46"/>
    <w:rsid w:val="00302216"/>
    <w:rsid w:val="003026B5"/>
    <w:rsid w:val="00303B42"/>
    <w:rsid w:val="00303E53"/>
    <w:rsid w:val="00304EBB"/>
    <w:rsid w:val="00305CC1"/>
    <w:rsid w:val="0030671D"/>
    <w:rsid w:val="00306E5F"/>
    <w:rsid w:val="00307AE1"/>
    <w:rsid w:val="00307E14"/>
    <w:rsid w:val="00310C39"/>
    <w:rsid w:val="00312694"/>
    <w:rsid w:val="00312CD5"/>
    <w:rsid w:val="00314054"/>
    <w:rsid w:val="003155C3"/>
    <w:rsid w:val="003161E0"/>
    <w:rsid w:val="00316503"/>
    <w:rsid w:val="003165C3"/>
    <w:rsid w:val="00316F27"/>
    <w:rsid w:val="00316F2A"/>
    <w:rsid w:val="003170FB"/>
    <w:rsid w:val="003172A8"/>
    <w:rsid w:val="0031776A"/>
    <w:rsid w:val="00320BE7"/>
    <w:rsid w:val="003214F1"/>
    <w:rsid w:val="0032185A"/>
    <w:rsid w:val="00322643"/>
    <w:rsid w:val="003226DF"/>
    <w:rsid w:val="00322E4B"/>
    <w:rsid w:val="00324329"/>
    <w:rsid w:val="0032488E"/>
    <w:rsid w:val="003277F2"/>
    <w:rsid w:val="00327870"/>
    <w:rsid w:val="00327D13"/>
    <w:rsid w:val="0033044B"/>
    <w:rsid w:val="0033212B"/>
    <w:rsid w:val="0033259D"/>
    <w:rsid w:val="00333103"/>
    <w:rsid w:val="00333329"/>
    <w:rsid w:val="003333D2"/>
    <w:rsid w:val="00333846"/>
    <w:rsid w:val="00333D4F"/>
    <w:rsid w:val="00334686"/>
    <w:rsid w:val="00335727"/>
    <w:rsid w:val="00335FCD"/>
    <w:rsid w:val="00337339"/>
    <w:rsid w:val="00337EAF"/>
    <w:rsid w:val="00340345"/>
    <w:rsid w:val="003406C6"/>
    <w:rsid w:val="003409B0"/>
    <w:rsid w:val="003412B2"/>
    <w:rsid w:val="003418CC"/>
    <w:rsid w:val="003422AE"/>
    <w:rsid w:val="003426AA"/>
    <w:rsid w:val="00342FB6"/>
    <w:rsid w:val="003434EE"/>
    <w:rsid w:val="00344044"/>
    <w:rsid w:val="003457C5"/>
    <w:rsid w:val="003459BD"/>
    <w:rsid w:val="00345B9E"/>
    <w:rsid w:val="00346ECB"/>
    <w:rsid w:val="00350D38"/>
    <w:rsid w:val="003514CD"/>
    <w:rsid w:val="00351B36"/>
    <w:rsid w:val="00352A4F"/>
    <w:rsid w:val="00352BD3"/>
    <w:rsid w:val="00352C22"/>
    <w:rsid w:val="00353560"/>
    <w:rsid w:val="0035369D"/>
    <w:rsid w:val="003540AC"/>
    <w:rsid w:val="003552B0"/>
    <w:rsid w:val="003556CE"/>
    <w:rsid w:val="003556D2"/>
    <w:rsid w:val="00356171"/>
    <w:rsid w:val="0035632A"/>
    <w:rsid w:val="003563FA"/>
    <w:rsid w:val="00357B4E"/>
    <w:rsid w:val="00361545"/>
    <w:rsid w:val="00361869"/>
    <w:rsid w:val="00365DCB"/>
    <w:rsid w:val="00366276"/>
    <w:rsid w:val="00367666"/>
    <w:rsid w:val="00367A5C"/>
    <w:rsid w:val="003705DE"/>
    <w:rsid w:val="003716FD"/>
    <w:rsid w:val="00371D98"/>
    <w:rsid w:val="0037204B"/>
    <w:rsid w:val="00373365"/>
    <w:rsid w:val="003738CB"/>
    <w:rsid w:val="003744CF"/>
    <w:rsid w:val="00374717"/>
    <w:rsid w:val="003747B7"/>
    <w:rsid w:val="003752A2"/>
    <w:rsid w:val="00375469"/>
    <w:rsid w:val="0037593F"/>
    <w:rsid w:val="003763B9"/>
    <w:rsid w:val="0037676C"/>
    <w:rsid w:val="00376C91"/>
    <w:rsid w:val="00381043"/>
    <w:rsid w:val="003829E5"/>
    <w:rsid w:val="00382B94"/>
    <w:rsid w:val="00383C68"/>
    <w:rsid w:val="00384428"/>
    <w:rsid w:val="00385A13"/>
    <w:rsid w:val="00385E4C"/>
    <w:rsid w:val="003860E8"/>
    <w:rsid w:val="00386109"/>
    <w:rsid w:val="00386944"/>
    <w:rsid w:val="00387FB1"/>
    <w:rsid w:val="0039052E"/>
    <w:rsid w:val="0039205E"/>
    <w:rsid w:val="00392A45"/>
    <w:rsid w:val="0039506F"/>
    <w:rsid w:val="003952F4"/>
    <w:rsid w:val="003956CC"/>
    <w:rsid w:val="00395C9A"/>
    <w:rsid w:val="00396475"/>
    <w:rsid w:val="003965BA"/>
    <w:rsid w:val="003A0853"/>
    <w:rsid w:val="003A11E3"/>
    <w:rsid w:val="003A37ED"/>
    <w:rsid w:val="003A42A2"/>
    <w:rsid w:val="003A43EA"/>
    <w:rsid w:val="003A458F"/>
    <w:rsid w:val="003A559A"/>
    <w:rsid w:val="003A6636"/>
    <w:rsid w:val="003A6A97"/>
    <w:rsid w:val="003A6B67"/>
    <w:rsid w:val="003A79AD"/>
    <w:rsid w:val="003B13B6"/>
    <w:rsid w:val="003B13D7"/>
    <w:rsid w:val="003B14C3"/>
    <w:rsid w:val="003B15E6"/>
    <w:rsid w:val="003B22EF"/>
    <w:rsid w:val="003B2E31"/>
    <w:rsid w:val="003B3861"/>
    <w:rsid w:val="003B3E9D"/>
    <w:rsid w:val="003B408A"/>
    <w:rsid w:val="003B4DA7"/>
    <w:rsid w:val="003B5E87"/>
    <w:rsid w:val="003B73BB"/>
    <w:rsid w:val="003B7714"/>
    <w:rsid w:val="003C08A2"/>
    <w:rsid w:val="003C0BA0"/>
    <w:rsid w:val="003C2045"/>
    <w:rsid w:val="003C2887"/>
    <w:rsid w:val="003C361B"/>
    <w:rsid w:val="003C3A16"/>
    <w:rsid w:val="003C3C04"/>
    <w:rsid w:val="003C43A1"/>
    <w:rsid w:val="003C4FC0"/>
    <w:rsid w:val="003C55F4"/>
    <w:rsid w:val="003C6092"/>
    <w:rsid w:val="003C6E87"/>
    <w:rsid w:val="003C7897"/>
    <w:rsid w:val="003C7A3F"/>
    <w:rsid w:val="003D0080"/>
    <w:rsid w:val="003D0D84"/>
    <w:rsid w:val="003D1471"/>
    <w:rsid w:val="003D2766"/>
    <w:rsid w:val="003D2A74"/>
    <w:rsid w:val="003D2AF8"/>
    <w:rsid w:val="003D3819"/>
    <w:rsid w:val="003D39B7"/>
    <w:rsid w:val="003D3D88"/>
    <w:rsid w:val="003D3E8F"/>
    <w:rsid w:val="003D44AB"/>
    <w:rsid w:val="003D4539"/>
    <w:rsid w:val="003D5501"/>
    <w:rsid w:val="003D56C5"/>
    <w:rsid w:val="003D6475"/>
    <w:rsid w:val="003D65EC"/>
    <w:rsid w:val="003D673D"/>
    <w:rsid w:val="003D676D"/>
    <w:rsid w:val="003D6EE6"/>
    <w:rsid w:val="003D74C2"/>
    <w:rsid w:val="003E1208"/>
    <w:rsid w:val="003E1F1E"/>
    <w:rsid w:val="003E375C"/>
    <w:rsid w:val="003E3EFC"/>
    <w:rsid w:val="003E4086"/>
    <w:rsid w:val="003E4A4E"/>
    <w:rsid w:val="003E639E"/>
    <w:rsid w:val="003E7157"/>
    <w:rsid w:val="003E71E5"/>
    <w:rsid w:val="003E763C"/>
    <w:rsid w:val="003E7A7B"/>
    <w:rsid w:val="003F0445"/>
    <w:rsid w:val="003F0B1E"/>
    <w:rsid w:val="003F0CF0"/>
    <w:rsid w:val="003F0DE2"/>
    <w:rsid w:val="003F14B1"/>
    <w:rsid w:val="003F2B20"/>
    <w:rsid w:val="003F301E"/>
    <w:rsid w:val="003F3289"/>
    <w:rsid w:val="003F3292"/>
    <w:rsid w:val="003F3C62"/>
    <w:rsid w:val="003F49F9"/>
    <w:rsid w:val="003F56FD"/>
    <w:rsid w:val="003F5CB9"/>
    <w:rsid w:val="00400594"/>
    <w:rsid w:val="004013C7"/>
    <w:rsid w:val="004016F1"/>
    <w:rsid w:val="00401FCF"/>
    <w:rsid w:val="004024D1"/>
    <w:rsid w:val="004030B6"/>
    <w:rsid w:val="00403C12"/>
    <w:rsid w:val="00403D38"/>
    <w:rsid w:val="00405CCD"/>
    <w:rsid w:val="00406285"/>
    <w:rsid w:val="00407F6A"/>
    <w:rsid w:val="0041015C"/>
    <w:rsid w:val="00410287"/>
    <w:rsid w:val="004115A2"/>
    <w:rsid w:val="004133E9"/>
    <w:rsid w:val="00413714"/>
    <w:rsid w:val="00413B10"/>
    <w:rsid w:val="004148F9"/>
    <w:rsid w:val="004163D4"/>
    <w:rsid w:val="004172C9"/>
    <w:rsid w:val="004179C6"/>
    <w:rsid w:val="00417BF4"/>
    <w:rsid w:val="0042084E"/>
    <w:rsid w:val="00421C07"/>
    <w:rsid w:val="00421D7F"/>
    <w:rsid w:val="00421EC0"/>
    <w:rsid w:val="00421EEF"/>
    <w:rsid w:val="00422689"/>
    <w:rsid w:val="00424D65"/>
    <w:rsid w:val="00424E04"/>
    <w:rsid w:val="0042526D"/>
    <w:rsid w:val="004258AC"/>
    <w:rsid w:val="004259CE"/>
    <w:rsid w:val="004261B7"/>
    <w:rsid w:val="004267E4"/>
    <w:rsid w:val="00426C82"/>
    <w:rsid w:val="00430393"/>
    <w:rsid w:val="00431806"/>
    <w:rsid w:val="00431A70"/>
    <w:rsid w:val="00431BF4"/>
    <w:rsid w:val="00431F42"/>
    <w:rsid w:val="00432FF4"/>
    <w:rsid w:val="00433A98"/>
    <w:rsid w:val="00434C5E"/>
    <w:rsid w:val="004357F4"/>
    <w:rsid w:val="00436E83"/>
    <w:rsid w:val="00436ED7"/>
    <w:rsid w:val="004406BB"/>
    <w:rsid w:val="00440B15"/>
    <w:rsid w:val="00440BD9"/>
    <w:rsid w:val="00442798"/>
    <w:rsid w:val="00442881"/>
    <w:rsid w:val="00442C6C"/>
    <w:rsid w:val="00442E8D"/>
    <w:rsid w:val="00443C3E"/>
    <w:rsid w:val="00443CBE"/>
    <w:rsid w:val="00443E8A"/>
    <w:rsid w:val="004441BC"/>
    <w:rsid w:val="00444E56"/>
    <w:rsid w:val="00445020"/>
    <w:rsid w:val="00445B51"/>
    <w:rsid w:val="004468B4"/>
    <w:rsid w:val="00446D86"/>
    <w:rsid w:val="0044749A"/>
    <w:rsid w:val="00447EBE"/>
    <w:rsid w:val="00450704"/>
    <w:rsid w:val="00451288"/>
    <w:rsid w:val="0045160A"/>
    <w:rsid w:val="0045230A"/>
    <w:rsid w:val="004523E8"/>
    <w:rsid w:val="00452F8A"/>
    <w:rsid w:val="004530AD"/>
    <w:rsid w:val="00453D45"/>
    <w:rsid w:val="00454715"/>
    <w:rsid w:val="00454AD0"/>
    <w:rsid w:val="00454C3B"/>
    <w:rsid w:val="0045589E"/>
    <w:rsid w:val="00455B21"/>
    <w:rsid w:val="00456FC5"/>
    <w:rsid w:val="00457337"/>
    <w:rsid w:val="0045753B"/>
    <w:rsid w:val="004604AD"/>
    <w:rsid w:val="00460ED8"/>
    <w:rsid w:val="0046200F"/>
    <w:rsid w:val="00462E3D"/>
    <w:rsid w:val="00462F9F"/>
    <w:rsid w:val="00463BF8"/>
    <w:rsid w:val="00464093"/>
    <w:rsid w:val="004642BE"/>
    <w:rsid w:val="00466E79"/>
    <w:rsid w:val="004675F3"/>
    <w:rsid w:val="00470D7D"/>
    <w:rsid w:val="00471D33"/>
    <w:rsid w:val="00472175"/>
    <w:rsid w:val="004725D3"/>
    <w:rsid w:val="0047372D"/>
    <w:rsid w:val="00473BA3"/>
    <w:rsid w:val="00473C7A"/>
    <w:rsid w:val="004743DD"/>
    <w:rsid w:val="00474A62"/>
    <w:rsid w:val="00474CEA"/>
    <w:rsid w:val="00477E37"/>
    <w:rsid w:val="00480D81"/>
    <w:rsid w:val="00480FE2"/>
    <w:rsid w:val="00481890"/>
    <w:rsid w:val="0048358E"/>
    <w:rsid w:val="00483968"/>
    <w:rsid w:val="004841BE"/>
    <w:rsid w:val="004842AA"/>
    <w:rsid w:val="00484F86"/>
    <w:rsid w:val="004850A7"/>
    <w:rsid w:val="0048534F"/>
    <w:rsid w:val="00485D17"/>
    <w:rsid w:val="00486037"/>
    <w:rsid w:val="004860AA"/>
    <w:rsid w:val="004862BF"/>
    <w:rsid w:val="00487806"/>
    <w:rsid w:val="004904C0"/>
    <w:rsid w:val="00490746"/>
    <w:rsid w:val="00490852"/>
    <w:rsid w:val="00490F63"/>
    <w:rsid w:val="004910BD"/>
    <w:rsid w:val="004917AA"/>
    <w:rsid w:val="00491C9C"/>
    <w:rsid w:val="00491D59"/>
    <w:rsid w:val="00492566"/>
    <w:rsid w:val="00492890"/>
    <w:rsid w:val="00492AF7"/>
    <w:rsid w:val="00492F30"/>
    <w:rsid w:val="004946F4"/>
    <w:rsid w:val="0049487E"/>
    <w:rsid w:val="00496581"/>
    <w:rsid w:val="004966A1"/>
    <w:rsid w:val="00497020"/>
    <w:rsid w:val="00497DFD"/>
    <w:rsid w:val="004A160D"/>
    <w:rsid w:val="004A3671"/>
    <w:rsid w:val="004A3B3F"/>
    <w:rsid w:val="004A3E81"/>
    <w:rsid w:val="004A3FE4"/>
    <w:rsid w:val="004A408B"/>
    <w:rsid w:val="004A4195"/>
    <w:rsid w:val="004A5801"/>
    <w:rsid w:val="004A5C62"/>
    <w:rsid w:val="004A5CE5"/>
    <w:rsid w:val="004A6221"/>
    <w:rsid w:val="004A6C31"/>
    <w:rsid w:val="004A707D"/>
    <w:rsid w:val="004B0242"/>
    <w:rsid w:val="004B0974"/>
    <w:rsid w:val="004B1070"/>
    <w:rsid w:val="004B1109"/>
    <w:rsid w:val="004B3594"/>
    <w:rsid w:val="004B4185"/>
    <w:rsid w:val="004B4C50"/>
    <w:rsid w:val="004B5678"/>
    <w:rsid w:val="004B5ECD"/>
    <w:rsid w:val="004B796C"/>
    <w:rsid w:val="004C0071"/>
    <w:rsid w:val="004C014B"/>
    <w:rsid w:val="004C0CDD"/>
    <w:rsid w:val="004C103F"/>
    <w:rsid w:val="004C1878"/>
    <w:rsid w:val="004C2AC8"/>
    <w:rsid w:val="004C4319"/>
    <w:rsid w:val="004C473E"/>
    <w:rsid w:val="004C5541"/>
    <w:rsid w:val="004C574A"/>
    <w:rsid w:val="004C6445"/>
    <w:rsid w:val="004C6D71"/>
    <w:rsid w:val="004C6EEE"/>
    <w:rsid w:val="004C702B"/>
    <w:rsid w:val="004C78EF"/>
    <w:rsid w:val="004C79F0"/>
    <w:rsid w:val="004D0033"/>
    <w:rsid w:val="004D016B"/>
    <w:rsid w:val="004D0BA2"/>
    <w:rsid w:val="004D0DE5"/>
    <w:rsid w:val="004D1B22"/>
    <w:rsid w:val="004D1D16"/>
    <w:rsid w:val="004D1E49"/>
    <w:rsid w:val="004D214A"/>
    <w:rsid w:val="004D23CC"/>
    <w:rsid w:val="004D2E79"/>
    <w:rsid w:val="004D3283"/>
    <w:rsid w:val="004D36F2"/>
    <w:rsid w:val="004D4460"/>
    <w:rsid w:val="004D46D6"/>
    <w:rsid w:val="004D5108"/>
    <w:rsid w:val="004E031B"/>
    <w:rsid w:val="004E1106"/>
    <w:rsid w:val="004E138F"/>
    <w:rsid w:val="004E235A"/>
    <w:rsid w:val="004E2751"/>
    <w:rsid w:val="004E373A"/>
    <w:rsid w:val="004E3D24"/>
    <w:rsid w:val="004E4649"/>
    <w:rsid w:val="004E5028"/>
    <w:rsid w:val="004E5230"/>
    <w:rsid w:val="004E5895"/>
    <w:rsid w:val="004E5C2B"/>
    <w:rsid w:val="004E72F1"/>
    <w:rsid w:val="004F00DD"/>
    <w:rsid w:val="004F0769"/>
    <w:rsid w:val="004F0AE7"/>
    <w:rsid w:val="004F0F40"/>
    <w:rsid w:val="004F19CA"/>
    <w:rsid w:val="004F1EC0"/>
    <w:rsid w:val="004F2133"/>
    <w:rsid w:val="004F296D"/>
    <w:rsid w:val="004F2C43"/>
    <w:rsid w:val="004F49A6"/>
    <w:rsid w:val="004F5398"/>
    <w:rsid w:val="004F55F1"/>
    <w:rsid w:val="004F5DDA"/>
    <w:rsid w:val="004F6936"/>
    <w:rsid w:val="004F78FD"/>
    <w:rsid w:val="0050020A"/>
    <w:rsid w:val="00500EFE"/>
    <w:rsid w:val="00501B65"/>
    <w:rsid w:val="00501CC7"/>
    <w:rsid w:val="0050291D"/>
    <w:rsid w:val="00502D26"/>
    <w:rsid w:val="005039F8"/>
    <w:rsid w:val="00503DC6"/>
    <w:rsid w:val="00504C9D"/>
    <w:rsid w:val="00504CAD"/>
    <w:rsid w:val="005061F1"/>
    <w:rsid w:val="0050624D"/>
    <w:rsid w:val="00506DFD"/>
    <w:rsid w:val="00506F5D"/>
    <w:rsid w:val="00510655"/>
    <w:rsid w:val="00510C37"/>
    <w:rsid w:val="005116AE"/>
    <w:rsid w:val="00511EA2"/>
    <w:rsid w:val="005126D0"/>
    <w:rsid w:val="005130A1"/>
    <w:rsid w:val="00513A81"/>
    <w:rsid w:val="00513F22"/>
    <w:rsid w:val="00514667"/>
    <w:rsid w:val="0051568D"/>
    <w:rsid w:val="00516C75"/>
    <w:rsid w:val="005179D6"/>
    <w:rsid w:val="00517B7C"/>
    <w:rsid w:val="00517F1F"/>
    <w:rsid w:val="005212D2"/>
    <w:rsid w:val="00522C2F"/>
    <w:rsid w:val="0052359D"/>
    <w:rsid w:val="00523C12"/>
    <w:rsid w:val="005242D0"/>
    <w:rsid w:val="00526AC7"/>
    <w:rsid w:val="00526C15"/>
    <w:rsid w:val="00526D4D"/>
    <w:rsid w:val="00527134"/>
    <w:rsid w:val="00530C11"/>
    <w:rsid w:val="005354BC"/>
    <w:rsid w:val="0053558D"/>
    <w:rsid w:val="00536499"/>
    <w:rsid w:val="005364B0"/>
    <w:rsid w:val="00536CF7"/>
    <w:rsid w:val="00542A03"/>
    <w:rsid w:val="0054325B"/>
    <w:rsid w:val="00543903"/>
    <w:rsid w:val="00543BCC"/>
    <w:rsid w:val="00543F11"/>
    <w:rsid w:val="00543F4E"/>
    <w:rsid w:val="00544221"/>
    <w:rsid w:val="0054489C"/>
    <w:rsid w:val="00545ED2"/>
    <w:rsid w:val="00546305"/>
    <w:rsid w:val="00546745"/>
    <w:rsid w:val="00546C0A"/>
    <w:rsid w:val="00547818"/>
    <w:rsid w:val="00547A95"/>
    <w:rsid w:val="00547F70"/>
    <w:rsid w:val="005504D7"/>
    <w:rsid w:val="00550A67"/>
    <w:rsid w:val="0055119B"/>
    <w:rsid w:val="005514C9"/>
    <w:rsid w:val="00554365"/>
    <w:rsid w:val="005556CD"/>
    <w:rsid w:val="00555DCB"/>
    <w:rsid w:val="00557464"/>
    <w:rsid w:val="00557883"/>
    <w:rsid w:val="0056113C"/>
    <w:rsid w:val="00561202"/>
    <w:rsid w:val="0056131E"/>
    <w:rsid w:val="00562507"/>
    <w:rsid w:val="00562811"/>
    <w:rsid w:val="00562D14"/>
    <w:rsid w:val="00563D07"/>
    <w:rsid w:val="005643E3"/>
    <w:rsid w:val="00565E50"/>
    <w:rsid w:val="00566ABE"/>
    <w:rsid w:val="00567412"/>
    <w:rsid w:val="0057008A"/>
    <w:rsid w:val="00570B8D"/>
    <w:rsid w:val="00571B5F"/>
    <w:rsid w:val="00571D90"/>
    <w:rsid w:val="00572031"/>
    <w:rsid w:val="00572282"/>
    <w:rsid w:val="00572E49"/>
    <w:rsid w:val="00573BD3"/>
    <w:rsid w:val="00573CE3"/>
    <w:rsid w:val="00575710"/>
    <w:rsid w:val="00576E84"/>
    <w:rsid w:val="00577370"/>
    <w:rsid w:val="005800E3"/>
    <w:rsid w:val="00580394"/>
    <w:rsid w:val="005809CD"/>
    <w:rsid w:val="00581A2B"/>
    <w:rsid w:val="00581B7E"/>
    <w:rsid w:val="00582217"/>
    <w:rsid w:val="00582B8C"/>
    <w:rsid w:val="00582C38"/>
    <w:rsid w:val="005835D3"/>
    <w:rsid w:val="00584737"/>
    <w:rsid w:val="00586947"/>
    <w:rsid w:val="005871DD"/>
    <w:rsid w:val="00587335"/>
    <w:rsid w:val="00587349"/>
    <w:rsid w:val="0058757E"/>
    <w:rsid w:val="00590DC6"/>
    <w:rsid w:val="00593FB7"/>
    <w:rsid w:val="00594B98"/>
    <w:rsid w:val="00595AA3"/>
    <w:rsid w:val="00595B55"/>
    <w:rsid w:val="00595CB3"/>
    <w:rsid w:val="005964E5"/>
    <w:rsid w:val="00596A4B"/>
    <w:rsid w:val="00597507"/>
    <w:rsid w:val="005A009B"/>
    <w:rsid w:val="005A102F"/>
    <w:rsid w:val="005A22CF"/>
    <w:rsid w:val="005A479D"/>
    <w:rsid w:val="005A5D4E"/>
    <w:rsid w:val="005A5D9E"/>
    <w:rsid w:val="005A7D43"/>
    <w:rsid w:val="005B0EED"/>
    <w:rsid w:val="005B1619"/>
    <w:rsid w:val="005B1A0D"/>
    <w:rsid w:val="005B1C6D"/>
    <w:rsid w:val="005B1FB0"/>
    <w:rsid w:val="005B21B6"/>
    <w:rsid w:val="005B3A08"/>
    <w:rsid w:val="005B3AAE"/>
    <w:rsid w:val="005B3FCB"/>
    <w:rsid w:val="005B473F"/>
    <w:rsid w:val="005B5363"/>
    <w:rsid w:val="005B6139"/>
    <w:rsid w:val="005B6AB9"/>
    <w:rsid w:val="005B7A63"/>
    <w:rsid w:val="005B7B2A"/>
    <w:rsid w:val="005C045D"/>
    <w:rsid w:val="005C0955"/>
    <w:rsid w:val="005C0A46"/>
    <w:rsid w:val="005C0A6A"/>
    <w:rsid w:val="005C12FE"/>
    <w:rsid w:val="005C27FB"/>
    <w:rsid w:val="005C2C7E"/>
    <w:rsid w:val="005C2E0E"/>
    <w:rsid w:val="005C49DA"/>
    <w:rsid w:val="005C50F3"/>
    <w:rsid w:val="005C5208"/>
    <w:rsid w:val="005C54B5"/>
    <w:rsid w:val="005C586F"/>
    <w:rsid w:val="005C5D80"/>
    <w:rsid w:val="005C5D91"/>
    <w:rsid w:val="005C62C9"/>
    <w:rsid w:val="005C7626"/>
    <w:rsid w:val="005D0083"/>
    <w:rsid w:val="005D0302"/>
    <w:rsid w:val="005D07B8"/>
    <w:rsid w:val="005D09AA"/>
    <w:rsid w:val="005D0FBF"/>
    <w:rsid w:val="005D134D"/>
    <w:rsid w:val="005D16D7"/>
    <w:rsid w:val="005D171A"/>
    <w:rsid w:val="005D1B01"/>
    <w:rsid w:val="005D4431"/>
    <w:rsid w:val="005D51A6"/>
    <w:rsid w:val="005D6597"/>
    <w:rsid w:val="005D7849"/>
    <w:rsid w:val="005E0011"/>
    <w:rsid w:val="005E1094"/>
    <w:rsid w:val="005E14E7"/>
    <w:rsid w:val="005E20A7"/>
    <w:rsid w:val="005E257E"/>
    <w:rsid w:val="005E26A1"/>
    <w:rsid w:val="005E26A3"/>
    <w:rsid w:val="005E2ECB"/>
    <w:rsid w:val="005E35DD"/>
    <w:rsid w:val="005E447E"/>
    <w:rsid w:val="005E4FD1"/>
    <w:rsid w:val="005E5119"/>
    <w:rsid w:val="005E623A"/>
    <w:rsid w:val="005E6964"/>
    <w:rsid w:val="005E7289"/>
    <w:rsid w:val="005F0775"/>
    <w:rsid w:val="005F0913"/>
    <w:rsid w:val="005F0B1C"/>
    <w:rsid w:val="005F0CF5"/>
    <w:rsid w:val="005F21EB"/>
    <w:rsid w:val="005F2AFF"/>
    <w:rsid w:val="005F46F7"/>
    <w:rsid w:val="005F521E"/>
    <w:rsid w:val="005F5523"/>
    <w:rsid w:val="005F64CF"/>
    <w:rsid w:val="005F767B"/>
    <w:rsid w:val="005F7842"/>
    <w:rsid w:val="005F7DE7"/>
    <w:rsid w:val="006007A6"/>
    <w:rsid w:val="0060233C"/>
    <w:rsid w:val="00602622"/>
    <w:rsid w:val="006041AD"/>
    <w:rsid w:val="0060420B"/>
    <w:rsid w:val="006049AA"/>
    <w:rsid w:val="00605908"/>
    <w:rsid w:val="00605F41"/>
    <w:rsid w:val="006061A9"/>
    <w:rsid w:val="006062BC"/>
    <w:rsid w:val="0060678A"/>
    <w:rsid w:val="006069CD"/>
    <w:rsid w:val="006070D8"/>
    <w:rsid w:val="006070F0"/>
    <w:rsid w:val="006073AB"/>
    <w:rsid w:val="00607583"/>
    <w:rsid w:val="00607850"/>
    <w:rsid w:val="00607EF7"/>
    <w:rsid w:val="00607F77"/>
    <w:rsid w:val="00610032"/>
    <w:rsid w:val="006109AB"/>
    <w:rsid w:val="00610D7C"/>
    <w:rsid w:val="0061176B"/>
    <w:rsid w:val="00613414"/>
    <w:rsid w:val="00613F0D"/>
    <w:rsid w:val="00614A8B"/>
    <w:rsid w:val="00620154"/>
    <w:rsid w:val="00620C17"/>
    <w:rsid w:val="00620F4E"/>
    <w:rsid w:val="00621BE9"/>
    <w:rsid w:val="00623464"/>
    <w:rsid w:val="0062408D"/>
    <w:rsid w:val="006240CC"/>
    <w:rsid w:val="006243B4"/>
    <w:rsid w:val="00624940"/>
    <w:rsid w:val="00624C20"/>
    <w:rsid w:val="006254F8"/>
    <w:rsid w:val="006268DA"/>
    <w:rsid w:val="006269B7"/>
    <w:rsid w:val="00626DAC"/>
    <w:rsid w:val="006273F8"/>
    <w:rsid w:val="00627DA7"/>
    <w:rsid w:val="00630417"/>
    <w:rsid w:val="00630DA4"/>
    <w:rsid w:val="00631CD4"/>
    <w:rsid w:val="00632597"/>
    <w:rsid w:val="0063260B"/>
    <w:rsid w:val="0063326F"/>
    <w:rsid w:val="006338D3"/>
    <w:rsid w:val="00634CA8"/>
    <w:rsid w:val="00634D13"/>
    <w:rsid w:val="0063563B"/>
    <w:rsid w:val="006358B4"/>
    <w:rsid w:val="00635AF1"/>
    <w:rsid w:val="00635DB8"/>
    <w:rsid w:val="006367F6"/>
    <w:rsid w:val="00637DC4"/>
    <w:rsid w:val="00637DD6"/>
    <w:rsid w:val="00640009"/>
    <w:rsid w:val="0064045B"/>
    <w:rsid w:val="00641724"/>
    <w:rsid w:val="006419AA"/>
    <w:rsid w:val="0064379D"/>
    <w:rsid w:val="00643DF2"/>
    <w:rsid w:val="0064420E"/>
    <w:rsid w:val="00644B1F"/>
    <w:rsid w:val="00644B7E"/>
    <w:rsid w:val="00644D57"/>
    <w:rsid w:val="006454E6"/>
    <w:rsid w:val="00646235"/>
    <w:rsid w:val="0064687A"/>
    <w:rsid w:val="00646A68"/>
    <w:rsid w:val="00646C23"/>
    <w:rsid w:val="00646CD9"/>
    <w:rsid w:val="006476DA"/>
    <w:rsid w:val="00647736"/>
    <w:rsid w:val="00647AEE"/>
    <w:rsid w:val="00647C71"/>
    <w:rsid w:val="00650110"/>
    <w:rsid w:val="006505BD"/>
    <w:rsid w:val="006506BC"/>
    <w:rsid w:val="006508EA"/>
    <w:rsid w:val="0065092E"/>
    <w:rsid w:val="006509DF"/>
    <w:rsid w:val="00650B75"/>
    <w:rsid w:val="0065128D"/>
    <w:rsid w:val="00652381"/>
    <w:rsid w:val="0065424E"/>
    <w:rsid w:val="0065425F"/>
    <w:rsid w:val="00654F0A"/>
    <w:rsid w:val="006551AB"/>
    <w:rsid w:val="006557A7"/>
    <w:rsid w:val="00656254"/>
    <w:rsid w:val="00656290"/>
    <w:rsid w:val="00656D1E"/>
    <w:rsid w:val="006570A1"/>
    <w:rsid w:val="006579EF"/>
    <w:rsid w:val="00660065"/>
    <w:rsid w:val="006601C9"/>
    <w:rsid w:val="006608D8"/>
    <w:rsid w:val="006621D7"/>
    <w:rsid w:val="0066302A"/>
    <w:rsid w:val="00663257"/>
    <w:rsid w:val="0066398F"/>
    <w:rsid w:val="00664282"/>
    <w:rsid w:val="00664D6A"/>
    <w:rsid w:val="00664EE4"/>
    <w:rsid w:val="006661B0"/>
    <w:rsid w:val="00666B72"/>
    <w:rsid w:val="00666BC2"/>
    <w:rsid w:val="006675AC"/>
    <w:rsid w:val="00667770"/>
    <w:rsid w:val="00667EE3"/>
    <w:rsid w:val="00667F42"/>
    <w:rsid w:val="00670597"/>
    <w:rsid w:val="006706D0"/>
    <w:rsid w:val="006710F4"/>
    <w:rsid w:val="0067297D"/>
    <w:rsid w:val="00675709"/>
    <w:rsid w:val="00675ACD"/>
    <w:rsid w:val="00675E28"/>
    <w:rsid w:val="00676776"/>
    <w:rsid w:val="00677574"/>
    <w:rsid w:val="00680C33"/>
    <w:rsid w:val="006812ED"/>
    <w:rsid w:val="00681E05"/>
    <w:rsid w:val="006821EA"/>
    <w:rsid w:val="00682F6F"/>
    <w:rsid w:val="00683878"/>
    <w:rsid w:val="00684380"/>
    <w:rsid w:val="0068454C"/>
    <w:rsid w:val="0068553C"/>
    <w:rsid w:val="00685B22"/>
    <w:rsid w:val="00686D8D"/>
    <w:rsid w:val="00690C85"/>
    <w:rsid w:val="00691B62"/>
    <w:rsid w:val="006926B3"/>
    <w:rsid w:val="006933B5"/>
    <w:rsid w:val="00693546"/>
    <w:rsid w:val="006936F3"/>
    <w:rsid w:val="006938F5"/>
    <w:rsid w:val="00693D14"/>
    <w:rsid w:val="00694FCD"/>
    <w:rsid w:val="0069555E"/>
    <w:rsid w:val="00695BD3"/>
    <w:rsid w:val="00696225"/>
    <w:rsid w:val="00696F27"/>
    <w:rsid w:val="0069744B"/>
    <w:rsid w:val="006A04ED"/>
    <w:rsid w:val="006A1256"/>
    <w:rsid w:val="006A1760"/>
    <w:rsid w:val="006A18C2"/>
    <w:rsid w:val="006A1CE5"/>
    <w:rsid w:val="006A2717"/>
    <w:rsid w:val="006A3383"/>
    <w:rsid w:val="006A386D"/>
    <w:rsid w:val="006A4059"/>
    <w:rsid w:val="006A5224"/>
    <w:rsid w:val="006A5F5D"/>
    <w:rsid w:val="006A78D3"/>
    <w:rsid w:val="006B077C"/>
    <w:rsid w:val="006B0C81"/>
    <w:rsid w:val="006B1D0B"/>
    <w:rsid w:val="006B2DD3"/>
    <w:rsid w:val="006B4549"/>
    <w:rsid w:val="006B457E"/>
    <w:rsid w:val="006B4ABD"/>
    <w:rsid w:val="006B4F47"/>
    <w:rsid w:val="006B6803"/>
    <w:rsid w:val="006B6CBE"/>
    <w:rsid w:val="006B72E5"/>
    <w:rsid w:val="006B7A8A"/>
    <w:rsid w:val="006C1645"/>
    <w:rsid w:val="006C24E5"/>
    <w:rsid w:val="006C2E40"/>
    <w:rsid w:val="006C49B4"/>
    <w:rsid w:val="006C5780"/>
    <w:rsid w:val="006C6DB5"/>
    <w:rsid w:val="006C7FF1"/>
    <w:rsid w:val="006C7FFC"/>
    <w:rsid w:val="006D0021"/>
    <w:rsid w:val="006D0E1F"/>
    <w:rsid w:val="006D0F16"/>
    <w:rsid w:val="006D2619"/>
    <w:rsid w:val="006D2A3F"/>
    <w:rsid w:val="006D2FBC"/>
    <w:rsid w:val="006D3AF8"/>
    <w:rsid w:val="006D3EF9"/>
    <w:rsid w:val="006D6B5A"/>
    <w:rsid w:val="006D6E34"/>
    <w:rsid w:val="006D6F7F"/>
    <w:rsid w:val="006D71B8"/>
    <w:rsid w:val="006D7B9A"/>
    <w:rsid w:val="006D7E97"/>
    <w:rsid w:val="006E048A"/>
    <w:rsid w:val="006E0679"/>
    <w:rsid w:val="006E114D"/>
    <w:rsid w:val="006E138B"/>
    <w:rsid w:val="006E1480"/>
    <w:rsid w:val="006E1867"/>
    <w:rsid w:val="006E1A24"/>
    <w:rsid w:val="006E20D9"/>
    <w:rsid w:val="006E6310"/>
    <w:rsid w:val="006E78F2"/>
    <w:rsid w:val="006F0330"/>
    <w:rsid w:val="006F1FDC"/>
    <w:rsid w:val="006F3390"/>
    <w:rsid w:val="006F4C3B"/>
    <w:rsid w:val="006F5B45"/>
    <w:rsid w:val="006F5C9F"/>
    <w:rsid w:val="006F69F2"/>
    <w:rsid w:val="006F6B76"/>
    <w:rsid w:val="006F6B8C"/>
    <w:rsid w:val="006F71A7"/>
    <w:rsid w:val="006F7E33"/>
    <w:rsid w:val="0070013A"/>
    <w:rsid w:val="007002C8"/>
    <w:rsid w:val="00700FD9"/>
    <w:rsid w:val="007013EF"/>
    <w:rsid w:val="00701BFC"/>
    <w:rsid w:val="00702564"/>
    <w:rsid w:val="007027DF"/>
    <w:rsid w:val="00704460"/>
    <w:rsid w:val="00704CF3"/>
    <w:rsid w:val="00704D72"/>
    <w:rsid w:val="00705253"/>
    <w:rsid w:val="007055BD"/>
    <w:rsid w:val="007062D3"/>
    <w:rsid w:val="00706B34"/>
    <w:rsid w:val="00707041"/>
    <w:rsid w:val="0071036A"/>
    <w:rsid w:val="0071040A"/>
    <w:rsid w:val="00710EC8"/>
    <w:rsid w:val="00711B3C"/>
    <w:rsid w:val="007128A1"/>
    <w:rsid w:val="007143EB"/>
    <w:rsid w:val="00716AD0"/>
    <w:rsid w:val="007173CA"/>
    <w:rsid w:val="007216AA"/>
    <w:rsid w:val="00721977"/>
    <w:rsid w:val="00721AB5"/>
    <w:rsid w:val="00721CFB"/>
    <w:rsid w:val="00721DEF"/>
    <w:rsid w:val="00722C9A"/>
    <w:rsid w:val="00722DA5"/>
    <w:rsid w:val="00724A43"/>
    <w:rsid w:val="00724F1E"/>
    <w:rsid w:val="00724FDE"/>
    <w:rsid w:val="0072556E"/>
    <w:rsid w:val="0072613D"/>
    <w:rsid w:val="0072640E"/>
    <w:rsid w:val="007265B6"/>
    <w:rsid w:val="007273AC"/>
    <w:rsid w:val="007276B2"/>
    <w:rsid w:val="00731101"/>
    <w:rsid w:val="00731AD4"/>
    <w:rsid w:val="00731E26"/>
    <w:rsid w:val="00731E70"/>
    <w:rsid w:val="0073428F"/>
    <w:rsid w:val="0073450E"/>
    <w:rsid w:val="007346E4"/>
    <w:rsid w:val="00735564"/>
    <w:rsid w:val="007370D9"/>
    <w:rsid w:val="0073721B"/>
    <w:rsid w:val="00740A98"/>
    <w:rsid w:val="00740BB0"/>
    <w:rsid w:val="00740F22"/>
    <w:rsid w:val="00740FC3"/>
    <w:rsid w:val="00741049"/>
    <w:rsid w:val="007412A6"/>
    <w:rsid w:val="00741970"/>
    <w:rsid w:val="007419AA"/>
    <w:rsid w:val="00741CF0"/>
    <w:rsid w:val="00741F1A"/>
    <w:rsid w:val="0074236F"/>
    <w:rsid w:val="007430F8"/>
    <w:rsid w:val="007431EE"/>
    <w:rsid w:val="007447DA"/>
    <w:rsid w:val="007450F8"/>
    <w:rsid w:val="00746084"/>
    <w:rsid w:val="0074696E"/>
    <w:rsid w:val="00746D30"/>
    <w:rsid w:val="00750135"/>
    <w:rsid w:val="00750786"/>
    <w:rsid w:val="00750EC2"/>
    <w:rsid w:val="007517B1"/>
    <w:rsid w:val="00751C7E"/>
    <w:rsid w:val="00752321"/>
    <w:rsid w:val="007527ED"/>
    <w:rsid w:val="00752B28"/>
    <w:rsid w:val="007536BC"/>
    <w:rsid w:val="007538AE"/>
    <w:rsid w:val="007541A9"/>
    <w:rsid w:val="00754E36"/>
    <w:rsid w:val="007557F2"/>
    <w:rsid w:val="00755C53"/>
    <w:rsid w:val="00755F51"/>
    <w:rsid w:val="00757A28"/>
    <w:rsid w:val="0076217E"/>
    <w:rsid w:val="007625A1"/>
    <w:rsid w:val="00763139"/>
    <w:rsid w:val="00763A9F"/>
    <w:rsid w:val="00764C37"/>
    <w:rsid w:val="007653AA"/>
    <w:rsid w:val="0076585B"/>
    <w:rsid w:val="007663DA"/>
    <w:rsid w:val="007671DD"/>
    <w:rsid w:val="00770092"/>
    <w:rsid w:val="00770F37"/>
    <w:rsid w:val="007711A0"/>
    <w:rsid w:val="00772229"/>
    <w:rsid w:val="00772C5B"/>
    <w:rsid w:val="00772D5E"/>
    <w:rsid w:val="00773AC2"/>
    <w:rsid w:val="0077463E"/>
    <w:rsid w:val="007753F0"/>
    <w:rsid w:val="007756C3"/>
    <w:rsid w:val="00776928"/>
    <w:rsid w:val="00776A52"/>
    <w:rsid w:val="00776D56"/>
    <w:rsid w:val="00776E0F"/>
    <w:rsid w:val="00777012"/>
    <w:rsid w:val="007774B1"/>
    <w:rsid w:val="00777BE1"/>
    <w:rsid w:val="00777F62"/>
    <w:rsid w:val="00780147"/>
    <w:rsid w:val="00780295"/>
    <w:rsid w:val="00781262"/>
    <w:rsid w:val="00781B11"/>
    <w:rsid w:val="00781B93"/>
    <w:rsid w:val="00782222"/>
    <w:rsid w:val="007824C7"/>
    <w:rsid w:val="007833D8"/>
    <w:rsid w:val="00783891"/>
    <w:rsid w:val="00784F4B"/>
    <w:rsid w:val="0078546D"/>
    <w:rsid w:val="00785677"/>
    <w:rsid w:val="00786658"/>
    <w:rsid w:val="00786F16"/>
    <w:rsid w:val="0078719C"/>
    <w:rsid w:val="007873C6"/>
    <w:rsid w:val="00787803"/>
    <w:rsid w:val="00790696"/>
    <w:rsid w:val="007909B8"/>
    <w:rsid w:val="00791B33"/>
    <w:rsid w:val="00791BD7"/>
    <w:rsid w:val="00792733"/>
    <w:rsid w:val="007933F7"/>
    <w:rsid w:val="00793680"/>
    <w:rsid w:val="00796E20"/>
    <w:rsid w:val="00797446"/>
    <w:rsid w:val="00797C32"/>
    <w:rsid w:val="00797DE5"/>
    <w:rsid w:val="00797F4A"/>
    <w:rsid w:val="007A087F"/>
    <w:rsid w:val="007A11E8"/>
    <w:rsid w:val="007A1958"/>
    <w:rsid w:val="007A1DF5"/>
    <w:rsid w:val="007A23E3"/>
    <w:rsid w:val="007A240B"/>
    <w:rsid w:val="007A27FB"/>
    <w:rsid w:val="007A30BD"/>
    <w:rsid w:val="007A3705"/>
    <w:rsid w:val="007A623D"/>
    <w:rsid w:val="007B0914"/>
    <w:rsid w:val="007B0C0D"/>
    <w:rsid w:val="007B1374"/>
    <w:rsid w:val="007B162D"/>
    <w:rsid w:val="007B17E1"/>
    <w:rsid w:val="007B2F85"/>
    <w:rsid w:val="007B32E5"/>
    <w:rsid w:val="007B3DB9"/>
    <w:rsid w:val="007B56BB"/>
    <w:rsid w:val="007B589F"/>
    <w:rsid w:val="007B6186"/>
    <w:rsid w:val="007B73BC"/>
    <w:rsid w:val="007C0360"/>
    <w:rsid w:val="007C1838"/>
    <w:rsid w:val="007C20B9"/>
    <w:rsid w:val="007C247A"/>
    <w:rsid w:val="007C34B0"/>
    <w:rsid w:val="007C3CBA"/>
    <w:rsid w:val="007C4855"/>
    <w:rsid w:val="007C57AB"/>
    <w:rsid w:val="007C7301"/>
    <w:rsid w:val="007C745D"/>
    <w:rsid w:val="007C7859"/>
    <w:rsid w:val="007C7EBB"/>
    <w:rsid w:val="007C7F28"/>
    <w:rsid w:val="007D09CF"/>
    <w:rsid w:val="007D1466"/>
    <w:rsid w:val="007D14DD"/>
    <w:rsid w:val="007D1FCA"/>
    <w:rsid w:val="007D26EE"/>
    <w:rsid w:val="007D2BDE"/>
    <w:rsid w:val="007D2FB6"/>
    <w:rsid w:val="007D308D"/>
    <w:rsid w:val="007D462A"/>
    <w:rsid w:val="007D49EB"/>
    <w:rsid w:val="007D4BA1"/>
    <w:rsid w:val="007D54F9"/>
    <w:rsid w:val="007D5E1C"/>
    <w:rsid w:val="007D7DB0"/>
    <w:rsid w:val="007E0DE2"/>
    <w:rsid w:val="007E2365"/>
    <w:rsid w:val="007E2622"/>
    <w:rsid w:val="007E265B"/>
    <w:rsid w:val="007E2F00"/>
    <w:rsid w:val="007E2F88"/>
    <w:rsid w:val="007E3526"/>
    <w:rsid w:val="007E3667"/>
    <w:rsid w:val="007E3B98"/>
    <w:rsid w:val="007E417A"/>
    <w:rsid w:val="007E4190"/>
    <w:rsid w:val="007E54F3"/>
    <w:rsid w:val="007E6E39"/>
    <w:rsid w:val="007E7556"/>
    <w:rsid w:val="007E7D22"/>
    <w:rsid w:val="007F0284"/>
    <w:rsid w:val="007F0A99"/>
    <w:rsid w:val="007F0C74"/>
    <w:rsid w:val="007F1648"/>
    <w:rsid w:val="007F1692"/>
    <w:rsid w:val="007F1D44"/>
    <w:rsid w:val="007F23E3"/>
    <w:rsid w:val="007F31B6"/>
    <w:rsid w:val="007F34B9"/>
    <w:rsid w:val="007F4092"/>
    <w:rsid w:val="007F48C3"/>
    <w:rsid w:val="007F546C"/>
    <w:rsid w:val="007F6150"/>
    <w:rsid w:val="007F625F"/>
    <w:rsid w:val="007F665E"/>
    <w:rsid w:val="007F68CB"/>
    <w:rsid w:val="007F706E"/>
    <w:rsid w:val="007F74CA"/>
    <w:rsid w:val="007F7E7A"/>
    <w:rsid w:val="00800258"/>
    <w:rsid w:val="00800412"/>
    <w:rsid w:val="008021C8"/>
    <w:rsid w:val="008032A1"/>
    <w:rsid w:val="00803407"/>
    <w:rsid w:val="00803461"/>
    <w:rsid w:val="0080587B"/>
    <w:rsid w:val="008062F2"/>
    <w:rsid w:val="00806468"/>
    <w:rsid w:val="008068CC"/>
    <w:rsid w:val="00806EA6"/>
    <w:rsid w:val="00807141"/>
    <w:rsid w:val="008076A5"/>
    <w:rsid w:val="008076C1"/>
    <w:rsid w:val="00811120"/>
    <w:rsid w:val="008115B4"/>
    <w:rsid w:val="008119CA"/>
    <w:rsid w:val="008130C4"/>
    <w:rsid w:val="008148B4"/>
    <w:rsid w:val="00814F35"/>
    <w:rsid w:val="008155F0"/>
    <w:rsid w:val="008162E8"/>
    <w:rsid w:val="00816735"/>
    <w:rsid w:val="00816760"/>
    <w:rsid w:val="008169C3"/>
    <w:rsid w:val="00817368"/>
    <w:rsid w:val="008176C8"/>
    <w:rsid w:val="00817801"/>
    <w:rsid w:val="00820141"/>
    <w:rsid w:val="008203B0"/>
    <w:rsid w:val="00820E0C"/>
    <w:rsid w:val="00823275"/>
    <w:rsid w:val="0082366F"/>
    <w:rsid w:val="00823DEC"/>
    <w:rsid w:val="00824BFE"/>
    <w:rsid w:val="00824CBE"/>
    <w:rsid w:val="00827366"/>
    <w:rsid w:val="0082778C"/>
    <w:rsid w:val="00827D21"/>
    <w:rsid w:val="00830FFC"/>
    <w:rsid w:val="00831B47"/>
    <w:rsid w:val="008321BC"/>
    <w:rsid w:val="0083225B"/>
    <w:rsid w:val="0083356C"/>
    <w:rsid w:val="008338A2"/>
    <w:rsid w:val="00834E75"/>
    <w:rsid w:val="00835113"/>
    <w:rsid w:val="00835583"/>
    <w:rsid w:val="00836075"/>
    <w:rsid w:val="00836889"/>
    <w:rsid w:val="00837440"/>
    <w:rsid w:val="008412DA"/>
    <w:rsid w:val="00841AA9"/>
    <w:rsid w:val="00842193"/>
    <w:rsid w:val="00844777"/>
    <w:rsid w:val="00844912"/>
    <w:rsid w:val="0084533C"/>
    <w:rsid w:val="0084603E"/>
    <w:rsid w:val="00847161"/>
    <w:rsid w:val="008474FE"/>
    <w:rsid w:val="00847C2E"/>
    <w:rsid w:val="00847FCA"/>
    <w:rsid w:val="00850835"/>
    <w:rsid w:val="0085179E"/>
    <w:rsid w:val="00852363"/>
    <w:rsid w:val="0085246F"/>
    <w:rsid w:val="008530C7"/>
    <w:rsid w:val="00853EE4"/>
    <w:rsid w:val="008548ED"/>
    <w:rsid w:val="00854F45"/>
    <w:rsid w:val="00855535"/>
    <w:rsid w:val="008560D1"/>
    <w:rsid w:val="00856140"/>
    <w:rsid w:val="008561EB"/>
    <w:rsid w:val="00856BA9"/>
    <w:rsid w:val="00857034"/>
    <w:rsid w:val="00857C5A"/>
    <w:rsid w:val="00860A33"/>
    <w:rsid w:val="0086255E"/>
    <w:rsid w:val="008633F0"/>
    <w:rsid w:val="00863B7C"/>
    <w:rsid w:val="008642B5"/>
    <w:rsid w:val="008644CD"/>
    <w:rsid w:val="00867D9D"/>
    <w:rsid w:val="00870807"/>
    <w:rsid w:val="00872E0A"/>
    <w:rsid w:val="00873594"/>
    <w:rsid w:val="0087384D"/>
    <w:rsid w:val="00874FEB"/>
    <w:rsid w:val="00875285"/>
    <w:rsid w:val="00876306"/>
    <w:rsid w:val="00876974"/>
    <w:rsid w:val="0087729B"/>
    <w:rsid w:val="00877420"/>
    <w:rsid w:val="00877635"/>
    <w:rsid w:val="008802C1"/>
    <w:rsid w:val="00880C64"/>
    <w:rsid w:val="0088133B"/>
    <w:rsid w:val="00882E76"/>
    <w:rsid w:val="00884B62"/>
    <w:rsid w:val="00885154"/>
    <w:rsid w:val="0088529C"/>
    <w:rsid w:val="00887903"/>
    <w:rsid w:val="008902AB"/>
    <w:rsid w:val="008905A1"/>
    <w:rsid w:val="00891356"/>
    <w:rsid w:val="00891524"/>
    <w:rsid w:val="00891C87"/>
    <w:rsid w:val="00891D95"/>
    <w:rsid w:val="00891E5E"/>
    <w:rsid w:val="0089270A"/>
    <w:rsid w:val="008930B3"/>
    <w:rsid w:val="00893AF6"/>
    <w:rsid w:val="00893BB7"/>
    <w:rsid w:val="008945F1"/>
    <w:rsid w:val="00894BC4"/>
    <w:rsid w:val="008959D3"/>
    <w:rsid w:val="008967E4"/>
    <w:rsid w:val="00896890"/>
    <w:rsid w:val="00896EF3"/>
    <w:rsid w:val="00896F17"/>
    <w:rsid w:val="00897FE2"/>
    <w:rsid w:val="008A023D"/>
    <w:rsid w:val="008A033E"/>
    <w:rsid w:val="008A0880"/>
    <w:rsid w:val="008A1DCF"/>
    <w:rsid w:val="008A28A8"/>
    <w:rsid w:val="008A331D"/>
    <w:rsid w:val="008A4BBD"/>
    <w:rsid w:val="008A4F09"/>
    <w:rsid w:val="008A5275"/>
    <w:rsid w:val="008A5B32"/>
    <w:rsid w:val="008A6C1F"/>
    <w:rsid w:val="008A709F"/>
    <w:rsid w:val="008B00A0"/>
    <w:rsid w:val="008B00DA"/>
    <w:rsid w:val="008B0935"/>
    <w:rsid w:val="008B1F60"/>
    <w:rsid w:val="008B2029"/>
    <w:rsid w:val="008B219D"/>
    <w:rsid w:val="008B2704"/>
    <w:rsid w:val="008B2EE4"/>
    <w:rsid w:val="008B3821"/>
    <w:rsid w:val="008B3FFD"/>
    <w:rsid w:val="008B4748"/>
    <w:rsid w:val="008B4D3D"/>
    <w:rsid w:val="008B4DC7"/>
    <w:rsid w:val="008B56CD"/>
    <w:rsid w:val="008B5749"/>
    <w:rsid w:val="008B57C7"/>
    <w:rsid w:val="008B5E4C"/>
    <w:rsid w:val="008C0402"/>
    <w:rsid w:val="008C0F23"/>
    <w:rsid w:val="008C2F92"/>
    <w:rsid w:val="008C304F"/>
    <w:rsid w:val="008C3107"/>
    <w:rsid w:val="008C3546"/>
    <w:rsid w:val="008C449B"/>
    <w:rsid w:val="008C4A90"/>
    <w:rsid w:val="008C535B"/>
    <w:rsid w:val="008C589D"/>
    <w:rsid w:val="008C5BF5"/>
    <w:rsid w:val="008C6D51"/>
    <w:rsid w:val="008C7163"/>
    <w:rsid w:val="008C74FB"/>
    <w:rsid w:val="008D0CCF"/>
    <w:rsid w:val="008D1375"/>
    <w:rsid w:val="008D2846"/>
    <w:rsid w:val="008D2D44"/>
    <w:rsid w:val="008D2EFB"/>
    <w:rsid w:val="008D33F0"/>
    <w:rsid w:val="008D4236"/>
    <w:rsid w:val="008D4374"/>
    <w:rsid w:val="008D462F"/>
    <w:rsid w:val="008D4A44"/>
    <w:rsid w:val="008D570F"/>
    <w:rsid w:val="008D6DCF"/>
    <w:rsid w:val="008E008E"/>
    <w:rsid w:val="008E297B"/>
    <w:rsid w:val="008E3447"/>
    <w:rsid w:val="008E4376"/>
    <w:rsid w:val="008E4B4E"/>
    <w:rsid w:val="008E4D0A"/>
    <w:rsid w:val="008E53BE"/>
    <w:rsid w:val="008E68C5"/>
    <w:rsid w:val="008E7807"/>
    <w:rsid w:val="008E7A0A"/>
    <w:rsid w:val="008E7B49"/>
    <w:rsid w:val="008F0029"/>
    <w:rsid w:val="008F0312"/>
    <w:rsid w:val="008F239A"/>
    <w:rsid w:val="008F2C5D"/>
    <w:rsid w:val="008F2F8F"/>
    <w:rsid w:val="008F3B18"/>
    <w:rsid w:val="008F3C95"/>
    <w:rsid w:val="008F46AD"/>
    <w:rsid w:val="008F480B"/>
    <w:rsid w:val="008F4D0D"/>
    <w:rsid w:val="008F4D67"/>
    <w:rsid w:val="008F59F6"/>
    <w:rsid w:val="008F6401"/>
    <w:rsid w:val="008F68B7"/>
    <w:rsid w:val="008F6CC3"/>
    <w:rsid w:val="008F7D56"/>
    <w:rsid w:val="009002EC"/>
    <w:rsid w:val="00900719"/>
    <w:rsid w:val="00901578"/>
    <w:rsid w:val="009017AC"/>
    <w:rsid w:val="00902A9A"/>
    <w:rsid w:val="00902BF6"/>
    <w:rsid w:val="00903F4A"/>
    <w:rsid w:val="0090489A"/>
    <w:rsid w:val="00904A1C"/>
    <w:rsid w:val="00905030"/>
    <w:rsid w:val="00906490"/>
    <w:rsid w:val="00906814"/>
    <w:rsid w:val="00906BB5"/>
    <w:rsid w:val="0090702F"/>
    <w:rsid w:val="009074AF"/>
    <w:rsid w:val="009079EA"/>
    <w:rsid w:val="00910C39"/>
    <w:rsid w:val="009111B2"/>
    <w:rsid w:val="00912219"/>
    <w:rsid w:val="0091254F"/>
    <w:rsid w:val="009125C8"/>
    <w:rsid w:val="0091321D"/>
    <w:rsid w:val="009136C2"/>
    <w:rsid w:val="00913A8F"/>
    <w:rsid w:val="00913F00"/>
    <w:rsid w:val="009151F5"/>
    <w:rsid w:val="00915A2F"/>
    <w:rsid w:val="00915AAB"/>
    <w:rsid w:val="00915E59"/>
    <w:rsid w:val="00916577"/>
    <w:rsid w:val="00916CBB"/>
    <w:rsid w:val="0092042D"/>
    <w:rsid w:val="009212A0"/>
    <w:rsid w:val="009228EB"/>
    <w:rsid w:val="00924AE1"/>
    <w:rsid w:val="00924B57"/>
    <w:rsid w:val="0092586D"/>
    <w:rsid w:val="009269B1"/>
    <w:rsid w:val="0092724D"/>
    <w:rsid w:val="009272B3"/>
    <w:rsid w:val="00930398"/>
    <w:rsid w:val="009315BE"/>
    <w:rsid w:val="009326DD"/>
    <w:rsid w:val="0093338F"/>
    <w:rsid w:val="00933408"/>
    <w:rsid w:val="00934D94"/>
    <w:rsid w:val="00934E1F"/>
    <w:rsid w:val="00935C64"/>
    <w:rsid w:val="00937B63"/>
    <w:rsid w:val="00937BD9"/>
    <w:rsid w:val="00940CC1"/>
    <w:rsid w:val="00940F77"/>
    <w:rsid w:val="0094126B"/>
    <w:rsid w:val="00941649"/>
    <w:rsid w:val="009416E0"/>
    <w:rsid w:val="0094225F"/>
    <w:rsid w:val="00942535"/>
    <w:rsid w:val="00944701"/>
    <w:rsid w:val="00944712"/>
    <w:rsid w:val="0094476F"/>
    <w:rsid w:val="00944A52"/>
    <w:rsid w:val="009474D8"/>
    <w:rsid w:val="00950E2C"/>
    <w:rsid w:val="00951D50"/>
    <w:rsid w:val="009525EB"/>
    <w:rsid w:val="00952812"/>
    <w:rsid w:val="0095470B"/>
    <w:rsid w:val="00954874"/>
    <w:rsid w:val="00954B6A"/>
    <w:rsid w:val="00954D15"/>
    <w:rsid w:val="009555DC"/>
    <w:rsid w:val="0095615A"/>
    <w:rsid w:val="00956568"/>
    <w:rsid w:val="009576AC"/>
    <w:rsid w:val="00961400"/>
    <w:rsid w:val="00961AC3"/>
    <w:rsid w:val="0096214F"/>
    <w:rsid w:val="00963512"/>
    <w:rsid w:val="00963646"/>
    <w:rsid w:val="0096364D"/>
    <w:rsid w:val="009647E6"/>
    <w:rsid w:val="00964E4D"/>
    <w:rsid w:val="0096506F"/>
    <w:rsid w:val="00965D98"/>
    <w:rsid w:val="0096632D"/>
    <w:rsid w:val="0096636C"/>
    <w:rsid w:val="00967124"/>
    <w:rsid w:val="00970B75"/>
    <w:rsid w:val="00970E8D"/>
    <w:rsid w:val="0097118C"/>
    <w:rsid w:val="00971410"/>
    <w:rsid w:val="0097166C"/>
    <w:rsid w:val="009718C7"/>
    <w:rsid w:val="009720AB"/>
    <w:rsid w:val="009723C6"/>
    <w:rsid w:val="00973857"/>
    <w:rsid w:val="00973DFB"/>
    <w:rsid w:val="0097559F"/>
    <w:rsid w:val="009761EA"/>
    <w:rsid w:val="00976C33"/>
    <w:rsid w:val="00976E88"/>
    <w:rsid w:val="0097761E"/>
    <w:rsid w:val="009778E9"/>
    <w:rsid w:val="0097794B"/>
    <w:rsid w:val="00977D27"/>
    <w:rsid w:val="0098027F"/>
    <w:rsid w:val="00980986"/>
    <w:rsid w:val="00980BF3"/>
    <w:rsid w:val="00980E7A"/>
    <w:rsid w:val="00980FAB"/>
    <w:rsid w:val="00981A62"/>
    <w:rsid w:val="00981B7D"/>
    <w:rsid w:val="00982454"/>
    <w:rsid w:val="009829FF"/>
    <w:rsid w:val="00982AAC"/>
    <w:rsid w:val="00982CD3"/>
    <w:rsid w:val="00982CF0"/>
    <w:rsid w:val="009835F7"/>
    <w:rsid w:val="009840EC"/>
    <w:rsid w:val="00985252"/>
    <w:rsid w:val="009853E1"/>
    <w:rsid w:val="00985574"/>
    <w:rsid w:val="00986E6B"/>
    <w:rsid w:val="00986FA9"/>
    <w:rsid w:val="00987977"/>
    <w:rsid w:val="00987DCE"/>
    <w:rsid w:val="00990032"/>
    <w:rsid w:val="009900F8"/>
    <w:rsid w:val="009906FE"/>
    <w:rsid w:val="00990B19"/>
    <w:rsid w:val="00990FE1"/>
    <w:rsid w:val="00991210"/>
    <w:rsid w:val="0099153B"/>
    <w:rsid w:val="00991710"/>
    <w:rsid w:val="00991769"/>
    <w:rsid w:val="0099232C"/>
    <w:rsid w:val="009926B6"/>
    <w:rsid w:val="0099385F"/>
    <w:rsid w:val="00994386"/>
    <w:rsid w:val="009953D3"/>
    <w:rsid w:val="0099587A"/>
    <w:rsid w:val="009969EF"/>
    <w:rsid w:val="00996BF6"/>
    <w:rsid w:val="00997847"/>
    <w:rsid w:val="009A120F"/>
    <w:rsid w:val="009A13D8"/>
    <w:rsid w:val="009A1B89"/>
    <w:rsid w:val="009A1FD7"/>
    <w:rsid w:val="009A2175"/>
    <w:rsid w:val="009A21E0"/>
    <w:rsid w:val="009A26A2"/>
    <w:rsid w:val="009A279E"/>
    <w:rsid w:val="009A3015"/>
    <w:rsid w:val="009A3490"/>
    <w:rsid w:val="009A3E6A"/>
    <w:rsid w:val="009A40D3"/>
    <w:rsid w:val="009A4A00"/>
    <w:rsid w:val="009A585A"/>
    <w:rsid w:val="009A5D26"/>
    <w:rsid w:val="009A6678"/>
    <w:rsid w:val="009A701A"/>
    <w:rsid w:val="009A70B1"/>
    <w:rsid w:val="009B05FD"/>
    <w:rsid w:val="009B0A6F"/>
    <w:rsid w:val="009B0A94"/>
    <w:rsid w:val="009B0C62"/>
    <w:rsid w:val="009B1677"/>
    <w:rsid w:val="009B2488"/>
    <w:rsid w:val="009B25BD"/>
    <w:rsid w:val="009B294C"/>
    <w:rsid w:val="009B2AE8"/>
    <w:rsid w:val="009B2BB2"/>
    <w:rsid w:val="009B35B1"/>
    <w:rsid w:val="009B382D"/>
    <w:rsid w:val="009B449F"/>
    <w:rsid w:val="009B5622"/>
    <w:rsid w:val="009B5954"/>
    <w:rsid w:val="009B59E9"/>
    <w:rsid w:val="009B610C"/>
    <w:rsid w:val="009B6C1A"/>
    <w:rsid w:val="009B70AA"/>
    <w:rsid w:val="009B7D1D"/>
    <w:rsid w:val="009C0099"/>
    <w:rsid w:val="009C00D0"/>
    <w:rsid w:val="009C245E"/>
    <w:rsid w:val="009C2D5A"/>
    <w:rsid w:val="009C30F7"/>
    <w:rsid w:val="009C3CF1"/>
    <w:rsid w:val="009C41DD"/>
    <w:rsid w:val="009C4994"/>
    <w:rsid w:val="009C4CD8"/>
    <w:rsid w:val="009C5A60"/>
    <w:rsid w:val="009C5D29"/>
    <w:rsid w:val="009C5E77"/>
    <w:rsid w:val="009C68F3"/>
    <w:rsid w:val="009C6C91"/>
    <w:rsid w:val="009C6E9B"/>
    <w:rsid w:val="009C7A7E"/>
    <w:rsid w:val="009D02E8"/>
    <w:rsid w:val="009D0E97"/>
    <w:rsid w:val="009D152C"/>
    <w:rsid w:val="009D303F"/>
    <w:rsid w:val="009D328F"/>
    <w:rsid w:val="009D35C7"/>
    <w:rsid w:val="009D3D6E"/>
    <w:rsid w:val="009D4450"/>
    <w:rsid w:val="009D488B"/>
    <w:rsid w:val="009D51D0"/>
    <w:rsid w:val="009D592E"/>
    <w:rsid w:val="009D70A4"/>
    <w:rsid w:val="009D7587"/>
    <w:rsid w:val="009D762A"/>
    <w:rsid w:val="009D7B14"/>
    <w:rsid w:val="009E00B8"/>
    <w:rsid w:val="009E03D5"/>
    <w:rsid w:val="009E054A"/>
    <w:rsid w:val="009E0673"/>
    <w:rsid w:val="009E08D1"/>
    <w:rsid w:val="009E0D96"/>
    <w:rsid w:val="009E1286"/>
    <w:rsid w:val="009E1B95"/>
    <w:rsid w:val="009E208B"/>
    <w:rsid w:val="009E2ABB"/>
    <w:rsid w:val="009E38D7"/>
    <w:rsid w:val="009E3BDC"/>
    <w:rsid w:val="009E4579"/>
    <w:rsid w:val="009E496F"/>
    <w:rsid w:val="009E4B0D"/>
    <w:rsid w:val="009E5250"/>
    <w:rsid w:val="009E544F"/>
    <w:rsid w:val="009E5758"/>
    <w:rsid w:val="009E5D9F"/>
    <w:rsid w:val="009E63BD"/>
    <w:rsid w:val="009E7558"/>
    <w:rsid w:val="009E7A69"/>
    <w:rsid w:val="009E7F92"/>
    <w:rsid w:val="009F02A3"/>
    <w:rsid w:val="009F0F50"/>
    <w:rsid w:val="009F1A15"/>
    <w:rsid w:val="009F2182"/>
    <w:rsid w:val="009F24F9"/>
    <w:rsid w:val="009F2F27"/>
    <w:rsid w:val="009F34AA"/>
    <w:rsid w:val="009F4305"/>
    <w:rsid w:val="009F48E8"/>
    <w:rsid w:val="009F52A3"/>
    <w:rsid w:val="009F5B3F"/>
    <w:rsid w:val="009F5BB8"/>
    <w:rsid w:val="009F6652"/>
    <w:rsid w:val="009F6BCB"/>
    <w:rsid w:val="009F6DFB"/>
    <w:rsid w:val="009F709E"/>
    <w:rsid w:val="009F74DF"/>
    <w:rsid w:val="009F7B78"/>
    <w:rsid w:val="00A0057A"/>
    <w:rsid w:val="00A0061F"/>
    <w:rsid w:val="00A00752"/>
    <w:rsid w:val="00A00AF7"/>
    <w:rsid w:val="00A01FB1"/>
    <w:rsid w:val="00A0295F"/>
    <w:rsid w:val="00A02FA1"/>
    <w:rsid w:val="00A04CCE"/>
    <w:rsid w:val="00A05081"/>
    <w:rsid w:val="00A062F0"/>
    <w:rsid w:val="00A07421"/>
    <w:rsid w:val="00A0776B"/>
    <w:rsid w:val="00A10234"/>
    <w:rsid w:val="00A10FB9"/>
    <w:rsid w:val="00A11421"/>
    <w:rsid w:val="00A11ACC"/>
    <w:rsid w:val="00A12243"/>
    <w:rsid w:val="00A12815"/>
    <w:rsid w:val="00A1389F"/>
    <w:rsid w:val="00A13AC1"/>
    <w:rsid w:val="00A13FB4"/>
    <w:rsid w:val="00A151D0"/>
    <w:rsid w:val="00A157B1"/>
    <w:rsid w:val="00A20ED1"/>
    <w:rsid w:val="00A213E9"/>
    <w:rsid w:val="00A21C9A"/>
    <w:rsid w:val="00A22229"/>
    <w:rsid w:val="00A226E4"/>
    <w:rsid w:val="00A22D69"/>
    <w:rsid w:val="00A24442"/>
    <w:rsid w:val="00A24ADA"/>
    <w:rsid w:val="00A24CB5"/>
    <w:rsid w:val="00A250D5"/>
    <w:rsid w:val="00A2792D"/>
    <w:rsid w:val="00A2793F"/>
    <w:rsid w:val="00A3048C"/>
    <w:rsid w:val="00A30534"/>
    <w:rsid w:val="00A31871"/>
    <w:rsid w:val="00A3215F"/>
    <w:rsid w:val="00A32577"/>
    <w:rsid w:val="00A330BB"/>
    <w:rsid w:val="00A34560"/>
    <w:rsid w:val="00A35B53"/>
    <w:rsid w:val="00A35DA1"/>
    <w:rsid w:val="00A3603C"/>
    <w:rsid w:val="00A3629F"/>
    <w:rsid w:val="00A36694"/>
    <w:rsid w:val="00A36BD1"/>
    <w:rsid w:val="00A373E8"/>
    <w:rsid w:val="00A374DB"/>
    <w:rsid w:val="00A411CE"/>
    <w:rsid w:val="00A4170D"/>
    <w:rsid w:val="00A42635"/>
    <w:rsid w:val="00A42DF5"/>
    <w:rsid w:val="00A446F5"/>
    <w:rsid w:val="00A44882"/>
    <w:rsid w:val="00A44CD5"/>
    <w:rsid w:val="00A45125"/>
    <w:rsid w:val="00A46E8E"/>
    <w:rsid w:val="00A51DC9"/>
    <w:rsid w:val="00A53058"/>
    <w:rsid w:val="00A5441E"/>
    <w:rsid w:val="00A54715"/>
    <w:rsid w:val="00A56003"/>
    <w:rsid w:val="00A6061C"/>
    <w:rsid w:val="00A60BAB"/>
    <w:rsid w:val="00A60D7B"/>
    <w:rsid w:val="00A60DAC"/>
    <w:rsid w:val="00A60DDD"/>
    <w:rsid w:val="00A61B45"/>
    <w:rsid w:val="00A62D44"/>
    <w:rsid w:val="00A6574D"/>
    <w:rsid w:val="00A65F32"/>
    <w:rsid w:val="00A662F7"/>
    <w:rsid w:val="00A66FC9"/>
    <w:rsid w:val="00A67263"/>
    <w:rsid w:val="00A7051D"/>
    <w:rsid w:val="00A7161C"/>
    <w:rsid w:val="00A71CE4"/>
    <w:rsid w:val="00A73A71"/>
    <w:rsid w:val="00A73B4B"/>
    <w:rsid w:val="00A73D61"/>
    <w:rsid w:val="00A74859"/>
    <w:rsid w:val="00A74C80"/>
    <w:rsid w:val="00A75108"/>
    <w:rsid w:val="00A75ACE"/>
    <w:rsid w:val="00A75D2A"/>
    <w:rsid w:val="00A76313"/>
    <w:rsid w:val="00A76CB0"/>
    <w:rsid w:val="00A77197"/>
    <w:rsid w:val="00A77AA3"/>
    <w:rsid w:val="00A77B5F"/>
    <w:rsid w:val="00A77DAA"/>
    <w:rsid w:val="00A8010E"/>
    <w:rsid w:val="00A80380"/>
    <w:rsid w:val="00A81142"/>
    <w:rsid w:val="00A8236D"/>
    <w:rsid w:val="00A8272B"/>
    <w:rsid w:val="00A8371E"/>
    <w:rsid w:val="00A83CA5"/>
    <w:rsid w:val="00A841DE"/>
    <w:rsid w:val="00A849FC"/>
    <w:rsid w:val="00A854EB"/>
    <w:rsid w:val="00A85600"/>
    <w:rsid w:val="00A8632D"/>
    <w:rsid w:val="00A8643B"/>
    <w:rsid w:val="00A872E5"/>
    <w:rsid w:val="00A902F1"/>
    <w:rsid w:val="00A90C68"/>
    <w:rsid w:val="00A90D44"/>
    <w:rsid w:val="00A90DD5"/>
    <w:rsid w:val="00A91102"/>
    <w:rsid w:val="00A91406"/>
    <w:rsid w:val="00A91478"/>
    <w:rsid w:val="00A92020"/>
    <w:rsid w:val="00A9308A"/>
    <w:rsid w:val="00A9373A"/>
    <w:rsid w:val="00A93E49"/>
    <w:rsid w:val="00A94EE8"/>
    <w:rsid w:val="00A952E2"/>
    <w:rsid w:val="00A9593F"/>
    <w:rsid w:val="00A96B57"/>
    <w:rsid w:val="00A96E65"/>
    <w:rsid w:val="00A96ECE"/>
    <w:rsid w:val="00A96F65"/>
    <w:rsid w:val="00A97C72"/>
    <w:rsid w:val="00A97CF3"/>
    <w:rsid w:val="00A97FE2"/>
    <w:rsid w:val="00AA1581"/>
    <w:rsid w:val="00AA181B"/>
    <w:rsid w:val="00AA2E8E"/>
    <w:rsid w:val="00AA310B"/>
    <w:rsid w:val="00AA3E96"/>
    <w:rsid w:val="00AA4994"/>
    <w:rsid w:val="00AA51AF"/>
    <w:rsid w:val="00AA63D4"/>
    <w:rsid w:val="00AA695C"/>
    <w:rsid w:val="00AA6D30"/>
    <w:rsid w:val="00AA72AA"/>
    <w:rsid w:val="00AA7D88"/>
    <w:rsid w:val="00AB06E8"/>
    <w:rsid w:val="00AB0B96"/>
    <w:rsid w:val="00AB1CD3"/>
    <w:rsid w:val="00AB21B1"/>
    <w:rsid w:val="00AB352F"/>
    <w:rsid w:val="00AB3B4A"/>
    <w:rsid w:val="00AB400A"/>
    <w:rsid w:val="00AB44AC"/>
    <w:rsid w:val="00AB61FF"/>
    <w:rsid w:val="00AB6F16"/>
    <w:rsid w:val="00AC0A26"/>
    <w:rsid w:val="00AC11F7"/>
    <w:rsid w:val="00AC1EC6"/>
    <w:rsid w:val="00AC274B"/>
    <w:rsid w:val="00AC3FAD"/>
    <w:rsid w:val="00AC427F"/>
    <w:rsid w:val="00AC4764"/>
    <w:rsid w:val="00AC4C6B"/>
    <w:rsid w:val="00AC6D36"/>
    <w:rsid w:val="00AC70D0"/>
    <w:rsid w:val="00AC74F1"/>
    <w:rsid w:val="00AD08B3"/>
    <w:rsid w:val="00AD0CBA"/>
    <w:rsid w:val="00AD14D3"/>
    <w:rsid w:val="00AD26E2"/>
    <w:rsid w:val="00AD2EB1"/>
    <w:rsid w:val="00AD3A29"/>
    <w:rsid w:val="00AD4A3E"/>
    <w:rsid w:val="00AD51B0"/>
    <w:rsid w:val="00AD52F1"/>
    <w:rsid w:val="00AD5E27"/>
    <w:rsid w:val="00AD6F9E"/>
    <w:rsid w:val="00AD784C"/>
    <w:rsid w:val="00AE01E2"/>
    <w:rsid w:val="00AE126A"/>
    <w:rsid w:val="00AE1BAE"/>
    <w:rsid w:val="00AE253C"/>
    <w:rsid w:val="00AE2AD5"/>
    <w:rsid w:val="00AE2D21"/>
    <w:rsid w:val="00AE3005"/>
    <w:rsid w:val="00AE33AC"/>
    <w:rsid w:val="00AE3BD5"/>
    <w:rsid w:val="00AE59A0"/>
    <w:rsid w:val="00AE68B4"/>
    <w:rsid w:val="00AE79F4"/>
    <w:rsid w:val="00AE7ADE"/>
    <w:rsid w:val="00AF0C57"/>
    <w:rsid w:val="00AF26F3"/>
    <w:rsid w:val="00AF33D3"/>
    <w:rsid w:val="00AF3C7C"/>
    <w:rsid w:val="00AF4B9D"/>
    <w:rsid w:val="00AF4ECB"/>
    <w:rsid w:val="00AF55AB"/>
    <w:rsid w:val="00AF5F04"/>
    <w:rsid w:val="00AF6DA2"/>
    <w:rsid w:val="00AF7105"/>
    <w:rsid w:val="00AF7118"/>
    <w:rsid w:val="00B00672"/>
    <w:rsid w:val="00B00CD0"/>
    <w:rsid w:val="00B00EF1"/>
    <w:rsid w:val="00B00F55"/>
    <w:rsid w:val="00B01B4D"/>
    <w:rsid w:val="00B02267"/>
    <w:rsid w:val="00B02892"/>
    <w:rsid w:val="00B03111"/>
    <w:rsid w:val="00B0380F"/>
    <w:rsid w:val="00B04015"/>
    <w:rsid w:val="00B04489"/>
    <w:rsid w:val="00B04D2A"/>
    <w:rsid w:val="00B04D3F"/>
    <w:rsid w:val="00B06346"/>
    <w:rsid w:val="00B06571"/>
    <w:rsid w:val="00B068BA"/>
    <w:rsid w:val="00B070B6"/>
    <w:rsid w:val="00B07106"/>
    <w:rsid w:val="00B07217"/>
    <w:rsid w:val="00B07250"/>
    <w:rsid w:val="00B07898"/>
    <w:rsid w:val="00B1208E"/>
    <w:rsid w:val="00B13851"/>
    <w:rsid w:val="00B13B1C"/>
    <w:rsid w:val="00B14319"/>
    <w:rsid w:val="00B14B5F"/>
    <w:rsid w:val="00B1550D"/>
    <w:rsid w:val="00B15D3E"/>
    <w:rsid w:val="00B16098"/>
    <w:rsid w:val="00B1643E"/>
    <w:rsid w:val="00B17F87"/>
    <w:rsid w:val="00B21F90"/>
    <w:rsid w:val="00B22288"/>
    <w:rsid w:val="00B22291"/>
    <w:rsid w:val="00B22299"/>
    <w:rsid w:val="00B22AE2"/>
    <w:rsid w:val="00B23F9A"/>
    <w:rsid w:val="00B2417B"/>
    <w:rsid w:val="00B2477C"/>
    <w:rsid w:val="00B247D3"/>
    <w:rsid w:val="00B24E6F"/>
    <w:rsid w:val="00B252B9"/>
    <w:rsid w:val="00B26CB5"/>
    <w:rsid w:val="00B27450"/>
    <w:rsid w:val="00B2752E"/>
    <w:rsid w:val="00B27B2F"/>
    <w:rsid w:val="00B306F4"/>
    <w:rsid w:val="00B307CC"/>
    <w:rsid w:val="00B30C3D"/>
    <w:rsid w:val="00B31AB8"/>
    <w:rsid w:val="00B31DA5"/>
    <w:rsid w:val="00B32321"/>
    <w:rsid w:val="00B326B7"/>
    <w:rsid w:val="00B3588E"/>
    <w:rsid w:val="00B36F9C"/>
    <w:rsid w:val="00B37922"/>
    <w:rsid w:val="00B418DD"/>
    <w:rsid w:val="00B4198F"/>
    <w:rsid w:val="00B41F3D"/>
    <w:rsid w:val="00B42A32"/>
    <w:rsid w:val="00B431E8"/>
    <w:rsid w:val="00B446DD"/>
    <w:rsid w:val="00B44B14"/>
    <w:rsid w:val="00B44BC0"/>
    <w:rsid w:val="00B45141"/>
    <w:rsid w:val="00B454A8"/>
    <w:rsid w:val="00B50481"/>
    <w:rsid w:val="00B50EDC"/>
    <w:rsid w:val="00B51369"/>
    <w:rsid w:val="00B519CD"/>
    <w:rsid w:val="00B5273A"/>
    <w:rsid w:val="00B52F76"/>
    <w:rsid w:val="00B53479"/>
    <w:rsid w:val="00B53840"/>
    <w:rsid w:val="00B54F74"/>
    <w:rsid w:val="00B550BB"/>
    <w:rsid w:val="00B5555B"/>
    <w:rsid w:val="00B57329"/>
    <w:rsid w:val="00B606E2"/>
    <w:rsid w:val="00B60884"/>
    <w:rsid w:val="00B60E61"/>
    <w:rsid w:val="00B62B50"/>
    <w:rsid w:val="00B62E34"/>
    <w:rsid w:val="00B63325"/>
    <w:rsid w:val="00B635B7"/>
    <w:rsid w:val="00B63AE8"/>
    <w:rsid w:val="00B63B7B"/>
    <w:rsid w:val="00B65950"/>
    <w:rsid w:val="00B65CEE"/>
    <w:rsid w:val="00B66169"/>
    <w:rsid w:val="00B66D83"/>
    <w:rsid w:val="00B672C0"/>
    <w:rsid w:val="00B676FD"/>
    <w:rsid w:val="00B678B6"/>
    <w:rsid w:val="00B7025F"/>
    <w:rsid w:val="00B702D5"/>
    <w:rsid w:val="00B70624"/>
    <w:rsid w:val="00B70D4D"/>
    <w:rsid w:val="00B717BB"/>
    <w:rsid w:val="00B718AE"/>
    <w:rsid w:val="00B71CE0"/>
    <w:rsid w:val="00B7274B"/>
    <w:rsid w:val="00B72872"/>
    <w:rsid w:val="00B73476"/>
    <w:rsid w:val="00B73630"/>
    <w:rsid w:val="00B75646"/>
    <w:rsid w:val="00B75956"/>
    <w:rsid w:val="00B7629E"/>
    <w:rsid w:val="00B778C2"/>
    <w:rsid w:val="00B779FA"/>
    <w:rsid w:val="00B80C3D"/>
    <w:rsid w:val="00B80E8B"/>
    <w:rsid w:val="00B810FD"/>
    <w:rsid w:val="00B811B8"/>
    <w:rsid w:val="00B8382E"/>
    <w:rsid w:val="00B83C5D"/>
    <w:rsid w:val="00B864FE"/>
    <w:rsid w:val="00B90017"/>
    <w:rsid w:val="00B90729"/>
    <w:rsid w:val="00B907DA"/>
    <w:rsid w:val="00B919E5"/>
    <w:rsid w:val="00B9221E"/>
    <w:rsid w:val="00B92982"/>
    <w:rsid w:val="00B94C5E"/>
    <w:rsid w:val="00B950BC"/>
    <w:rsid w:val="00B95D55"/>
    <w:rsid w:val="00B9714C"/>
    <w:rsid w:val="00B97629"/>
    <w:rsid w:val="00BA0AE2"/>
    <w:rsid w:val="00BA1003"/>
    <w:rsid w:val="00BA144D"/>
    <w:rsid w:val="00BA1931"/>
    <w:rsid w:val="00BA1BD2"/>
    <w:rsid w:val="00BA1DFB"/>
    <w:rsid w:val="00BA29AD"/>
    <w:rsid w:val="00BA2B21"/>
    <w:rsid w:val="00BA33CF"/>
    <w:rsid w:val="00BA3B5E"/>
    <w:rsid w:val="00BA3D80"/>
    <w:rsid w:val="00BA3F8D"/>
    <w:rsid w:val="00BA4055"/>
    <w:rsid w:val="00BA5E86"/>
    <w:rsid w:val="00BA774C"/>
    <w:rsid w:val="00BA7DC5"/>
    <w:rsid w:val="00BB0314"/>
    <w:rsid w:val="00BB1AC2"/>
    <w:rsid w:val="00BB2C3F"/>
    <w:rsid w:val="00BB2E81"/>
    <w:rsid w:val="00BB3165"/>
    <w:rsid w:val="00BB37A8"/>
    <w:rsid w:val="00BB393E"/>
    <w:rsid w:val="00BB4465"/>
    <w:rsid w:val="00BB5508"/>
    <w:rsid w:val="00BB6A99"/>
    <w:rsid w:val="00BB78C5"/>
    <w:rsid w:val="00BB7A10"/>
    <w:rsid w:val="00BB7AED"/>
    <w:rsid w:val="00BC02C6"/>
    <w:rsid w:val="00BC13CF"/>
    <w:rsid w:val="00BC14D1"/>
    <w:rsid w:val="00BC26AA"/>
    <w:rsid w:val="00BC293F"/>
    <w:rsid w:val="00BC583D"/>
    <w:rsid w:val="00BC60BE"/>
    <w:rsid w:val="00BC60E1"/>
    <w:rsid w:val="00BC6599"/>
    <w:rsid w:val="00BC715B"/>
    <w:rsid w:val="00BC7468"/>
    <w:rsid w:val="00BC7D4F"/>
    <w:rsid w:val="00BC7ED7"/>
    <w:rsid w:val="00BD0BE9"/>
    <w:rsid w:val="00BD0E7E"/>
    <w:rsid w:val="00BD2850"/>
    <w:rsid w:val="00BD2B38"/>
    <w:rsid w:val="00BD359E"/>
    <w:rsid w:val="00BD47BB"/>
    <w:rsid w:val="00BD5116"/>
    <w:rsid w:val="00BD53F1"/>
    <w:rsid w:val="00BD5A49"/>
    <w:rsid w:val="00BD6B84"/>
    <w:rsid w:val="00BE0DAC"/>
    <w:rsid w:val="00BE171F"/>
    <w:rsid w:val="00BE1E30"/>
    <w:rsid w:val="00BE25A2"/>
    <w:rsid w:val="00BE28D2"/>
    <w:rsid w:val="00BE29BD"/>
    <w:rsid w:val="00BE35C3"/>
    <w:rsid w:val="00BE4380"/>
    <w:rsid w:val="00BE4A64"/>
    <w:rsid w:val="00BE4AF1"/>
    <w:rsid w:val="00BE4E7E"/>
    <w:rsid w:val="00BE5275"/>
    <w:rsid w:val="00BE5E43"/>
    <w:rsid w:val="00BE7EAF"/>
    <w:rsid w:val="00BF0356"/>
    <w:rsid w:val="00BF0608"/>
    <w:rsid w:val="00BF232A"/>
    <w:rsid w:val="00BF275E"/>
    <w:rsid w:val="00BF32F0"/>
    <w:rsid w:val="00BF3391"/>
    <w:rsid w:val="00BF48DC"/>
    <w:rsid w:val="00BF4E6A"/>
    <w:rsid w:val="00BF4F76"/>
    <w:rsid w:val="00BF557D"/>
    <w:rsid w:val="00BF565B"/>
    <w:rsid w:val="00BF60F5"/>
    <w:rsid w:val="00BF658D"/>
    <w:rsid w:val="00BF6D04"/>
    <w:rsid w:val="00BF7596"/>
    <w:rsid w:val="00BF7F58"/>
    <w:rsid w:val="00C01381"/>
    <w:rsid w:val="00C01AB1"/>
    <w:rsid w:val="00C02172"/>
    <w:rsid w:val="00C026A0"/>
    <w:rsid w:val="00C0279F"/>
    <w:rsid w:val="00C0424B"/>
    <w:rsid w:val="00C047B2"/>
    <w:rsid w:val="00C04E3A"/>
    <w:rsid w:val="00C053FF"/>
    <w:rsid w:val="00C06137"/>
    <w:rsid w:val="00C06805"/>
    <w:rsid w:val="00C06929"/>
    <w:rsid w:val="00C06CDF"/>
    <w:rsid w:val="00C071BB"/>
    <w:rsid w:val="00C079B8"/>
    <w:rsid w:val="00C07FBF"/>
    <w:rsid w:val="00C10037"/>
    <w:rsid w:val="00C107EB"/>
    <w:rsid w:val="00C108A1"/>
    <w:rsid w:val="00C115E1"/>
    <w:rsid w:val="00C11BDE"/>
    <w:rsid w:val="00C123EA"/>
    <w:rsid w:val="00C12A49"/>
    <w:rsid w:val="00C12B05"/>
    <w:rsid w:val="00C133EE"/>
    <w:rsid w:val="00C148F4"/>
    <w:rsid w:val="00C149D0"/>
    <w:rsid w:val="00C15D95"/>
    <w:rsid w:val="00C16C8F"/>
    <w:rsid w:val="00C20846"/>
    <w:rsid w:val="00C21343"/>
    <w:rsid w:val="00C21DD7"/>
    <w:rsid w:val="00C22037"/>
    <w:rsid w:val="00C22FB3"/>
    <w:rsid w:val="00C2526B"/>
    <w:rsid w:val="00C25AF8"/>
    <w:rsid w:val="00C262C5"/>
    <w:rsid w:val="00C26588"/>
    <w:rsid w:val="00C27680"/>
    <w:rsid w:val="00C27DE9"/>
    <w:rsid w:val="00C300E9"/>
    <w:rsid w:val="00C3022B"/>
    <w:rsid w:val="00C31420"/>
    <w:rsid w:val="00C3167C"/>
    <w:rsid w:val="00C31744"/>
    <w:rsid w:val="00C31F10"/>
    <w:rsid w:val="00C32989"/>
    <w:rsid w:val="00C33233"/>
    <w:rsid w:val="00C33388"/>
    <w:rsid w:val="00C342C9"/>
    <w:rsid w:val="00C35484"/>
    <w:rsid w:val="00C35D2D"/>
    <w:rsid w:val="00C3674E"/>
    <w:rsid w:val="00C373A7"/>
    <w:rsid w:val="00C375A4"/>
    <w:rsid w:val="00C37A74"/>
    <w:rsid w:val="00C4014E"/>
    <w:rsid w:val="00C4173A"/>
    <w:rsid w:val="00C42590"/>
    <w:rsid w:val="00C427FC"/>
    <w:rsid w:val="00C42B24"/>
    <w:rsid w:val="00C43DF9"/>
    <w:rsid w:val="00C45DBF"/>
    <w:rsid w:val="00C4650F"/>
    <w:rsid w:val="00C47994"/>
    <w:rsid w:val="00C5002F"/>
    <w:rsid w:val="00C50B5B"/>
    <w:rsid w:val="00C50DED"/>
    <w:rsid w:val="00C51979"/>
    <w:rsid w:val="00C52217"/>
    <w:rsid w:val="00C54F8E"/>
    <w:rsid w:val="00C5542A"/>
    <w:rsid w:val="00C55B95"/>
    <w:rsid w:val="00C57F93"/>
    <w:rsid w:val="00C602FF"/>
    <w:rsid w:val="00C60411"/>
    <w:rsid w:val="00C61174"/>
    <w:rsid w:val="00C6148F"/>
    <w:rsid w:val="00C621B1"/>
    <w:rsid w:val="00C62ED4"/>
    <w:rsid w:val="00C62F7A"/>
    <w:rsid w:val="00C63846"/>
    <w:rsid w:val="00C63B9C"/>
    <w:rsid w:val="00C63DD9"/>
    <w:rsid w:val="00C64C6B"/>
    <w:rsid w:val="00C65D23"/>
    <w:rsid w:val="00C65DBC"/>
    <w:rsid w:val="00C664CA"/>
    <w:rsid w:val="00C6682F"/>
    <w:rsid w:val="00C66E1D"/>
    <w:rsid w:val="00C67BF4"/>
    <w:rsid w:val="00C70282"/>
    <w:rsid w:val="00C70729"/>
    <w:rsid w:val="00C715FE"/>
    <w:rsid w:val="00C7275E"/>
    <w:rsid w:val="00C730AE"/>
    <w:rsid w:val="00C731AF"/>
    <w:rsid w:val="00C73CA5"/>
    <w:rsid w:val="00C74C5D"/>
    <w:rsid w:val="00C74EB8"/>
    <w:rsid w:val="00C75B37"/>
    <w:rsid w:val="00C761F3"/>
    <w:rsid w:val="00C773D2"/>
    <w:rsid w:val="00C80900"/>
    <w:rsid w:val="00C80D67"/>
    <w:rsid w:val="00C80F5F"/>
    <w:rsid w:val="00C81675"/>
    <w:rsid w:val="00C81781"/>
    <w:rsid w:val="00C81FAE"/>
    <w:rsid w:val="00C82C91"/>
    <w:rsid w:val="00C83435"/>
    <w:rsid w:val="00C8368A"/>
    <w:rsid w:val="00C83993"/>
    <w:rsid w:val="00C863C4"/>
    <w:rsid w:val="00C86FDB"/>
    <w:rsid w:val="00C8785F"/>
    <w:rsid w:val="00C878B2"/>
    <w:rsid w:val="00C87DB8"/>
    <w:rsid w:val="00C909CB"/>
    <w:rsid w:val="00C90BB7"/>
    <w:rsid w:val="00C90DAB"/>
    <w:rsid w:val="00C91417"/>
    <w:rsid w:val="00C91CAD"/>
    <w:rsid w:val="00C91E8B"/>
    <w:rsid w:val="00C92087"/>
    <w:rsid w:val="00C920EA"/>
    <w:rsid w:val="00C925E6"/>
    <w:rsid w:val="00C92CA6"/>
    <w:rsid w:val="00C93062"/>
    <w:rsid w:val="00C9390D"/>
    <w:rsid w:val="00C93B3F"/>
    <w:rsid w:val="00C93C3E"/>
    <w:rsid w:val="00C93C72"/>
    <w:rsid w:val="00C93D19"/>
    <w:rsid w:val="00C94A75"/>
    <w:rsid w:val="00C957E2"/>
    <w:rsid w:val="00C9594F"/>
    <w:rsid w:val="00C97E2F"/>
    <w:rsid w:val="00CA12E3"/>
    <w:rsid w:val="00CA1476"/>
    <w:rsid w:val="00CA1A5C"/>
    <w:rsid w:val="00CA2BFB"/>
    <w:rsid w:val="00CA320B"/>
    <w:rsid w:val="00CA333B"/>
    <w:rsid w:val="00CA445E"/>
    <w:rsid w:val="00CA50CA"/>
    <w:rsid w:val="00CA594E"/>
    <w:rsid w:val="00CA644C"/>
    <w:rsid w:val="00CA6611"/>
    <w:rsid w:val="00CA6AE6"/>
    <w:rsid w:val="00CA782F"/>
    <w:rsid w:val="00CA7E2C"/>
    <w:rsid w:val="00CB0EF2"/>
    <w:rsid w:val="00CB16CA"/>
    <w:rsid w:val="00CB182B"/>
    <w:rsid w:val="00CB187B"/>
    <w:rsid w:val="00CB1AF0"/>
    <w:rsid w:val="00CB202D"/>
    <w:rsid w:val="00CB2835"/>
    <w:rsid w:val="00CB3285"/>
    <w:rsid w:val="00CB3F4A"/>
    <w:rsid w:val="00CB4169"/>
    <w:rsid w:val="00CB4500"/>
    <w:rsid w:val="00CB5EA8"/>
    <w:rsid w:val="00CB629C"/>
    <w:rsid w:val="00CB7144"/>
    <w:rsid w:val="00CB7B65"/>
    <w:rsid w:val="00CC00CB"/>
    <w:rsid w:val="00CC0112"/>
    <w:rsid w:val="00CC0838"/>
    <w:rsid w:val="00CC0C72"/>
    <w:rsid w:val="00CC20D9"/>
    <w:rsid w:val="00CC2BFD"/>
    <w:rsid w:val="00CC3EB7"/>
    <w:rsid w:val="00CC459D"/>
    <w:rsid w:val="00CC4AC8"/>
    <w:rsid w:val="00CC5471"/>
    <w:rsid w:val="00CC6A6D"/>
    <w:rsid w:val="00CC6F40"/>
    <w:rsid w:val="00CC7522"/>
    <w:rsid w:val="00CC7827"/>
    <w:rsid w:val="00CC7AA4"/>
    <w:rsid w:val="00CD1A35"/>
    <w:rsid w:val="00CD1EC7"/>
    <w:rsid w:val="00CD3476"/>
    <w:rsid w:val="00CD3D93"/>
    <w:rsid w:val="00CD4CA5"/>
    <w:rsid w:val="00CD4F3F"/>
    <w:rsid w:val="00CD5A07"/>
    <w:rsid w:val="00CD5DB4"/>
    <w:rsid w:val="00CD64DF"/>
    <w:rsid w:val="00CD7148"/>
    <w:rsid w:val="00CD7359"/>
    <w:rsid w:val="00CD768F"/>
    <w:rsid w:val="00CE035F"/>
    <w:rsid w:val="00CE1651"/>
    <w:rsid w:val="00CE1ED4"/>
    <w:rsid w:val="00CE225F"/>
    <w:rsid w:val="00CE2324"/>
    <w:rsid w:val="00CE2D18"/>
    <w:rsid w:val="00CE2FBB"/>
    <w:rsid w:val="00CE3769"/>
    <w:rsid w:val="00CE5187"/>
    <w:rsid w:val="00CE5233"/>
    <w:rsid w:val="00CE5CC1"/>
    <w:rsid w:val="00CE63D4"/>
    <w:rsid w:val="00CF08C8"/>
    <w:rsid w:val="00CF0CAA"/>
    <w:rsid w:val="00CF2081"/>
    <w:rsid w:val="00CF230C"/>
    <w:rsid w:val="00CF2B06"/>
    <w:rsid w:val="00CF2C97"/>
    <w:rsid w:val="00CF2F50"/>
    <w:rsid w:val="00CF360C"/>
    <w:rsid w:val="00CF38B8"/>
    <w:rsid w:val="00CF424B"/>
    <w:rsid w:val="00CF4A47"/>
    <w:rsid w:val="00CF4BCA"/>
    <w:rsid w:val="00CF508B"/>
    <w:rsid w:val="00CF5303"/>
    <w:rsid w:val="00CF5E73"/>
    <w:rsid w:val="00CF6198"/>
    <w:rsid w:val="00CF65F7"/>
    <w:rsid w:val="00CF7588"/>
    <w:rsid w:val="00CF7BB8"/>
    <w:rsid w:val="00D02239"/>
    <w:rsid w:val="00D026EA"/>
    <w:rsid w:val="00D02919"/>
    <w:rsid w:val="00D029B5"/>
    <w:rsid w:val="00D02E61"/>
    <w:rsid w:val="00D03E74"/>
    <w:rsid w:val="00D046EA"/>
    <w:rsid w:val="00D04C61"/>
    <w:rsid w:val="00D05B8D"/>
    <w:rsid w:val="00D05B9B"/>
    <w:rsid w:val="00D065A2"/>
    <w:rsid w:val="00D066C6"/>
    <w:rsid w:val="00D067E6"/>
    <w:rsid w:val="00D079AA"/>
    <w:rsid w:val="00D07F00"/>
    <w:rsid w:val="00D11113"/>
    <w:rsid w:val="00D1130F"/>
    <w:rsid w:val="00D1222C"/>
    <w:rsid w:val="00D12B0C"/>
    <w:rsid w:val="00D147D2"/>
    <w:rsid w:val="00D14E90"/>
    <w:rsid w:val="00D15014"/>
    <w:rsid w:val="00D150B7"/>
    <w:rsid w:val="00D1571F"/>
    <w:rsid w:val="00D165B7"/>
    <w:rsid w:val="00D16D3C"/>
    <w:rsid w:val="00D1788E"/>
    <w:rsid w:val="00D17B72"/>
    <w:rsid w:val="00D205FB"/>
    <w:rsid w:val="00D20879"/>
    <w:rsid w:val="00D20D49"/>
    <w:rsid w:val="00D213FE"/>
    <w:rsid w:val="00D2175D"/>
    <w:rsid w:val="00D23566"/>
    <w:rsid w:val="00D23E9C"/>
    <w:rsid w:val="00D240DA"/>
    <w:rsid w:val="00D245B0"/>
    <w:rsid w:val="00D24BDF"/>
    <w:rsid w:val="00D2632B"/>
    <w:rsid w:val="00D274E8"/>
    <w:rsid w:val="00D277DD"/>
    <w:rsid w:val="00D30089"/>
    <w:rsid w:val="00D311C3"/>
    <w:rsid w:val="00D3185C"/>
    <w:rsid w:val="00D3205F"/>
    <w:rsid w:val="00D320AF"/>
    <w:rsid w:val="00D32279"/>
    <w:rsid w:val="00D327F1"/>
    <w:rsid w:val="00D3314A"/>
    <w:rsid w:val="00D3318E"/>
    <w:rsid w:val="00D33B60"/>
    <w:rsid w:val="00D33E72"/>
    <w:rsid w:val="00D33EBD"/>
    <w:rsid w:val="00D345C1"/>
    <w:rsid w:val="00D35BD6"/>
    <w:rsid w:val="00D361B5"/>
    <w:rsid w:val="00D36F0A"/>
    <w:rsid w:val="00D411A2"/>
    <w:rsid w:val="00D417E0"/>
    <w:rsid w:val="00D43D7F"/>
    <w:rsid w:val="00D44E26"/>
    <w:rsid w:val="00D455DA"/>
    <w:rsid w:val="00D4606D"/>
    <w:rsid w:val="00D46970"/>
    <w:rsid w:val="00D46ADB"/>
    <w:rsid w:val="00D475F3"/>
    <w:rsid w:val="00D50B9C"/>
    <w:rsid w:val="00D50D7D"/>
    <w:rsid w:val="00D513AF"/>
    <w:rsid w:val="00D5214B"/>
    <w:rsid w:val="00D52D73"/>
    <w:rsid w:val="00D52E58"/>
    <w:rsid w:val="00D54BF1"/>
    <w:rsid w:val="00D555BD"/>
    <w:rsid w:val="00D55DDB"/>
    <w:rsid w:val="00D55FF8"/>
    <w:rsid w:val="00D561C3"/>
    <w:rsid w:val="00D56B20"/>
    <w:rsid w:val="00D578B3"/>
    <w:rsid w:val="00D6019F"/>
    <w:rsid w:val="00D60529"/>
    <w:rsid w:val="00D607AD"/>
    <w:rsid w:val="00D60E4B"/>
    <w:rsid w:val="00D618F4"/>
    <w:rsid w:val="00D61B51"/>
    <w:rsid w:val="00D628AD"/>
    <w:rsid w:val="00D6304C"/>
    <w:rsid w:val="00D63602"/>
    <w:rsid w:val="00D63636"/>
    <w:rsid w:val="00D636C4"/>
    <w:rsid w:val="00D640AD"/>
    <w:rsid w:val="00D64234"/>
    <w:rsid w:val="00D645DF"/>
    <w:rsid w:val="00D649E1"/>
    <w:rsid w:val="00D6624D"/>
    <w:rsid w:val="00D70B26"/>
    <w:rsid w:val="00D714CC"/>
    <w:rsid w:val="00D71D42"/>
    <w:rsid w:val="00D723CE"/>
    <w:rsid w:val="00D7262D"/>
    <w:rsid w:val="00D73CB1"/>
    <w:rsid w:val="00D7437F"/>
    <w:rsid w:val="00D753F6"/>
    <w:rsid w:val="00D75917"/>
    <w:rsid w:val="00D75EA7"/>
    <w:rsid w:val="00D76C34"/>
    <w:rsid w:val="00D77252"/>
    <w:rsid w:val="00D81ADF"/>
    <w:rsid w:val="00D81F21"/>
    <w:rsid w:val="00D83829"/>
    <w:rsid w:val="00D83D06"/>
    <w:rsid w:val="00D840E7"/>
    <w:rsid w:val="00D84774"/>
    <w:rsid w:val="00D85136"/>
    <w:rsid w:val="00D85529"/>
    <w:rsid w:val="00D864F2"/>
    <w:rsid w:val="00D871E0"/>
    <w:rsid w:val="00D912E6"/>
    <w:rsid w:val="00D92874"/>
    <w:rsid w:val="00D943F8"/>
    <w:rsid w:val="00D94451"/>
    <w:rsid w:val="00D95470"/>
    <w:rsid w:val="00D961F4"/>
    <w:rsid w:val="00D96B55"/>
    <w:rsid w:val="00D97459"/>
    <w:rsid w:val="00DA0096"/>
    <w:rsid w:val="00DA06C2"/>
    <w:rsid w:val="00DA0B3D"/>
    <w:rsid w:val="00DA0EC4"/>
    <w:rsid w:val="00DA2619"/>
    <w:rsid w:val="00DA38B2"/>
    <w:rsid w:val="00DA3F7F"/>
    <w:rsid w:val="00DA4239"/>
    <w:rsid w:val="00DA43FB"/>
    <w:rsid w:val="00DA5185"/>
    <w:rsid w:val="00DA5374"/>
    <w:rsid w:val="00DA583B"/>
    <w:rsid w:val="00DA588C"/>
    <w:rsid w:val="00DA5AC5"/>
    <w:rsid w:val="00DA65DE"/>
    <w:rsid w:val="00DB069F"/>
    <w:rsid w:val="00DB0B61"/>
    <w:rsid w:val="00DB0D3E"/>
    <w:rsid w:val="00DB1192"/>
    <w:rsid w:val="00DB1474"/>
    <w:rsid w:val="00DB223E"/>
    <w:rsid w:val="00DB2962"/>
    <w:rsid w:val="00DB52FB"/>
    <w:rsid w:val="00DB56A3"/>
    <w:rsid w:val="00DB67C4"/>
    <w:rsid w:val="00DB7184"/>
    <w:rsid w:val="00DC00C1"/>
    <w:rsid w:val="00DC013B"/>
    <w:rsid w:val="00DC041D"/>
    <w:rsid w:val="00DC084F"/>
    <w:rsid w:val="00DC090B"/>
    <w:rsid w:val="00DC10A3"/>
    <w:rsid w:val="00DC1679"/>
    <w:rsid w:val="00DC1E50"/>
    <w:rsid w:val="00DC1E86"/>
    <w:rsid w:val="00DC219B"/>
    <w:rsid w:val="00DC2A0D"/>
    <w:rsid w:val="00DC2CF1"/>
    <w:rsid w:val="00DC2DC7"/>
    <w:rsid w:val="00DC3A7C"/>
    <w:rsid w:val="00DC3CB0"/>
    <w:rsid w:val="00DC3CDD"/>
    <w:rsid w:val="00DC3EA1"/>
    <w:rsid w:val="00DC43AA"/>
    <w:rsid w:val="00DC451B"/>
    <w:rsid w:val="00DC4BFD"/>
    <w:rsid w:val="00DC4FCF"/>
    <w:rsid w:val="00DC50E0"/>
    <w:rsid w:val="00DC5364"/>
    <w:rsid w:val="00DC5C37"/>
    <w:rsid w:val="00DC6386"/>
    <w:rsid w:val="00DC66CF"/>
    <w:rsid w:val="00DC6A9D"/>
    <w:rsid w:val="00DC7A0B"/>
    <w:rsid w:val="00DC7EBE"/>
    <w:rsid w:val="00DC7F9B"/>
    <w:rsid w:val="00DD015C"/>
    <w:rsid w:val="00DD1130"/>
    <w:rsid w:val="00DD1951"/>
    <w:rsid w:val="00DD358C"/>
    <w:rsid w:val="00DD487D"/>
    <w:rsid w:val="00DD4ABB"/>
    <w:rsid w:val="00DD4E3F"/>
    <w:rsid w:val="00DD4E83"/>
    <w:rsid w:val="00DD504D"/>
    <w:rsid w:val="00DD5274"/>
    <w:rsid w:val="00DD6628"/>
    <w:rsid w:val="00DD6945"/>
    <w:rsid w:val="00DD69CA"/>
    <w:rsid w:val="00DD71BB"/>
    <w:rsid w:val="00DD7C60"/>
    <w:rsid w:val="00DE1A27"/>
    <w:rsid w:val="00DE1E5C"/>
    <w:rsid w:val="00DE2D04"/>
    <w:rsid w:val="00DE2F9F"/>
    <w:rsid w:val="00DE3214"/>
    <w:rsid w:val="00DE3250"/>
    <w:rsid w:val="00DE3C3B"/>
    <w:rsid w:val="00DE3D8E"/>
    <w:rsid w:val="00DE55B8"/>
    <w:rsid w:val="00DE56B8"/>
    <w:rsid w:val="00DE6028"/>
    <w:rsid w:val="00DE6C85"/>
    <w:rsid w:val="00DE6DCE"/>
    <w:rsid w:val="00DE78A3"/>
    <w:rsid w:val="00DF0481"/>
    <w:rsid w:val="00DF1A71"/>
    <w:rsid w:val="00DF1DE9"/>
    <w:rsid w:val="00DF22F4"/>
    <w:rsid w:val="00DF2421"/>
    <w:rsid w:val="00DF41DD"/>
    <w:rsid w:val="00DF43B5"/>
    <w:rsid w:val="00DF4527"/>
    <w:rsid w:val="00DF4FDD"/>
    <w:rsid w:val="00DF50FC"/>
    <w:rsid w:val="00DF524A"/>
    <w:rsid w:val="00DF5789"/>
    <w:rsid w:val="00DF5A76"/>
    <w:rsid w:val="00DF6034"/>
    <w:rsid w:val="00DF68C7"/>
    <w:rsid w:val="00DF6E3F"/>
    <w:rsid w:val="00DF731A"/>
    <w:rsid w:val="00DF7BED"/>
    <w:rsid w:val="00E00A56"/>
    <w:rsid w:val="00E00CEE"/>
    <w:rsid w:val="00E00D01"/>
    <w:rsid w:val="00E01AB4"/>
    <w:rsid w:val="00E02666"/>
    <w:rsid w:val="00E03CB6"/>
    <w:rsid w:val="00E03E25"/>
    <w:rsid w:val="00E041B4"/>
    <w:rsid w:val="00E04BBB"/>
    <w:rsid w:val="00E05D33"/>
    <w:rsid w:val="00E06049"/>
    <w:rsid w:val="00E06191"/>
    <w:rsid w:val="00E06B75"/>
    <w:rsid w:val="00E07395"/>
    <w:rsid w:val="00E078D7"/>
    <w:rsid w:val="00E07A58"/>
    <w:rsid w:val="00E10788"/>
    <w:rsid w:val="00E11165"/>
    <w:rsid w:val="00E11276"/>
    <w:rsid w:val="00E11332"/>
    <w:rsid w:val="00E11352"/>
    <w:rsid w:val="00E12B43"/>
    <w:rsid w:val="00E12DF6"/>
    <w:rsid w:val="00E14175"/>
    <w:rsid w:val="00E1459D"/>
    <w:rsid w:val="00E1534C"/>
    <w:rsid w:val="00E15BEC"/>
    <w:rsid w:val="00E170DC"/>
    <w:rsid w:val="00E17546"/>
    <w:rsid w:val="00E176AC"/>
    <w:rsid w:val="00E17B28"/>
    <w:rsid w:val="00E202AB"/>
    <w:rsid w:val="00E20E42"/>
    <w:rsid w:val="00E210B5"/>
    <w:rsid w:val="00E21A58"/>
    <w:rsid w:val="00E22EAB"/>
    <w:rsid w:val="00E23EB0"/>
    <w:rsid w:val="00E261B3"/>
    <w:rsid w:val="00E26818"/>
    <w:rsid w:val="00E2685F"/>
    <w:rsid w:val="00E2709E"/>
    <w:rsid w:val="00E271C2"/>
    <w:rsid w:val="00E278AE"/>
    <w:rsid w:val="00E27D2C"/>
    <w:rsid w:val="00E27FFC"/>
    <w:rsid w:val="00E30357"/>
    <w:rsid w:val="00E30B15"/>
    <w:rsid w:val="00E30C9C"/>
    <w:rsid w:val="00E3274D"/>
    <w:rsid w:val="00E33237"/>
    <w:rsid w:val="00E33B0C"/>
    <w:rsid w:val="00E34E75"/>
    <w:rsid w:val="00E351FB"/>
    <w:rsid w:val="00E356DA"/>
    <w:rsid w:val="00E363BA"/>
    <w:rsid w:val="00E36636"/>
    <w:rsid w:val="00E377E6"/>
    <w:rsid w:val="00E40181"/>
    <w:rsid w:val="00E403E7"/>
    <w:rsid w:val="00E41DB7"/>
    <w:rsid w:val="00E4344D"/>
    <w:rsid w:val="00E434A0"/>
    <w:rsid w:val="00E434D0"/>
    <w:rsid w:val="00E43764"/>
    <w:rsid w:val="00E43C36"/>
    <w:rsid w:val="00E46007"/>
    <w:rsid w:val="00E47F5F"/>
    <w:rsid w:val="00E50664"/>
    <w:rsid w:val="00E50ED5"/>
    <w:rsid w:val="00E50FEC"/>
    <w:rsid w:val="00E51328"/>
    <w:rsid w:val="00E54950"/>
    <w:rsid w:val="00E54C63"/>
    <w:rsid w:val="00E55FB3"/>
    <w:rsid w:val="00E55FE0"/>
    <w:rsid w:val="00E56A01"/>
    <w:rsid w:val="00E570A0"/>
    <w:rsid w:val="00E57DF4"/>
    <w:rsid w:val="00E610AC"/>
    <w:rsid w:val="00E61D0A"/>
    <w:rsid w:val="00E629A1"/>
    <w:rsid w:val="00E636D6"/>
    <w:rsid w:val="00E6477B"/>
    <w:rsid w:val="00E65A0A"/>
    <w:rsid w:val="00E65D6B"/>
    <w:rsid w:val="00E66BEC"/>
    <w:rsid w:val="00E675E1"/>
    <w:rsid w:val="00E6794C"/>
    <w:rsid w:val="00E70A89"/>
    <w:rsid w:val="00E70B72"/>
    <w:rsid w:val="00E71591"/>
    <w:rsid w:val="00E71BA6"/>
    <w:rsid w:val="00E71C84"/>
    <w:rsid w:val="00E71CEB"/>
    <w:rsid w:val="00E71D59"/>
    <w:rsid w:val="00E73BFD"/>
    <w:rsid w:val="00E7474F"/>
    <w:rsid w:val="00E756FC"/>
    <w:rsid w:val="00E76782"/>
    <w:rsid w:val="00E77859"/>
    <w:rsid w:val="00E80104"/>
    <w:rsid w:val="00E80410"/>
    <w:rsid w:val="00E8078B"/>
    <w:rsid w:val="00E80A92"/>
    <w:rsid w:val="00E80DE3"/>
    <w:rsid w:val="00E815BF"/>
    <w:rsid w:val="00E82B4B"/>
    <w:rsid w:val="00E82C55"/>
    <w:rsid w:val="00E83EE5"/>
    <w:rsid w:val="00E863FD"/>
    <w:rsid w:val="00E86F69"/>
    <w:rsid w:val="00E877DC"/>
    <w:rsid w:val="00E8787E"/>
    <w:rsid w:val="00E87C02"/>
    <w:rsid w:val="00E87DB6"/>
    <w:rsid w:val="00E9265F"/>
    <w:rsid w:val="00E92AC3"/>
    <w:rsid w:val="00E932A8"/>
    <w:rsid w:val="00E94952"/>
    <w:rsid w:val="00E955A2"/>
    <w:rsid w:val="00E960EE"/>
    <w:rsid w:val="00E96A7E"/>
    <w:rsid w:val="00E96BD8"/>
    <w:rsid w:val="00EA090E"/>
    <w:rsid w:val="00EA09C5"/>
    <w:rsid w:val="00EA0C87"/>
    <w:rsid w:val="00EA2803"/>
    <w:rsid w:val="00EA2ACF"/>
    <w:rsid w:val="00EA2F6A"/>
    <w:rsid w:val="00EA321D"/>
    <w:rsid w:val="00EA41A6"/>
    <w:rsid w:val="00EA48E4"/>
    <w:rsid w:val="00EA6141"/>
    <w:rsid w:val="00EA6FA7"/>
    <w:rsid w:val="00EB00E0"/>
    <w:rsid w:val="00EB05D5"/>
    <w:rsid w:val="00EB0789"/>
    <w:rsid w:val="00EB0818"/>
    <w:rsid w:val="00EB0EC1"/>
    <w:rsid w:val="00EB18E6"/>
    <w:rsid w:val="00EB21BB"/>
    <w:rsid w:val="00EB3039"/>
    <w:rsid w:val="00EB4098"/>
    <w:rsid w:val="00EB4BC7"/>
    <w:rsid w:val="00EB4CFA"/>
    <w:rsid w:val="00EB58B5"/>
    <w:rsid w:val="00EB654E"/>
    <w:rsid w:val="00EB65ED"/>
    <w:rsid w:val="00EC059F"/>
    <w:rsid w:val="00EC1F24"/>
    <w:rsid w:val="00EC22F6"/>
    <w:rsid w:val="00EC25EC"/>
    <w:rsid w:val="00EC286C"/>
    <w:rsid w:val="00EC2BF7"/>
    <w:rsid w:val="00EC3DB9"/>
    <w:rsid w:val="00EC5918"/>
    <w:rsid w:val="00ED0968"/>
    <w:rsid w:val="00ED09DC"/>
    <w:rsid w:val="00ED3FE9"/>
    <w:rsid w:val="00ED41B5"/>
    <w:rsid w:val="00ED4455"/>
    <w:rsid w:val="00ED5B98"/>
    <w:rsid w:val="00ED5B9B"/>
    <w:rsid w:val="00ED6159"/>
    <w:rsid w:val="00ED6898"/>
    <w:rsid w:val="00ED6BAD"/>
    <w:rsid w:val="00ED7447"/>
    <w:rsid w:val="00ED7762"/>
    <w:rsid w:val="00EE00D6"/>
    <w:rsid w:val="00EE1192"/>
    <w:rsid w:val="00EE11E7"/>
    <w:rsid w:val="00EE1488"/>
    <w:rsid w:val="00EE1BBA"/>
    <w:rsid w:val="00EE25C5"/>
    <w:rsid w:val="00EE29AD"/>
    <w:rsid w:val="00EE2E29"/>
    <w:rsid w:val="00EE3717"/>
    <w:rsid w:val="00EE3AC4"/>
    <w:rsid w:val="00EE3B77"/>
    <w:rsid w:val="00EE3E24"/>
    <w:rsid w:val="00EE44B0"/>
    <w:rsid w:val="00EE4C1B"/>
    <w:rsid w:val="00EE4D5D"/>
    <w:rsid w:val="00EE4FAB"/>
    <w:rsid w:val="00EE5131"/>
    <w:rsid w:val="00EE6E14"/>
    <w:rsid w:val="00EE6F2D"/>
    <w:rsid w:val="00EE76C5"/>
    <w:rsid w:val="00EF04CE"/>
    <w:rsid w:val="00EF109B"/>
    <w:rsid w:val="00EF12F4"/>
    <w:rsid w:val="00EF201C"/>
    <w:rsid w:val="00EF2326"/>
    <w:rsid w:val="00EF2C72"/>
    <w:rsid w:val="00EF36AF"/>
    <w:rsid w:val="00EF444F"/>
    <w:rsid w:val="00EF528C"/>
    <w:rsid w:val="00EF59A3"/>
    <w:rsid w:val="00EF6414"/>
    <w:rsid w:val="00EF65F1"/>
    <w:rsid w:val="00EF6675"/>
    <w:rsid w:val="00EF72A9"/>
    <w:rsid w:val="00EF7F00"/>
    <w:rsid w:val="00F0063D"/>
    <w:rsid w:val="00F00A95"/>
    <w:rsid w:val="00F00BF9"/>
    <w:rsid w:val="00F00F9C"/>
    <w:rsid w:val="00F01E5F"/>
    <w:rsid w:val="00F024F3"/>
    <w:rsid w:val="00F02746"/>
    <w:rsid w:val="00F02ABA"/>
    <w:rsid w:val="00F02D9D"/>
    <w:rsid w:val="00F035E6"/>
    <w:rsid w:val="00F03E9B"/>
    <w:rsid w:val="00F0437A"/>
    <w:rsid w:val="00F053A7"/>
    <w:rsid w:val="00F05446"/>
    <w:rsid w:val="00F05BA3"/>
    <w:rsid w:val="00F06236"/>
    <w:rsid w:val="00F0648E"/>
    <w:rsid w:val="00F06A03"/>
    <w:rsid w:val="00F07005"/>
    <w:rsid w:val="00F0732E"/>
    <w:rsid w:val="00F10133"/>
    <w:rsid w:val="00F101B8"/>
    <w:rsid w:val="00F105B6"/>
    <w:rsid w:val="00F11037"/>
    <w:rsid w:val="00F1206D"/>
    <w:rsid w:val="00F12221"/>
    <w:rsid w:val="00F125BE"/>
    <w:rsid w:val="00F12B44"/>
    <w:rsid w:val="00F12EF2"/>
    <w:rsid w:val="00F139A0"/>
    <w:rsid w:val="00F145A9"/>
    <w:rsid w:val="00F15144"/>
    <w:rsid w:val="00F15291"/>
    <w:rsid w:val="00F155E1"/>
    <w:rsid w:val="00F16C9B"/>
    <w:rsid w:val="00F16F1B"/>
    <w:rsid w:val="00F17132"/>
    <w:rsid w:val="00F17150"/>
    <w:rsid w:val="00F171A2"/>
    <w:rsid w:val="00F17779"/>
    <w:rsid w:val="00F177B4"/>
    <w:rsid w:val="00F2024F"/>
    <w:rsid w:val="00F2054A"/>
    <w:rsid w:val="00F20C20"/>
    <w:rsid w:val="00F22A90"/>
    <w:rsid w:val="00F23ADE"/>
    <w:rsid w:val="00F23D17"/>
    <w:rsid w:val="00F24EDF"/>
    <w:rsid w:val="00F250A9"/>
    <w:rsid w:val="00F267AF"/>
    <w:rsid w:val="00F273A5"/>
    <w:rsid w:val="00F2767E"/>
    <w:rsid w:val="00F2789F"/>
    <w:rsid w:val="00F27BD3"/>
    <w:rsid w:val="00F301B0"/>
    <w:rsid w:val="00F30F09"/>
    <w:rsid w:val="00F30FF4"/>
    <w:rsid w:val="00F3122E"/>
    <w:rsid w:val="00F32010"/>
    <w:rsid w:val="00F32368"/>
    <w:rsid w:val="00F32DAF"/>
    <w:rsid w:val="00F331AD"/>
    <w:rsid w:val="00F331E1"/>
    <w:rsid w:val="00F35287"/>
    <w:rsid w:val="00F35452"/>
    <w:rsid w:val="00F36110"/>
    <w:rsid w:val="00F366E9"/>
    <w:rsid w:val="00F37159"/>
    <w:rsid w:val="00F37A71"/>
    <w:rsid w:val="00F37A87"/>
    <w:rsid w:val="00F40A70"/>
    <w:rsid w:val="00F417CD"/>
    <w:rsid w:val="00F4353C"/>
    <w:rsid w:val="00F435E5"/>
    <w:rsid w:val="00F43838"/>
    <w:rsid w:val="00F43A37"/>
    <w:rsid w:val="00F441B8"/>
    <w:rsid w:val="00F44DBA"/>
    <w:rsid w:val="00F452FA"/>
    <w:rsid w:val="00F45551"/>
    <w:rsid w:val="00F45EE4"/>
    <w:rsid w:val="00F4615B"/>
    <w:rsid w:val="00F461EB"/>
    <w:rsid w:val="00F4638F"/>
    <w:rsid w:val="00F4641B"/>
    <w:rsid w:val="00F46BF3"/>
    <w:rsid w:val="00F46EB8"/>
    <w:rsid w:val="00F47774"/>
    <w:rsid w:val="00F50CD1"/>
    <w:rsid w:val="00F511E4"/>
    <w:rsid w:val="00F5238F"/>
    <w:rsid w:val="00F52D09"/>
    <w:rsid w:val="00F52E08"/>
    <w:rsid w:val="00F53021"/>
    <w:rsid w:val="00F53A66"/>
    <w:rsid w:val="00F54200"/>
    <w:rsid w:val="00F54615"/>
    <w:rsid w:val="00F5462D"/>
    <w:rsid w:val="00F5498E"/>
    <w:rsid w:val="00F54ED8"/>
    <w:rsid w:val="00F55B21"/>
    <w:rsid w:val="00F56677"/>
    <w:rsid w:val="00F56EF6"/>
    <w:rsid w:val="00F570A6"/>
    <w:rsid w:val="00F57548"/>
    <w:rsid w:val="00F60082"/>
    <w:rsid w:val="00F61549"/>
    <w:rsid w:val="00F61A9F"/>
    <w:rsid w:val="00F61B5F"/>
    <w:rsid w:val="00F6214A"/>
    <w:rsid w:val="00F62EA7"/>
    <w:rsid w:val="00F64696"/>
    <w:rsid w:val="00F64ACA"/>
    <w:rsid w:val="00F65AA9"/>
    <w:rsid w:val="00F669C7"/>
    <w:rsid w:val="00F66AE8"/>
    <w:rsid w:val="00F6768F"/>
    <w:rsid w:val="00F70047"/>
    <w:rsid w:val="00F70892"/>
    <w:rsid w:val="00F711AA"/>
    <w:rsid w:val="00F72C2C"/>
    <w:rsid w:val="00F73304"/>
    <w:rsid w:val="00F741F2"/>
    <w:rsid w:val="00F74DB9"/>
    <w:rsid w:val="00F75600"/>
    <w:rsid w:val="00F765EE"/>
    <w:rsid w:val="00F76CAB"/>
    <w:rsid w:val="00F772C6"/>
    <w:rsid w:val="00F80C26"/>
    <w:rsid w:val="00F815B5"/>
    <w:rsid w:val="00F8171C"/>
    <w:rsid w:val="00F81A38"/>
    <w:rsid w:val="00F823C3"/>
    <w:rsid w:val="00F827AA"/>
    <w:rsid w:val="00F83B85"/>
    <w:rsid w:val="00F84583"/>
    <w:rsid w:val="00F85195"/>
    <w:rsid w:val="00F85295"/>
    <w:rsid w:val="00F857D4"/>
    <w:rsid w:val="00F85833"/>
    <w:rsid w:val="00F868E3"/>
    <w:rsid w:val="00F904C3"/>
    <w:rsid w:val="00F906ED"/>
    <w:rsid w:val="00F91760"/>
    <w:rsid w:val="00F91C21"/>
    <w:rsid w:val="00F91EE3"/>
    <w:rsid w:val="00F92964"/>
    <w:rsid w:val="00F93875"/>
    <w:rsid w:val="00F938BA"/>
    <w:rsid w:val="00F93FC4"/>
    <w:rsid w:val="00F952A3"/>
    <w:rsid w:val="00F9614F"/>
    <w:rsid w:val="00F969E9"/>
    <w:rsid w:val="00F976B1"/>
    <w:rsid w:val="00F97919"/>
    <w:rsid w:val="00FA0199"/>
    <w:rsid w:val="00FA230B"/>
    <w:rsid w:val="00FA2744"/>
    <w:rsid w:val="00FA2C46"/>
    <w:rsid w:val="00FA3525"/>
    <w:rsid w:val="00FA476F"/>
    <w:rsid w:val="00FA501D"/>
    <w:rsid w:val="00FA5A53"/>
    <w:rsid w:val="00FA5E38"/>
    <w:rsid w:val="00FA659A"/>
    <w:rsid w:val="00FB015D"/>
    <w:rsid w:val="00FB08F6"/>
    <w:rsid w:val="00FB0AD3"/>
    <w:rsid w:val="00FB1F6E"/>
    <w:rsid w:val="00FB2039"/>
    <w:rsid w:val="00FB3D4D"/>
    <w:rsid w:val="00FB438A"/>
    <w:rsid w:val="00FB4769"/>
    <w:rsid w:val="00FB4CDA"/>
    <w:rsid w:val="00FB4D9E"/>
    <w:rsid w:val="00FB6262"/>
    <w:rsid w:val="00FB6481"/>
    <w:rsid w:val="00FB6D36"/>
    <w:rsid w:val="00FB763F"/>
    <w:rsid w:val="00FC0965"/>
    <w:rsid w:val="00FC0DE4"/>
    <w:rsid w:val="00FC0F81"/>
    <w:rsid w:val="00FC19AE"/>
    <w:rsid w:val="00FC1EC0"/>
    <w:rsid w:val="00FC252F"/>
    <w:rsid w:val="00FC2D0F"/>
    <w:rsid w:val="00FC33E4"/>
    <w:rsid w:val="00FC395C"/>
    <w:rsid w:val="00FC3B56"/>
    <w:rsid w:val="00FC3C2C"/>
    <w:rsid w:val="00FC5995"/>
    <w:rsid w:val="00FC5E8E"/>
    <w:rsid w:val="00FC6314"/>
    <w:rsid w:val="00FC7C7C"/>
    <w:rsid w:val="00FD21A6"/>
    <w:rsid w:val="00FD28AD"/>
    <w:rsid w:val="00FD2A64"/>
    <w:rsid w:val="00FD2B53"/>
    <w:rsid w:val="00FD2E7B"/>
    <w:rsid w:val="00FD300F"/>
    <w:rsid w:val="00FD3184"/>
    <w:rsid w:val="00FD3766"/>
    <w:rsid w:val="00FD3D05"/>
    <w:rsid w:val="00FD47C4"/>
    <w:rsid w:val="00FD5DDD"/>
    <w:rsid w:val="00FE0E41"/>
    <w:rsid w:val="00FE2D18"/>
    <w:rsid w:val="00FE2DCF"/>
    <w:rsid w:val="00FE2EE3"/>
    <w:rsid w:val="00FE331E"/>
    <w:rsid w:val="00FE3FA7"/>
    <w:rsid w:val="00FE4081"/>
    <w:rsid w:val="00FE53AF"/>
    <w:rsid w:val="00FE554A"/>
    <w:rsid w:val="00FE62BC"/>
    <w:rsid w:val="00FF0672"/>
    <w:rsid w:val="00FF091E"/>
    <w:rsid w:val="00FF0D91"/>
    <w:rsid w:val="00FF1844"/>
    <w:rsid w:val="00FF21DF"/>
    <w:rsid w:val="00FF22B6"/>
    <w:rsid w:val="00FF2A4E"/>
    <w:rsid w:val="00FF2FCE"/>
    <w:rsid w:val="00FF3570"/>
    <w:rsid w:val="00FF3C4D"/>
    <w:rsid w:val="00FF4864"/>
    <w:rsid w:val="00FF4B25"/>
    <w:rsid w:val="00FF4EDE"/>
    <w:rsid w:val="00FF4F7D"/>
    <w:rsid w:val="00FF546F"/>
    <w:rsid w:val="00FF54D1"/>
    <w:rsid w:val="00FF6D9D"/>
    <w:rsid w:val="00FF7384"/>
    <w:rsid w:val="00FF7422"/>
    <w:rsid w:val="00FF7620"/>
    <w:rsid w:val="00FF77DB"/>
    <w:rsid w:val="00FF7896"/>
    <w:rsid w:val="00FF7DD5"/>
    <w:rsid w:val="0185DD99"/>
    <w:rsid w:val="032696D1"/>
    <w:rsid w:val="037357DF"/>
    <w:rsid w:val="049A56D6"/>
    <w:rsid w:val="0A5AA966"/>
    <w:rsid w:val="0B3F2275"/>
    <w:rsid w:val="0F644670"/>
    <w:rsid w:val="182A1F62"/>
    <w:rsid w:val="212F1AF6"/>
    <w:rsid w:val="21A4E637"/>
    <w:rsid w:val="21B9B7D8"/>
    <w:rsid w:val="226A87FA"/>
    <w:rsid w:val="25555F3C"/>
    <w:rsid w:val="26569D60"/>
    <w:rsid w:val="27E4FD63"/>
    <w:rsid w:val="2AE8BA1A"/>
    <w:rsid w:val="2BBA4BAB"/>
    <w:rsid w:val="2D6D967B"/>
    <w:rsid w:val="317776FF"/>
    <w:rsid w:val="33CAFB2E"/>
    <w:rsid w:val="351CC05E"/>
    <w:rsid w:val="374A42F2"/>
    <w:rsid w:val="3CF2E394"/>
    <w:rsid w:val="3E543C61"/>
    <w:rsid w:val="3F98A4F2"/>
    <w:rsid w:val="410E4DF9"/>
    <w:rsid w:val="4433026E"/>
    <w:rsid w:val="45A9006C"/>
    <w:rsid w:val="45D912D4"/>
    <w:rsid w:val="56D33FF2"/>
    <w:rsid w:val="585D4D95"/>
    <w:rsid w:val="5D3351ED"/>
    <w:rsid w:val="5E604ABA"/>
    <w:rsid w:val="5E659778"/>
    <w:rsid w:val="61869B33"/>
    <w:rsid w:val="623607A9"/>
    <w:rsid w:val="624B168C"/>
    <w:rsid w:val="63D802AA"/>
    <w:rsid w:val="6C966557"/>
    <w:rsid w:val="6EE39AAF"/>
    <w:rsid w:val="72F7ACF8"/>
    <w:rsid w:val="7342C662"/>
    <w:rsid w:val="79F16D6E"/>
    <w:rsid w:val="7E653ADE"/>
    <w:rsid w:val="7FB821D7"/>
    <w:rsid w:val="7FDAC2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8C88B776-121B-416C-8044-D499BE6E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7"/>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7"/>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7"/>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numPr>
        <w:ilvl w:val="3"/>
        <w:numId w:val="7"/>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7"/>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CC459D"/>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C459D"/>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459D"/>
    <w:pPr>
      <w:keepNext/>
      <w:keepLines/>
      <w:numPr>
        <w:ilvl w:val="7"/>
        <w:numId w:val="7"/>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459D"/>
    <w:pPr>
      <w:keepNext/>
      <w:keepLines/>
      <w:numPr>
        <w:ilvl w:val="8"/>
        <w:numId w:val="7"/>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CC459D"/>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CC459D"/>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CC459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C459D"/>
    <w:rPr>
      <w:rFonts w:asciiTheme="majorHAnsi" w:eastAsiaTheme="majorEastAsia" w:hAnsiTheme="majorHAnsi" w:cstheme="majorBidi"/>
      <w:i/>
      <w:iCs/>
      <w:color w:val="272727" w:themeColor="text1" w:themeTint="D8"/>
      <w:sz w:val="21"/>
      <w:szCs w:val="21"/>
      <w:lang w:eastAsia="en-US"/>
    </w:rPr>
  </w:style>
  <w:style w:type="paragraph" w:customStyle="1" w:styleId="DHHSbullet1">
    <w:name w:val="DHHS bullet 1"/>
    <w:basedOn w:val="Normal"/>
    <w:rsid w:val="008115B4"/>
    <w:pPr>
      <w:spacing w:after="40" w:line="270" w:lineRule="atLeast"/>
      <w:ind w:left="284" w:hanging="284"/>
    </w:pPr>
    <w:rPr>
      <w:rFonts w:eastAsia="Times"/>
      <w:sz w:val="20"/>
    </w:rPr>
  </w:style>
  <w:style w:type="paragraph" w:customStyle="1" w:styleId="DHHSnumberloweralpha">
    <w:name w:val="DHHS number lower alpha"/>
    <w:basedOn w:val="Normal"/>
    <w:uiPriority w:val="3"/>
    <w:rsid w:val="008115B4"/>
    <w:pPr>
      <w:numPr>
        <w:ilvl w:val="2"/>
        <w:numId w:val="8"/>
      </w:numPr>
      <w:spacing w:line="270" w:lineRule="atLeast"/>
    </w:pPr>
    <w:rPr>
      <w:rFonts w:eastAsia="Times"/>
      <w:sz w:val="20"/>
    </w:rPr>
  </w:style>
  <w:style w:type="paragraph" w:customStyle="1" w:styleId="DHHSnumberloweralphaindent">
    <w:name w:val="DHHS number lower alpha indent"/>
    <w:basedOn w:val="Normal"/>
    <w:uiPriority w:val="3"/>
    <w:rsid w:val="008115B4"/>
    <w:pPr>
      <w:numPr>
        <w:ilvl w:val="3"/>
        <w:numId w:val="8"/>
      </w:numPr>
      <w:spacing w:line="270" w:lineRule="atLeast"/>
    </w:pPr>
    <w:rPr>
      <w:rFonts w:eastAsia="Times"/>
      <w:sz w:val="20"/>
    </w:rPr>
  </w:style>
  <w:style w:type="paragraph" w:customStyle="1" w:styleId="DHHStabletext">
    <w:name w:val="DHHS table text"/>
    <w:uiPriority w:val="3"/>
    <w:rsid w:val="008115B4"/>
    <w:pPr>
      <w:spacing w:before="80" w:after="60"/>
    </w:pPr>
    <w:rPr>
      <w:rFonts w:ascii="Arial" w:hAnsi="Arial"/>
      <w:lang w:eastAsia="en-US"/>
    </w:rPr>
  </w:style>
  <w:style w:type="paragraph" w:customStyle="1" w:styleId="DHHSbullet2">
    <w:name w:val="DHHS bullet 2"/>
    <w:basedOn w:val="Normal"/>
    <w:uiPriority w:val="2"/>
    <w:rsid w:val="008115B4"/>
    <w:pPr>
      <w:spacing w:after="40" w:line="270" w:lineRule="atLeast"/>
      <w:ind w:left="567" w:hanging="283"/>
    </w:pPr>
    <w:rPr>
      <w:rFonts w:eastAsia="Times"/>
      <w:sz w:val="20"/>
    </w:rPr>
  </w:style>
  <w:style w:type="paragraph" w:customStyle="1" w:styleId="DHHSnumberdigit">
    <w:name w:val="DHHS number digit"/>
    <w:basedOn w:val="Normal"/>
    <w:uiPriority w:val="2"/>
    <w:rsid w:val="008115B4"/>
    <w:pPr>
      <w:numPr>
        <w:numId w:val="8"/>
      </w:numPr>
      <w:spacing w:line="270" w:lineRule="atLeast"/>
    </w:pPr>
    <w:rPr>
      <w:rFonts w:eastAsia="Times"/>
      <w:sz w:val="20"/>
    </w:rPr>
  </w:style>
  <w:style w:type="paragraph" w:customStyle="1" w:styleId="DHHSbullet1lastline">
    <w:name w:val="DHHS bullet 1 last line"/>
    <w:basedOn w:val="DHHSbullet1"/>
    <w:rsid w:val="008115B4"/>
    <w:pPr>
      <w:spacing w:after="120"/>
    </w:pPr>
  </w:style>
  <w:style w:type="paragraph" w:customStyle="1" w:styleId="DHHSbullet2lastline">
    <w:name w:val="DHHS bullet 2 last line"/>
    <w:basedOn w:val="DHHSbullet2"/>
    <w:uiPriority w:val="2"/>
    <w:rsid w:val="008115B4"/>
    <w:pPr>
      <w:spacing w:after="120"/>
    </w:pPr>
  </w:style>
  <w:style w:type="paragraph" w:customStyle="1" w:styleId="DHHStablebullet">
    <w:name w:val="DHHS table bullet"/>
    <w:basedOn w:val="DHHStabletext"/>
    <w:uiPriority w:val="3"/>
    <w:rsid w:val="008115B4"/>
    <w:pPr>
      <w:ind w:left="227" w:hanging="227"/>
    </w:pPr>
  </w:style>
  <w:style w:type="paragraph" w:customStyle="1" w:styleId="DHHSbulletindent">
    <w:name w:val="DHHS bullet indent"/>
    <w:basedOn w:val="Normal"/>
    <w:uiPriority w:val="4"/>
    <w:rsid w:val="008115B4"/>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8115B4"/>
    <w:pPr>
      <w:spacing w:line="270" w:lineRule="atLeast"/>
      <w:ind w:left="680" w:hanging="283"/>
    </w:pPr>
    <w:rPr>
      <w:rFonts w:eastAsia="Times"/>
      <w:sz w:val="20"/>
    </w:rPr>
  </w:style>
  <w:style w:type="numbering" w:customStyle="1" w:styleId="ZZNumbers">
    <w:name w:val="ZZ Numbers"/>
    <w:rsid w:val="008115B4"/>
    <w:pPr>
      <w:numPr>
        <w:numId w:val="8"/>
      </w:numPr>
    </w:pPr>
  </w:style>
  <w:style w:type="paragraph" w:customStyle="1" w:styleId="DHHSnumberlowerroman">
    <w:name w:val="DHHS number lower roman"/>
    <w:basedOn w:val="Normal"/>
    <w:uiPriority w:val="3"/>
    <w:rsid w:val="008115B4"/>
    <w:pPr>
      <w:numPr>
        <w:ilvl w:val="4"/>
        <w:numId w:val="8"/>
      </w:numPr>
      <w:spacing w:line="270" w:lineRule="atLeast"/>
    </w:pPr>
    <w:rPr>
      <w:rFonts w:eastAsia="Times"/>
      <w:sz w:val="20"/>
    </w:rPr>
  </w:style>
  <w:style w:type="paragraph" w:customStyle="1" w:styleId="DHHSnumberlowerromanindent">
    <w:name w:val="DHHS number lower roman indent"/>
    <w:basedOn w:val="Normal"/>
    <w:uiPriority w:val="3"/>
    <w:rsid w:val="008115B4"/>
    <w:pPr>
      <w:numPr>
        <w:ilvl w:val="5"/>
        <w:numId w:val="8"/>
      </w:numPr>
      <w:spacing w:line="270" w:lineRule="atLeast"/>
    </w:pPr>
    <w:rPr>
      <w:rFonts w:eastAsia="Times"/>
      <w:sz w:val="20"/>
    </w:rPr>
  </w:style>
  <w:style w:type="paragraph" w:customStyle="1" w:styleId="DHHSnumberdigitindent">
    <w:name w:val="DHHS number digit indent"/>
    <w:basedOn w:val="DHHSnumberloweralphaindent"/>
    <w:uiPriority w:val="3"/>
    <w:rsid w:val="008115B4"/>
    <w:pPr>
      <w:numPr>
        <w:ilvl w:val="1"/>
      </w:numPr>
    </w:pPr>
  </w:style>
  <w:style w:type="paragraph" w:styleId="ListParagraph">
    <w:name w:val="List Paragraph"/>
    <w:basedOn w:val="Normal"/>
    <w:uiPriority w:val="34"/>
    <w:qFormat/>
    <w:rsid w:val="00E636D6"/>
    <w:pPr>
      <w:ind w:left="720"/>
      <w:contextualSpacing/>
    </w:pPr>
  </w:style>
  <w:style w:type="character" w:styleId="Mention">
    <w:name w:val="Mention"/>
    <w:basedOn w:val="DefaultParagraphFont"/>
    <w:uiPriority w:val="99"/>
    <w:unhideWhenUsed/>
    <w:rsid w:val="004F49A6"/>
    <w:rPr>
      <w:color w:val="2B579A"/>
      <w:shd w:val="clear" w:color="auto" w:fill="E1DFDD"/>
    </w:rPr>
  </w:style>
  <w:style w:type="paragraph" w:styleId="NormalWeb">
    <w:name w:val="Normal (Web)"/>
    <w:basedOn w:val="Normal"/>
    <w:uiPriority w:val="99"/>
    <w:semiHidden/>
    <w:unhideWhenUsed/>
    <w:rsid w:val="004F49A6"/>
    <w:rPr>
      <w:rFonts w:ascii="Times New Roman" w:hAnsi="Times New Roman"/>
      <w:sz w:val="24"/>
      <w:szCs w:val="24"/>
    </w:rPr>
  </w:style>
  <w:style w:type="character" w:customStyle="1" w:styleId="sp-field-label-padding">
    <w:name w:val="sp-field-label-padding"/>
    <w:basedOn w:val="DefaultParagraphFont"/>
    <w:rsid w:val="004F49A6"/>
  </w:style>
  <w:style w:type="character" w:customStyle="1" w:styleId="boolean-control">
    <w:name w:val="boolean-control"/>
    <w:basedOn w:val="DefaultParagraphFont"/>
    <w:rsid w:val="004F49A6"/>
  </w:style>
  <w:style w:type="character" w:customStyle="1" w:styleId="apple-converted-space">
    <w:name w:val="apple-converted-space"/>
    <w:basedOn w:val="DefaultParagraphFont"/>
    <w:rsid w:val="000A2323"/>
  </w:style>
  <w:style w:type="paragraph" w:customStyle="1" w:styleId="my-0">
    <w:name w:val="my-0"/>
    <w:basedOn w:val="Normal"/>
    <w:rsid w:val="0071036A"/>
    <w:pPr>
      <w:spacing w:before="100" w:beforeAutospacing="1" w:after="100" w:afterAutospacing="1" w:line="240" w:lineRule="auto"/>
    </w:pPr>
    <w:rPr>
      <w:rFonts w:ascii="Times New Roman" w:hAnsi="Times New Roman"/>
      <w:sz w:val="24"/>
      <w:szCs w:val="24"/>
      <w:lang w:eastAsia="en-AU"/>
    </w:rPr>
  </w:style>
  <w:style w:type="character" w:styleId="PlaceholderText">
    <w:name w:val="Placeholder Text"/>
    <w:basedOn w:val="DefaultParagraphFont"/>
    <w:uiPriority w:val="99"/>
    <w:unhideWhenUsed/>
    <w:rsid w:val="00240B4D"/>
    <w:rPr>
      <w:color w:val="666666"/>
    </w:rPr>
  </w:style>
  <w:style w:type="character" w:styleId="Emphasis">
    <w:name w:val="Emphasis"/>
    <w:basedOn w:val="DefaultParagraphFont"/>
    <w:uiPriority w:val="20"/>
    <w:qFormat/>
    <w:rsid w:val="005355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369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135415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5403844">
      <w:bodyDiv w:val="1"/>
      <w:marLeft w:val="0"/>
      <w:marRight w:val="0"/>
      <w:marTop w:val="0"/>
      <w:marBottom w:val="0"/>
      <w:divBdr>
        <w:top w:val="none" w:sz="0" w:space="0" w:color="auto"/>
        <w:left w:val="none" w:sz="0" w:space="0" w:color="auto"/>
        <w:bottom w:val="none" w:sz="0" w:space="0" w:color="auto"/>
        <w:right w:val="none" w:sz="0" w:space="0" w:color="auto"/>
      </w:divBdr>
    </w:div>
    <w:div w:id="420949031">
      <w:bodyDiv w:val="1"/>
      <w:marLeft w:val="0"/>
      <w:marRight w:val="0"/>
      <w:marTop w:val="0"/>
      <w:marBottom w:val="0"/>
      <w:divBdr>
        <w:top w:val="none" w:sz="0" w:space="0" w:color="auto"/>
        <w:left w:val="none" w:sz="0" w:space="0" w:color="auto"/>
        <w:bottom w:val="none" w:sz="0" w:space="0" w:color="auto"/>
        <w:right w:val="none" w:sz="0" w:space="0" w:color="auto"/>
      </w:divBdr>
    </w:div>
    <w:div w:id="566451450">
      <w:bodyDiv w:val="1"/>
      <w:marLeft w:val="0"/>
      <w:marRight w:val="0"/>
      <w:marTop w:val="0"/>
      <w:marBottom w:val="0"/>
      <w:divBdr>
        <w:top w:val="none" w:sz="0" w:space="0" w:color="auto"/>
        <w:left w:val="none" w:sz="0" w:space="0" w:color="auto"/>
        <w:bottom w:val="none" w:sz="0" w:space="0" w:color="auto"/>
        <w:right w:val="none" w:sz="0" w:space="0" w:color="auto"/>
      </w:divBdr>
    </w:div>
    <w:div w:id="623971679">
      <w:bodyDiv w:val="1"/>
      <w:marLeft w:val="0"/>
      <w:marRight w:val="0"/>
      <w:marTop w:val="0"/>
      <w:marBottom w:val="0"/>
      <w:divBdr>
        <w:top w:val="none" w:sz="0" w:space="0" w:color="auto"/>
        <w:left w:val="none" w:sz="0" w:space="0" w:color="auto"/>
        <w:bottom w:val="none" w:sz="0" w:space="0" w:color="auto"/>
        <w:right w:val="none" w:sz="0" w:space="0" w:color="auto"/>
      </w:divBdr>
    </w:div>
    <w:div w:id="631448152">
      <w:bodyDiv w:val="1"/>
      <w:marLeft w:val="0"/>
      <w:marRight w:val="0"/>
      <w:marTop w:val="0"/>
      <w:marBottom w:val="0"/>
      <w:divBdr>
        <w:top w:val="none" w:sz="0" w:space="0" w:color="auto"/>
        <w:left w:val="none" w:sz="0" w:space="0" w:color="auto"/>
        <w:bottom w:val="none" w:sz="0" w:space="0" w:color="auto"/>
        <w:right w:val="none" w:sz="0" w:space="0" w:color="auto"/>
      </w:divBdr>
    </w:div>
    <w:div w:id="7389855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6154662">
      <w:bodyDiv w:val="1"/>
      <w:marLeft w:val="0"/>
      <w:marRight w:val="0"/>
      <w:marTop w:val="0"/>
      <w:marBottom w:val="0"/>
      <w:divBdr>
        <w:top w:val="none" w:sz="0" w:space="0" w:color="auto"/>
        <w:left w:val="none" w:sz="0" w:space="0" w:color="auto"/>
        <w:bottom w:val="none" w:sz="0" w:space="0" w:color="auto"/>
        <w:right w:val="none" w:sz="0" w:space="0" w:color="auto"/>
      </w:divBdr>
    </w:div>
    <w:div w:id="1141002271">
      <w:bodyDiv w:val="1"/>
      <w:marLeft w:val="0"/>
      <w:marRight w:val="0"/>
      <w:marTop w:val="0"/>
      <w:marBottom w:val="0"/>
      <w:divBdr>
        <w:top w:val="none" w:sz="0" w:space="0" w:color="auto"/>
        <w:left w:val="none" w:sz="0" w:space="0" w:color="auto"/>
        <w:bottom w:val="none" w:sz="0" w:space="0" w:color="auto"/>
        <w:right w:val="none" w:sz="0" w:space="0" w:color="auto"/>
      </w:divBdr>
      <w:divsChild>
        <w:div w:id="967400136">
          <w:marLeft w:val="-225"/>
          <w:marRight w:val="-225"/>
          <w:marTop w:val="0"/>
          <w:marBottom w:val="0"/>
          <w:divBdr>
            <w:top w:val="none" w:sz="0" w:space="0" w:color="auto"/>
            <w:left w:val="none" w:sz="0" w:space="0" w:color="auto"/>
            <w:bottom w:val="none" w:sz="0" w:space="0" w:color="auto"/>
            <w:right w:val="none" w:sz="0" w:space="0" w:color="auto"/>
          </w:divBdr>
          <w:divsChild>
            <w:div w:id="2112512005">
              <w:marLeft w:val="0"/>
              <w:marRight w:val="0"/>
              <w:marTop w:val="0"/>
              <w:marBottom w:val="0"/>
              <w:divBdr>
                <w:top w:val="none" w:sz="0" w:space="0" w:color="auto"/>
                <w:left w:val="none" w:sz="0" w:space="0" w:color="auto"/>
                <w:bottom w:val="none" w:sz="0" w:space="0" w:color="auto"/>
                <w:right w:val="none" w:sz="0" w:space="0" w:color="auto"/>
              </w:divBdr>
              <w:divsChild>
                <w:div w:id="352727786">
                  <w:marLeft w:val="0"/>
                  <w:marRight w:val="0"/>
                  <w:marTop w:val="0"/>
                  <w:marBottom w:val="0"/>
                  <w:divBdr>
                    <w:top w:val="none" w:sz="0" w:space="0" w:color="auto"/>
                    <w:left w:val="none" w:sz="0" w:space="0" w:color="auto"/>
                    <w:bottom w:val="none" w:sz="0" w:space="0" w:color="auto"/>
                    <w:right w:val="none" w:sz="0" w:space="0" w:color="auto"/>
                  </w:divBdr>
                  <w:divsChild>
                    <w:div w:id="1937638791">
                      <w:marLeft w:val="0"/>
                      <w:marRight w:val="0"/>
                      <w:marTop w:val="0"/>
                      <w:marBottom w:val="0"/>
                      <w:divBdr>
                        <w:top w:val="none" w:sz="0" w:space="0" w:color="auto"/>
                        <w:left w:val="none" w:sz="0" w:space="0" w:color="auto"/>
                        <w:bottom w:val="none" w:sz="0" w:space="0" w:color="auto"/>
                        <w:right w:val="none" w:sz="0" w:space="0" w:color="auto"/>
                      </w:divBdr>
                    </w:div>
                  </w:divsChild>
                </w:div>
                <w:div w:id="427702575">
                  <w:marLeft w:val="0"/>
                  <w:marRight w:val="0"/>
                  <w:marTop w:val="0"/>
                  <w:marBottom w:val="0"/>
                  <w:divBdr>
                    <w:top w:val="none" w:sz="0" w:space="0" w:color="auto"/>
                    <w:left w:val="none" w:sz="0" w:space="0" w:color="auto"/>
                    <w:bottom w:val="none" w:sz="0" w:space="0" w:color="auto"/>
                    <w:right w:val="none" w:sz="0" w:space="0" w:color="auto"/>
                  </w:divBdr>
                  <w:divsChild>
                    <w:div w:id="1486626745">
                      <w:marLeft w:val="0"/>
                      <w:marRight w:val="0"/>
                      <w:marTop w:val="0"/>
                      <w:marBottom w:val="0"/>
                      <w:divBdr>
                        <w:top w:val="none" w:sz="0" w:space="0" w:color="auto"/>
                        <w:left w:val="none" w:sz="0" w:space="0" w:color="auto"/>
                        <w:bottom w:val="none" w:sz="0" w:space="0" w:color="auto"/>
                        <w:right w:val="none" w:sz="0" w:space="0" w:color="auto"/>
                      </w:divBdr>
                    </w:div>
                  </w:divsChild>
                </w:div>
                <w:div w:id="617224667">
                  <w:marLeft w:val="0"/>
                  <w:marRight w:val="0"/>
                  <w:marTop w:val="0"/>
                  <w:marBottom w:val="0"/>
                  <w:divBdr>
                    <w:top w:val="none" w:sz="0" w:space="0" w:color="auto"/>
                    <w:left w:val="none" w:sz="0" w:space="0" w:color="auto"/>
                    <w:bottom w:val="none" w:sz="0" w:space="0" w:color="auto"/>
                    <w:right w:val="none" w:sz="0" w:space="0" w:color="auto"/>
                  </w:divBdr>
                  <w:divsChild>
                    <w:div w:id="229924224">
                      <w:marLeft w:val="0"/>
                      <w:marRight w:val="0"/>
                      <w:marTop w:val="0"/>
                      <w:marBottom w:val="0"/>
                      <w:divBdr>
                        <w:top w:val="none" w:sz="0" w:space="0" w:color="auto"/>
                        <w:left w:val="none" w:sz="0" w:space="0" w:color="auto"/>
                        <w:bottom w:val="none" w:sz="0" w:space="0" w:color="auto"/>
                        <w:right w:val="none" w:sz="0" w:space="0" w:color="auto"/>
                      </w:divBdr>
                    </w:div>
                  </w:divsChild>
                </w:div>
                <w:div w:id="943656037">
                  <w:marLeft w:val="0"/>
                  <w:marRight w:val="0"/>
                  <w:marTop w:val="0"/>
                  <w:marBottom w:val="0"/>
                  <w:divBdr>
                    <w:top w:val="none" w:sz="0" w:space="0" w:color="auto"/>
                    <w:left w:val="none" w:sz="0" w:space="0" w:color="auto"/>
                    <w:bottom w:val="none" w:sz="0" w:space="0" w:color="auto"/>
                    <w:right w:val="none" w:sz="0" w:space="0" w:color="auto"/>
                  </w:divBdr>
                  <w:divsChild>
                    <w:div w:id="44258174">
                      <w:marLeft w:val="0"/>
                      <w:marRight w:val="0"/>
                      <w:marTop w:val="0"/>
                      <w:marBottom w:val="0"/>
                      <w:divBdr>
                        <w:top w:val="none" w:sz="0" w:space="0" w:color="auto"/>
                        <w:left w:val="none" w:sz="0" w:space="0" w:color="auto"/>
                        <w:bottom w:val="none" w:sz="0" w:space="0" w:color="auto"/>
                        <w:right w:val="none" w:sz="0" w:space="0" w:color="auto"/>
                      </w:divBdr>
                    </w:div>
                  </w:divsChild>
                </w:div>
                <w:div w:id="974136793">
                  <w:marLeft w:val="0"/>
                  <w:marRight w:val="0"/>
                  <w:marTop w:val="0"/>
                  <w:marBottom w:val="0"/>
                  <w:divBdr>
                    <w:top w:val="none" w:sz="0" w:space="0" w:color="auto"/>
                    <w:left w:val="none" w:sz="0" w:space="0" w:color="auto"/>
                    <w:bottom w:val="none" w:sz="0" w:space="0" w:color="auto"/>
                    <w:right w:val="none" w:sz="0" w:space="0" w:color="auto"/>
                  </w:divBdr>
                  <w:divsChild>
                    <w:div w:id="1633710423">
                      <w:marLeft w:val="0"/>
                      <w:marRight w:val="0"/>
                      <w:marTop w:val="0"/>
                      <w:marBottom w:val="0"/>
                      <w:divBdr>
                        <w:top w:val="none" w:sz="0" w:space="0" w:color="auto"/>
                        <w:left w:val="none" w:sz="0" w:space="0" w:color="auto"/>
                        <w:bottom w:val="none" w:sz="0" w:space="0" w:color="auto"/>
                        <w:right w:val="none" w:sz="0" w:space="0" w:color="auto"/>
                      </w:divBdr>
                    </w:div>
                  </w:divsChild>
                </w:div>
                <w:div w:id="1031880922">
                  <w:marLeft w:val="0"/>
                  <w:marRight w:val="0"/>
                  <w:marTop w:val="0"/>
                  <w:marBottom w:val="0"/>
                  <w:divBdr>
                    <w:top w:val="none" w:sz="0" w:space="0" w:color="auto"/>
                    <w:left w:val="none" w:sz="0" w:space="0" w:color="auto"/>
                    <w:bottom w:val="none" w:sz="0" w:space="0" w:color="auto"/>
                    <w:right w:val="none" w:sz="0" w:space="0" w:color="auto"/>
                  </w:divBdr>
                  <w:divsChild>
                    <w:div w:id="654186042">
                      <w:marLeft w:val="0"/>
                      <w:marRight w:val="0"/>
                      <w:marTop w:val="0"/>
                      <w:marBottom w:val="0"/>
                      <w:divBdr>
                        <w:top w:val="none" w:sz="0" w:space="0" w:color="auto"/>
                        <w:left w:val="none" w:sz="0" w:space="0" w:color="auto"/>
                        <w:bottom w:val="none" w:sz="0" w:space="0" w:color="auto"/>
                        <w:right w:val="none" w:sz="0" w:space="0" w:color="auto"/>
                      </w:divBdr>
                    </w:div>
                  </w:divsChild>
                </w:div>
                <w:div w:id="1544631094">
                  <w:marLeft w:val="0"/>
                  <w:marRight w:val="0"/>
                  <w:marTop w:val="0"/>
                  <w:marBottom w:val="0"/>
                  <w:divBdr>
                    <w:top w:val="none" w:sz="0" w:space="0" w:color="auto"/>
                    <w:left w:val="none" w:sz="0" w:space="0" w:color="auto"/>
                    <w:bottom w:val="none" w:sz="0" w:space="0" w:color="auto"/>
                    <w:right w:val="none" w:sz="0" w:space="0" w:color="auto"/>
                  </w:divBdr>
                  <w:divsChild>
                    <w:div w:id="466049573">
                      <w:marLeft w:val="0"/>
                      <w:marRight w:val="0"/>
                      <w:marTop w:val="0"/>
                      <w:marBottom w:val="0"/>
                      <w:divBdr>
                        <w:top w:val="none" w:sz="0" w:space="0" w:color="auto"/>
                        <w:left w:val="none" w:sz="0" w:space="0" w:color="auto"/>
                        <w:bottom w:val="none" w:sz="0" w:space="0" w:color="auto"/>
                        <w:right w:val="none" w:sz="0" w:space="0" w:color="auto"/>
                      </w:divBdr>
                    </w:div>
                  </w:divsChild>
                </w:div>
                <w:div w:id="1566136353">
                  <w:marLeft w:val="0"/>
                  <w:marRight w:val="0"/>
                  <w:marTop w:val="0"/>
                  <w:marBottom w:val="0"/>
                  <w:divBdr>
                    <w:top w:val="none" w:sz="0" w:space="0" w:color="auto"/>
                    <w:left w:val="none" w:sz="0" w:space="0" w:color="auto"/>
                    <w:bottom w:val="none" w:sz="0" w:space="0" w:color="auto"/>
                    <w:right w:val="none" w:sz="0" w:space="0" w:color="auto"/>
                  </w:divBdr>
                  <w:divsChild>
                    <w:div w:id="1136949499">
                      <w:marLeft w:val="0"/>
                      <w:marRight w:val="0"/>
                      <w:marTop w:val="0"/>
                      <w:marBottom w:val="0"/>
                      <w:divBdr>
                        <w:top w:val="none" w:sz="0" w:space="0" w:color="auto"/>
                        <w:left w:val="none" w:sz="0" w:space="0" w:color="auto"/>
                        <w:bottom w:val="none" w:sz="0" w:space="0" w:color="auto"/>
                        <w:right w:val="none" w:sz="0" w:space="0" w:color="auto"/>
                      </w:divBdr>
                    </w:div>
                  </w:divsChild>
                </w:div>
                <w:div w:id="1587151726">
                  <w:marLeft w:val="0"/>
                  <w:marRight w:val="0"/>
                  <w:marTop w:val="0"/>
                  <w:marBottom w:val="0"/>
                  <w:divBdr>
                    <w:top w:val="none" w:sz="0" w:space="0" w:color="auto"/>
                    <w:left w:val="none" w:sz="0" w:space="0" w:color="auto"/>
                    <w:bottom w:val="none" w:sz="0" w:space="0" w:color="auto"/>
                    <w:right w:val="none" w:sz="0" w:space="0" w:color="auto"/>
                  </w:divBdr>
                  <w:divsChild>
                    <w:div w:id="315300842">
                      <w:marLeft w:val="0"/>
                      <w:marRight w:val="0"/>
                      <w:marTop w:val="0"/>
                      <w:marBottom w:val="0"/>
                      <w:divBdr>
                        <w:top w:val="none" w:sz="0" w:space="0" w:color="auto"/>
                        <w:left w:val="none" w:sz="0" w:space="0" w:color="auto"/>
                        <w:bottom w:val="none" w:sz="0" w:space="0" w:color="auto"/>
                        <w:right w:val="none" w:sz="0" w:space="0" w:color="auto"/>
                      </w:divBdr>
                    </w:div>
                  </w:divsChild>
                </w:div>
                <w:div w:id="1790201107">
                  <w:marLeft w:val="0"/>
                  <w:marRight w:val="0"/>
                  <w:marTop w:val="0"/>
                  <w:marBottom w:val="0"/>
                  <w:divBdr>
                    <w:top w:val="none" w:sz="0" w:space="0" w:color="auto"/>
                    <w:left w:val="none" w:sz="0" w:space="0" w:color="auto"/>
                    <w:bottom w:val="none" w:sz="0" w:space="0" w:color="auto"/>
                    <w:right w:val="none" w:sz="0" w:space="0" w:color="auto"/>
                  </w:divBdr>
                  <w:divsChild>
                    <w:div w:id="434446785">
                      <w:marLeft w:val="0"/>
                      <w:marRight w:val="0"/>
                      <w:marTop w:val="0"/>
                      <w:marBottom w:val="0"/>
                      <w:divBdr>
                        <w:top w:val="none" w:sz="0" w:space="0" w:color="auto"/>
                        <w:left w:val="none" w:sz="0" w:space="0" w:color="auto"/>
                        <w:bottom w:val="none" w:sz="0" w:space="0" w:color="auto"/>
                        <w:right w:val="none" w:sz="0" w:space="0" w:color="auto"/>
                      </w:divBdr>
                    </w:div>
                  </w:divsChild>
                </w:div>
                <w:div w:id="2036617173">
                  <w:marLeft w:val="0"/>
                  <w:marRight w:val="0"/>
                  <w:marTop w:val="0"/>
                  <w:marBottom w:val="0"/>
                  <w:divBdr>
                    <w:top w:val="none" w:sz="0" w:space="0" w:color="auto"/>
                    <w:left w:val="none" w:sz="0" w:space="0" w:color="auto"/>
                    <w:bottom w:val="none" w:sz="0" w:space="0" w:color="auto"/>
                    <w:right w:val="none" w:sz="0" w:space="0" w:color="auto"/>
                  </w:divBdr>
                  <w:divsChild>
                    <w:div w:id="14147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89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267142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6194247">
      <w:bodyDiv w:val="1"/>
      <w:marLeft w:val="0"/>
      <w:marRight w:val="0"/>
      <w:marTop w:val="0"/>
      <w:marBottom w:val="0"/>
      <w:divBdr>
        <w:top w:val="none" w:sz="0" w:space="0" w:color="auto"/>
        <w:left w:val="none" w:sz="0" w:space="0" w:color="auto"/>
        <w:bottom w:val="none" w:sz="0" w:space="0" w:color="auto"/>
        <w:right w:val="none" w:sz="0" w:space="0" w:color="auto"/>
      </w:divBdr>
    </w:div>
    <w:div w:id="155257350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047708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350035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enquiries@homes.vic.gov.au" TargetMode="External"/><Relationship Id="rId26" Type="http://schemas.openxmlformats.org/officeDocument/2006/relationships/hyperlink" Target="https://providers.dffh.vic.gov.au/tenancy-management-operational-guidelines" TargetMode="External"/><Relationship Id="rId21" Type="http://schemas.openxmlformats.org/officeDocument/2006/relationships/header" Target="header3.xml"/><Relationship Id="rId34" Type="http://schemas.openxmlformats.org/officeDocument/2006/relationships/hyperlink" Target="https://ourservice.support.vic.gov.au/ourservice?id=sc_cat_item&amp;sys_id=5bfb744adb6a2110ddf5bc56f39619b1&amp;sysparm_category=dfeb09fe1bc52110af5d98ef0d4bcb7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ousing.vic.gov.au/contact-a-housing-office" TargetMode="External"/><Relationship Id="rId25" Type="http://schemas.openxmlformats.org/officeDocument/2006/relationships/hyperlink" Target="https://dhhsvicgovau.sharepoint.com/sites/Publichousingresources/SitePages/vacants.aspx" TargetMode="External"/><Relationship Id="rId33" Type="http://schemas.openxmlformats.org/officeDocument/2006/relationships/hyperlink" Target="https://ourservice.support.vic.gov.au/ourservice?id=sc_cat_item&amp;sys_id=edc96f261b2e6510af5d98ef0d4bcbf9" TargetMode="External"/><Relationship Id="rId2" Type="http://schemas.openxmlformats.org/officeDocument/2006/relationships/customXml" Target="../customXml/item2.xml"/><Relationship Id="rId16" Type="http://schemas.openxmlformats.org/officeDocument/2006/relationships/hyperlink" Target="http://www.housing.vic.gov.au" TargetMode="External"/><Relationship Id="rId20" Type="http://schemas.openxmlformats.org/officeDocument/2006/relationships/header" Target="header2.xml"/><Relationship Id="rId29" Type="http://schemas.openxmlformats.org/officeDocument/2006/relationships/hyperlink" Target="https://www.consumer.vic.gov.au/housing/renting/repairs-alterations-safety-and-pets/keeping-the-property-safe/locks-and-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hsvicgovau.sharepoint.com/sites/Publichousingresources/SitePages/vacants.aspx?web=1." TargetMode="External"/><Relationship Id="rId32" Type="http://schemas.openxmlformats.org/officeDocument/2006/relationships/hyperlink" Target="https://ourservice.support.vic.gov.au/ourservice?id=sc_cat_item&amp;sys_id=5bfb744adb6a2110ddf5bc56f39619b1&amp;sysparm_category=dfeb09fe1bc52110af5d98ef0d4bcb79"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heritagecouncil.vic.gov.au/protecting-our-heritage/heritage-protection-process/victorian-heritage-register"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roviders.dffh.vic.gov.au" TargetMode="External"/><Relationship Id="rId31" Type="http://schemas.openxmlformats.org/officeDocument/2006/relationships/hyperlink" Target="https://www.abcb.gov.au/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heritagecouncil.vic.gov.au/protecting-our-heritage/heritage-protection-process/victorian-heritage-register" TargetMode="External"/><Relationship Id="rId30" Type="http://schemas.openxmlformats.org/officeDocument/2006/relationships/hyperlink" Target="https://www.consumer.vic.gov.au/housing/renting/repairs-alterations-safety-and-pets/keeping-the-property-safe/locks-and-security"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47660C07584147A713D67A693B4495"/>
        <w:category>
          <w:name w:val="General"/>
          <w:gallery w:val="placeholder"/>
        </w:category>
        <w:types>
          <w:type w:val="bbPlcHdr"/>
        </w:types>
        <w:behaviors>
          <w:behavior w:val="content"/>
        </w:behaviors>
        <w:guid w:val="{13D607FB-2B37-482A-A8EA-D204CD9784F8}"/>
      </w:docPartPr>
      <w:docPartBody>
        <w:p w:rsidR="007D26EE" w:rsidRDefault="007D26EE" w:rsidP="007D26EE">
          <w:pPr>
            <w:pStyle w:val="0147660C07584147A713D67A693B4495"/>
          </w:pPr>
          <w:r w:rsidRPr="000914CF">
            <w:rPr>
              <w:rStyle w:val="PlaceholderText"/>
            </w:rPr>
            <w:t>Choose an item.</w:t>
          </w:r>
        </w:p>
      </w:docPartBody>
    </w:docPart>
    <w:docPart>
      <w:docPartPr>
        <w:name w:val="DD93823BE1B7430FACD18C4756EF8DEC"/>
        <w:category>
          <w:name w:val="General"/>
          <w:gallery w:val="placeholder"/>
        </w:category>
        <w:types>
          <w:type w:val="bbPlcHdr"/>
        </w:types>
        <w:behaviors>
          <w:behavior w:val="content"/>
        </w:behaviors>
        <w:guid w:val="{A3C50D60-1AC2-412A-85D5-2E10847C160E}"/>
      </w:docPartPr>
      <w:docPartBody>
        <w:p w:rsidR="007D26EE" w:rsidRDefault="007D26EE" w:rsidP="007D26EE">
          <w:pPr>
            <w:pStyle w:val="DD93823BE1B7430FACD18C4756EF8DEC"/>
          </w:pPr>
          <w:r w:rsidRPr="000914C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625EBCF-EED1-4052-8394-257BDA0028A5}"/>
      </w:docPartPr>
      <w:docPartBody>
        <w:p w:rsidR="001F089C" w:rsidRDefault="002100BC">
          <w:r w:rsidRPr="00EE0B3B">
            <w:rPr>
              <w:rStyle w:val="PlaceholderText"/>
            </w:rPr>
            <w:t>Click or tap here to enter text.</w:t>
          </w:r>
        </w:p>
      </w:docPartBody>
    </w:docPart>
    <w:docPart>
      <w:docPartPr>
        <w:name w:val="191F0616271041FFA5B324031B589B7D"/>
        <w:category>
          <w:name w:val="General"/>
          <w:gallery w:val="placeholder"/>
        </w:category>
        <w:types>
          <w:type w:val="bbPlcHdr"/>
        </w:types>
        <w:behaviors>
          <w:behavior w:val="content"/>
        </w:behaviors>
        <w:guid w:val="{8F185183-FBDB-43F0-A7AB-54003468A201}"/>
      </w:docPartPr>
      <w:docPartBody>
        <w:p w:rsidR="001F089C" w:rsidRDefault="002100BC">
          <w:pPr>
            <w:pStyle w:val="191F0616271041FFA5B324031B589B7D"/>
          </w:pPr>
          <w:r w:rsidRPr="00EE0B3B">
            <w:rPr>
              <w:rStyle w:val="PlaceholderText"/>
            </w:rPr>
            <w:t>Click or tap here to enter text.</w:t>
          </w:r>
        </w:p>
      </w:docPartBody>
    </w:docPart>
    <w:docPart>
      <w:docPartPr>
        <w:name w:val="AF2DFBC68ADA464FB5EEF11F459124F4"/>
        <w:category>
          <w:name w:val="General"/>
          <w:gallery w:val="placeholder"/>
        </w:category>
        <w:types>
          <w:type w:val="bbPlcHdr"/>
        </w:types>
        <w:behaviors>
          <w:behavior w:val="content"/>
        </w:behaviors>
        <w:guid w:val="{73C588D1-81CB-4252-B55A-1AA4507B640C}"/>
      </w:docPartPr>
      <w:docPartBody>
        <w:p w:rsidR="001F089C" w:rsidRDefault="002100BC">
          <w:pPr>
            <w:pStyle w:val="AF2DFBC68ADA464FB5EEF11F459124F4"/>
          </w:pPr>
          <w:r w:rsidRPr="00EE0B3B">
            <w:rPr>
              <w:rStyle w:val="PlaceholderText"/>
            </w:rPr>
            <w:t>Click or tap here to enter text.</w:t>
          </w:r>
        </w:p>
      </w:docPartBody>
    </w:docPart>
    <w:docPart>
      <w:docPartPr>
        <w:name w:val="EA0C508761314C3F980461EFF691F482"/>
        <w:category>
          <w:name w:val="General"/>
          <w:gallery w:val="placeholder"/>
        </w:category>
        <w:types>
          <w:type w:val="bbPlcHdr"/>
        </w:types>
        <w:behaviors>
          <w:behavior w:val="content"/>
        </w:behaviors>
        <w:guid w:val="{E94F71E9-5D72-4189-A8A0-2C13551BC458}"/>
      </w:docPartPr>
      <w:docPartBody>
        <w:p w:rsidR="001F089C" w:rsidRDefault="002100BC">
          <w:pPr>
            <w:pStyle w:val="EA0C508761314C3F980461EFF691F482"/>
          </w:pPr>
          <w:r w:rsidRPr="00EE0B3B">
            <w:rPr>
              <w:rStyle w:val="PlaceholderText"/>
            </w:rPr>
            <w:t>Click or tap here to enter text.</w:t>
          </w:r>
        </w:p>
      </w:docPartBody>
    </w:docPart>
    <w:docPart>
      <w:docPartPr>
        <w:name w:val="035649D32EAC460B955430E2927E5C57"/>
        <w:category>
          <w:name w:val="General"/>
          <w:gallery w:val="placeholder"/>
        </w:category>
        <w:types>
          <w:type w:val="bbPlcHdr"/>
        </w:types>
        <w:behaviors>
          <w:behavior w:val="content"/>
        </w:behaviors>
        <w:guid w:val="{4B597A3E-2B3C-496E-998F-03968127F6EA}"/>
      </w:docPartPr>
      <w:docPartBody>
        <w:p w:rsidR="001F089C" w:rsidRDefault="002100BC">
          <w:pPr>
            <w:pStyle w:val="035649D32EAC460B955430E2927E5C57"/>
          </w:pPr>
          <w:r w:rsidRPr="00EE0B3B">
            <w:rPr>
              <w:rStyle w:val="PlaceholderText"/>
            </w:rPr>
            <w:t>Click or tap here to enter text.</w:t>
          </w:r>
        </w:p>
      </w:docPartBody>
    </w:docPart>
    <w:docPart>
      <w:docPartPr>
        <w:name w:val="3DEEDB43A15A4C3FBB4D82F63A2659B9"/>
        <w:category>
          <w:name w:val="General"/>
          <w:gallery w:val="placeholder"/>
        </w:category>
        <w:types>
          <w:type w:val="bbPlcHdr"/>
        </w:types>
        <w:behaviors>
          <w:behavior w:val="content"/>
        </w:behaviors>
        <w:guid w:val="{51642BE2-93D0-4574-80D9-C9FB576EE46D}"/>
      </w:docPartPr>
      <w:docPartBody>
        <w:p w:rsidR="001F089C" w:rsidRDefault="002100BC">
          <w:pPr>
            <w:pStyle w:val="3DEEDB43A15A4C3FBB4D82F63A2659B9"/>
          </w:pPr>
          <w:r w:rsidRPr="00EE0B3B">
            <w:rPr>
              <w:rStyle w:val="PlaceholderText"/>
            </w:rPr>
            <w:t>Click or tap here to enter text.</w:t>
          </w:r>
        </w:p>
      </w:docPartBody>
    </w:docPart>
    <w:docPart>
      <w:docPartPr>
        <w:name w:val="D424AD65F84E4F49869D361054F527DC"/>
        <w:category>
          <w:name w:val="General"/>
          <w:gallery w:val="placeholder"/>
        </w:category>
        <w:types>
          <w:type w:val="bbPlcHdr"/>
        </w:types>
        <w:behaviors>
          <w:behavior w:val="content"/>
        </w:behaviors>
        <w:guid w:val="{95BB5CF8-2E8B-4053-98B9-CFCE11EAF761}"/>
      </w:docPartPr>
      <w:docPartBody>
        <w:p w:rsidR="001F089C" w:rsidRDefault="002100BC">
          <w:pPr>
            <w:pStyle w:val="D424AD65F84E4F49869D361054F527DC"/>
          </w:pPr>
          <w:r w:rsidRPr="00EE0B3B">
            <w:rPr>
              <w:rStyle w:val="PlaceholderText"/>
            </w:rPr>
            <w:t>Click or tap here to enter text.</w:t>
          </w:r>
        </w:p>
      </w:docPartBody>
    </w:docPart>
    <w:docPart>
      <w:docPartPr>
        <w:name w:val="C441C5A134334D5B8CA167BC6C64A5CC"/>
        <w:category>
          <w:name w:val="General"/>
          <w:gallery w:val="placeholder"/>
        </w:category>
        <w:types>
          <w:type w:val="bbPlcHdr"/>
        </w:types>
        <w:behaviors>
          <w:behavior w:val="content"/>
        </w:behaviors>
        <w:guid w:val="{61C7617E-FBB6-4B19-AC90-7D0DA55F97FE}"/>
      </w:docPartPr>
      <w:docPartBody>
        <w:p w:rsidR="001F089C" w:rsidRDefault="002100BC">
          <w:pPr>
            <w:pStyle w:val="C441C5A134334D5B8CA167BC6C64A5CC"/>
          </w:pPr>
          <w:r w:rsidRPr="00EE0B3B">
            <w:rPr>
              <w:rStyle w:val="PlaceholderText"/>
            </w:rPr>
            <w:t>Click or tap here to enter text.</w:t>
          </w:r>
        </w:p>
      </w:docPartBody>
    </w:docPart>
    <w:docPart>
      <w:docPartPr>
        <w:name w:val="2331CF5A2A4248FCA1D48BFF38F4F7B4"/>
        <w:category>
          <w:name w:val="General"/>
          <w:gallery w:val="placeholder"/>
        </w:category>
        <w:types>
          <w:type w:val="bbPlcHdr"/>
        </w:types>
        <w:behaviors>
          <w:behavior w:val="content"/>
        </w:behaviors>
        <w:guid w:val="{74875E26-57D0-4465-98CD-000B2CCFD45F}"/>
      </w:docPartPr>
      <w:docPartBody>
        <w:p w:rsidR="001F089C" w:rsidRDefault="002100BC">
          <w:pPr>
            <w:pStyle w:val="2331CF5A2A4248FCA1D48BFF38F4F7B4"/>
          </w:pPr>
          <w:r w:rsidRPr="00EE0B3B">
            <w:rPr>
              <w:rStyle w:val="PlaceholderText"/>
            </w:rPr>
            <w:t>Click or tap here to enter text.</w:t>
          </w:r>
        </w:p>
      </w:docPartBody>
    </w:docPart>
    <w:docPart>
      <w:docPartPr>
        <w:name w:val="11BF0955C08B4CD789BB1A22172EB8C8"/>
        <w:category>
          <w:name w:val="General"/>
          <w:gallery w:val="placeholder"/>
        </w:category>
        <w:types>
          <w:type w:val="bbPlcHdr"/>
        </w:types>
        <w:behaviors>
          <w:behavior w:val="content"/>
        </w:behaviors>
        <w:guid w:val="{DBC7CD57-94D3-41ED-BF92-4BCC77EA2E61}"/>
      </w:docPartPr>
      <w:docPartBody>
        <w:p w:rsidR="006D6E30" w:rsidRDefault="00AF3C57" w:rsidP="00AF3C57">
          <w:pPr>
            <w:pStyle w:val="11BF0955C08B4CD789BB1A22172EB8C8"/>
          </w:pPr>
          <w:r w:rsidRPr="00EE0B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EE"/>
    <w:rsid w:val="000F5EDB"/>
    <w:rsid w:val="00166BC8"/>
    <w:rsid w:val="001F089C"/>
    <w:rsid w:val="002100BC"/>
    <w:rsid w:val="00246641"/>
    <w:rsid w:val="00260705"/>
    <w:rsid w:val="00514719"/>
    <w:rsid w:val="006D6E30"/>
    <w:rsid w:val="007D26EE"/>
    <w:rsid w:val="008F2C5D"/>
    <w:rsid w:val="008F3B18"/>
    <w:rsid w:val="00AD4A3E"/>
    <w:rsid w:val="00AF3C57"/>
    <w:rsid w:val="00C60C00"/>
    <w:rsid w:val="00C86FDB"/>
    <w:rsid w:val="00CB4467"/>
    <w:rsid w:val="00E845C7"/>
    <w:rsid w:val="00EB654E"/>
    <w:rsid w:val="00F621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F3C57"/>
    <w:rPr>
      <w:color w:val="666666"/>
    </w:rPr>
  </w:style>
  <w:style w:type="paragraph" w:customStyle="1" w:styleId="0147660C07584147A713D67A693B4495">
    <w:name w:val="0147660C07584147A713D67A693B4495"/>
    <w:rsid w:val="007D26EE"/>
  </w:style>
  <w:style w:type="paragraph" w:customStyle="1" w:styleId="DD93823BE1B7430FACD18C4756EF8DEC">
    <w:name w:val="DD93823BE1B7430FACD18C4756EF8DEC"/>
    <w:rsid w:val="007D26EE"/>
  </w:style>
  <w:style w:type="paragraph" w:customStyle="1" w:styleId="191F0616271041FFA5B324031B589B7D">
    <w:name w:val="191F0616271041FFA5B324031B589B7D"/>
  </w:style>
  <w:style w:type="paragraph" w:customStyle="1" w:styleId="AF2DFBC68ADA464FB5EEF11F459124F4">
    <w:name w:val="AF2DFBC68ADA464FB5EEF11F459124F4"/>
  </w:style>
  <w:style w:type="paragraph" w:customStyle="1" w:styleId="EA0C508761314C3F980461EFF691F482">
    <w:name w:val="EA0C508761314C3F980461EFF691F482"/>
  </w:style>
  <w:style w:type="paragraph" w:customStyle="1" w:styleId="035649D32EAC460B955430E2927E5C57">
    <w:name w:val="035649D32EAC460B955430E2927E5C57"/>
  </w:style>
  <w:style w:type="paragraph" w:customStyle="1" w:styleId="3DEEDB43A15A4C3FBB4D82F63A2659B9">
    <w:name w:val="3DEEDB43A15A4C3FBB4D82F63A2659B9"/>
  </w:style>
  <w:style w:type="paragraph" w:customStyle="1" w:styleId="D424AD65F84E4F49869D361054F527DC">
    <w:name w:val="D424AD65F84E4F49869D361054F527DC"/>
  </w:style>
  <w:style w:type="paragraph" w:customStyle="1" w:styleId="C441C5A134334D5B8CA167BC6C64A5CC">
    <w:name w:val="C441C5A134334D5B8CA167BC6C64A5CC"/>
  </w:style>
  <w:style w:type="paragraph" w:customStyle="1" w:styleId="2331CF5A2A4248FCA1D48BFF38F4F7B4">
    <w:name w:val="2331CF5A2A4248FCA1D48BFF38F4F7B4"/>
  </w:style>
  <w:style w:type="paragraph" w:customStyle="1" w:styleId="11BF0955C08B4CD789BB1A22172EB8C8">
    <w:name w:val="11BF0955C08B4CD789BB1A22172EB8C8"/>
    <w:rsid w:val="00AF3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Comments xmlns="05a23c12-eb64-4047-9d50-c4f465f3c0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72943903-088E-4497-AEFE-370926179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7831</Words>
  <Characters>44638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Vacant Unit Maintenance Operational Guideline December 2024</vt:lpstr>
    </vt:vector>
  </TitlesOfParts>
  <Company>Victoria State Government, Department of Families, Fairness and Housing</Company>
  <LinksUpToDate>false</LinksUpToDate>
  <CharactersWithSpaces>52365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Vacant Unit Maintenance Operational Guideline</dc:title>
  <dc:subject>Vacant Unit Maintenance Operational Guideline</dc:subject>
  <dc:creator>Homes Victoria</dc:creator>
  <cp:keywords/>
  <cp:revision>2</cp:revision>
  <cp:lastPrinted>2026-03-04T15:40:00Z</cp:lastPrinted>
  <dcterms:created xsi:type="dcterms:W3CDTF">2026-03-10T23:59:00Z</dcterms:created>
  <dcterms:modified xsi:type="dcterms:W3CDTF">2026-03-10T23:59:00Z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https://dhhsvicgovau.sharepoint.com/:w:/s/dffh/Ec1sUX29ovVNg1yz-k3q1CIBvxIHfUXXZlqlU8WV6A4LBA</vt:lpwstr>
  </property>
  <property fmtid="{D5CDD505-2E9C-101B-9397-08002B2CF9AE}" pid="21" name="Link">
    <vt:lpwstr>https://dhhsvicgovau.sharepoint.com/:w:/s/dffh/Ec1sUX29ovVNg1yz-k3q1CIBvxIHfUXXZlqlU8WV6A4LBA, https://dhhsvicgovau.sharepoint.com/:w:/s/dffh/Ec1sUX29ovVNg1yz-k3q1CIBvxIHfUXXZlqlU8WV6A4LBA</vt:lpwstr>
  </property>
  <property fmtid="{D5CDD505-2E9C-101B-9397-08002B2CF9AE}" pid="22" name="xd_Signature">
    <vt:bool>false</vt:bool>
  </property>
  <property fmtid="{D5CDD505-2E9C-101B-9397-08002B2CF9AE}" pid="23" name="MediaServiceImageTags">
    <vt:lpwstr/>
  </property>
</Properties>
</file>