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F35BFB" w:rsidRDefault="005B4735" w:rsidP="00B40BFD">
      <w:pPr>
        <w:pStyle w:val="Spacerparatopoffirstpage"/>
        <w:spacing w:line="276" w:lineRule="auto"/>
        <w:rPr>
          <w:rFonts w:cs="Arial"/>
          <w:color w:val="B2A1C7" w:themeColor="accent4" w:themeTint="99"/>
        </w:rPr>
      </w:pPr>
      <w:r w:rsidRPr="00F35BFB">
        <w:rPr>
          <w:rFonts w:cs="Arial"/>
          <w:color w:val="B2A1C7" w:themeColor="accent4" w:themeTint="99"/>
          <w:lang w:eastAsia="en-AU"/>
        </w:rPr>
        <w:drawing>
          <wp:anchor distT="0" distB="0" distL="114300" distR="114300" simplePos="0" relativeHeight="251657728" behindDoc="1" locked="1" layoutInCell="0" allowOverlap="1" wp14:anchorId="15D4F6F3" wp14:editId="26128DAA">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B40BFD" w:rsidRDefault="00A62D44" w:rsidP="00B40BFD">
      <w:pPr>
        <w:pStyle w:val="Sectionbreakfirstpage"/>
        <w:spacing w:after="0" w:line="276" w:lineRule="auto"/>
        <w:rPr>
          <w:rFonts w:cs="Arial"/>
          <w:color w:val="B2A1C7" w:themeColor="accent4" w:themeTint="99"/>
        </w:rPr>
        <w:sectPr w:rsidR="00A62D44" w:rsidRPr="00B40BFD"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DE52FD" w:rsidRPr="00B40BFD" w:rsidTr="001C277E">
        <w:trPr>
          <w:trHeight w:val="1247"/>
        </w:trPr>
        <w:tc>
          <w:tcPr>
            <w:tcW w:w="8046" w:type="dxa"/>
            <w:shd w:val="clear" w:color="auto" w:fill="auto"/>
            <w:vAlign w:val="bottom"/>
          </w:tcPr>
          <w:p w:rsidR="00AD784C" w:rsidRPr="00B40BFD" w:rsidRDefault="005B4735" w:rsidP="00B40BFD">
            <w:pPr>
              <w:pStyle w:val="DHHSmainheading"/>
              <w:spacing w:line="276" w:lineRule="auto"/>
              <w:rPr>
                <w:rFonts w:cs="Arial"/>
                <w:color w:val="FFFFFF" w:themeColor="background1"/>
              </w:rPr>
            </w:pPr>
            <w:r w:rsidRPr="00B40BFD">
              <w:rPr>
                <w:rFonts w:cs="Arial"/>
                <w:color w:val="FFFFFF" w:themeColor="background1"/>
              </w:rPr>
              <w:lastRenderedPageBreak/>
              <w:t>Transitioning Aboriginal Children and Young People to ACCOs</w:t>
            </w:r>
          </w:p>
        </w:tc>
      </w:tr>
      <w:tr w:rsidR="00DE52FD" w:rsidRPr="00B40BFD" w:rsidTr="00357B4E">
        <w:trPr>
          <w:trHeight w:hRule="exact" w:val="1162"/>
        </w:trPr>
        <w:tc>
          <w:tcPr>
            <w:tcW w:w="8046" w:type="dxa"/>
            <w:shd w:val="clear" w:color="auto" w:fill="auto"/>
            <w:tcMar>
              <w:top w:w="170" w:type="dxa"/>
              <w:bottom w:w="510" w:type="dxa"/>
            </w:tcMar>
          </w:tcPr>
          <w:p w:rsidR="00357B4E" w:rsidRPr="00B40BFD" w:rsidRDefault="00F821E2" w:rsidP="00B40BFD">
            <w:pPr>
              <w:pStyle w:val="DHHSmainsubheading"/>
              <w:spacing w:line="276" w:lineRule="auto"/>
              <w:rPr>
                <w:rFonts w:cs="Arial"/>
                <w:color w:val="FFFFFF" w:themeColor="background1"/>
                <w:sz w:val="36"/>
                <w:szCs w:val="36"/>
              </w:rPr>
            </w:pPr>
            <w:r>
              <w:rPr>
                <w:rFonts w:cs="Arial"/>
                <w:color w:val="FFFFFF" w:themeColor="background1"/>
                <w:sz w:val="36"/>
                <w:szCs w:val="36"/>
              </w:rPr>
              <w:t>General f</w:t>
            </w:r>
            <w:r w:rsidR="009068E0">
              <w:rPr>
                <w:rFonts w:cs="Arial"/>
                <w:color w:val="FFFFFF" w:themeColor="background1"/>
                <w:sz w:val="36"/>
                <w:szCs w:val="36"/>
              </w:rPr>
              <w:t>actsheet</w:t>
            </w:r>
          </w:p>
        </w:tc>
      </w:tr>
    </w:tbl>
    <w:p w:rsidR="00F873E9" w:rsidRDefault="00645F6A" w:rsidP="00F873E9">
      <w:pPr>
        <w:pStyle w:val="DHHSbody"/>
      </w:pPr>
      <w:bookmarkStart w:id="0" w:name="_Toc440566509"/>
      <w:r w:rsidRPr="0027571E">
        <w:t xml:space="preserve">The Victorian Government, in partnership with Aboriginal Community Controlled Organisations (ACCOs) and non-Aboriginal Community Service Organisations (CSOs) is committed to advancing Aboriginal self-management and self-determination for Aboriginal people in Victoria. </w:t>
      </w:r>
    </w:p>
    <w:p w:rsidR="00F873E9" w:rsidRPr="0027571E" w:rsidRDefault="00F873E9" w:rsidP="00F873E9">
      <w:pPr>
        <w:pStyle w:val="DHHSbody"/>
      </w:pPr>
      <w:r w:rsidRPr="0027571E">
        <w:t>This includes a commitment to gradually transition the care and case management of Aboriginal children from government and non-Aboriginal organisations to ACCOs.</w:t>
      </w:r>
    </w:p>
    <w:p w:rsidR="00B6184D" w:rsidRDefault="00645F6A" w:rsidP="00B6184D">
      <w:pPr>
        <w:pStyle w:val="DHHSbody"/>
      </w:pPr>
      <w:r w:rsidRPr="0027571E">
        <w:t>This change is an important step in achieving self-determination for Aboriginal communities and aims to provide better outcomes for all Aboriginal children and young people in out-of-home care, by engaging culturally safe and connected supports.</w:t>
      </w:r>
      <w:r w:rsidR="00CD6FD1">
        <w:t xml:space="preserve"> </w:t>
      </w:r>
    </w:p>
    <w:p w:rsidR="002724ED" w:rsidRPr="0027571E" w:rsidRDefault="0018770B" w:rsidP="00645F6A">
      <w:pPr>
        <w:pStyle w:val="Heading1"/>
        <w:spacing w:before="240" w:after="0" w:line="276" w:lineRule="auto"/>
        <w:rPr>
          <w:sz w:val="32"/>
        </w:rPr>
      </w:pPr>
      <w:r w:rsidRPr="0027571E">
        <w:rPr>
          <w:sz w:val="32"/>
        </w:rPr>
        <w:t xml:space="preserve">What </w:t>
      </w:r>
      <w:r w:rsidR="005922DD" w:rsidRPr="0027571E">
        <w:rPr>
          <w:sz w:val="32"/>
        </w:rPr>
        <w:t>is the</w:t>
      </w:r>
      <w:r w:rsidR="002A01D8" w:rsidRPr="0027571E">
        <w:rPr>
          <w:sz w:val="32"/>
        </w:rPr>
        <w:t xml:space="preserve"> transition</w:t>
      </w:r>
      <w:r w:rsidR="00AB61AB">
        <w:rPr>
          <w:sz w:val="32"/>
        </w:rPr>
        <w:t xml:space="preserve"> to ACCOs</w:t>
      </w:r>
      <w:r w:rsidR="00166257" w:rsidRPr="0027571E">
        <w:rPr>
          <w:sz w:val="32"/>
        </w:rPr>
        <w:t>?</w:t>
      </w:r>
    </w:p>
    <w:p w:rsidR="00AB61AB" w:rsidRDefault="00AB61AB" w:rsidP="0027571E">
      <w:pPr>
        <w:pStyle w:val="DHHSbody"/>
      </w:pPr>
      <w:r w:rsidRPr="0027571E">
        <w:t>Currently, most</w:t>
      </w:r>
      <w:r>
        <w:t xml:space="preserve"> Aboriginal</w:t>
      </w:r>
      <w:r w:rsidRPr="0027571E">
        <w:t xml:space="preserve"> children and young people </w:t>
      </w:r>
      <w:r>
        <w:t xml:space="preserve">in out-of-home care </w:t>
      </w:r>
      <w:r w:rsidRPr="0027571E">
        <w:t xml:space="preserve">are case managed or cared for by non-Aboriginal </w:t>
      </w:r>
      <w:r w:rsidR="00072E56">
        <w:t>CSOs</w:t>
      </w:r>
      <w:r w:rsidRPr="0027571E">
        <w:t>.</w:t>
      </w:r>
    </w:p>
    <w:p w:rsidR="00645F6A" w:rsidRPr="0027571E" w:rsidRDefault="00645F6A" w:rsidP="0027571E">
      <w:pPr>
        <w:pStyle w:val="DHHSbody"/>
      </w:pPr>
      <w:r w:rsidRPr="0027571E">
        <w:t xml:space="preserve">The Victorian Government, in partnership with ACCOs and CSOs, have agreed that ACCOs should be empowered to take on a greater role in the care and case management of </w:t>
      </w:r>
      <w:r w:rsidR="00AB61AB">
        <w:t>these children</w:t>
      </w:r>
      <w:r w:rsidRPr="0027571E">
        <w:t xml:space="preserve">. </w:t>
      </w:r>
    </w:p>
    <w:p w:rsidR="00AB61AB" w:rsidRDefault="00AB61AB" w:rsidP="00AB61AB">
      <w:pPr>
        <w:pStyle w:val="DHHSbody"/>
      </w:pPr>
      <w:r>
        <w:t>Transferring</w:t>
      </w:r>
      <w:r w:rsidR="00645F6A" w:rsidRPr="0027571E">
        <w:t xml:space="preserve"> responsibility for the case management and care </w:t>
      </w:r>
      <w:r w:rsidR="00CD6FD1">
        <w:t>of Aboriginal children to ACCOs</w:t>
      </w:r>
      <w:r w:rsidR="00645F6A" w:rsidRPr="0027571E">
        <w:t xml:space="preserve"> </w:t>
      </w:r>
      <w:r>
        <w:t xml:space="preserve">will enable the Victorian Government to ensure Aboriginal children and young people, </w:t>
      </w:r>
      <w:r w:rsidRPr="0027571E">
        <w:t>their families and carers</w:t>
      </w:r>
      <w:r>
        <w:t xml:space="preserve"> are receiving </w:t>
      </w:r>
      <w:r w:rsidR="004175A9" w:rsidRPr="0027571E">
        <w:t xml:space="preserve">culturally appropriate supports and </w:t>
      </w:r>
      <w:r>
        <w:t>services.</w:t>
      </w:r>
    </w:p>
    <w:p w:rsidR="002165CB" w:rsidRPr="0027571E" w:rsidRDefault="002165CB" w:rsidP="0018770B">
      <w:pPr>
        <w:pStyle w:val="Heading1"/>
        <w:spacing w:before="240" w:after="0" w:line="276" w:lineRule="auto"/>
        <w:rPr>
          <w:sz w:val="32"/>
        </w:rPr>
      </w:pPr>
      <w:r w:rsidRPr="0027571E">
        <w:rPr>
          <w:sz w:val="32"/>
        </w:rPr>
        <w:t>Who is involved?</w:t>
      </w:r>
    </w:p>
    <w:p w:rsidR="00CC58E1" w:rsidRPr="0027571E" w:rsidRDefault="00645F6A" w:rsidP="0027571E">
      <w:pPr>
        <w:pStyle w:val="DHHSbody"/>
      </w:pPr>
      <w:r w:rsidRPr="0027571E">
        <w:t>The Transitioning Aboriginal Children’s Team has been established within the Department of Health and Human Services (the department) and will work to support the gradual transfer of case management and out-of-home care services for Aboriginal children and young people to ACCOs.</w:t>
      </w:r>
    </w:p>
    <w:p w:rsidR="00B53262" w:rsidRPr="0027571E" w:rsidRDefault="00645F6A" w:rsidP="0027571E">
      <w:pPr>
        <w:pStyle w:val="DHHSbody"/>
      </w:pPr>
      <w:r w:rsidRPr="0027571E">
        <w:t>The team will work closely</w:t>
      </w:r>
      <w:r w:rsidR="00B53262" w:rsidRPr="0027571E">
        <w:t xml:space="preserve"> with</w:t>
      </w:r>
      <w:r w:rsidR="007C1D3D">
        <w:t xml:space="preserve"> the departmental divisions,</w:t>
      </w:r>
      <w:r w:rsidR="00B53262" w:rsidRPr="0027571E">
        <w:t xml:space="preserve"> ACCOs, CSOs and Aboriginal families to ensure a transparent and </w:t>
      </w:r>
      <w:r w:rsidRPr="0027571E">
        <w:t>sustainable state-wide framework is developed and delivered.</w:t>
      </w:r>
      <w:r w:rsidR="006C1E5F" w:rsidRPr="0027571E">
        <w:t xml:space="preserve"> It is the intention of the department that the transition will be managed in accordance with the best interests of </w:t>
      </w:r>
      <w:r w:rsidR="00072E56">
        <w:t>each</w:t>
      </w:r>
      <w:r w:rsidR="00072E56" w:rsidRPr="0027571E">
        <w:t xml:space="preserve"> </w:t>
      </w:r>
      <w:r w:rsidR="006C1E5F" w:rsidRPr="0027571E">
        <w:t>child</w:t>
      </w:r>
      <w:r w:rsidR="000705D9">
        <w:t xml:space="preserve"> and the Aboriginal Child Placement Principle</w:t>
      </w:r>
      <w:r w:rsidR="006C1E5F" w:rsidRPr="0027571E">
        <w:t>.</w:t>
      </w:r>
    </w:p>
    <w:p w:rsidR="00F35BFB" w:rsidRPr="0027571E" w:rsidRDefault="00F35BFB" w:rsidP="0018770B">
      <w:pPr>
        <w:pStyle w:val="Heading1"/>
        <w:spacing w:before="240" w:after="0" w:line="276" w:lineRule="auto"/>
        <w:rPr>
          <w:sz w:val="32"/>
        </w:rPr>
      </w:pPr>
      <w:r w:rsidRPr="0027571E">
        <w:rPr>
          <w:sz w:val="32"/>
        </w:rPr>
        <w:t xml:space="preserve">How </w:t>
      </w:r>
      <w:r w:rsidR="00DB6BDD" w:rsidRPr="0027571E">
        <w:rPr>
          <w:sz w:val="32"/>
        </w:rPr>
        <w:t>is this</w:t>
      </w:r>
      <w:r w:rsidRPr="0027571E">
        <w:rPr>
          <w:sz w:val="32"/>
        </w:rPr>
        <w:t xml:space="preserve"> better for Aboriginal children and young people?</w:t>
      </w:r>
    </w:p>
    <w:p w:rsidR="00006AA3" w:rsidRPr="0027571E" w:rsidRDefault="006C1E5F" w:rsidP="0027571E">
      <w:pPr>
        <w:pStyle w:val="DHHSbody"/>
      </w:pPr>
      <w:r w:rsidRPr="0027571E">
        <w:t>Aboriginal children who are cared for by an ACCO have a greater connection to culture, which can lead</w:t>
      </w:r>
      <w:r w:rsidR="00CD6FD1">
        <w:t xml:space="preserve"> to better health and wellbeing</w:t>
      </w:r>
      <w:r w:rsidR="00CD6FD1">
        <w:rPr>
          <w:vertAlign w:val="superscript"/>
        </w:rPr>
        <w:t xml:space="preserve"> </w:t>
      </w:r>
      <w:r w:rsidR="00CD6FD1">
        <w:t>outcomes</w:t>
      </w:r>
      <w:r w:rsidR="00CD6FD1" w:rsidRPr="007C1D3D">
        <w:rPr>
          <w:vertAlign w:val="superscript"/>
        </w:rPr>
        <w:footnoteReference w:id="1"/>
      </w:r>
      <w:r w:rsidRPr="0027571E">
        <w:t>. Aboriginal children and young people case managed by ACCOs will have the opportunity to thrive in a culturally safe and connected environment.</w:t>
      </w:r>
    </w:p>
    <w:p w:rsidR="003E5D8D" w:rsidRPr="00CD6FD1" w:rsidRDefault="003E5D8D" w:rsidP="00CD6FD1">
      <w:pPr>
        <w:pStyle w:val="DHHSbody"/>
      </w:pPr>
      <w:r w:rsidRPr="0027571E">
        <w:t xml:space="preserve">This work is part of the Victorian Government’s commitment to self-determination for Aboriginal people and aims to reduce the over-representation of Aboriginal children in out-of-home care. </w:t>
      </w:r>
      <w:r w:rsidR="006C1E5F" w:rsidRPr="0027571E">
        <w:t xml:space="preserve">The transition of services is an important </w:t>
      </w:r>
      <w:r w:rsidR="006C1E5F" w:rsidRPr="0027571E">
        <w:lastRenderedPageBreak/>
        <w:t xml:space="preserve">step in achieving </w:t>
      </w:r>
      <w:r w:rsidR="00103CC6" w:rsidRPr="0027571E">
        <w:t>this commitment</w:t>
      </w:r>
      <w:r w:rsidR="006C1E5F" w:rsidRPr="0027571E">
        <w:t xml:space="preserve"> for Aboriginal communities and will</w:t>
      </w:r>
      <w:r w:rsidRPr="0027571E">
        <w:t xml:space="preserve"> </w:t>
      </w:r>
      <w:r w:rsidR="006C1E5F" w:rsidRPr="0027571E">
        <w:t>provide better outcomes for vulnerable Aboriginal children and young people.</w:t>
      </w:r>
      <w:r w:rsidRPr="0027571E">
        <w:t xml:space="preserve"> </w:t>
      </w:r>
    </w:p>
    <w:p w:rsidR="0018770B" w:rsidRPr="0027571E" w:rsidRDefault="005B4735" w:rsidP="0018770B">
      <w:pPr>
        <w:pStyle w:val="Heading1"/>
        <w:spacing w:before="240" w:after="0" w:line="276" w:lineRule="auto"/>
        <w:rPr>
          <w:sz w:val="32"/>
        </w:rPr>
      </w:pPr>
      <w:r w:rsidRPr="0027571E">
        <w:rPr>
          <w:sz w:val="32"/>
        </w:rPr>
        <w:t xml:space="preserve">When will </w:t>
      </w:r>
      <w:r w:rsidR="0070729C" w:rsidRPr="0027571E">
        <w:rPr>
          <w:sz w:val="32"/>
        </w:rPr>
        <w:t xml:space="preserve">this </w:t>
      </w:r>
      <w:r w:rsidRPr="0027571E">
        <w:rPr>
          <w:sz w:val="32"/>
        </w:rPr>
        <w:t>happen?</w:t>
      </w:r>
    </w:p>
    <w:p w:rsidR="000F7F1E" w:rsidRPr="0027571E" w:rsidRDefault="00E67146" w:rsidP="0027571E">
      <w:pPr>
        <w:pStyle w:val="DHHSbody"/>
      </w:pPr>
      <w:r w:rsidRPr="0027571E">
        <w:t xml:space="preserve">The timing of the transition </w:t>
      </w:r>
      <w:r w:rsidR="007C62A3" w:rsidRPr="0027571E">
        <w:t>will</w:t>
      </w:r>
      <w:r w:rsidRPr="0027571E">
        <w:t xml:space="preserve"> </w:t>
      </w:r>
      <w:r w:rsidR="00070EE7" w:rsidRPr="0027571E">
        <w:t>depend on a number of factors including</w:t>
      </w:r>
      <w:r w:rsidR="009068E0" w:rsidRPr="0027571E">
        <w:t xml:space="preserve"> </w:t>
      </w:r>
      <w:r w:rsidRPr="0027571E">
        <w:t>ACCOs</w:t>
      </w:r>
      <w:r w:rsidR="00070EE7" w:rsidRPr="0027571E">
        <w:t xml:space="preserve"> </w:t>
      </w:r>
      <w:r w:rsidR="009068E0" w:rsidRPr="0027571E">
        <w:t xml:space="preserve">aspirations and ability </w:t>
      </w:r>
      <w:r w:rsidRPr="0027571E">
        <w:t>to deliver services</w:t>
      </w:r>
      <w:r w:rsidR="00460402">
        <w:t>,</w:t>
      </w:r>
      <w:r w:rsidRPr="0027571E">
        <w:t xml:space="preserve"> </w:t>
      </w:r>
      <w:r w:rsidR="009068E0" w:rsidRPr="0027571E">
        <w:t>as well as</w:t>
      </w:r>
      <w:r w:rsidRPr="0027571E">
        <w:t xml:space="preserve"> </w:t>
      </w:r>
      <w:r w:rsidR="009068E0" w:rsidRPr="0027571E">
        <w:t>t</w:t>
      </w:r>
      <w:r w:rsidR="00070EE7" w:rsidRPr="0027571E">
        <w:t>he transfer process of funding and resources to ACCOs.</w:t>
      </w:r>
      <w:r w:rsidR="00070EE7" w:rsidRPr="0027571E" w:rsidDel="00070EE7">
        <w:t xml:space="preserve"> </w:t>
      </w:r>
      <w:r w:rsidR="00070EE7" w:rsidRPr="0027571E">
        <w:t xml:space="preserve">The first transitions </w:t>
      </w:r>
      <w:r w:rsidR="009068E0" w:rsidRPr="0027571E">
        <w:t xml:space="preserve">will commence in late </w:t>
      </w:r>
      <w:r w:rsidR="00070EE7" w:rsidRPr="0027571E">
        <w:t>2017</w:t>
      </w:r>
      <w:r w:rsidR="001D5B2D" w:rsidRPr="0027571E">
        <w:t xml:space="preserve">. </w:t>
      </w:r>
    </w:p>
    <w:p w:rsidR="00CC58E1" w:rsidRPr="0027571E" w:rsidRDefault="00CC58E1" w:rsidP="0027571E">
      <w:pPr>
        <w:pStyle w:val="Heading1"/>
        <w:spacing w:before="240" w:after="0" w:line="276" w:lineRule="auto"/>
        <w:rPr>
          <w:sz w:val="32"/>
        </w:rPr>
      </w:pPr>
      <w:r w:rsidRPr="0027571E">
        <w:rPr>
          <w:sz w:val="32"/>
        </w:rPr>
        <w:t>How is this different to Aboriginal Children in Aboriginal Care?</w:t>
      </w:r>
    </w:p>
    <w:p w:rsidR="00A547A4" w:rsidRPr="00F821E2" w:rsidRDefault="001D0E89" w:rsidP="0027571E">
      <w:pPr>
        <w:pStyle w:val="DHHSbody"/>
      </w:pPr>
      <w:r w:rsidRPr="0027571E">
        <w:t xml:space="preserve">The </w:t>
      </w:r>
      <w:r w:rsidR="00103CC6" w:rsidRPr="0027571E">
        <w:t>Aboriginal Children in Aboriginal Care program was developed from Section 18 of the Children, Youth and Families Act 2005</w:t>
      </w:r>
      <w:r w:rsidR="00F821E2">
        <w:t>.</w:t>
      </w:r>
      <w:r w:rsidR="00103CC6" w:rsidRPr="0027571E">
        <w:t xml:space="preserve"> </w:t>
      </w:r>
      <w:r w:rsidR="00F821E2" w:rsidRPr="00F821E2">
        <w:t>Section 18 enables the Secretary of the department to authorise the principal officer of an ACCO to undertake case planning and case management responsibilities.</w:t>
      </w:r>
      <w:r w:rsidR="00F821E2" w:rsidRPr="00A33435">
        <w:t xml:space="preserve"> </w:t>
      </w:r>
      <w:r w:rsidR="00F821E2">
        <w:t>It</w:t>
      </w:r>
      <w:r w:rsidR="00F821E2" w:rsidRPr="0027571E">
        <w:t xml:space="preserve"> </w:t>
      </w:r>
      <w:r w:rsidR="00103CC6" w:rsidRPr="0027571E">
        <w:t xml:space="preserve">gives </w:t>
      </w:r>
      <w:r w:rsidRPr="0027571E">
        <w:t xml:space="preserve">ACCOs </w:t>
      </w:r>
      <w:r w:rsidR="00103CC6" w:rsidRPr="0027571E">
        <w:t xml:space="preserve">an opportunity to </w:t>
      </w:r>
      <w:r w:rsidRPr="0027571E">
        <w:t xml:space="preserve">undertake specified functions and powers </w:t>
      </w:r>
      <w:r w:rsidR="00103CC6" w:rsidRPr="0027571E">
        <w:t xml:space="preserve">for Aboriginal children and young people subject to a Children’s Court protection order. </w:t>
      </w:r>
    </w:p>
    <w:p w:rsidR="005B4735" w:rsidRPr="0027571E" w:rsidRDefault="005B4735" w:rsidP="0018770B">
      <w:pPr>
        <w:pStyle w:val="Heading1"/>
        <w:spacing w:before="240" w:after="0" w:line="276" w:lineRule="auto"/>
        <w:rPr>
          <w:sz w:val="32"/>
        </w:rPr>
      </w:pPr>
      <w:r w:rsidRPr="0027571E">
        <w:rPr>
          <w:sz w:val="32"/>
        </w:rPr>
        <w:t>More inf</w:t>
      </w:r>
      <w:bookmarkStart w:id="1" w:name="_GoBack"/>
      <w:bookmarkEnd w:id="1"/>
      <w:r w:rsidRPr="0027571E">
        <w:rPr>
          <w:sz w:val="32"/>
        </w:rPr>
        <w:t>ormation</w:t>
      </w:r>
    </w:p>
    <w:p w:rsidR="00A724BD" w:rsidRPr="0027571E" w:rsidRDefault="009068E0" w:rsidP="0027571E">
      <w:pPr>
        <w:pStyle w:val="DHHSbody"/>
      </w:pPr>
      <w:r w:rsidRPr="0027571E">
        <w:t>Children</w:t>
      </w:r>
      <w:r w:rsidR="0027571E" w:rsidRPr="0027571E">
        <w:t xml:space="preserve"> and</w:t>
      </w:r>
      <w:r w:rsidRPr="0027571E">
        <w:t xml:space="preserve"> </w:t>
      </w:r>
      <w:r w:rsidR="00A724BD" w:rsidRPr="0027571E">
        <w:t xml:space="preserve">parents are encouraged to find out more information from their child </w:t>
      </w:r>
      <w:r w:rsidR="00072E56">
        <w:t xml:space="preserve">protection </w:t>
      </w:r>
      <w:r w:rsidR="00A724BD" w:rsidRPr="0027571E">
        <w:t xml:space="preserve">practitioner or </w:t>
      </w:r>
      <w:r w:rsidR="00072E56">
        <w:t xml:space="preserve">CSO </w:t>
      </w:r>
      <w:r w:rsidR="00A724BD" w:rsidRPr="0027571E">
        <w:t>contracted case manager</w:t>
      </w:r>
      <w:r w:rsidR="001428F9" w:rsidRPr="0027571E">
        <w:t>.</w:t>
      </w:r>
    </w:p>
    <w:p w:rsidR="009068E0" w:rsidRPr="009068E0" w:rsidRDefault="009068E0" w:rsidP="0027571E">
      <w:pPr>
        <w:pStyle w:val="DHHSbody"/>
      </w:pPr>
      <w:r w:rsidRPr="0027571E">
        <w:t xml:space="preserve">Carers are encouraged to contact their support agency </w:t>
      </w:r>
      <w:r w:rsidR="0027571E" w:rsidRPr="0027571E">
        <w:t>or a</w:t>
      </w:r>
      <w:r>
        <w:t>lternatively the Foster Care Association of Victoria can be contacted on 03 9416 4292 or Kinship Carers Victoria on 03 9372 2422.</w:t>
      </w:r>
    </w:p>
    <w:bookmarkEnd w:id="0"/>
    <w:p w:rsidR="009068E0" w:rsidRPr="005E1035" w:rsidRDefault="009068E0" w:rsidP="009068E0">
      <w:pPr>
        <w:pStyle w:val="DHHSbody"/>
      </w:pPr>
      <w:r w:rsidRPr="005E1035">
        <w:t>CSOs and ACCOs are encouraged to speak with their Local Connection</w:t>
      </w:r>
      <w:r>
        <w:t>s Team</w:t>
      </w:r>
      <w:r w:rsidRPr="005E1035">
        <w:t xml:space="preserve"> or</w:t>
      </w:r>
      <w:r>
        <w:t xml:space="preserve"> contact</w:t>
      </w:r>
      <w:r w:rsidRPr="005E1035">
        <w:t xml:space="preserve"> the </w:t>
      </w:r>
      <w:r>
        <w:t>Transitioning Aboriginal Children’s Team at transitioningaboriginalchildrensteam@dhhs.vic.gov.au.</w:t>
      </w:r>
    </w:p>
    <w:p w:rsidR="002802E3" w:rsidRPr="00F35BFB" w:rsidRDefault="002802E3" w:rsidP="00B40BFD">
      <w:pPr>
        <w:pStyle w:val="DHHSbody"/>
        <w:spacing w:after="0" w:line="276" w:lineRule="auto"/>
        <w:rPr>
          <w:rFonts w:cs="Arial"/>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F35BFB" w:rsidTr="009068E0">
        <w:trPr>
          <w:cantSplit/>
        </w:trPr>
        <w:tc>
          <w:tcPr>
            <w:tcW w:w="5000" w:type="pct"/>
            <w:tcBorders>
              <w:top w:val="single" w:sz="4" w:space="0" w:color="auto"/>
              <w:left w:val="single" w:sz="4" w:space="0" w:color="auto"/>
              <w:bottom w:val="single" w:sz="4" w:space="0" w:color="auto"/>
              <w:right w:val="single" w:sz="4" w:space="0" w:color="auto"/>
            </w:tcBorders>
            <w:vAlign w:val="bottom"/>
          </w:tcPr>
          <w:p w:rsidR="009068E0" w:rsidRPr="008F2388" w:rsidRDefault="009068E0" w:rsidP="009068E0">
            <w:pPr>
              <w:pStyle w:val="DHHSaccessibilitypara"/>
              <w:rPr>
                <w:sz w:val="22"/>
                <w:szCs w:val="22"/>
              </w:rPr>
            </w:pPr>
            <w:r w:rsidRPr="008F2388">
              <w:rPr>
                <w:sz w:val="22"/>
                <w:szCs w:val="22"/>
              </w:rPr>
              <w:t xml:space="preserve">To receive this publication in an accessible format phone 1300 650 172, using the National Relay Service 13 36 77 if required, or email </w:t>
            </w:r>
            <w:r w:rsidRPr="008F2388">
              <w:rPr>
                <w:color w:val="548DD4" w:themeColor="text2" w:themeTint="99"/>
                <w:sz w:val="22"/>
                <w:szCs w:val="22"/>
              </w:rPr>
              <w:t>transitioningaboriginalchildrensteam@dhhs.vic.gov.au</w:t>
            </w:r>
          </w:p>
          <w:p w:rsidR="009068E0" w:rsidRPr="00254F58" w:rsidRDefault="009068E0" w:rsidP="009068E0">
            <w:pPr>
              <w:pStyle w:val="DHHSbody"/>
            </w:pPr>
            <w:r w:rsidRPr="00254F58">
              <w:t>Authorised and published by the Victorian Governmen</w:t>
            </w:r>
            <w:r>
              <w:t>t, 1 Treasury Place, Melbourne.</w:t>
            </w:r>
          </w:p>
          <w:p w:rsidR="009068E0" w:rsidRPr="00254F58" w:rsidRDefault="009068E0" w:rsidP="009068E0">
            <w:pPr>
              <w:pStyle w:val="DHHSbody"/>
            </w:pPr>
            <w:r w:rsidRPr="00254F58">
              <w:t xml:space="preserve">© State of </w:t>
            </w:r>
            <w:r>
              <w:t xml:space="preserve">Victoria, Department of Health </w:t>
            </w:r>
            <w:r w:rsidRPr="001B6631">
              <w:t xml:space="preserve">and Human Services </w:t>
            </w:r>
            <w:r w:rsidR="00F873E9">
              <w:t>July</w:t>
            </w:r>
            <w:r w:rsidR="00F873E9" w:rsidRPr="001B6631">
              <w:t xml:space="preserve"> </w:t>
            </w:r>
            <w:r w:rsidRPr="001B6631">
              <w:t>2017.</w:t>
            </w:r>
          </w:p>
          <w:p w:rsidR="002802E3" w:rsidRPr="00F35BFB" w:rsidRDefault="009068E0" w:rsidP="009068E0">
            <w:pPr>
              <w:pStyle w:val="DHHSbody"/>
              <w:spacing w:after="0" w:line="276" w:lineRule="auto"/>
              <w:rPr>
                <w:rFonts w:cs="Arial"/>
              </w:rPr>
            </w:pPr>
            <w:r w:rsidRPr="00086766">
              <w:t>Where the term ‘Aboriginal’ is used it refers to both Aboriginal and Torres Strait Islander people. Indigenous is retained when it is part of the title of a report, program or quotation.</w:t>
            </w:r>
          </w:p>
        </w:tc>
      </w:tr>
    </w:tbl>
    <w:p w:rsidR="00B2752E" w:rsidRPr="00F35BFB" w:rsidRDefault="00B2752E" w:rsidP="009068E0">
      <w:pPr>
        <w:pStyle w:val="DHHSbody"/>
        <w:spacing w:after="0"/>
        <w:rPr>
          <w:rFonts w:cs="Arial"/>
        </w:rPr>
      </w:pPr>
    </w:p>
    <w:sectPr w:rsidR="00B2752E" w:rsidRPr="00F35BFB" w:rsidSect="00F01E5F">
      <w:headerReference w:type="default" r:id="rId16"/>
      <w:footerReference w:type="default" r:id="rId17"/>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65" w:rsidRDefault="004D2365">
      <w:r>
        <w:separator/>
      </w:r>
    </w:p>
  </w:endnote>
  <w:endnote w:type="continuationSeparator" w:id="0">
    <w:p w:rsidR="004D2365" w:rsidRDefault="004D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D3" w:rsidRDefault="003C3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5B4735" w:rsidP="0051568D">
    <w:pPr>
      <w:pStyle w:val="DHHSfooter"/>
    </w:pPr>
    <w:r>
      <w:rPr>
        <w:noProof/>
        <w:lang w:eastAsia="en-AU"/>
      </w:rPr>
      <w:drawing>
        <wp:anchor distT="0" distB="0" distL="114300" distR="114300" simplePos="0" relativeHeight="251657216" behindDoc="0" locked="1" layoutInCell="0" allowOverlap="1" wp14:anchorId="65039930" wp14:editId="5618BCE6">
          <wp:simplePos x="0" y="0"/>
          <wp:positionH relativeFrom="page">
            <wp:posOffset>0</wp:posOffset>
          </wp:positionH>
          <wp:positionV relativeFrom="page">
            <wp:posOffset>9901555</wp:posOffset>
          </wp:positionV>
          <wp:extent cx="7561580" cy="791210"/>
          <wp:effectExtent l="0" t="0" r="1270" b="889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D3" w:rsidRDefault="003C30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27571E" w:rsidP="0051568D">
    <w:pPr>
      <w:pStyle w:val="DHHSfooter"/>
    </w:pPr>
    <w:r>
      <w:t xml:space="preserve">Factsheet - </w:t>
    </w:r>
    <w:r w:rsidRPr="0027571E">
      <w:t>Transitioning Aboriginal Children and Young People to ACCOs</w:t>
    </w:r>
    <w:r w:rsidR="009D70A4" w:rsidRPr="00A11421">
      <w:tab/>
    </w:r>
    <w:r w:rsidR="009D70A4" w:rsidRPr="00A11421">
      <w:fldChar w:fldCharType="begin"/>
    </w:r>
    <w:r w:rsidR="009D70A4" w:rsidRPr="00A11421">
      <w:instrText xml:space="preserve"> PAGE </w:instrText>
    </w:r>
    <w:r w:rsidR="009D70A4" w:rsidRPr="00A11421">
      <w:fldChar w:fldCharType="separate"/>
    </w:r>
    <w:r w:rsidR="00F46D82">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65" w:rsidRDefault="004D2365" w:rsidP="002862F1">
      <w:pPr>
        <w:spacing w:before="120"/>
      </w:pPr>
      <w:r>
        <w:separator/>
      </w:r>
    </w:p>
  </w:footnote>
  <w:footnote w:type="continuationSeparator" w:id="0">
    <w:p w:rsidR="004D2365" w:rsidRDefault="004D2365">
      <w:r>
        <w:continuationSeparator/>
      </w:r>
    </w:p>
  </w:footnote>
  <w:footnote w:id="1">
    <w:p w:rsidR="00CD6FD1" w:rsidRDefault="00CD6FD1" w:rsidP="00CD6FD1">
      <w:pPr>
        <w:pStyle w:val="FootnoteText"/>
      </w:pPr>
      <w:r>
        <w:rPr>
          <w:rStyle w:val="FootnoteReference"/>
        </w:rPr>
        <w:footnoteRef/>
      </w:r>
      <w:r>
        <w:t xml:space="preserve"> “Always was, always will be Koori children”,</w:t>
      </w:r>
      <w:r w:rsidRPr="009B4248">
        <w:rPr>
          <w:i/>
        </w:rPr>
        <w:t xml:space="preserve"> </w:t>
      </w:r>
      <w:r w:rsidRPr="00337630">
        <w:rPr>
          <w:i/>
        </w:rPr>
        <w:t>Systemic Inquiry into services provided to Aboriginal children and young people in out-of-home-care in Victoria</w:t>
      </w:r>
      <w:r>
        <w:t>, pg. 55-57, October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D3" w:rsidRDefault="003C3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D3" w:rsidRDefault="003C30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D3" w:rsidRDefault="003C30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1961829"/>
    <w:multiLevelType w:val="hybridMultilevel"/>
    <w:tmpl w:val="2ABA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C69C9"/>
    <w:multiLevelType w:val="hybridMultilevel"/>
    <w:tmpl w:val="15361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8D43DB"/>
    <w:multiLevelType w:val="multilevel"/>
    <w:tmpl w:val="4B4E7622"/>
    <w:numStyleLink w:val="ZZNumbers"/>
  </w:abstractNum>
  <w:abstractNum w:abstractNumId="5">
    <w:nsid w:val="25B96C8B"/>
    <w:multiLevelType w:val="hybridMultilevel"/>
    <w:tmpl w:val="B0B0D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4868E9"/>
    <w:multiLevelType w:val="hybridMultilevel"/>
    <w:tmpl w:val="21AC2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457425"/>
    <w:multiLevelType w:val="hybridMultilevel"/>
    <w:tmpl w:val="2238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7D534D"/>
    <w:multiLevelType w:val="hybridMultilevel"/>
    <w:tmpl w:val="EBDC1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nsid w:val="3D1A5085"/>
    <w:multiLevelType w:val="hybridMultilevel"/>
    <w:tmpl w:val="11A06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EB81E94"/>
    <w:multiLevelType w:val="hybridMultilevel"/>
    <w:tmpl w:val="6834F5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5E6876B8"/>
    <w:multiLevelType w:val="hybridMultilevel"/>
    <w:tmpl w:val="85A46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8C17F4F"/>
    <w:multiLevelType w:val="hybridMultilevel"/>
    <w:tmpl w:val="9F10B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D40703"/>
    <w:multiLevelType w:val="hybridMultilevel"/>
    <w:tmpl w:val="4E660F6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7EFD79DC"/>
    <w:multiLevelType w:val="hybridMultilevel"/>
    <w:tmpl w:val="91445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16"/>
  </w:num>
  <w:num w:numId="10">
    <w:abstractNumId w:val="15"/>
  </w:num>
  <w:num w:numId="11">
    <w:abstractNumId w:val="2"/>
  </w:num>
  <w:num w:numId="12">
    <w:abstractNumId w:val="8"/>
  </w:num>
  <w:num w:numId="13">
    <w:abstractNumId w:val="14"/>
  </w:num>
  <w:num w:numId="14">
    <w:abstractNumId w:val="7"/>
  </w:num>
  <w:num w:numId="15">
    <w:abstractNumId w:val="13"/>
  </w:num>
  <w:num w:numId="16">
    <w:abstractNumId w:val="3"/>
  </w:num>
  <w:num w:numId="17">
    <w:abstractNumId w:val="5"/>
  </w:num>
  <w:num w:numId="18">
    <w:abstractNumId w:val="6"/>
  </w:num>
  <w:num w:numId="19">
    <w:abstractNumId w:val="10"/>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trackRevisions/>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35"/>
    <w:rsid w:val="00006AA3"/>
    <w:rsid w:val="000072B6"/>
    <w:rsid w:val="0001021B"/>
    <w:rsid w:val="00011D89"/>
    <w:rsid w:val="00024D89"/>
    <w:rsid w:val="000250B6"/>
    <w:rsid w:val="00033D81"/>
    <w:rsid w:val="00037CB4"/>
    <w:rsid w:val="000419E3"/>
    <w:rsid w:val="00041BF0"/>
    <w:rsid w:val="0004536B"/>
    <w:rsid w:val="00046B68"/>
    <w:rsid w:val="000527DD"/>
    <w:rsid w:val="000578B2"/>
    <w:rsid w:val="00060959"/>
    <w:rsid w:val="000663CD"/>
    <w:rsid w:val="000705D9"/>
    <w:rsid w:val="00070EE7"/>
    <w:rsid w:val="00072E56"/>
    <w:rsid w:val="000733FE"/>
    <w:rsid w:val="00074219"/>
    <w:rsid w:val="00074ED5"/>
    <w:rsid w:val="0009113B"/>
    <w:rsid w:val="00094DA3"/>
    <w:rsid w:val="00096CD1"/>
    <w:rsid w:val="000A012C"/>
    <w:rsid w:val="000A0EB9"/>
    <w:rsid w:val="000A186C"/>
    <w:rsid w:val="000B2FC0"/>
    <w:rsid w:val="000B543D"/>
    <w:rsid w:val="000B5BF7"/>
    <w:rsid w:val="000B6BC8"/>
    <w:rsid w:val="000C42EA"/>
    <w:rsid w:val="000C4546"/>
    <w:rsid w:val="000D1242"/>
    <w:rsid w:val="000E1113"/>
    <w:rsid w:val="000E3CC7"/>
    <w:rsid w:val="000E53EF"/>
    <w:rsid w:val="000E6BD4"/>
    <w:rsid w:val="000F1F1E"/>
    <w:rsid w:val="000F2259"/>
    <w:rsid w:val="000F45C0"/>
    <w:rsid w:val="000F7F1E"/>
    <w:rsid w:val="0010392D"/>
    <w:rsid w:val="00103CC6"/>
    <w:rsid w:val="0010447F"/>
    <w:rsid w:val="00104FE3"/>
    <w:rsid w:val="00120918"/>
    <w:rsid w:val="00120BD3"/>
    <w:rsid w:val="00122FEA"/>
    <w:rsid w:val="001232BD"/>
    <w:rsid w:val="00124ED5"/>
    <w:rsid w:val="00130488"/>
    <w:rsid w:val="001428F9"/>
    <w:rsid w:val="001447B3"/>
    <w:rsid w:val="00152073"/>
    <w:rsid w:val="0015595A"/>
    <w:rsid w:val="00161939"/>
    <w:rsid w:val="00161AA0"/>
    <w:rsid w:val="00162093"/>
    <w:rsid w:val="00166257"/>
    <w:rsid w:val="001771DD"/>
    <w:rsid w:val="00177995"/>
    <w:rsid w:val="00177A8C"/>
    <w:rsid w:val="00186B33"/>
    <w:rsid w:val="0018770B"/>
    <w:rsid w:val="00192F9D"/>
    <w:rsid w:val="00194E31"/>
    <w:rsid w:val="00195AA3"/>
    <w:rsid w:val="00196EB8"/>
    <w:rsid w:val="00196EFB"/>
    <w:rsid w:val="001979FF"/>
    <w:rsid w:val="00197B17"/>
    <w:rsid w:val="001A3ACE"/>
    <w:rsid w:val="001C277E"/>
    <w:rsid w:val="001C2A72"/>
    <w:rsid w:val="001D0B75"/>
    <w:rsid w:val="001D0E89"/>
    <w:rsid w:val="001D3C09"/>
    <w:rsid w:val="001D44E8"/>
    <w:rsid w:val="001D5B2D"/>
    <w:rsid w:val="001D60EC"/>
    <w:rsid w:val="001E1812"/>
    <w:rsid w:val="001E44DF"/>
    <w:rsid w:val="001E68A5"/>
    <w:rsid w:val="001E6BB0"/>
    <w:rsid w:val="001F3826"/>
    <w:rsid w:val="001F6E46"/>
    <w:rsid w:val="001F7C91"/>
    <w:rsid w:val="00206463"/>
    <w:rsid w:val="00206F2F"/>
    <w:rsid w:val="0021053D"/>
    <w:rsid w:val="00210A92"/>
    <w:rsid w:val="002165CB"/>
    <w:rsid w:val="00216C03"/>
    <w:rsid w:val="00220C04"/>
    <w:rsid w:val="0022278D"/>
    <w:rsid w:val="00223979"/>
    <w:rsid w:val="00226522"/>
    <w:rsid w:val="0022701F"/>
    <w:rsid w:val="002333F5"/>
    <w:rsid w:val="00233724"/>
    <w:rsid w:val="00241FF1"/>
    <w:rsid w:val="002432E1"/>
    <w:rsid w:val="00246207"/>
    <w:rsid w:val="00246C5E"/>
    <w:rsid w:val="00251343"/>
    <w:rsid w:val="00254F58"/>
    <w:rsid w:val="0025530D"/>
    <w:rsid w:val="002620BC"/>
    <w:rsid w:val="00262802"/>
    <w:rsid w:val="00263A90"/>
    <w:rsid w:val="0026408B"/>
    <w:rsid w:val="00267C3E"/>
    <w:rsid w:val="002709BB"/>
    <w:rsid w:val="002724ED"/>
    <w:rsid w:val="0027571E"/>
    <w:rsid w:val="002763B3"/>
    <w:rsid w:val="002802E3"/>
    <w:rsid w:val="002810DA"/>
    <w:rsid w:val="0028213D"/>
    <w:rsid w:val="002862F1"/>
    <w:rsid w:val="00291373"/>
    <w:rsid w:val="0029597D"/>
    <w:rsid w:val="002962C3"/>
    <w:rsid w:val="0029752B"/>
    <w:rsid w:val="002A01D8"/>
    <w:rsid w:val="002A483C"/>
    <w:rsid w:val="002A5F1F"/>
    <w:rsid w:val="002B1729"/>
    <w:rsid w:val="002B36C7"/>
    <w:rsid w:val="002B4DD4"/>
    <w:rsid w:val="002B5277"/>
    <w:rsid w:val="002B5375"/>
    <w:rsid w:val="002B77C1"/>
    <w:rsid w:val="002C2728"/>
    <w:rsid w:val="002D5006"/>
    <w:rsid w:val="002E01D0"/>
    <w:rsid w:val="002E161D"/>
    <w:rsid w:val="002E3100"/>
    <w:rsid w:val="002E6C95"/>
    <w:rsid w:val="002E7C36"/>
    <w:rsid w:val="002F1414"/>
    <w:rsid w:val="002F5F31"/>
    <w:rsid w:val="002F5F46"/>
    <w:rsid w:val="00302216"/>
    <w:rsid w:val="00303E53"/>
    <w:rsid w:val="00306E5F"/>
    <w:rsid w:val="00307608"/>
    <w:rsid w:val="00307E14"/>
    <w:rsid w:val="00314054"/>
    <w:rsid w:val="00316F27"/>
    <w:rsid w:val="00327870"/>
    <w:rsid w:val="0033259D"/>
    <w:rsid w:val="00332FE6"/>
    <w:rsid w:val="003406C6"/>
    <w:rsid w:val="003418CC"/>
    <w:rsid w:val="003459BD"/>
    <w:rsid w:val="00350D38"/>
    <w:rsid w:val="00351B36"/>
    <w:rsid w:val="00355153"/>
    <w:rsid w:val="00357B4E"/>
    <w:rsid w:val="003718D6"/>
    <w:rsid w:val="003744CF"/>
    <w:rsid w:val="00374717"/>
    <w:rsid w:val="00375CCD"/>
    <w:rsid w:val="0037676C"/>
    <w:rsid w:val="003829E5"/>
    <w:rsid w:val="00390EF8"/>
    <w:rsid w:val="003956CC"/>
    <w:rsid w:val="00395C9A"/>
    <w:rsid w:val="003A6B67"/>
    <w:rsid w:val="003B15E6"/>
    <w:rsid w:val="003B1D11"/>
    <w:rsid w:val="003C2045"/>
    <w:rsid w:val="003C30D3"/>
    <w:rsid w:val="003C43A1"/>
    <w:rsid w:val="003C4FC0"/>
    <w:rsid w:val="003C55F4"/>
    <w:rsid w:val="003C7A3F"/>
    <w:rsid w:val="003D2766"/>
    <w:rsid w:val="003D3E8F"/>
    <w:rsid w:val="003D6475"/>
    <w:rsid w:val="003D758D"/>
    <w:rsid w:val="003E5D8D"/>
    <w:rsid w:val="003F0445"/>
    <w:rsid w:val="003F0CF0"/>
    <w:rsid w:val="003F14B1"/>
    <w:rsid w:val="003F3289"/>
    <w:rsid w:val="00401FCF"/>
    <w:rsid w:val="00406285"/>
    <w:rsid w:val="004148F9"/>
    <w:rsid w:val="004175A9"/>
    <w:rsid w:val="0042084E"/>
    <w:rsid w:val="00421752"/>
    <w:rsid w:val="00421EEF"/>
    <w:rsid w:val="00424D65"/>
    <w:rsid w:val="00442C6C"/>
    <w:rsid w:val="00443CBE"/>
    <w:rsid w:val="00443E8A"/>
    <w:rsid w:val="004441BC"/>
    <w:rsid w:val="00444A2F"/>
    <w:rsid w:val="004468B4"/>
    <w:rsid w:val="0045230A"/>
    <w:rsid w:val="00457337"/>
    <w:rsid w:val="00460402"/>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45EF"/>
    <w:rsid w:val="004C6EEE"/>
    <w:rsid w:val="004C702B"/>
    <w:rsid w:val="004D016B"/>
    <w:rsid w:val="004D1B22"/>
    <w:rsid w:val="004D2365"/>
    <w:rsid w:val="004D36F2"/>
    <w:rsid w:val="004E138F"/>
    <w:rsid w:val="004E4649"/>
    <w:rsid w:val="004E5C2B"/>
    <w:rsid w:val="004F00DD"/>
    <w:rsid w:val="004F2133"/>
    <w:rsid w:val="004F55F1"/>
    <w:rsid w:val="004F6936"/>
    <w:rsid w:val="00503DC6"/>
    <w:rsid w:val="00506F5D"/>
    <w:rsid w:val="005126D0"/>
    <w:rsid w:val="0051568D"/>
    <w:rsid w:val="00522ECA"/>
    <w:rsid w:val="00526C15"/>
    <w:rsid w:val="00536499"/>
    <w:rsid w:val="00543903"/>
    <w:rsid w:val="00543F11"/>
    <w:rsid w:val="00547A95"/>
    <w:rsid w:val="00572031"/>
    <w:rsid w:val="00576E84"/>
    <w:rsid w:val="0057703E"/>
    <w:rsid w:val="00577877"/>
    <w:rsid w:val="00582B8C"/>
    <w:rsid w:val="0058757E"/>
    <w:rsid w:val="005922DD"/>
    <w:rsid w:val="00596A4B"/>
    <w:rsid w:val="00597507"/>
    <w:rsid w:val="005B21B6"/>
    <w:rsid w:val="005B3A08"/>
    <w:rsid w:val="005B4735"/>
    <w:rsid w:val="005B7A63"/>
    <w:rsid w:val="005C0955"/>
    <w:rsid w:val="005C49DA"/>
    <w:rsid w:val="005C50F3"/>
    <w:rsid w:val="005C5D91"/>
    <w:rsid w:val="005D07B8"/>
    <w:rsid w:val="005D6597"/>
    <w:rsid w:val="005D7909"/>
    <w:rsid w:val="005E14E7"/>
    <w:rsid w:val="005E26A3"/>
    <w:rsid w:val="005E447E"/>
    <w:rsid w:val="005E44BC"/>
    <w:rsid w:val="005E7AFC"/>
    <w:rsid w:val="005F0775"/>
    <w:rsid w:val="005F0CF5"/>
    <w:rsid w:val="005F21EB"/>
    <w:rsid w:val="00605908"/>
    <w:rsid w:val="00610D7C"/>
    <w:rsid w:val="00613414"/>
    <w:rsid w:val="0062408D"/>
    <w:rsid w:val="006240CC"/>
    <w:rsid w:val="00627DA7"/>
    <w:rsid w:val="006358B4"/>
    <w:rsid w:val="006419AA"/>
    <w:rsid w:val="00644B7E"/>
    <w:rsid w:val="006454E6"/>
    <w:rsid w:val="00645F6A"/>
    <w:rsid w:val="00646A68"/>
    <w:rsid w:val="0065092E"/>
    <w:rsid w:val="006557A7"/>
    <w:rsid w:val="00655B78"/>
    <w:rsid w:val="00656290"/>
    <w:rsid w:val="006621D7"/>
    <w:rsid w:val="0066302A"/>
    <w:rsid w:val="00667532"/>
    <w:rsid w:val="00670597"/>
    <w:rsid w:val="006706D0"/>
    <w:rsid w:val="0067194D"/>
    <w:rsid w:val="00677574"/>
    <w:rsid w:val="0068454C"/>
    <w:rsid w:val="00684B80"/>
    <w:rsid w:val="00691B62"/>
    <w:rsid w:val="006933B5"/>
    <w:rsid w:val="00693D14"/>
    <w:rsid w:val="006A18C2"/>
    <w:rsid w:val="006B077C"/>
    <w:rsid w:val="006B6803"/>
    <w:rsid w:val="006C1E5F"/>
    <w:rsid w:val="006C2230"/>
    <w:rsid w:val="006D106D"/>
    <w:rsid w:val="006D2A3F"/>
    <w:rsid w:val="006D2FBC"/>
    <w:rsid w:val="006E138B"/>
    <w:rsid w:val="006E2C48"/>
    <w:rsid w:val="006F1FDC"/>
    <w:rsid w:val="006F53F6"/>
    <w:rsid w:val="007013EF"/>
    <w:rsid w:val="0070729C"/>
    <w:rsid w:val="007173CA"/>
    <w:rsid w:val="007216AA"/>
    <w:rsid w:val="00721AB5"/>
    <w:rsid w:val="00721DEF"/>
    <w:rsid w:val="00724A43"/>
    <w:rsid w:val="00727979"/>
    <w:rsid w:val="00731C81"/>
    <w:rsid w:val="007346E4"/>
    <w:rsid w:val="00740F22"/>
    <w:rsid w:val="00741F1A"/>
    <w:rsid w:val="007450F8"/>
    <w:rsid w:val="0074696E"/>
    <w:rsid w:val="00750135"/>
    <w:rsid w:val="00750EC2"/>
    <w:rsid w:val="00752B28"/>
    <w:rsid w:val="00754E36"/>
    <w:rsid w:val="00763139"/>
    <w:rsid w:val="00766CF8"/>
    <w:rsid w:val="007671C2"/>
    <w:rsid w:val="00770F37"/>
    <w:rsid w:val="007711A0"/>
    <w:rsid w:val="00772D5E"/>
    <w:rsid w:val="00776928"/>
    <w:rsid w:val="00785677"/>
    <w:rsid w:val="00786F16"/>
    <w:rsid w:val="00796E20"/>
    <w:rsid w:val="00797C32"/>
    <w:rsid w:val="007A6C1C"/>
    <w:rsid w:val="007B0914"/>
    <w:rsid w:val="007B1374"/>
    <w:rsid w:val="007B589F"/>
    <w:rsid w:val="007B6186"/>
    <w:rsid w:val="007B712A"/>
    <w:rsid w:val="007B73BC"/>
    <w:rsid w:val="007C1D3D"/>
    <w:rsid w:val="007C20B9"/>
    <w:rsid w:val="007C62A3"/>
    <w:rsid w:val="007C7301"/>
    <w:rsid w:val="007C7859"/>
    <w:rsid w:val="007D2BDE"/>
    <w:rsid w:val="007D2FB6"/>
    <w:rsid w:val="007E0DE2"/>
    <w:rsid w:val="007E3B98"/>
    <w:rsid w:val="007E641C"/>
    <w:rsid w:val="007F31B6"/>
    <w:rsid w:val="007F546C"/>
    <w:rsid w:val="007F625F"/>
    <w:rsid w:val="007F665E"/>
    <w:rsid w:val="00800412"/>
    <w:rsid w:val="0080587B"/>
    <w:rsid w:val="00806468"/>
    <w:rsid w:val="008155F0"/>
    <w:rsid w:val="00816735"/>
    <w:rsid w:val="00820141"/>
    <w:rsid w:val="00820E0C"/>
    <w:rsid w:val="008338A2"/>
    <w:rsid w:val="00841AA9"/>
    <w:rsid w:val="00846770"/>
    <w:rsid w:val="00846C5C"/>
    <w:rsid w:val="00853EE4"/>
    <w:rsid w:val="00855535"/>
    <w:rsid w:val="0086255E"/>
    <w:rsid w:val="008633F0"/>
    <w:rsid w:val="00867D9D"/>
    <w:rsid w:val="00872E0A"/>
    <w:rsid w:val="00873AA1"/>
    <w:rsid w:val="00875285"/>
    <w:rsid w:val="00884B62"/>
    <w:rsid w:val="0088529C"/>
    <w:rsid w:val="00887903"/>
    <w:rsid w:val="00887DA7"/>
    <w:rsid w:val="00891FFB"/>
    <w:rsid w:val="0089270A"/>
    <w:rsid w:val="00893AF6"/>
    <w:rsid w:val="00894BC4"/>
    <w:rsid w:val="008A5B32"/>
    <w:rsid w:val="008B2EE4"/>
    <w:rsid w:val="008B4D3D"/>
    <w:rsid w:val="008B57C7"/>
    <w:rsid w:val="008C2F92"/>
    <w:rsid w:val="008C50E5"/>
    <w:rsid w:val="008D2846"/>
    <w:rsid w:val="008D4236"/>
    <w:rsid w:val="008D462F"/>
    <w:rsid w:val="008D6DCF"/>
    <w:rsid w:val="008E4376"/>
    <w:rsid w:val="008E7A0A"/>
    <w:rsid w:val="008F3DED"/>
    <w:rsid w:val="00900719"/>
    <w:rsid w:val="009017AC"/>
    <w:rsid w:val="009027F3"/>
    <w:rsid w:val="0090280A"/>
    <w:rsid w:val="00904A1C"/>
    <w:rsid w:val="00905030"/>
    <w:rsid w:val="00906490"/>
    <w:rsid w:val="009068E0"/>
    <w:rsid w:val="009111B2"/>
    <w:rsid w:val="00924AE1"/>
    <w:rsid w:val="009269B1"/>
    <w:rsid w:val="0092724D"/>
    <w:rsid w:val="009339E1"/>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1235"/>
    <w:rsid w:val="009D51D0"/>
    <w:rsid w:val="009D70A4"/>
    <w:rsid w:val="009D755B"/>
    <w:rsid w:val="009E08D1"/>
    <w:rsid w:val="009E1B95"/>
    <w:rsid w:val="009E496F"/>
    <w:rsid w:val="009E4B0D"/>
    <w:rsid w:val="009E7F92"/>
    <w:rsid w:val="009F02A3"/>
    <w:rsid w:val="009F2F27"/>
    <w:rsid w:val="009F34AA"/>
    <w:rsid w:val="009F6BCB"/>
    <w:rsid w:val="009F72A1"/>
    <w:rsid w:val="009F7B78"/>
    <w:rsid w:val="00A0057A"/>
    <w:rsid w:val="00A11421"/>
    <w:rsid w:val="00A157B1"/>
    <w:rsid w:val="00A22229"/>
    <w:rsid w:val="00A42E05"/>
    <w:rsid w:val="00A44882"/>
    <w:rsid w:val="00A54715"/>
    <w:rsid w:val="00A547A4"/>
    <w:rsid w:val="00A6061C"/>
    <w:rsid w:val="00A62D44"/>
    <w:rsid w:val="00A67263"/>
    <w:rsid w:val="00A7161C"/>
    <w:rsid w:val="00A724BD"/>
    <w:rsid w:val="00A74988"/>
    <w:rsid w:val="00A77AA3"/>
    <w:rsid w:val="00A854EB"/>
    <w:rsid w:val="00A872E5"/>
    <w:rsid w:val="00A87C5C"/>
    <w:rsid w:val="00A91406"/>
    <w:rsid w:val="00A96E65"/>
    <w:rsid w:val="00A97C72"/>
    <w:rsid w:val="00AA63D4"/>
    <w:rsid w:val="00AB06E8"/>
    <w:rsid w:val="00AB1CD3"/>
    <w:rsid w:val="00AB352F"/>
    <w:rsid w:val="00AB61AB"/>
    <w:rsid w:val="00AC274B"/>
    <w:rsid w:val="00AC4764"/>
    <w:rsid w:val="00AC6D36"/>
    <w:rsid w:val="00AD0CBA"/>
    <w:rsid w:val="00AD26E2"/>
    <w:rsid w:val="00AD784C"/>
    <w:rsid w:val="00AE126A"/>
    <w:rsid w:val="00AE3005"/>
    <w:rsid w:val="00AE3BD5"/>
    <w:rsid w:val="00AE59A0"/>
    <w:rsid w:val="00AF0C57"/>
    <w:rsid w:val="00AF26F3"/>
    <w:rsid w:val="00AF4260"/>
    <w:rsid w:val="00AF5F04"/>
    <w:rsid w:val="00AF7ED7"/>
    <w:rsid w:val="00B00672"/>
    <w:rsid w:val="00B012DD"/>
    <w:rsid w:val="00B01B4D"/>
    <w:rsid w:val="00B06571"/>
    <w:rsid w:val="00B068BA"/>
    <w:rsid w:val="00B13851"/>
    <w:rsid w:val="00B13B1C"/>
    <w:rsid w:val="00B22291"/>
    <w:rsid w:val="00B23F9A"/>
    <w:rsid w:val="00B2417B"/>
    <w:rsid w:val="00B24E6F"/>
    <w:rsid w:val="00B26CB5"/>
    <w:rsid w:val="00B2752E"/>
    <w:rsid w:val="00B307CC"/>
    <w:rsid w:val="00B326B7"/>
    <w:rsid w:val="00B40BFD"/>
    <w:rsid w:val="00B431E8"/>
    <w:rsid w:val="00B45141"/>
    <w:rsid w:val="00B5273A"/>
    <w:rsid w:val="00B53262"/>
    <w:rsid w:val="00B57329"/>
    <w:rsid w:val="00B60AAC"/>
    <w:rsid w:val="00B6184D"/>
    <w:rsid w:val="00B62B50"/>
    <w:rsid w:val="00B635B7"/>
    <w:rsid w:val="00B63AE8"/>
    <w:rsid w:val="00B65950"/>
    <w:rsid w:val="00B66D83"/>
    <w:rsid w:val="00B672C0"/>
    <w:rsid w:val="00B7163B"/>
    <w:rsid w:val="00B75646"/>
    <w:rsid w:val="00B90729"/>
    <w:rsid w:val="00B907DA"/>
    <w:rsid w:val="00B950BC"/>
    <w:rsid w:val="00B9714C"/>
    <w:rsid w:val="00BA3F8D"/>
    <w:rsid w:val="00BB3F26"/>
    <w:rsid w:val="00BB5C2B"/>
    <w:rsid w:val="00BB7A10"/>
    <w:rsid w:val="00BC7468"/>
    <w:rsid w:val="00BC7D4F"/>
    <w:rsid w:val="00BC7ED7"/>
    <w:rsid w:val="00BD2850"/>
    <w:rsid w:val="00BE28D2"/>
    <w:rsid w:val="00BE3EBB"/>
    <w:rsid w:val="00BE4A64"/>
    <w:rsid w:val="00BF7F58"/>
    <w:rsid w:val="00C01381"/>
    <w:rsid w:val="00C079B8"/>
    <w:rsid w:val="00C123EA"/>
    <w:rsid w:val="00C12A49"/>
    <w:rsid w:val="00C133EE"/>
    <w:rsid w:val="00C27DE9"/>
    <w:rsid w:val="00C33388"/>
    <w:rsid w:val="00C35484"/>
    <w:rsid w:val="00C36CD7"/>
    <w:rsid w:val="00C4173A"/>
    <w:rsid w:val="00C43307"/>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C58E1"/>
    <w:rsid w:val="00CD3476"/>
    <w:rsid w:val="00CD59C4"/>
    <w:rsid w:val="00CD64DF"/>
    <w:rsid w:val="00CD6FD1"/>
    <w:rsid w:val="00CE0F31"/>
    <w:rsid w:val="00CF0C7B"/>
    <w:rsid w:val="00CF23B5"/>
    <w:rsid w:val="00CF2F50"/>
    <w:rsid w:val="00D02919"/>
    <w:rsid w:val="00D04C61"/>
    <w:rsid w:val="00D05B8D"/>
    <w:rsid w:val="00D065A2"/>
    <w:rsid w:val="00D07F00"/>
    <w:rsid w:val="00D172A7"/>
    <w:rsid w:val="00D17B72"/>
    <w:rsid w:val="00D22C56"/>
    <w:rsid w:val="00D3185C"/>
    <w:rsid w:val="00D33E72"/>
    <w:rsid w:val="00D35BD6"/>
    <w:rsid w:val="00D361B5"/>
    <w:rsid w:val="00D411A2"/>
    <w:rsid w:val="00D4606D"/>
    <w:rsid w:val="00D50B9C"/>
    <w:rsid w:val="00D52D73"/>
    <w:rsid w:val="00D52E58"/>
    <w:rsid w:val="00D714CC"/>
    <w:rsid w:val="00D7558E"/>
    <w:rsid w:val="00D75EA7"/>
    <w:rsid w:val="00D81F21"/>
    <w:rsid w:val="00D95470"/>
    <w:rsid w:val="00DA2619"/>
    <w:rsid w:val="00DA4239"/>
    <w:rsid w:val="00DB0B61"/>
    <w:rsid w:val="00DB6BDD"/>
    <w:rsid w:val="00DC090B"/>
    <w:rsid w:val="00DC1679"/>
    <w:rsid w:val="00DC2CF1"/>
    <w:rsid w:val="00DC4FCF"/>
    <w:rsid w:val="00DC50E0"/>
    <w:rsid w:val="00DC6386"/>
    <w:rsid w:val="00DD1130"/>
    <w:rsid w:val="00DD1951"/>
    <w:rsid w:val="00DD224A"/>
    <w:rsid w:val="00DD6628"/>
    <w:rsid w:val="00DE3250"/>
    <w:rsid w:val="00DE52FD"/>
    <w:rsid w:val="00DE6028"/>
    <w:rsid w:val="00DE78A3"/>
    <w:rsid w:val="00DF1A71"/>
    <w:rsid w:val="00DF68C7"/>
    <w:rsid w:val="00DF731A"/>
    <w:rsid w:val="00E12BBE"/>
    <w:rsid w:val="00E170DC"/>
    <w:rsid w:val="00E26818"/>
    <w:rsid w:val="00E27FFC"/>
    <w:rsid w:val="00E30629"/>
    <w:rsid w:val="00E30B15"/>
    <w:rsid w:val="00E342CE"/>
    <w:rsid w:val="00E40181"/>
    <w:rsid w:val="00E56A01"/>
    <w:rsid w:val="00E629A1"/>
    <w:rsid w:val="00E67146"/>
    <w:rsid w:val="00E6794C"/>
    <w:rsid w:val="00E71591"/>
    <w:rsid w:val="00E81D79"/>
    <w:rsid w:val="00E82C55"/>
    <w:rsid w:val="00E861FF"/>
    <w:rsid w:val="00E903B9"/>
    <w:rsid w:val="00E92AC3"/>
    <w:rsid w:val="00EB00E0"/>
    <w:rsid w:val="00EC059F"/>
    <w:rsid w:val="00EC1F24"/>
    <w:rsid w:val="00EC22F6"/>
    <w:rsid w:val="00EC6F31"/>
    <w:rsid w:val="00ED5B9B"/>
    <w:rsid w:val="00ED6BAD"/>
    <w:rsid w:val="00ED7447"/>
    <w:rsid w:val="00EE1488"/>
    <w:rsid w:val="00EE4D5D"/>
    <w:rsid w:val="00EE5131"/>
    <w:rsid w:val="00EF0217"/>
    <w:rsid w:val="00EF109B"/>
    <w:rsid w:val="00EF36AF"/>
    <w:rsid w:val="00F00F9C"/>
    <w:rsid w:val="00F01E5F"/>
    <w:rsid w:val="00F02ABA"/>
    <w:rsid w:val="00F0437A"/>
    <w:rsid w:val="00F11037"/>
    <w:rsid w:val="00F16F1B"/>
    <w:rsid w:val="00F24CDA"/>
    <w:rsid w:val="00F250A9"/>
    <w:rsid w:val="00F30FF4"/>
    <w:rsid w:val="00F3122E"/>
    <w:rsid w:val="00F331AD"/>
    <w:rsid w:val="00F35287"/>
    <w:rsid w:val="00F35BFB"/>
    <w:rsid w:val="00F4166D"/>
    <w:rsid w:val="00F43A37"/>
    <w:rsid w:val="00F44E5B"/>
    <w:rsid w:val="00F4641B"/>
    <w:rsid w:val="00F46D82"/>
    <w:rsid w:val="00F46EB8"/>
    <w:rsid w:val="00F511E4"/>
    <w:rsid w:val="00F52D09"/>
    <w:rsid w:val="00F52E08"/>
    <w:rsid w:val="00F55B21"/>
    <w:rsid w:val="00F56EF6"/>
    <w:rsid w:val="00F61A9F"/>
    <w:rsid w:val="00F64696"/>
    <w:rsid w:val="00F65AA9"/>
    <w:rsid w:val="00F65E52"/>
    <w:rsid w:val="00F6768F"/>
    <w:rsid w:val="00F72C2C"/>
    <w:rsid w:val="00F76CAB"/>
    <w:rsid w:val="00F772C6"/>
    <w:rsid w:val="00F815B5"/>
    <w:rsid w:val="00F821E2"/>
    <w:rsid w:val="00F85195"/>
    <w:rsid w:val="00F873E9"/>
    <w:rsid w:val="00F938BA"/>
    <w:rsid w:val="00FA2C46"/>
    <w:rsid w:val="00FA3525"/>
    <w:rsid w:val="00FB4769"/>
    <w:rsid w:val="00FB4CDA"/>
    <w:rsid w:val="00FC0F81"/>
    <w:rsid w:val="00FC2274"/>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5B4735"/>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line="240" w:lineRule="auto"/>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pPr>
      <w:spacing w:after="0" w:line="240" w:lineRule="auto"/>
    </w:pPr>
    <w:rPr>
      <w:rFonts w:ascii="Cambria" w:eastAsia="Times New Roman" w:hAnsi="Cambria"/>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uiPriority w:val="99"/>
    <w:qFormat/>
    <w:rsid w:val="0051568D"/>
    <w:pPr>
      <w:numPr>
        <w:numId w:val="7"/>
      </w:numPr>
      <w:spacing w:after="40"/>
    </w:pPr>
  </w:style>
  <w:style w:type="paragraph" w:styleId="DocumentMap">
    <w:name w:val="Document Map"/>
    <w:basedOn w:val="Normal"/>
    <w:link w:val="DocumentMapChar"/>
    <w:uiPriority w:val="99"/>
    <w:semiHidden/>
    <w:unhideWhenUsed/>
    <w:rsid w:val="001D60EC"/>
    <w:pPr>
      <w:spacing w:after="0" w:line="240" w:lineRule="auto"/>
    </w:pPr>
    <w:rPr>
      <w:rFonts w:ascii="Lucida Grande" w:eastAsia="Times New Roman"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sz w:val="20"/>
      <w:szCs w:val="20"/>
    </w:rPr>
  </w:style>
  <w:style w:type="paragraph" w:styleId="Subtitle">
    <w:name w:val="Subtitle"/>
    <w:basedOn w:val="Normal"/>
    <w:next w:val="Normal"/>
    <w:link w:val="SubtitleChar"/>
    <w:uiPriority w:val="11"/>
    <w:semiHidden/>
    <w:qFormat/>
    <w:rsid w:val="00152073"/>
    <w:pPr>
      <w:spacing w:after="60" w:line="240" w:lineRule="auto"/>
      <w:jc w:val="center"/>
    </w:pPr>
    <w:rPr>
      <w:rFonts w:ascii="Calibri Light" w:eastAsia="Times New Roman"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99"/>
    <w:qFormat/>
    <w:rsid w:val="0051568D"/>
    <w:pPr>
      <w:numPr>
        <w:ilvl w:val="2"/>
        <w:numId w:val="7"/>
      </w:numPr>
      <w:spacing w:after="40"/>
    </w:pPr>
  </w:style>
  <w:style w:type="paragraph" w:styleId="BalloonText">
    <w:name w:val="Balloon Text"/>
    <w:basedOn w:val="Normal"/>
    <w:link w:val="BalloonTextChar"/>
    <w:uiPriority w:val="99"/>
    <w:semiHidden/>
    <w:unhideWhenUsed/>
    <w:rsid w:val="0088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A7"/>
    <w:rPr>
      <w:rFonts w:ascii="Tahoma" w:eastAsia="Calibri"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99"/>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99"/>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99"/>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40" w:lineRule="auto"/>
      <w:jc w:val="center"/>
    </w:pPr>
    <w:rPr>
      <w:rFonts w:ascii="Calibri Light" w:eastAsia="Times New Roman"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2F1414"/>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E7AFC"/>
    <w:rPr>
      <w:sz w:val="16"/>
      <w:szCs w:val="16"/>
    </w:rPr>
  </w:style>
  <w:style w:type="paragraph" w:styleId="CommentText">
    <w:name w:val="annotation text"/>
    <w:basedOn w:val="Normal"/>
    <w:link w:val="CommentTextChar"/>
    <w:uiPriority w:val="99"/>
    <w:semiHidden/>
    <w:unhideWhenUsed/>
    <w:rsid w:val="005E7AFC"/>
    <w:pPr>
      <w:spacing w:line="240" w:lineRule="auto"/>
    </w:pPr>
    <w:rPr>
      <w:sz w:val="20"/>
      <w:szCs w:val="20"/>
    </w:rPr>
  </w:style>
  <w:style w:type="character" w:customStyle="1" w:styleId="CommentTextChar">
    <w:name w:val="Comment Text Char"/>
    <w:basedOn w:val="DefaultParagraphFont"/>
    <w:link w:val="CommentText"/>
    <w:uiPriority w:val="99"/>
    <w:semiHidden/>
    <w:rsid w:val="005E7AFC"/>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5E7AFC"/>
    <w:rPr>
      <w:b/>
      <w:bCs/>
    </w:rPr>
  </w:style>
  <w:style w:type="character" w:customStyle="1" w:styleId="CommentSubjectChar">
    <w:name w:val="Comment Subject Char"/>
    <w:basedOn w:val="CommentTextChar"/>
    <w:link w:val="CommentSubject"/>
    <w:uiPriority w:val="99"/>
    <w:semiHidden/>
    <w:rsid w:val="005E7AFC"/>
    <w:rPr>
      <w:rFonts w:ascii="Calibri" w:eastAsia="Calibri" w:hAnsi="Calibri"/>
      <w:b/>
      <w:bCs/>
      <w:lang w:eastAsia="en-US"/>
    </w:rPr>
  </w:style>
  <w:style w:type="paragraph" w:styleId="Revision">
    <w:name w:val="Revision"/>
    <w:hidden/>
    <w:uiPriority w:val="71"/>
    <w:rsid w:val="00AB61A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5B4735"/>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line="240" w:lineRule="auto"/>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pPr>
      <w:spacing w:after="0" w:line="240" w:lineRule="auto"/>
    </w:pPr>
    <w:rPr>
      <w:rFonts w:ascii="Cambria" w:eastAsia="Times New Roman" w:hAnsi="Cambria"/>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uiPriority w:val="99"/>
    <w:qFormat/>
    <w:rsid w:val="0051568D"/>
    <w:pPr>
      <w:numPr>
        <w:numId w:val="7"/>
      </w:numPr>
      <w:spacing w:after="40"/>
    </w:pPr>
  </w:style>
  <w:style w:type="paragraph" w:styleId="DocumentMap">
    <w:name w:val="Document Map"/>
    <w:basedOn w:val="Normal"/>
    <w:link w:val="DocumentMapChar"/>
    <w:uiPriority w:val="99"/>
    <w:semiHidden/>
    <w:unhideWhenUsed/>
    <w:rsid w:val="001D60EC"/>
    <w:pPr>
      <w:spacing w:after="0" w:line="240" w:lineRule="auto"/>
    </w:pPr>
    <w:rPr>
      <w:rFonts w:ascii="Lucida Grande" w:eastAsia="Times New Roman"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sz w:val="20"/>
      <w:szCs w:val="20"/>
    </w:rPr>
  </w:style>
  <w:style w:type="paragraph" w:styleId="Subtitle">
    <w:name w:val="Subtitle"/>
    <w:basedOn w:val="Normal"/>
    <w:next w:val="Normal"/>
    <w:link w:val="SubtitleChar"/>
    <w:uiPriority w:val="11"/>
    <w:semiHidden/>
    <w:qFormat/>
    <w:rsid w:val="00152073"/>
    <w:pPr>
      <w:spacing w:after="60" w:line="240" w:lineRule="auto"/>
      <w:jc w:val="center"/>
    </w:pPr>
    <w:rPr>
      <w:rFonts w:ascii="Calibri Light" w:eastAsia="Times New Roman"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99"/>
    <w:qFormat/>
    <w:rsid w:val="0051568D"/>
    <w:pPr>
      <w:numPr>
        <w:ilvl w:val="2"/>
        <w:numId w:val="7"/>
      </w:numPr>
      <w:spacing w:after="40"/>
    </w:pPr>
  </w:style>
  <w:style w:type="paragraph" w:styleId="BalloonText">
    <w:name w:val="Balloon Text"/>
    <w:basedOn w:val="Normal"/>
    <w:link w:val="BalloonTextChar"/>
    <w:uiPriority w:val="99"/>
    <w:semiHidden/>
    <w:unhideWhenUsed/>
    <w:rsid w:val="0088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A7"/>
    <w:rPr>
      <w:rFonts w:ascii="Tahoma" w:eastAsia="Calibri"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99"/>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99"/>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99"/>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40" w:lineRule="auto"/>
      <w:jc w:val="center"/>
    </w:pPr>
    <w:rPr>
      <w:rFonts w:ascii="Calibri Light" w:eastAsia="Times New Roman"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2F1414"/>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E7AFC"/>
    <w:rPr>
      <w:sz w:val="16"/>
      <w:szCs w:val="16"/>
    </w:rPr>
  </w:style>
  <w:style w:type="paragraph" w:styleId="CommentText">
    <w:name w:val="annotation text"/>
    <w:basedOn w:val="Normal"/>
    <w:link w:val="CommentTextChar"/>
    <w:uiPriority w:val="99"/>
    <w:semiHidden/>
    <w:unhideWhenUsed/>
    <w:rsid w:val="005E7AFC"/>
    <w:pPr>
      <w:spacing w:line="240" w:lineRule="auto"/>
    </w:pPr>
    <w:rPr>
      <w:sz w:val="20"/>
      <w:szCs w:val="20"/>
    </w:rPr>
  </w:style>
  <w:style w:type="character" w:customStyle="1" w:styleId="CommentTextChar">
    <w:name w:val="Comment Text Char"/>
    <w:basedOn w:val="DefaultParagraphFont"/>
    <w:link w:val="CommentText"/>
    <w:uiPriority w:val="99"/>
    <w:semiHidden/>
    <w:rsid w:val="005E7AFC"/>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5E7AFC"/>
    <w:rPr>
      <w:b/>
      <w:bCs/>
    </w:rPr>
  </w:style>
  <w:style w:type="character" w:customStyle="1" w:styleId="CommentSubjectChar">
    <w:name w:val="Comment Subject Char"/>
    <w:basedOn w:val="CommentTextChar"/>
    <w:link w:val="CommentSubject"/>
    <w:uiPriority w:val="99"/>
    <w:semiHidden/>
    <w:rsid w:val="005E7AFC"/>
    <w:rPr>
      <w:rFonts w:ascii="Calibri" w:eastAsia="Calibri" w:hAnsi="Calibri"/>
      <w:b/>
      <w:bCs/>
      <w:lang w:eastAsia="en-US"/>
    </w:rPr>
  </w:style>
  <w:style w:type="paragraph" w:styleId="Revision">
    <w:name w:val="Revision"/>
    <w:hidden/>
    <w:uiPriority w:val="71"/>
    <w:rsid w:val="00AB61A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2660685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1DA2FE8-46E5-47FB-998A-0A5F1FA28688}">
  <ds:schemaRefs>
    <ds:schemaRef ds:uri="http://schemas.openxmlformats.org/officeDocument/2006/bibliography"/>
  </ds:schemaRefs>
</ds:datastoreItem>
</file>

<file path=customXml/itemProps2.xml><?xml version="1.0" encoding="utf-8"?>
<ds:datastoreItem xmlns:ds="http://schemas.openxmlformats.org/officeDocument/2006/customXml" ds:itemID="{11AA9206-C7AD-4F92-8DF5-DFA5E177387E}"/>
</file>

<file path=customXml/itemProps3.xml><?xml version="1.0" encoding="utf-8"?>
<ds:datastoreItem xmlns:ds="http://schemas.openxmlformats.org/officeDocument/2006/customXml" ds:itemID="{43026B61-D741-41C5-8CDC-4B12528B3765}"/>
</file>

<file path=customXml/itemProps4.xml><?xml version="1.0" encoding="utf-8"?>
<ds:datastoreItem xmlns:ds="http://schemas.openxmlformats.org/officeDocument/2006/customXml" ds:itemID="{0A395ED7-899D-4944-B568-C059569F263C}"/>
</file>

<file path=docProps/app.xml><?xml version="1.0" encoding="utf-8"?>
<Properties xmlns="http://schemas.openxmlformats.org/officeDocument/2006/extended-properties" xmlns:vt="http://schemas.openxmlformats.org/officeDocument/2006/docPropsVTypes">
  <Template>DHHS Factsheet 02 Purple 2602.dot</Template>
  <TotalTime>0</TotalTime>
  <Pages>2</Pages>
  <Words>673</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Transitioning Aboriginal Children and Young People to ACCOs</vt:lpstr>
    </vt:vector>
  </TitlesOfParts>
  <Company>Department of Health and Human Services</Company>
  <LinksUpToDate>false</LinksUpToDate>
  <CharactersWithSpaces>4590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Aboriginal Children and Young People to ACCOs</dc:title>
  <dc:subject>Out of home care</dc:subject>
  <dc:creator>Sarah Luscombe (DHHS)</dc:creator>
  <cp:lastModifiedBy>Sarah Luscombe (DHHS)</cp:lastModifiedBy>
  <cp:revision>2</cp:revision>
  <cp:lastPrinted>2017-08-14T06:51:00Z</cp:lastPrinted>
  <dcterms:created xsi:type="dcterms:W3CDTF">2017-10-06T00:42:00Z</dcterms:created>
  <dcterms:modified xsi:type="dcterms:W3CDTF">2017-10-06T00:42:00Z</dcterms:modified>
  <cp:category>aboriginal children, out of home care, child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