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19A81CCF" w:rsidR="0074696E" w:rsidRPr="004C6EEE" w:rsidRDefault="00250DC4" w:rsidP="00AD784C">
      <w:pPr>
        <w:pStyle w:val="Spacerparatopoffirstpage"/>
      </w:pPr>
      <w:r>
        <w:drawing>
          <wp:anchor distT="0" distB="0" distL="114300" distR="114300" simplePos="0" relativeHeight="251658240" behindDoc="1" locked="1" layoutInCell="1" allowOverlap="1" wp14:anchorId="6165FFA6" wp14:editId="5B9C736E">
            <wp:simplePos x="0" y="0"/>
            <wp:positionH relativeFrom="page">
              <wp:posOffset>0</wp:posOffset>
            </wp:positionH>
            <wp:positionV relativeFrom="page">
              <wp:posOffset>0</wp:posOffset>
            </wp:positionV>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B21959" w:rsidRPr="00161AA0" w14:paraId="382BDA46" w14:textId="77777777" w:rsidTr="00F95214">
        <w:trPr>
          <w:trHeight w:val="1134"/>
        </w:trPr>
        <w:tc>
          <w:tcPr>
            <w:tcW w:w="7825" w:type="dxa"/>
            <w:vAlign w:val="bottom"/>
          </w:tcPr>
          <w:p w14:paraId="19BB0E9A" w14:textId="70D8E5E3" w:rsidR="00B21959" w:rsidRPr="00161AA0" w:rsidRDefault="00C40F1A" w:rsidP="00F95214">
            <w:pPr>
              <w:pStyle w:val="Documenttitle"/>
            </w:pPr>
            <w:bookmarkStart w:id="0" w:name="_Hlk68870999"/>
            <w:r>
              <w:t xml:space="preserve">Frequently </w:t>
            </w:r>
            <w:r w:rsidR="006E5A74">
              <w:t>a</w:t>
            </w:r>
            <w:r>
              <w:t xml:space="preserve">sked </w:t>
            </w:r>
            <w:r w:rsidR="006E5A74">
              <w:t>q</w:t>
            </w:r>
            <w:r>
              <w:t>uestions</w:t>
            </w:r>
          </w:p>
        </w:tc>
      </w:tr>
      <w:tr w:rsidR="00B21959" w:rsidRPr="00A1389F" w14:paraId="3983C632" w14:textId="77777777" w:rsidTr="00F95214">
        <w:trPr>
          <w:trHeight w:val="1418"/>
        </w:trPr>
        <w:tc>
          <w:tcPr>
            <w:tcW w:w="7825" w:type="dxa"/>
          </w:tcPr>
          <w:p w14:paraId="05618F58" w14:textId="2420C494" w:rsidR="00B21959" w:rsidRPr="00A1389F" w:rsidRDefault="000D1AF9" w:rsidP="00F95214">
            <w:pPr>
              <w:pStyle w:val="Documentsubtitle"/>
            </w:pPr>
            <w:r>
              <w:t>Transition guidance</w:t>
            </w:r>
            <w:r w:rsidR="00BB7EAD">
              <w:t xml:space="preserve"> for </w:t>
            </w:r>
            <w:r w:rsidR="00577F2D">
              <w:t xml:space="preserve">delivery of the </w:t>
            </w:r>
            <w:r w:rsidR="00B21959">
              <w:t>Family Preservation and Reunification Response</w:t>
            </w:r>
            <w:r w:rsidR="00F40819">
              <w:t xml:space="preserve"> </w:t>
            </w:r>
            <w:r w:rsidR="00577F2D">
              <w:t xml:space="preserve">and Intensive Family Services </w:t>
            </w:r>
            <w:r w:rsidR="00BB7EAD">
              <w:t>from</w:t>
            </w:r>
            <w:r w:rsidR="00E51625">
              <w:br/>
            </w:r>
            <w:r w:rsidR="00BB7EAD">
              <w:t>1 August 2021</w:t>
            </w:r>
          </w:p>
          <w:p w14:paraId="0AC4C344" w14:textId="19BCBC12" w:rsidR="005A77A3" w:rsidRPr="00A1389F" w:rsidRDefault="00BC7792" w:rsidP="00F95214">
            <w:pPr>
              <w:pStyle w:val="Bannermarking"/>
            </w:pPr>
            <w:fldSimple w:instr="FILLIN  &quot;Type the protective marking&quot; \d OFFICIAL \o  \* MERGEFORMAT">
              <w:r w:rsidR="00B21959">
                <w:t>OFFICIAL</w:t>
              </w:r>
            </w:fldSimple>
          </w:p>
        </w:tc>
      </w:tr>
      <w:bookmarkEnd w:id="0"/>
    </w:tbl>
    <w:p w14:paraId="2BAF8D59" w14:textId="77777777" w:rsidR="002D67CA" w:rsidRDefault="002D67CA" w:rsidP="008B581E">
      <w:pPr>
        <w:pStyle w:val="Body"/>
        <w:rPr>
          <w:b/>
          <w:bCs/>
          <w:color w:val="201547"/>
          <w:szCs w:val="32"/>
        </w:rPr>
      </w:pPr>
    </w:p>
    <w:p w14:paraId="0341904B" w14:textId="6A330723" w:rsidR="008B581E" w:rsidRDefault="008B581E" w:rsidP="008B581E">
      <w:pPr>
        <w:pStyle w:val="Body"/>
        <w:rPr>
          <w:b/>
          <w:bCs/>
          <w:color w:val="201547"/>
          <w:szCs w:val="32"/>
        </w:rPr>
      </w:pPr>
      <w:r>
        <w:rPr>
          <w:b/>
          <w:bCs/>
          <w:color w:val="201547"/>
          <w:szCs w:val="32"/>
        </w:rPr>
        <w:t xml:space="preserve">Edition 2: </w:t>
      </w:r>
      <w:r w:rsidR="00E51625">
        <w:rPr>
          <w:b/>
          <w:bCs/>
          <w:color w:val="201547"/>
          <w:szCs w:val="32"/>
        </w:rPr>
        <w:t xml:space="preserve">12 </w:t>
      </w:r>
      <w:r w:rsidR="000D1AF9">
        <w:rPr>
          <w:b/>
          <w:bCs/>
          <w:color w:val="201547"/>
          <w:szCs w:val="32"/>
        </w:rPr>
        <w:t xml:space="preserve">July </w:t>
      </w:r>
      <w:r>
        <w:rPr>
          <w:b/>
          <w:bCs/>
          <w:color w:val="201547"/>
          <w:szCs w:val="32"/>
        </w:rPr>
        <w:t>2021</w:t>
      </w:r>
    </w:p>
    <w:sdt>
      <w:sdtPr>
        <w:rPr>
          <w:b w:val="0"/>
          <w:noProof/>
          <w:color w:val="auto"/>
          <w:sz w:val="21"/>
          <w:szCs w:val="20"/>
        </w:rPr>
        <w:id w:val="-1933656238"/>
        <w:docPartObj>
          <w:docPartGallery w:val="Table of Contents"/>
          <w:docPartUnique/>
        </w:docPartObj>
      </w:sdtPr>
      <w:sdtEndPr/>
      <w:sdtContent>
        <w:p w14:paraId="0B1E52A7" w14:textId="50F48301" w:rsidR="008B581E" w:rsidRPr="00E16EAC" w:rsidRDefault="008B581E" w:rsidP="008B581E">
          <w:pPr>
            <w:pStyle w:val="TOCheadingfactsheet"/>
          </w:pPr>
          <w:r w:rsidRPr="00E16EAC">
            <w:t>Contents</w:t>
          </w:r>
        </w:p>
        <w:p w14:paraId="4D099792" w14:textId="0B87491F" w:rsidR="0081470F" w:rsidRDefault="008B581E">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76724121" w:history="1">
            <w:r w:rsidR="0081470F" w:rsidRPr="004B06A6">
              <w:rPr>
                <w:rStyle w:val="Hyperlink"/>
              </w:rPr>
              <w:t>Background</w:t>
            </w:r>
            <w:r w:rsidR="0081470F">
              <w:rPr>
                <w:webHidden/>
              </w:rPr>
              <w:tab/>
            </w:r>
            <w:r w:rsidR="0081470F">
              <w:rPr>
                <w:webHidden/>
              </w:rPr>
              <w:fldChar w:fldCharType="begin"/>
            </w:r>
            <w:r w:rsidR="0081470F">
              <w:rPr>
                <w:webHidden/>
              </w:rPr>
              <w:instrText xml:space="preserve"> PAGEREF _Toc76724121 \h </w:instrText>
            </w:r>
            <w:r w:rsidR="0081470F">
              <w:rPr>
                <w:webHidden/>
              </w:rPr>
            </w:r>
            <w:r w:rsidR="0081470F">
              <w:rPr>
                <w:webHidden/>
              </w:rPr>
              <w:fldChar w:fldCharType="separate"/>
            </w:r>
            <w:r w:rsidR="0081470F">
              <w:rPr>
                <w:webHidden/>
              </w:rPr>
              <w:t>2</w:t>
            </w:r>
            <w:r w:rsidR="0081470F">
              <w:rPr>
                <w:webHidden/>
              </w:rPr>
              <w:fldChar w:fldCharType="end"/>
            </w:r>
          </w:hyperlink>
        </w:p>
        <w:p w14:paraId="04088CF7" w14:textId="0E1F9A94" w:rsidR="0081470F" w:rsidRDefault="00CE626C">
          <w:pPr>
            <w:pStyle w:val="TOC1"/>
            <w:rPr>
              <w:rFonts w:asciiTheme="minorHAnsi" w:eastAsiaTheme="minorEastAsia" w:hAnsiTheme="minorHAnsi" w:cstheme="minorBidi"/>
              <w:b w:val="0"/>
              <w:sz w:val="22"/>
              <w:szCs w:val="22"/>
              <w:lang w:eastAsia="en-AU"/>
            </w:rPr>
          </w:pPr>
          <w:hyperlink w:anchor="_Toc76724122" w:history="1">
            <w:r w:rsidR="0081470F" w:rsidRPr="004B06A6">
              <w:rPr>
                <w:rStyle w:val="Hyperlink"/>
              </w:rPr>
              <w:t>Purpose of guide</w:t>
            </w:r>
            <w:r w:rsidR="0081470F">
              <w:rPr>
                <w:webHidden/>
              </w:rPr>
              <w:tab/>
            </w:r>
            <w:r w:rsidR="0081470F">
              <w:rPr>
                <w:webHidden/>
              </w:rPr>
              <w:fldChar w:fldCharType="begin"/>
            </w:r>
            <w:r w:rsidR="0081470F">
              <w:rPr>
                <w:webHidden/>
              </w:rPr>
              <w:instrText xml:space="preserve"> PAGEREF _Toc76724122 \h </w:instrText>
            </w:r>
            <w:r w:rsidR="0081470F">
              <w:rPr>
                <w:webHidden/>
              </w:rPr>
            </w:r>
            <w:r w:rsidR="0081470F">
              <w:rPr>
                <w:webHidden/>
              </w:rPr>
              <w:fldChar w:fldCharType="separate"/>
            </w:r>
            <w:r w:rsidR="0081470F">
              <w:rPr>
                <w:webHidden/>
              </w:rPr>
              <w:t>2</w:t>
            </w:r>
            <w:r w:rsidR="0081470F">
              <w:rPr>
                <w:webHidden/>
              </w:rPr>
              <w:fldChar w:fldCharType="end"/>
            </w:r>
          </w:hyperlink>
        </w:p>
        <w:p w14:paraId="571499CC" w14:textId="25317908" w:rsidR="0081470F" w:rsidRDefault="00CE626C">
          <w:pPr>
            <w:pStyle w:val="TOC1"/>
            <w:rPr>
              <w:rFonts w:asciiTheme="minorHAnsi" w:eastAsiaTheme="minorEastAsia" w:hAnsiTheme="minorHAnsi" w:cstheme="minorBidi"/>
              <w:b w:val="0"/>
              <w:sz w:val="22"/>
              <w:szCs w:val="22"/>
              <w:lang w:eastAsia="en-AU"/>
            </w:rPr>
          </w:pPr>
          <w:hyperlink w:anchor="_Toc76724123" w:history="1">
            <w:r w:rsidR="0081470F" w:rsidRPr="004B06A6">
              <w:rPr>
                <w:rStyle w:val="Hyperlink"/>
              </w:rPr>
              <w:t>Transition and implementation timelines and support</w:t>
            </w:r>
            <w:r w:rsidR="0081470F">
              <w:rPr>
                <w:webHidden/>
              </w:rPr>
              <w:tab/>
            </w:r>
            <w:r w:rsidR="0081470F">
              <w:rPr>
                <w:webHidden/>
              </w:rPr>
              <w:fldChar w:fldCharType="begin"/>
            </w:r>
            <w:r w:rsidR="0081470F">
              <w:rPr>
                <w:webHidden/>
              </w:rPr>
              <w:instrText xml:space="preserve"> PAGEREF _Toc76724123 \h </w:instrText>
            </w:r>
            <w:r w:rsidR="0081470F">
              <w:rPr>
                <w:webHidden/>
              </w:rPr>
            </w:r>
            <w:r w:rsidR="0081470F">
              <w:rPr>
                <w:webHidden/>
              </w:rPr>
              <w:fldChar w:fldCharType="separate"/>
            </w:r>
            <w:r w:rsidR="0081470F">
              <w:rPr>
                <w:webHidden/>
              </w:rPr>
              <w:t>2</w:t>
            </w:r>
            <w:r w:rsidR="0081470F">
              <w:rPr>
                <w:webHidden/>
              </w:rPr>
              <w:fldChar w:fldCharType="end"/>
            </w:r>
          </w:hyperlink>
        </w:p>
        <w:p w14:paraId="4C5D1E8B" w14:textId="4502C295" w:rsidR="0081470F" w:rsidRDefault="00CE626C">
          <w:pPr>
            <w:pStyle w:val="TOC2"/>
            <w:rPr>
              <w:rFonts w:asciiTheme="minorHAnsi" w:eastAsiaTheme="minorEastAsia" w:hAnsiTheme="minorHAnsi" w:cstheme="minorBidi"/>
              <w:sz w:val="22"/>
              <w:szCs w:val="22"/>
              <w:lang w:eastAsia="en-AU"/>
            </w:rPr>
          </w:pPr>
          <w:hyperlink w:anchor="_Toc76724124" w:history="1">
            <w:r w:rsidR="0081470F" w:rsidRPr="004B06A6">
              <w:rPr>
                <w:rStyle w:val="Hyperlink"/>
              </w:rPr>
              <w:t>Are new services expected to be fully implemented by 1 August?</w:t>
            </w:r>
            <w:r w:rsidR="0081470F">
              <w:rPr>
                <w:webHidden/>
              </w:rPr>
              <w:tab/>
            </w:r>
            <w:r w:rsidR="0081470F">
              <w:rPr>
                <w:webHidden/>
              </w:rPr>
              <w:fldChar w:fldCharType="begin"/>
            </w:r>
            <w:r w:rsidR="0081470F">
              <w:rPr>
                <w:webHidden/>
              </w:rPr>
              <w:instrText xml:space="preserve"> PAGEREF _Toc76724124 \h </w:instrText>
            </w:r>
            <w:r w:rsidR="0081470F">
              <w:rPr>
                <w:webHidden/>
              </w:rPr>
            </w:r>
            <w:r w:rsidR="0081470F">
              <w:rPr>
                <w:webHidden/>
              </w:rPr>
              <w:fldChar w:fldCharType="separate"/>
            </w:r>
            <w:r w:rsidR="0081470F">
              <w:rPr>
                <w:webHidden/>
              </w:rPr>
              <w:t>2</w:t>
            </w:r>
            <w:r w:rsidR="0081470F">
              <w:rPr>
                <w:webHidden/>
              </w:rPr>
              <w:fldChar w:fldCharType="end"/>
            </w:r>
          </w:hyperlink>
        </w:p>
        <w:p w14:paraId="2B69A8DE" w14:textId="7B8A7D36" w:rsidR="0081470F" w:rsidRDefault="00CE626C">
          <w:pPr>
            <w:pStyle w:val="TOC2"/>
            <w:rPr>
              <w:rFonts w:asciiTheme="minorHAnsi" w:eastAsiaTheme="minorEastAsia" w:hAnsiTheme="minorHAnsi" w:cstheme="minorBidi"/>
              <w:sz w:val="22"/>
              <w:szCs w:val="22"/>
              <w:lang w:eastAsia="en-AU"/>
            </w:rPr>
          </w:pPr>
          <w:hyperlink w:anchor="_Toc76724125" w:history="1">
            <w:r w:rsidR="0081470F" w:rsidRPr="004B06A6">
              <w:rPr>
                <w:rStyle w:val="Hyperlink"/>
              </w:rPr>
              <w:t>What support can I expect to receive prior to 1 August?</w:t>
            </w:r>
            <w:r w:rsidR="0081470F">
              <w:rPr>
                <w:webHidden/>
              </w:rPr>
              <w:tab/>
            </w:r>
            <w:r w:rsidR="0081470F">
              <w:rPr>
                <w:webHidden/>
              </w:rPr>
              <w:fldChar w:fldCharType="begin"/>
            </w:r>
            <w:r w:rsidR="0081470F">
              <w:rPr>
                <w:webHidden/>
              </w:rPr>
              <w:instrText xml:space="preserve"> PAGEREF _Toc76724125 \h </w:instrText>
            </w:r>
            <w:r w:rsidR="0081470F">
              <w:rPr>
                <w:webHidden/>
              </w:rPr>
            </w:r>
            <w:r w:rsidR="0081470F">
              <w:rPr>
                <w:webHidden/>
              </w:rPr>
              <w:fldChar w:fldCharType="separate"/>
            </w:r>
            <w:r w:rsidR="0081470F">
              <w:rPr>
                <w:webHidden/>
              </w:rPr>
              <w:t>3</w:t>
            </w:r>
            <w:r w:rsidR="0081470F">
              <w:rPr>
                <w:webHidden/>
              </w:rPr>
              <w:fldChar w:fldCharType="end"/>
            </w:r>
          </w:hyperlink>
        </w:p>
        <w:p w14:paraId="0F80157B" w14:textId="04955C8B" w:rsidR="0081470F" w:rsidRDefault="00CE626C">
          <w:pPr>
            <w:pStyle w:val="TOC2"/>
            <w:rPr>
              <w:rFonts w:asciiTheme="minorHAnsi" w:eastAsiaTheme="minorEastAsia" w:hAnsiTheme="minorHAnsi" w:cstheme="minorBidi"/>
              <w:sz w:val="22"/>
              <w:szCs w:val="22"/>
              <w:lang w:eastAsia="en-AU"/>
            </w:rPr>
          </w:pPr>
          <w:hyperlink w:anchor="_Toc76724126" w:history="1">
            <w:r w:rsidR="0081470F" w:rsidRPr="004B06A6">
              <w:rPr>
                <w:rStyle w:val="Hyperlink"/>
              </w:rPr>
              <w:t>What is the evidence-informed model and what support can new practitioners and team leaders expect to receive in delivering this model?</w:t>
            </w:r>
            <w:r w:rsidR="0081470F">
              <w:rPr>
                <w:webHidden/>
              </w:rPr>
              <w:tab/>
            </w:r>
            <w:r w:rsidR="0081470F">
              <w:rPr>
                <w:webHidden/>
              </w:rPr>
              <w:fldChar w:fldCharType="begin"/>
            </w:r>
            <w:r w:rsidR="0081470F">
              <w:rPr>
                <w:webHidden/>
              </w:rPr>
              <w:instrText xml:space="preserve"> PAGEREF _Toc76724126 \h </w:instrText>
            </w:r>
            <w:r w:rsidR="0081470F">
              <w:rPr>
                <w:webHidden/>
              </w:rPr>
            </w:r>
            <w:r w:rsidR="0081470F">
              <w:rPr>
                <w:webHidden/>
              </w:rPr>
              <w:fldChar w:fldCharType="separate"/>
            </w:r>
            <w:r w:rsidR="0081470F">
              <w:rPr>
                <w:webHidden/>
              </w:rPr>
              <w:t>3</w:t>
            </w:r>
            <w:r w:rsidR="0081470F">
              <w:rPr>
                <w:webHidden/>
              </w:rPr>
              <w:fldChar w:fldCharType="end"/>
            </w:r>
          </w:hyperlink>
        </w:p>
        <w:p w14:paraId="6A1B8603" w14:textId="77F8994C" w:rsidR="0081470F" w:rsidRDefault="00CE626C">
          <w:pPr>
            <w:pStyle w:val="TOC1"/>
            <w:rPr>
              <w:rFonts w:asciiTheme="minorHAnsi" w:eastAsiaTheme="minorEastAsia" w:hAnsiTheme="minorHAnsi" w:cstheme="minorBidi"/>
              <w:b w:val="0"/>
              <w:sz w:val="22"/>
              <w:szCs w:val="22"/>
              <w:lang w:eastAsia="en-AU"/>
            </w:rPr>
          </w:pPr>
          <w:hyperlink w:anchor="_Toc76724129" w:history="1">
            <w:r w:rsidR="0081470F" w:rsidRPr="004B06A6">
              <w:rPr>
                <w:rStyle w:val="Hyperlink"/>
              </w:rPr>
              <w:t>Target cohort focus and specialisation​</w:t>
            </w:r>
            <w:r w:rsidR="0081470F">
              <w:rPr>
                <w:webHidden/>
              </w:rPr>
              <w:tab/>
            </w:r>
            <w:r w:rsidR="0081470F">
              <w:rPr>
                <w:webHidden/>
              </w:rPr>
              <w:fldChar w:fldCharType="begin"/>
            </w:r>
            <w:r w:rsidR="0081470F">
              <w:rPr>
                <w:webHidden/>
              </w:rPr>
              <w:instrText xml:space="preserve"> PAGEREF _Toc76724129 \h </w:instrText>
            </w:r>
            <w:r w:rsidR="0081470F">
              <w:rPr>
                <w:webHidden/>
              </w:rPr>
            </w:r>
            <w:r w:rsidR="0081470F">
              <w:rPr>
                <w:webHidden/>
              </w:rPr>
              <w:fldChar w:fldCharType="separate"/>
            </w:r>
            <w:r w:rsidR="0081470F">
              <w:rPr>
                <w:webHidden/>
              </w:rPr>
              <w:t>5</w:t>
            </w:r>
            <w:r w:rsidR="0081470F">
              <w:rPr>
                <w:webHidden/>
              </w:rPr>
              <w:fldChar w:fldCharType="end"/>
            </w:r>
          </w:hyperlink>
        </w:p>
        <w:p w14:paraId="3CF10D10" w14:textId="5E51DEB3" w:rsidR="0081470F" w:rsidRDefault="00CE626C">
          <w:pPr>
            <w:pStyle w:val="TOC2"/>
            <w:rPr>
              <w:rFonts w:asciiTheme="minorHAnsi" w:eastAsiaTheme="minorEastAsia" w:hAnsiTheme="minorHAnsi" w:cstheme="minorBidi"/>
              <w:sz w:val="22"/>
              <w:szCs w:val="22"/>
              <w:lang w:eastAsia="en-AU"/>
            </w:rPr>
          </w:pPr>
          <w:hyperlink w:anchor="_Toc76724130" w:history="1">
            <w:r w:rsidR="0081470F" w:rsidRPr="004B06A6">
              <w:rPr>
                <w:rStyle w:val="Hyperlink"/>
              </w:rPr>
              <w:t>How will the eligibility criteria for the Response differ from 1 August?</w:t>
            </w:r>
            <w:r w:rsidR="0081470F">
              <w:rPr>
                <w:webHidden/>
              </w:rPr>
              <w:tab/>
            </w:r>
            <w:r w:rsidR="0081470F">
              <w:rPr>
                <w:webHidden/>
              </w:rPr>
              <w:fldChar w:fldCharType="begin"/>
            </w:r>
            <w:r w:rsidR="0081470F">
              <w:rPr>
                <w:webHidden/>
              </w:rPr>
              <w:instrText xml:space="preserve"> PAGEREF _Toc76724130 \h </w:instrText>
            </w:r>
            <w:r w:rsidR="0081470F">
              <w:rPr>
                <w:webHidden/>
              </w:rPr>
            </w:r>
            <w:r w:rsidR="0081470F">
              <w:rPr>
                <w:webHidden/>
              </w:rPr>
              <w:fldChar w:fldCharType="separate"/>
            </w:r>
            <w:r w:rsidR="0081470F">
              <w:rPr>
                <w:webHidden/>
              </w:rPr>
              <w:t>5</w:t>
            </w:r>
            <w:r w:rsidR="0081470F">
              <w:rPr>
                <w:webHidden/>
              </w:rPr>
              <w:fldChar w:fldCharType="end"/>
            </w:r>
          </w:hyperlink>
        </w:p>
        <w:p w14:paraId="068EEED7" w14:textId="107E8D45" w:rsidR="0081470F" w:rsidRDefault="00CE626C">
          <w:pPr>
            <w:pStyle w:val="TOC2"/>
            <w:rPr>
              <w:rFonts w:asciiTheme="minorHAnsi" w:eastAsiaTheme="minorEastAsia" w:hAnsiTheme="minorHAnsi" w:cstheme="minorBidi"/>
              <w:sz w:val="22"/>
              <w:szCs w:val="22"/>
              <w:lang w:eastAsia="en-AU"/>
            </w:rPr>
          </w:pPr>
          <w:hyperlink w:anchor="_Toc76724131" w:history="1">
            <w:r w:rsidR="0081470F" w:rsidRPr="004B06A6">
              <w:rPr>
                <w:rStyle w:val="Hyperlink"/>
              </w:rPr>
              <w:t>What happens to children and families who are not eligible for the Response or Intensive Family Services?</w:t>
            </w:r>
            <w:r w:rsidR="0081470F">
              <w:rPr>
                <w:webHidden/>
              </w:rPr>
              <w:tab/>
            </w:r>
            <w:r w:rsidR="0081470F">
              <w:rPr>
                <w:webHidden/>
              </w:rPr>
              <w:fldChar w:fldCharType="begin"/>
            </w:r>
            <w:r w:rsidR="0081470F">
              <w:rPr>
                <w:webHidden/>
              </w:rPr>
              <w:instrText xml:space="preserve"> PAGEREF _Toc76724131 \h </w:instrText>
            </w:r>
            <w:r w:rsidR="0081470F">
              <w:rPr>
                <w:webHidden/>
              </w:rPr>
            </w:r>
            <w:r w:rsidR="0081470F">
              <w:rPr>
                <w:webHidden/>
              </w:rPr>
              <w:fldChar w:fldCharType="separate"/>
            </w:r>
            <w:r w:rsidR="0081470F">
              <w:rPr>
                <w:webHidden/>
              </w:rPr>
              <w:t>6</w:t>
            </w:r>
            <w:r w:rsidR="0081470F">
              <w:rPr>
                <w:webHidden/>
              </w:rPr>
              <w:fldChar w:fldCharType="end"/>
            </w:r>
          </w:hyperlink>
        </w:p>
        <w:p w14:paraId="346D6148" w14:textId="7181D50F" w:rsidR="0081470F" w:rsidRDefault="00CE626C">
          <w:pPr>
            <w:pStyle w:val="TOC2"/>
            <w:rPr>
              <w:rFonts w:asciiTheme="minorHAnsi" w:eastAsiaTheme="minorEastAsia" w:hAnsiTheme="minorHAnsi" w:cstheme="minorBidi"/>
              <w:sz w:val="22"/>
              <w:szCs w:val="22"/>
              <w:lang w:eastAsia="en-AU"/>
            </w:rPr>
          </w:pPr>
          <w:hyperlink w:anchor="_Toc76724132" w:history="1">
            <w:r w:rsidR="0081470F" w:rsidRPr="004B06A6">
              <w:rPr>
                <w:rStyle w:val="Hyperlink"/>
              </w:rPr>
              <w:t>Will my organisation be able to maintain its specialist focus in the delivery of new service models?</w:t>
            </w:r>
            <w:r w:rsidR="0081470F">
              <w:rPr>
                <w:webHidden/>
              </w:rPr>
              <w:tab/>
            </w:r>
            <w:r w:rsidR="0081470F">
              <w:rPr>
                <w:webHidden/>
              </w:rPr>
              <w:fldChar w:fldCharType="begin"/>
            </w:r>
            <w:r w:rsidR="0081470F">
              <w:rPr>
                <w:webHidden/>
              </w:rPr>
              <w:instrText xml:space="preserve"> PAGEREF _Toc76724132 \h </w:instrText>
            </w:r>
            <w:r w:rsidR="0081470F">
              <w:rPr>
                <w:webHidden/>
              </w:rPr>
            </w:r>
            <w:r w:rsidR="0081470F">
              <w:rPr>
                <w:webHidden/>
              </w:rPr>
              <w:fldChar w:fldCharType="separate"/>
            </w:r>
            <w:r w:rsidR="0081470F">
              <w:rPr>
                <w:webHidden/>
              </w:rPr>
              <w:t>6</w:t>
            </w:r>
            <w:r w:rsidR="0081470F">
              <w:rPr>
                <w:webHidden/>
              </w:rPr>
              <w:fldChar w:fldCharType="end"/>
            </w:r>
          </w:hyperlink>
        </w:p>
        <w:p w14:paraId="6339E351" w14:textId="23EA8448" w:rsidR="0081470F" w:rsidRDefault="00CE626C">
          <w:pPr>
            <w:pStyle w:val="TOC1"/>
            <w:rPr>
              <w:rFonts w:asciiTheme="minorHAnsi" w:eastAsiaTheme="minorEastAsia" w:hAnsiTheme="minorHAnsi" w:cstheme="minorBidi"/>
              <w:b w:val="0"/>
              <w:sz w:val="22"/>
              <w:szCs w:val="22"/>
              <w:lang w:eastAsia="en-AU"/>
            </w:rPr>
          </w:pPr>
          <w:hyperlink w:anchor="_Toc76724133" w:history="1">
            <w:r w:rsidR="0081470F" w:rsidRPr="004B06A6">
              <w:rPr>
                <w:rStyle w:val="Hyperlink"/>
              </w:rPr>
              <w:t>Referral pathways​</w:t>
            </w:r>
            <w:r w:rsidR="0081470F">
              <w:rPr>
                <w:webHidden/>
              </w:rPr>
              <w:tab/>
            </w:r>
            <w:r w:rsidR="0081470F">
              <w:rPr>
                <w:webHidden/>
              </w:rPr>
              <w:fldChar w:fldCharType="begin"/>
            </w:r>
            <w:r w:rsidR="0081470F">
              <w:rPr>
                <w:webHidden/>
              </w:rPr>
              <w:instrText xml:space="preserve"> PAGEREF _Toc76724133 \h </w:instrText>
            </w:r>
            <w:r w:rsidR="0081470F">
              <w:rPr>
                <w:webHidden/>
              </w:rPr>
            </w:r>
            <w:r w:rsidR="0081470F">
              <w:rPr>
                <w:webHidden/>
              </w:rPr>
              <w:fldChar w:fldCharType="separate"/>
            </w:r>
            <w:r w:rsidR="0081470F">
              <w:rPr>
                <w:webHidden/>
              </w:rPr>
              <w:t>7</w:t>
            </w:r>
            <w:r w:rsidR="0081470F">
              <w:rPr>
                <w:webHidden/>
              </w:rPr>
              <w:fldChar w:fldCharType="end"/>
            </w:r>
          </w:hyperlink>
        </w:p>
        <w:p w14:paraId="3ED2844D" w14:textId="7FCBEA1A" w:rsidR="0081470F" w:rsidRDefault="00CE626C">
          <w:pPr>
            <w:pStyle w:val="TOC2"/>
            <w:rPr>
              <w:rFonts w:asciiTheme="minorHAnsi" w:eastAsiaTheme="minorEastAsia" w:hAnsiTheme="minorHAnsi" w:cstheme="minorBidi"/>
              <w:sz w:val="22"/>
              <w:szCs w:val="22"/>
              <w:lang w:eastAsia="en-AU"/>
            </w:rPr>
          </w:pPr>
          <w:hyperlink w:anchor="_Toc76724134" w:history="1">
            <w:r w:rsidR="0081470F" w:rsidRPr="004B06A6">
              <w:rPr>
                <w:rStyle w:val="Hyperlink"/>
              </w:rPr>
              <w:t>What happens with children and families currently receiving a placement prevention and reunification service that is to be discontinued?</w:t>
            </w:r>
            <w:r w:rsidR="0081470F">
              <w:rPr>
                <w:webHidden/>
              </w:rPr>
              <w:tab/>
            </w:r>
            <w:r w:rsidR="0081470F">
              <w:rPr>
                <w:webHidden/>
              </w:rPr>
              <w:fldChar w:fldCharType="begin"/>
            </w:r>
            <w:r w:rsidR="0081470F">
              <w:rPr>
                <w:webHidden/>
              </w:rPr>
              <w:instrText xml:space="preserve"> PAGEREF _Toc76724134 \h </w:instrText>
            </w:r>
            <w:r w:rsidR="0081470F">
              <w:rPr>
                <w:webHidden/>
              </w:rPr>
            </w:r>
            <w:r w:rsidR="0081470F">
              <w:rPr>
                <w:webHidden/>
              </w:rPr>
              <w:fldChar w:fldCharType="separate"/>
            </w:r>
            <w:r w:rsidR="0081470F">
              <w:rPr>
                <w:webHidden/>
              </w:rPr>
              <w:t>7</w:t>
            </w:r>
            <w:r w:rsidR="0081470F">
              <w:rPr>
                <w:webHidden/>
              </w:rPr>
              <w:fldChar w:fldCharType="end"/>
            </w:r>
          </w:hyperlink>
        </w:p>
        <w:p w14:paraId="2D2A4AB3" w14:textId="72C99BEF" w:rsidR="0081470F" w:rsidRDefault="00CE626C">
          <w:pPr>
            <w:pStyle w:val="TOC2"/>
            <w:rPr>
              <w:rFonts w:asciiTheme="minorHAnsi" w:eastAsiaTheme="minorEastAsia" w:hAnsiTheme="minorHAnsi" w:cstheme="minorBidi"/>
              <w:sz w:val="22"/>
              <w:szCs w:val="22"/>
              <w:lang w:eastAsia="en-AU"/>
            </w:rPr>
          </w:pPr>
          <w:hyperlink w:anchor="_Toc76724135" w:history="1">
            <w:r w:rsidR="0081470F" w:rsidRPr="004B06A6">
              <w:rPr>
                <w:rStyle w:val="Hyperlink"/>
              </w:rPr>
              <w:t>How should any new referrals received between now and 1 August be managed?</w:t>
            </w:r>
            <w:r w:rsidR="0081470F">
              <w:rPr>
                <w:webHidden/>
              </w:rPr>
              <w:tab/>
            </w:r>
            <w:r w:rsidR="0081470F">
              <w:rPr>
                <w:webHidden/>
              </w:rPr>
              <w:fldChar w:fldCharType="begin"/>
            </w:r>
            <w:r w:rsidR="0081470F">
              <w:rPr>
                <w:webHidden/>
              </w:rPr>
              <w:instrText xml:space="preserve"> PAGEREF _Toc76724135 \h </w:instrText>
            </w:r>
            <w:r w:rsidR="0081470F">
              <w:rPr>
                <w:webHidden/>
              </w:rPr>
            </w:r>
            <w:r w:rsidR="0081470F">
              <w:rPr>
                <w:webHidden/>
              </w:rPr>
              <w:fldChar w:fldCharType="separate"/>
            </w:r>
            <w:r w:rsidR="0081470F">
              <w:rPr>
                <w:webHidden/>
              </w:rPr>
              <w:t>7</w:t>
            </w:r>
            <w:r w:rsidR="0081470F">
              <w:rPr>
                <w:webHidden/>
              </w:rPr>
              <w:fldChar w:fldCharType="end"/>
            </w:r>
          </w:hyperlink>
        </w:p>
        <w:p w14:paraId="4A808EDE" w14:textId="2EF132EB" w:rsidR="0081470F" w:rsidRDefault="00CE626C">
          <w:pPr>
            <w:pStyle w:val="TOC2"/>
            <w:rPr>
              <w:rFonts w:asciiTheme="minorHAnsi" w:eastAsiaTheme="minorEastAsia" w:hAnsiTheme="minorHAnsi" w:cstheme="minorBidi"/>
              <w:sz w:val="22"/>
              <w:szCs w:val="22"/>
              <w:lang w:eastAsia="en-AU"/>
            </w:rPr>
          </w:pPr>
          <w:hyperlink w:anchor="_Toc76724136" w:history="1">
            <w:r w:rsidR="0081470F" w:rsidRPr="004B06A6">
              <w:rPr>
                <w:rStyle w:val="Hyperlink"/>
              </w:rPr>
              <w:t>How will referrals into the new services be made after 1 August?</w:t>
            </w:r>
            <w:r w:rsidR="0081470F">
              <w:rPr>
                <w:webHidden/>
              </w:rPr>
              <w:tab/>
            </w:r>
            <w:r w:rsidR="0081470F">
              <w:rPr>
                <w:webHidden/>
              </w:rPr>
              <w:fldChar w:fldCharType="begin"/>
            </w:r>
            <w:r w:rsidR="0081470F">
              <w:rPr>
                <w:webHidden/>
              </w:rPr>
              <w:instrText xml:space="preserve"> PAGEREF _Toc76724136 \h </w:instrText>
            </w:r>
            <w:r w:rsidR="0081470F">
              <w:rPr>
                <w:webHidden/>
              </w:rPr>
            </w:r>
            <w:r w:rsidR="0081470F">
              <w:rPr>
                <w:webHidden/>
              </w:rPr>
              <w:fldChar w:fldCharType="separate"/>
            </w:r>
            <w:r w:rsidR="0081470F">
              <w:rPr>
                <w:webHidden/>
              </w:rPr>
              <w:t>8</w:t>
            </w:r>
            <w:r w:rsidR="0081470F">
              <w:rPr>
                <w:webHidden/>
              </w:rPr>
              <w:fldChar w:fldCharType="end"/>
            </w:r>
          </w:hyperlink>
        </w:p>
        <w:p w14:paraId="634775EF" w14:textId="7DE0A6A4" w:rsidR="0081470F" w:rsidRDefault="00CE626C">
          <w:pPr>
            <w:pStyle w:val="TOC2"/>
            <w:rPr>
              <w:rFonts w:asciiTheme="minorHAnsi" w:eastAsiaTheme="minorEastAsia" w:hAnsiTheme="minorHAnsi" w:cstheme="minorBidi"/>
              <w:sz w:val="22"/>
              <w:szCs w:val="22"/>
              <w:lang w:eastAsia="en-AU"/>
            </w:rPr>
          </w:pPr>
          <w:hyperlink w:anchor="_Toc76724139" w:history="1">
            <w:r w:rsidR="0081470F" w:rsidRPr="004B06A6">
              <w:rPr>
                <w:rStyle w:val="Hyperlink"/>
              </w:rPr>
              <w:t>How will referrals to specialised intervention supports be made after 1 August?</w:t>
            </w:r>
            <w:r w:rsidR="0081470F">
              <w:rPr>
                <w:webHidden/>
              </w:rPr>
              <w:tab/>
            </w:r>
            <w:r w:rsidR="0081470F">
              <w:rPr>
                <w:webHidden/>
              </w:rPr>
              <w:fldChar w:fldCharType="begin"/>
            </w:r>
            <w:r w:rsidR="0081470F">
              <w:rPr>
                <w:webHidden/>
              </w:rPr>
              <w:instrText xml:space="preserve"> PAGEREF _Toc76724139 \h </w:instrText>
            </w:r>
            <w:r w:rsidR="0081470F">
              <w:rPr>
                <w:webHidden/>
              </w:rPr>
            </w:r>
            <w:r w:rsidR="0081470F">
              <w:rPr>
                <w:webHidden/>
              </w:rPr>
              <w:fldChar w:fldCharType="separate"/>
            </w:r>
            <w:r w:rsidR="0081470F">
              <w:rPr>
                <w:webHidden/>
              </w:rPr>
              <w:t>8</w:t>
            </w:r>
            <w:r w:rsidR="0081470F">
              <w:rPr>
                <w:webHidden/>
              </w:rPr>
              <w:fldChar w:fldCharType="end"/>
            </w:r>
          </w:hyperlink>
        </w:p>
        <w:p w14:paraId="478443F1" w14:textId="2B0F7BA2" w:rsidR="0081470F" w:rsidRDefault="00CE626C">
          <w:pPr>
            <w:pStyle w:val="TOC1"/>
            <w:rPr>
              <w:rFonts w:asciiTheme="minorHAnsi" w:eastAsiaTheme="minorEastAsia" w:hAnsiTheme="minorHAnsi" w:cstheme="minorBidi"/>
              <w:b w:val="0"/>
              <w:sz w:val="22"/>
              <w:szCs w:val="22"/>
              <w:lang w:eastAsia="en-AU"/>
            </w:rPr>
          </w:pPr>
          <w:hyperlink w:anchor="_Toc76724140" w:history="1">
            <w:r w:rsidR="0081470F" w:rsidRPr="004B06A6">
              <w:rPr>
                <w:rStyle w:val="Hyperlink"/>
              </w:rPr>
              <w:t>Case recording and reporting</w:t>
            </w:r>
            <w:r w:rsidR="0081470F">
              <w:rPr>
                <w:webHidden/>
              </w:rPr>
              <w:tab/>
            </w:r>
            <w:r w:rsidR="0081470F">
              <w:rPr>
                <w:webHidden/>
              </w:rPr>
              <w:fldChar w:fldCharType="begin"/>
            </w:r>
            <w:r w:rsidR="0081470F">
              <w:rPr>
                <w:webHidden/>
              </w:rPr>
              <w:instrText xml:space="preserve"> PAGEREF _Toc76724140 \h </w:instrText>
            </w:r>
            <w:r w:rsidR="0081470F">
              <w:rPr>
                <w:webHidden/>
              </w:rPr>
            </w:r>
            <w:r w:rsidR="0081470F">
              <w:rPr>
                <w:webHidden/>
              </w:rPr>
              <w:fldChar w:fldCharType="separate"/>
            </w:r>
            <w:r w:rsidR="0081470F">
              <w:rPr>
                <w:webHidden/>
              </w:rPr>
              <w:t>9</w:t>
            </w:r>
            <w:r w:rsidR="0081470F">
              <w:rPr>
                <w:webHidden/>
              </w:rPr>
              <w:fldChar w:fldCharType="end"/>
            </w:r>
          </w:hyperlink>
        </w:p>
        <w:p w14:paraId="382F4087" w14:textId="7ED208C4" w:rsidR="0081470F" w:rsidRDefault="00CE626C">
          <w:pPr>
            <w:pStyle w:val="TOC2"/>
            <w:rPr>
              <w:rFonts w:asciiTheme="minorHAnsi" w:eastAsiaTheme="minorEastAsia" w:hAnsiTheme="minorHAnsi" w:cstheme="minorBidi"/>
              <w:sz w:val="22"/>
              <w:szCs w:val="22"/>
              <w:lang w:eastAsia="en-AU"/>
            </w:rPr>
          </w:pPr>
          <w:hyperlink w:anchor="_Toc76724141" w:history="1">
            <w:r w:rsidR="0081470F" w:rsidRPr="004B06A6">
              <w:rPr>
                <w:rStyle w:val="Hyperlink"/>
              </w:rPr>
              <w:t>How should cases for the Response and Intensive Family Services be recorded in IRIS?</w:t>
            </w:r>
            <w:r w:rsidR="0081470F">
              <w:rPr>
                <w:webHidden/>
              </w:rPr>
              <w:tab/>
            </w:r>
            <w:r w:rsidR="0081470F">
              <w:rPr>
                <w:webHidden/>
              </w:rPr>
              <w:fldChar w:fldCharType="begin"/>
            </w:r>
            <w:r w:rsidR="0081470F">
              <w:rPr>
                <w:webHidden/>
              </w:rPr>
              <w:instrText xml:space="preserve"> PAGEREF _Toc76724141 \h </w:instrText>
            </w:r>
            <w:r w:rsidR="0081470F">
              <w:rPr>
                <w:webHidden/>
              </w:rPr>
            </w:r>
            <w:r w:rsidR="0081470F">
              <w:rPr>
                <w:webHidden/>
              </w:rPr>
              <w:fldChar w:fldCharType="separate"/>
            </w:r>
            <w:r w:rsidR="0081470F">
              <w:rPr>
                <w:webHidden/>
              </w:rPr>
              <w:t>9</w:t>
            </w:r>
            <w:r w:rsidR="0081470F">
              <w:rPr>
                <w:webHidden/>
              </w:rPr>
              <w:fldChar w:fldCharType="end"/>
            </w:r>
          </w:hyperlink>
        </w:p>
        <w:p w14:paraId="07CB5BEE" w14:textId="0FD6B359" w:rsidR="0081470F" w:rsidRDefault="00CE626C">
          <w:pPr>
            <w:pStyle w:val="TOC2"/>
            <w:rPr>
              <w:rFonts w:asciiTheme="minorHAnsi" w:eastAsiaTheme="minorEastAsia" w:hAnsiTheme="minorHAnsi" w:cstheme="minorBidi"/>
              <w:sz w:val="22"/>
              <w:szCs w:val="22"/>
              <w:lang w:eastAsia="en-AU"/>
            </w:rPr>
          </w:pPr>
          <w:hyperlink w:anchor="_Toc76724142" w:history="1">
            <w:r w:rsidR="0081470F" w:rsidRPr="004B06A6">
              <w:rPr>
                <w:rStyle w:val="Hyperlink"/>
              </w:rPr>
              <w:t>How should existing cases be recorded in IRIS?</w:t>
            </w:r>
            <w:r w:rsidR="0081470F">
              <w:rPr>
                <w:webHidden/>
              </w:rPr>
              <w:tab/>
            </w:r>
            <w:r w:rsidR="0081470F">
              <w:rPr>
                <w:webHidden/>
              </w:rPr>
              <w:fldChar w:fldCharType="begin"/>
            </w:r>
            <w:r w:rsidR="0081470F">
              <w:rPr>
                <w:webHidden/>
              </w:rPr>
              <w:instrText xml:space="preserve"> PAGEREF _Toc76724142 \h </w:instrText>
            </w:r>
            <w:r w:rsidR="0081470F">
              <w:rPr>
                <w:webHidden/>
              </w:rPr>
            </w:r>
            <w:r w:rsidR="0081470F">
              <w:rPr>
                <w:webHidden/>
              </w:rPr>
              <w:fldChar w:fldCharType="separate"/>
            </w:r>
            <w:r w:rsidR="0081470F">
              <w:rPr>
                <w:webHidden/>
              </w:rPr>
              <w:t>9</w:t>
            </w:r>
            <w:r w:rsidR="0081470F">
              <w:rPr>
                <w:webHidden/>
              </w:rPr>
              <w:fldChar w:fldCharType="end"/>
            </w:r>
          </w:hyperlink>
        </w:p>
        <w:p w14:paraId="1F92679E" w14:textId="6F76306F" w:rsidR="0081470F" w:rsidRDefault="00CE626C">
          <w:pPr>
            <w:pStyle w:val="TOC2"/>
            <w:rPr>
              <w:rFonts w:asciiTheme="minorHAnsi" w:eastAsiaTheme="minorEastAsia" w:hAnsiTheme="minorHAnsi" w:cstheme="minorBidi"/>
              <w:sz w:val="22"/>
              <w:szCs w:val="22"/>
              <w:lang w:eastAsia="en-AU"/>
            </w:rPr>
          </w:pPr>
          <w:hyperlink w:anchor="_Toc76724143" w:history="1">
            <w:r w:rsidR="0081470F" w:rsidRPr="004B06A6">
              <w:rPr>
                <w:rStyle w:val="Hyperlink"/>
              </w:rPr>
              <w:t>How will targets be counted in the transition and implementation period?</w:t>
            </w:r>
            <w:r w:rsidR="0081470F">
              <w:rPr>
                <w:webHidden/>
              </w:rPr>
              <w:tab/>
            </w:r>
            <w:r w:rsidR="0081470F">
              <w:rPr>
                <w:webHidden/>
              </w:rPr>
              <w:fldChar w:fldCharType="begin"/>
            </w:r>
            <w:r w:rsidR="0081470F">
              <w:rPr>
                <w:webHidden/>
              </w:rPr>
              <w:instrText xml:space="preserve"> PAGEREF _Toc76724143 \h </w:instrText>
            </w:r>
            <w:r w:rsidR="0081470F">
              <w:rPr>
                <w:webHidden/>
              </w:rPr>
            </w:r>
            <w:r w:rsidR="0081470F">
              <w:rPr>
                <w:webHidden/>
              </w:rPr>
              <w:fldChar w:fldCharType="separate"/>
            </w:r>
            <w:r w:rsidR="0081470F">
              <w:rPr>
                <w:webHidden/>
              </w:rPr>
              <w:t>10</w:t>
            </w:r>
            <w:r w:rsidR="0081470F">
              <w:rPr>
                <w:webHidden/>
              </w:rPr>
              <w:fldChar w:fldCharType="end"/>
            </w:r>
          </w:hyperlink>
        </w:p>
        <w:p w14:paraId="10181371" w14:textId="7C979D3B" w:rsidR="0081470F" w:rsidRDefault="00CE626C">
          <w:pPr>
            <w:pStyle w:val="TOC1"/>
            <w:rPr>
              <w:rFonts w:asciiTheme="minorHAnsi" w:eastAsiaTheme="minorEastAsia" w:hAnsiTheme="minorHAnsi" w:cstheme="minorBidi"/>
              <w:b w:val="0"/>
              <w:sz w:val="22"/>
              <w:szCs w:val="22"/>
              <w:lang w:eastAsia="en-AU"/>
            </w:rPr>
          </w:pPr>
          <w:hyperlink w:anchor="_Toc76724147" w:history="1">
            <w:r w:rsidR="0081470F" w:rsidRPr="004B06A6">
              <w:rPr>
                <w:rStyle w:val="Hyperlink"/>
              </w:rPr>
              <w:t>Staffing and governance​</w:t>
            </w:r>
            <w:r w:rsidR="0081470F">
              <w:rPr>
                <w:webHidden/>
              </w:rPr>
              <w:tab/>
            </w:r>
            <w:r w:rsidR="0081470F">
              <w:rPr>
                <w:webHidden/>
              </w:rPr>
              <w:fldChar w:fldCharType="begin"/>
            </w:r>
            <w:r w:rsidR="0081470F">
              <w:rPr>
                <w:webHidden/>
              </w:rPr>
              <w:instrText xml:space="preserve"> PAGEREF _Toc76724147 \h </w:instrText>
            </w:r>
            <w:r w:rsidR="0081470F">
              <w:rPr>
                <w:webHidden/>
              </w:rPr>
            </w:r>
            <w:r w:rsidR="0081470F">
              <w:rPr>
                <w:webHidden/>
              </w:rPr>
              <w:fldChar w:fldCharType="separate"/>
            </w:r>
            <w:r w:rsidR="0081470F">
              <w:rPr>
                <w:webHidden/>
              </w:rPr>
              <w:t>11</w:t>
            </w:r>
            <w:r w:rsidR="0081470F">
              <w:rPr>
                <w:webHidden/>
              </w:rPr>
              <w:fldChar w:fldCharType="end"/>
            </w:r>
          </w:hyperlink>
        </w:p>
        <w:p w14:paraId="06AE80D7" w14:textId="0C54A9EC" w:rsidR="0081470F" w:rsidRDefault="00CE626C">
          <w:pPr>
            <w:pStyle w:val="TOC2"/>
            <w:rPr>
              <w:rFonts w:asciiTheme="minorHAnsi" w:eastAsiaTheme="minorEastAsia" w:hAnsiTheme="minorHAnsi" w:cstheme="minorBidi"/>
              <w:sz w:val="22"/>
              <w:szCs w:val="22"/>
              <w:lang w:eastAsia="en-AU"/>
            </w:rPr>
          </w:pPr>
          <w:hyperlink w:anchor="_Toc76724148" w:history="1">
            <w:r w:rsidR="0081470F" w:rsidRPr="004B06A6">
              <w:rPr>
                <w:rStyle w:val="Hyperlink"/>
              </w:rPr>
              <w:t>What staffing arrangements should be in place for the Response before 1 August?</w:t>
            </w:r>
            <w:r w:rsidR="0081470F">
              <w:rPr>
                <w:webHidden/>
              </w:rPr>
              <w:tab/>
            </w:r>
            <w:r w:rsidR="0081470F">
              <w:rPr>
                <w:webHidden/>
              </w:rPr>
              <w:fldChar w:fldCharType="begin"/>
            </w:r>
            <w:r w:rsidR="0081470F">
              <w:rPr>
                <w:webHidden/>
              </w:rPr>
              <w:instrText xml:space="preserve"> PAGEREF _Toc76724148 \h </w:instrText>
            </w:r>
            <w:r w:rsidR="0081470F">
              <w:rPr>
                <w:webHidden/>
              </w:rPr>
            </w:r>
            <w:r w:rsidR="0081470F">
              <w:rPr>
                <w:webHidden/>
              </w:rPr>
              <w:fldChar w:fldCharType="separate"/>
            </w:r>
            <w:r w:rsidR="0081470F">
              <w:rPr>
                <w:webHidden/>
              </w:rPr>
              <w:t>11</w:t>
            </w:r>
            <w:r w:rsidR="0081470F">
              <w:rPr>
                <w:webHidden/>
              </w:rPr>
              <w:fldChar w:fldCharType="end"/>
            </w:r>
          </w:hyperlink>
        </w:p>
        <w:p w14:paraId="6F9160B7" w14:textId="24C245BD" w:rsidR="0081470F" w:rsidRDefault="00CE626C">
          <w:pPr>
            <w:pStyle w:val="TOC2"/>
            <w:rPr>
              <w:rFonts w:asciiTheme="minorHAnsi" w:eastAsiaTheme="minorEastAsia" w:hAnsiTheme="minorHAnsi" w:cstheme="minorBidi"/>
              <w:sz w:val="22"/>
              <w:szCs w:val="22"/>
              <w:lang w:eastAsia="en-AU"/>
            </w:rPr>
          </w:pPr>
          <w:hyperlink w:anchor="_Toc76724149" w:history="1">
            <w:r w:rsidR="0081470F" w:rsidRPr="004B06A6">
              <w:rPr>
                <w:rStyle w:val="Hyperlink"/>
              </w:rPr>
              <w:t>What local area operational governance arrangements should be in place for the Response before 1 August?</w:t>
            </w:r>
            <w:r w:rsidR="0081470F">
              <w:rPr>
                <w:webHidden/>
              </w:rPr>
              <w:tab/>
            </w:r>
            <w:r w:rsidR="0081470F">
              <w:rPr>
                <w:webHidden/>
              </w:rPr>
              <w:fldChar w:fldCharType="begin"/>
            </w:r>
            <w:r w:rsidR="0081470F">
              <w:rPr>
                <w:webHidden/>
              </w:rPr>
              <w:instrText xml:space="preserve"> PAGEREF _Toc76724149 \h </w:instrText>
            </w:r>
            <w:r w:rsidR="0081470F">
              <w:rPr>
                <w:webHidden/>
              </w:rPr>
            </w:r>
            <w:r w:rsidR="0081470F">
              <w:rPr>
                <w:webHidden/>
              </w:rPr>
              <w:fldChar w:fldCharType="separate"/>
            </w:r>
            <w:r w:rsidR="0081470F">
              <w:rPr>
                <w:webHidden/>
              </w:rPr>
              <w:t>11</w:t>
            </w:r>
            <w:r w:rsidR="0081470F">
              <w:rPr>
                <w:webHidden/>
              </w:rPr>
              <w:fldChar w:fldCharType="end"/>
            </w:r>
          </w:hyperlink>
        </w:p>
        <w:p w14:paraId="3738378E" w14:textId="13445838" w:rsidR="0081470F" w:rsidRDefault="00CE626C">
          <w:pPr>
            <w:pStyle w:val="TOC1"/>
            <w:rPr>
              <w:rFonts w:asciiTheme="minorHAnsi" w:eastAsiaTheme="minorEastAsia" w:hAnsiTheme="minorHAnsi" w:cstheme="minorBidi"/>
              <w:b w:val="0"/>
              <w:sz w:val="22"/>
              <w:szCs w:val="22"/>
              <w:lang w:eastAsia="en-AU"/>
            </w:rPr>
          </w:pPr>
          <w:hyperlink w:anchor="_Toc76724150" w:history="1">
            <w:r w:rsidR="0081470F" w:rsidRPr="004B06A6">
              <w:rPr>
                <w:rStyle w:val="Hyperlink"/>
              </w:rPr>
              <w:t>Further information</w:t>
            </w:r>
            <w:r w:rsidR="0081470F">
              <w:rPr>
                <w:webHidden/>
              </w:rPr>
              <w:tab/>
            </w:r>
            <w:r w:rsidR="0081470F">
              <w:rPr>
                <w:webHidden/>
              </w:rPr>
              <w:fldChar w:fldCharType="begin"/>
            </w:r>
            <w:r w:rsidR="0081470F">
              <w:rPr>
                <w:webHidden/>
              </w:rPr>
              <w:instrText xml:space="preserve"> PAGEREF _Toc76724150 \h </w:instrText>
            </w:r>
            <w:r w:rsidR="0081470F">
              <w:rPr>
                <w:webHidden/>
              </w:rPr>
            </w:r>
            <w:r w:rsidR="0081470F">
              <w:rPr>
                <w:webHidden/>
              </w:rPr>
              <w:fldChar w:fldCharType="separate"/>
            </w:r>
            <w:r w:rsidR="0081470F">
              <w:rPr>
                <w:webHidden/>
              </w:rPr>
              <w:t>11</w:t>
            </w:r>
            <w:r w:rsidR="0081470F">
              <w:rPr>
                <w:webHidden/>
              </w:rPr>
              <w:fldChar w:fldCharType="end"/>
            </w:r>
          </w:hyperlink>
        </w:p>
        <w:p w14:paraId="6396D815" w14:textId="02B80BCC" w:rsidR="00D878EE" w:rsidRPr="002D67CA" w:rsidRDefault="008B581E" w:rsidP="002D67CA">
          <w:pPr>
            <w:pStyle w:val="TOC2"/>
          </w:pPr>
          <w:r>
            <w:rPr>
              <w:b/>
              <w:bCs/>
            </w:rPr>
            <w:fldChar w:fldCharType="end"/>
          </w:r>
        </w:p>
      </w:sdtContent>
    </w:sdt>
    <w:p w14:paraId="48DB45B4" w14:textId="584E63A1" w:rsidR="00836B8A" w:rsidRDefault="006077D2" w:rsidP="00836B8A">
      <w:pPr>
        <w:pStyle w:val="Heading1"/>
      </w:pPr>
      <w:bookmarkStart w:id="1" w:name="_Toc76724121"/>
      <w:r>
        <w:lastRenderedPageBreak/>
        <w:t>Background</w:t>
      </w:r>
      <w:bookmarkEnd w:id="1"/>
    </w:p>
    <w:p w14:paraId="34DEB76D" w14:textId="3A5E3922" w:rsidR="00952A7D" w:rsidRPr="00952A7D" w:rsidRDefault="00670B1B" w:rsidP="16C7A64E">
      <w:pPr>
        <w:pStyle w:val="Body"/>
      </w:pPr>
      <w:r>
        <w:t xml:space="preserve">The </w:t>
      </w:r>
      <w:r w:rsidR="126B42E0">
        <w:t>Department of</w:t>
      </w:r>
      <w:r w:rsidR="174761B8">
        <w:t xml:space="preserve"> Families, Fairness and Housing (Department) is making </w:t>
      </w:r>
      <w:r>
        <w:t xml:space="preserve">transformative changes </w:t>
      </w:r>
      <w:r w:rsidR="174761B8">
        <w:t>across the child and family</w:t>
      </w:r>
      <w:r w:rsidR="0F0C64BF">
        <w:t xml:space="preserve"> </w:t>
      </w:r>
      <w:r w:rsidR="174761B8">
        <w:t xml:space="preserve">services system, as it implements </w:t>
      </w:r>
      <w:r w:rsidR="174761B8" w:rsidRPr="00F03811">
        <w:rPr>
          <w:i/>
          <w:iCs/>
        </w:rPr>
        <w:t>Roadmap for Reform</w:t>
      </w:r>
      <w:r w:rsidR="00F03811">
        <w:rPr>
          <w:i/>
          <w:iCs/>
        </w:rPr>
        <w:t xml:space="preserve">: </w:t>
      </w:r>
      <w:r w:rsidR="00F03811" w:rsidRPr="00836B8A">
        <w:rPr>
          <w:i/>
          <w:iCs/>
        </w:rPr>
        <w:t>Strong Families, Safe Children</w:t>
      </w:r>
      <w:r w:rsidR="174761B8">
        <w:t>.</w:t>
      </w:r>
    </w:p>
    <w:p w14:paraId="33209CA1" w14:textId="6A7944B3" w:rsidR="00F03811" w:rsidRPr="00952A7D" w:rsidRDefault="00F03811" w:rsidP="00F03811">
      <w:pPr>
        <w:pStyle w:val="Body"/>
      </w:pPr>
      <w:r w:rsidRPr="00952A7D">
        <w:t>In line with </w:t>
      </w:r>
      <w:r w:rsidRPr="00836B8A">
        <w:rPr>
          <w:i/>
          <w:iCs/>
        </w:rPr>
        <w:t>Roadmap for Reform</w:t>
      </w:r>
      <w:r>
        <w:rPr>
          <w:i/>
          <w:iCs/>
        </w:rPr>
        <w:t xml:space="preserve">, </w:t>
      </w:r>
      <w:r w:rsidRPr="00952A7D">
        <w:t>in late 2020, </w:t>
      </w:r>
      <w:r>
        <w:t>the Department</w:t>
      </w:r>
      <w:r w:rsidRPr="00952A7D">
        <w:t> </w:t>
      </w:r>
      <w:r>
        <w:t>began</w:t>
      </w:r>
      <w:r w:rsidRPr="00952A7D">
        <w:t> fundin</w:t>
      </w:r>
      <w:r>
        <w:t xml:space="preserve">g </w:t>
      </w:r>
      <w:r w:rsidRPr="00952A7D">
        <w:t>some</w:t>
      </w:r>
      <w:r>
        <w:t xml:space="preserve"> </w:t>
      </w:r>
      <w:r w:rsidRPr="00952A7D">
        <w:t>organisations</w:t>
      </w:r>
      <w:r>
        <w:t xml:space="preserve"> </w:t>
      </w:r>
      <w:r w:rsidRPr="00952A7D">
        <w:t>to</w:t>
      </w:r>
      <w:r>
        <w:t xml:space="preserve"> </w:t>
      </w:r>
      <w:r w:rsidRPr="00952A7D">
        <w:t>deliver</w:t>
      </w:r>
      <w:r>
        <w:t xml:space="preserve"> </w:t>
      </w:r>
      <w:r w:rsidRPr="00952A7D">
        <w:t>the</w:t>
      </w:r>
      <w:r>
        <w:t xml:space="preserve"> Family Preservation and Reunification Response (Response) (Phase 1)</w:t>
      </w:r>
      <w:r w:rsidRPr="00952A7D">
        <w:t>. </w:t>
      </w:r>
    </w:p>
    <w:p w14:paraId="09C51AE7" w14:textId="77777777" w:rsidR="006077D2" w:rsidRPr="00952A7D" w:rsidRDefault="006077D2" w:rsidP="006077D2">
      <w:pPr>
        <w:pStyle w:val="Body"/>
      </w:pPr>
      <w:r w:rsidRPr="00952A7D">
        <w:t>The Response uses contemporary, evidence-based approaches to support children and families to remain together safely and to prevent children entering care, in addition to providing rapid, intensive support so that children in care can safely return home. </w:t>
      </w:r>
    </w:p>
    <w:p w14:paraId="2C38F07B" w14:textId="32FE7463" w:rsidR="00952A7D" w:rsidRPr="00952A7D" w:rsidRDefault="174761B8" w:rsidP="16C7A64E">
      <w:pPr>
        <w:pStyle w:val="Body"/>
      </w:pPr>
      <w:r>
        <w:t xml:space="preserve">The introduction of the </w:t>
      </w:r>
      <w:r w:rsidR="00F03811">
        <w:t>Response i</w:t>
      </w:r>
      <w:r>
        <w:t>s a tangible example of how the Department is pivoting the system</w:t>
      </w:r>
      <w:r w:rsidR="5C326902">
        <w:t xml:space="preserve"> </w:t>
      </w:r>
      <w:r>
        <w:t>towards earlier intervention, establishing a robust approach to building and applying</w:t>
      </w:r>
      <w:r w:rsidR="510F18A4">
        <w:t xml:space="preserve"> </w:t>
      </w:r>
      <w:r>
        <w:t>evidence, delivering targeted and effective responses for priority cohorts of children and</w:t>
      </w:r>
      <w:r w:rsidR="634CB2BD">
        <w:t xml:space="preserve"> </w:t>
      </w:r>
      <w:r>
        <w:t>families, and joining up operating models through practice reforms and integrated</w:t>
      </w:r>
      <w:r w:rsidR="77C380AF">
        <w:t xml:space="preserve"> </w:t>
      </w:r>
      <w:r>
        <w:t>governance.</w:t>
      </w:r>
    </w:p>
    <w:p w14:paraId="5714E514" w14:textId="77777777" w:rsidR="00F03811" w:rsidRPr="00952A7D" w:rsidRDefault="00F03811" w:rsidP="00F03811">
      <w:pPr>
        <w:pStyle w:val="Body"/>
      </w:pPr>
      <w:r w:rsidRPr="00952A7D">
        <w:t>This landmark initiative marks an important milestone in the reform journey, bringing together a range of system, service and practice changes into the service delivery environment, and laying the foundation for building and scaling evidence-informed service models across the children and families service platform.  </w:t>
      </w:r>
    </w:p>
    <w:p w14:paraId="566E2EF4" w14:textId="4A1CEE09" w:rsidR="00952A7D" w:rsidRPr="00952A7D" w:rsidRDefault="00670B1B" w:rsidP="16C7A64E">
      <w:pPr>
        <w:pStyle w:val="Body"/>
      </w:pPr>
      <w:r>
        <w:t>This</w:t>
      </w:r>
      <w:r w:rsidR="174761B8">
        <w:t xml:space="preserve"> is a critical step towards</w:t>
      </w:r>
      <w:r w:rsidR="21D6C6DC">
        <w:t xml:space="preserve"> </w:t>
      </w:r>
      <w:r w:rsidR="174761B8">
        <w:t>fully implementing the continuum of early help, targeted and specialist support, continuing</w:t>
      </w:r>
      <w:r w:rsidR="1B826BA9">
        <w:t xml:space="preserve"> </w:t>
      </w:r>
      <w:r w:rsidR="174761B8">
        <w:t xml:space="preserve">care pathways, and enabling conditions for system transformation. </w:t>
      </w:r>
    </w:p>
    <w:p w14:paraId="7473D28F" w14:textId="77777777" w:rsidR="006077D2" w:rsidRDefault="006077D2" w:rsidP="006077D2">
      <w:pPr>
        <w:pStyle w:val="Heading1"/>
      </w:pPr>
      <w:bookmarkStart w:id="2" w:name="_Toc76724122"/>
      <w:r>
        <w:t>Purpose of guide</w:t>
      </w:r>
      <w:bookmarkEnd w:id="2"/>
    </w:p>
    <w:p w14:paraId="7645737E" w14:textId="52E49A6C" w:rsidR="00C277FC" w:rsidRPr="00952A7D" w:rsidRDefault="00C277FC" w:rsidP="00C277FC">
      <w:pPr>
        <w:pStyle w:val="Body"/>
      </w:pPr>
      <w:r w:rsidRPr="00952A7D">
        <w:t xml:space="preserve">The next stage of reform will see some </w:t>
      </w:r>
      <w:r w:rsidR="00670B1B">
        <w:t>placement prevention and reunification programs</w:t>
      </w:r>
      <w:r w:rsidRPr="00952A7D">
        <w:t xml:space="preserve"> and activities being discontinued to allow for: </w:t>
      </w:r>
    </w:p>
    <w:p w14:paraId="616C951E" w14:textId="77777777" w:rsidR="00C277FC" w:rsidRPr="00952A7D" w:rsidRDefault="00C277FC" w:rsidP="00C277FC">
      <w:pPr>
        <w:pStyle w:val="Body"/>
        <w:numPr>
          <w:ilvl w:val="0"/>
          <w:numId w:val="33"/>
        </w:numPr>
      </w:pPr>
      <w:r w:rsidRPr="00952A7D">
        <w:t>the expansion of the Response to reach more children and families in more places; and  </w:t>
      </w:r>
    </w:p>
    <w:p w14:paraId="1DA192EA" w14:textId="77777777" w:rsidR="00C277FC" w:rsidRPr="00952A7D" w:rsidRDefault="00C277FC" w:rsidP="00C277FC">
      <w:pPr>
        <w:pStyle w:val="Body"/>
        <w:numPr>
          <w:ilvl w:val="0"/>
          <w:numId w:val="33"/>
        </w:numPr>
      </w:pPr>
      <w:r w:rsidRPr="00952A7D">
        <w:t xml:space="preserve">the creation of </w:t>
      </w:r>
      <w:r>
        <w:t xml:space="preserve">a </w:t>
      </w:r>
      <w:r w:rsidRPr="00952A7D">
        <w:t>new service activit</w:t>
      </w:r>
      <w:r>
        <w:t>y – Intensive Family Services -</w:t>
      </w:r>
      <w:r w:rsidRPr="00952A7D">
        <w:t xml:space="preserve"> targeting a broader group of children and families in need of intensive support.  </w:t>
      </w:r>
    </w:p>
    <w:p w14:paraId="7E76CD8B" w14:textId="0631ED4B" w:rsidR="006F7716" w:rsidRPr="00952A7D" w:rsidRDefault="006F7716" w:rsidP="00952A7D">
      <w:pPr>
        <w:pStyle w:val="Body"/>
      </w:pPr>
      <w:r>
        <w:t xml:space="preserve">This guide is designed to support providers of </w:t>
      </w:r>
      <w:r w:rsidR="0050488C">
        <w:t xml:space="preserve">discontinuing </w:t>
      </w:r>
      <w:r w:rsidR="006F7717">
        <w:t>programs</w:t>
      </w:r>
      <w:r w:rsidR="00A13720">
        <w:t xml:space="preserve"> </w:t>
      </w:r>
      <w:r w:rsidR="0050488C">
        <w:t>to</w:t>
      </w:r>
      <w:r w:rsidR="0035647B">
        <w:t xml:space="preserve"> prepare for the</w:t>
      </w:r>
      <w:r w:rsidR="0050488C">
        <w:t xml:space="preserve"> transition to </w:t>
      </w:r>
      <w:r w:rsidR="004075C3">
        <w:t xml:space="preserve">deliver the </w:t>
      </w:r>
      <w:r w:rsidR="0050488C">
        <w:t>Response</w:t>
      </w:r>
      <w:r w:rsidR="00DD08F5">
        <w:t xml:space="preserve"> and/or Intensive Family Services as well as for </w:t>
      </w:r>
      <w:r w:rsidR="002A781F">
        <w:t xml:space="preserve">all new and existing </w:t>
      </w:r>
      <w:r w:rsidR="00DD08F5">
        <w:t xml:space="preserve">providers of the Response </w:t>
      </w:r>
      <w:r w:rsidR="002A781F">
        <w:t>to prepare for the expansion of the model</w:t>
      </w:r>
      <w:r w:rsidR="00406E65">
        <w:t xml:space="preserve"> and the operational changes this will bring</w:t>
      </w:r>
      <w:r w:rsidR="00DD08F5">
        <w:t>.</w:t>
      </w:r>
    </w:p>
    <w:p w14:paraId="1B2551EA" w14:textId="3749BE2C" w:rsidR="008B581E" w:rsidRDefault="008B581E" w:rsidP="008B581E">
      <w:pPr>
        <w:pStyle w:val="Heading1"/>
      </w:pPr>
      <w:bookmarkStart w:id="3" w:name="_Toc76724123"/>
      <w:r>
        <w:t>Transition and implementation timelines and support</w:t>
      </w:r>
      <w:bookmarkEnd w:id="3"/>
    </w:p>
    <w:p w14:paraId="01C442A6" w14:textId="77777777" w:rsidR="008B581E" w:rsidRDefault="008B581E" w:rsidP="008B581E">
      <w:pPr>
        <w:pStyle w:val="Heading2"/>
      </w:pPr>
      <w:bookmarkStart w:id="4" w:name="_Toc76724124"/>
      <w:r>
        <w:t>Are new services expected to be fully implemented by 1 August?</w:t>
      </w:r>
      <w:bookmarkEnd w:id="4"/>
    </w:p>
    <w:p w14:paraId="613D8D1B" w14:textId="77777777" w:rsidR="008B581E" w:rsidRDefault="008B581E" w:rsidP="008B581E">
      <w:pPr>
        <w:pStyle w:val="Body"/>
      </w:pPr>
      <w:r>
        <w:t xml:space="preserve">The transformation of new evidence informed placement prevention and reunification service models within the child and family services platform </w:t>
      </w:r>
      <w:r w:rsidRPr="004E3E89">
        <w:rPr>
          <w:i/>
          <w:iCs/>
        </w:rPr>
        <w:t>begins</w:t>
      </w:r>
      <w:r>
        <w:t xml:space="preserve"> from 1 August 2021.  </w:t>
      </w:r>
    </w:p>
    <w:p w14:paraId="115B247F" w14:textId="712109A2" w:rsidR="008B581E" w:rsidRDefault="008B581E" w:rsidP="008B581E">
      <w:pPr>
        <w:pStyle w:val="DHHSbody"/>
        <w:rPr>
          <w:sz w:val="21"/>
          <w:szCs w:val="21"/>
        </w:rPr>
      </w:pPr>
      <w:r>
        <w:rPr>
          <w:sz w:val="21"/>
          <w:szCs w:val="21"/>
        </w:rPr>
        <w:t>That said, the discontinuation of existing programs and commencement of new service models is not expected to happen instantaneously. The implementation process will be phased and require a planned approach, based on principles of best interests of children and maintenance of service continuity.</w:t>
      </w:r>
    </w:p>
    <w:p w14:paraId="7093E4E4" w14:textId="124790D2" w:rsidR="008B581E" w:rsidRPr="00153983" w:rsidRDefault="008B581E" w:rsidP="008B581E">
      <w:pPr>
        <w:pStyle w:val="DHHSbody"/>
        <w:rPr>
          <w:sz w:val="21"/>
          <w:szCs w:val="21"/>
        </w:rPr>
      </w:pPr>
      <w:r>
        <w:rPr>
          <w:sz w:val="21"/>
          <w:szCs w:val="21"/>
        </w:rPr>
        <w:t xml:space="preserve">It is not envisaged that all targets for the Response and Intensive Family Services are allocated </w:t>
      </w:r>
      <w:r w:rsidR="2960420C" w:rsidRPr="7F186369">
        <w:rPr>
          <w:sz w:val="21"/>
          <w:szCs w:val="21"/>
        </w:rPr>
        <w:t xml:space="preserve">to new eligible families </w:t>
      </w:r>
      <w:r>
        <w:rPr>
          <w:sz w:val="21"/>
          <w:szCs w:val="21"/>
        </w:rPr>
        <w:t xml:space="preserve">from 1 August 2021, rather that these connections are made steadily over the year. It is important that the Response is </w:t>
      </w:r>
      <w:r w:rsidRPr="00952A7D">
        <w:rPr>
          <w:sz w:val="21"/>
          <w:szCs w:val="21"/>
        </w:rPr>
        <w:t xml:space="preserve">consistently </w:t>
      </w:r>
      <w:r>
        <w:rPr>
          <w:sz w:val="21"/>
          <w:szCs w:val="21"/>
        </w:rPr>
        <w:t>targeted to</w:t>
      </w:r>
      <w:r w:rsidRPr="0003041A">
        <w:rPr>
          <w:sz w:val="21"/>
          <w:szCs w:val="21"/>
        </w:rPr>
        <w:t xml:space="preserve"> families with complex support needs with children at risk of entering care or remaining in care</w:t>
      </w:r>
      <w:r w:rsidRPr="6566EDA3">
        <w:rPr>
          <w:sz w:val="21"/>
          <w:szCs w:val="21"/>
        </w:rPr>
        <w:t xml:space="preserve"> to demonstrate impact. </w:t>
      </w:r>
    </w:p>
    <w:p w14:paraId="74C0E6FA" w14:textId="2FBD596C" w:rsidR="008B581E" w:rsidRPr="00057D5A" w:rsidRDefault="008B581E" w:rsidP="008B581E">
      <w:pPr>
        <w:pStyle w:val="DHHSbody"/>
        <w:rPr>
          <w:sz w:val="21"/>
          <w:szCs w:val="21"/>
        </w:rPr>
      </w:pPr>
      <w:r>
        <w:rPr>
          <w:sz w:val="21"/>
          <w:szCs w:val="21"/>
        </w:rPr>
        <w:lastRenderedPageBreak/>
        <w:t xml:space="preserve">Further, it is not expected that practitioners and team leaders will be fully trained and coached in the delivery of </w:t>
      </w:r>
      <w:r w:rsidRPr="0003041A">
        <w:rPr>
          <w:sz w:val="21"/>
          <w:szCs w:val="21"/>
        </w:rPr>
        <w:t xml:space="preserve">practice modules however it is important to understand that these modules are designed to </w:t>
      </w:r>
      <w:r>
        <w:rPr>
          <w:sz w:val="21"/>
          <w:szCs w:val="21"/>
        </w:rPr>
        <w:t xml:space="preserve">build on and </w:t>
      </w:r>
      <w:r w:rsidRPr="0003041A">
        <w:rPr>
          <w:sz w:val="21"/>
          <w:szCs w:val="21"/>
        </w:rPr>
        <w:t>enhance existing practice</w:t>
      </w:r>
      <w:r>
        <w:rPr>
          <w:sz w:val="21"/>
          <w:szCs w:val="21"/>
        </w:rPr>
        <w:t>s</w:t>
      </w:r>
      <w:r w:rsidRPr="0003041A">
        <w:rPr>
          <w:sz w:val="21"/>
          <w:szCs w:val="21"/>
        </w:rPr>
        <w:t xml:space="preserve">. </w:t>
      </w:r>
      <w:r>
        <w:rPr>
          <w:sz w:val="21"/>
          <w:szCs w:val="21"/>
        </w:rPr>
        <w:t xml:space="preserve">Practitioners transitioning from placement prevention and reunification programs into the Response or Intensive Family Service will be able to draw on existing </w:t>
      </w:r>
      <w:r w:rsidRPr="0003041A">
        <w:rPr>
          <w:sz w:val="21"/>
          <w:szCs w:val="21"/>
        </w:rPr>
        <w:t>skill</w:t>
      </w:r>
      <w:r>
        <w:rPr>
          <w:sz w:val="21"/>
          <w:szCs w:val="21"/>
        </w:rPr>
        <w:t xml:space="preserve">s, </w:t>
      </w:r>
      <w:proofErr w:type="gramStart"/>
      <w:r>
        <w:rPr>
          <w:sz w:val="21"/>
          <w:szCs w:val="21"/>
        </w:rPr>
        <w:t>expertise</w:t>
      </w:r>
      <w:proofErr w:type="gramEnd"/>
      <w:r>
        <w:rPr>
          <w:sz w:val="21"/>
          <w:szCs w:val="21"/>
        </w:rPr>
        <w:t xml:space="preserve"> and wisdom to deliver</w:t>
      </w:r>
      <w:r w:rsidRPr="0003041A">
        <w:rPr>
          <w:sz w:val="21"/>
          <w:szCs w:val="21"/>
        </w:rPr>
        <w:t xml:space="preserve"> quality services to these families</w:t>
      </w:r>
      <w:r>
        <w:rPr>
          <w:sz w:val="21"/>
          <w:szCs w:val="21"/>
        </w:rPr>
        <w:t xml:space="preserve">, as evidence </w:t>
      </w:r>
      <w:r w:rsidRPr="76C5A560">
        <w:rPr>
          <w:sz w:val="21"/>
          <w:szCs w:val="21"/>
        </w:rPr>
        <w:t>inform</w:t>
      </w:r>
      <w:r w:rsidR="4A715044" w:rsidRPr="76C5A560">
        <w:rPr>
          <w:sz w:val="21"/>
          <w:szCs w:val="21"/>
        </w:rPr>
        <w:t>ed</w:t>
      </w:r>
      <w:r>
        <w:rPr>
          <w:sz w:val="21"/>
          <w:szCs w:val="21"/>
        </w:rPr>
        <w:t xml:space="preserve"> practices are introduced</w:t>
      </w:r>
      <w:r w:rsidRPr="0003041A">
        <w:rPr>
          <w:sz w:val="21"/>
          <w:szCs w:val="21"/>
        </w:rPr>
        <w:t xml:space="preserve">. </w:t>
      </w:r>
    </w:p>
    <w:p w14:paraId="2769F13E" w14:textId="77777777" w:rsidR="008B581E" w:rsidRDefault="008B581E" w:rsidP="008B581E">
      <w:pPr>
        <w:pStyle w:val="Heading2"/>
      </w:pPr>
      <w:bookmarkStart w:id="5" w:name="_Toc76724125"/>
      <w:r>
        <w:t>What support can I expect to receive prior to 1 August?</w:t>
      </w:r>
      <w:bookmarkEnd w:id="5"/>
    </w:p>
    <w:p w14:paraId="2658AB12" w14:textId="7F94DEF6" w:rsidR="008B581E" w:rsidRDefault="008B581E" w:rsidP="008B581E">
      <w:pPr>
        <w:pStyle w:val="Body"/>
      </w:pPr>
      <w:r>
        <w:t xml:space="preserve">It is important to recognise the size and scale of the changes we are making and that it will take time </w:t>
      </w:r>
      <w:r w:rsidR="002F5B96">
        <w:t xml:space="preserve">to </w:t>
      </w:r>
      <w:r>
        <w:t>fully implement the new service models. It is expected that transitional arrangements and implementation support will continue for a period beyond the 1 August commencement date.</w:t>
      </w:r>
    </w:p>
    <w:p w14:paraId="32A79952" w14:textId="77777777" w:rsidR="008B581E" w:rsidRDefault="008B581E" w:rsidP="008B581E">
      <w:pPr>
        <w:pStyle w:val="Body"/>
      </w:pPr>
      <w:r>
        <w:t xml:space="preserve">To support existing and new providers and divisions to prepare for these changes, the department will be delivering a series of </w:t>
      </w:r>
      <w:r w:rsidRPr="002F10DE">
        <w:rPr>
          <w:b/>
        </w:rPr>
        <w:t>information sessions</w:t>
      </w:r>
      <w:r>
        <w:t xml:space="preserve"> to be held mid-July. </w:t>
      </w:r>
    </w:p>
    <w:p w14:paraId="62B1B913" w14:textId="77777777" w:rsidR="008B581E" w:rsidRDefault="008B581E" w:rsidP="008B581E">
      <w:pPr>
        <w:pStyle w:val="Body"/>
      </w:pPr>
      <w:r>
        <w:t>We will be developing and updating key resources to support implementation, including:</w:t>
      </w:r>
    </w:p>
    <w:p w14:paraId="57160962" w14:textId="5AF68DAB" w:rsidR="008B581E" w:rsidRDefault="003D7F45" w:rsidP="0081470F">
      <w:pPr>
        <w:pStyle w:val="Bullet1"/>
      </w:pPr>
      <w:r>
        <w:t>a</w:t>
      </w:r>
      <w:r w:rsidR="00C4563B">
        <w:t xml:space="preserve"> </w:t>
      </w:r>
      <w:r w:rsidR="008B581E">
        <w:t xml:space="preserve">revised </w:t>
      </w:r>
      <w:r w:rsidR="008B581E" w:rsidRPr="002368E9">
        <w:rPr>
          <w:b/>
          <w:bCs/>
        </w:rPr>
        <w:t>operation</w:t>
      </w:r>
      <w:r w:rsidR="008B581E">
        <w:rPr>
          <w:b/>
          <w:bCs/>
        </w:rPr>
        <w:t>al</w:t>
      </w:r>
      <w:r w:rsidR="008B581E" w:rsidRPr="002368E9">
        <w:rPr>
          <w:b/>
          <w:bCs/>
        </w:rPr>
        <w:t xml:space="preserve"> guide</w:t>
      </w:r>
      <w:r w:rsidR="008B581E">
        <w:t xml:space="preserve"> for the Response, including updated advice on eligibility, connection (</w:t>
      </w:r>
      <w:r w:rsidR="00881F28">
        <w:t>referral</w:t>
      </w:r>
      <w:r w:rsidR="008B581E">
        <w:t>) pathways, roles and responsibilities, evidence-</w:t>
      </w:r>
      <w:r w:rsidR="00881F28">
        <w:t>informed</w:t>
      </w:r>
      <w:r w:rsidR="008B581E">
        <w:t xml:space="preserve"> </w:t>
      </w:r>
      <w:proofErr w:type="gramStart"/>
      <w:r w:rsidR="008B581E">
        <w:t>approaches</w:t>
      </w:r>
      <w:proofErr w:type="gramEnd"/>
      <w:r w:rsidR="008B581E">
        <w:t xml:space="preserve"> and operational requirements</w:t>
      </w:r>
    </w:p>
    <w:p w14:paraId="0372DBA2" w14:textId="77777777" w:rsidR="008B581E" w:rsidRDefault="008B581E" w:rsidP="0081470F">
      <w:pPr>
        <w:pStyle w:val="Bullet1"/>
      </w:pPr>
      <w:r>
        <w:t xml:space="preserve">interim </w:t>
      </w:r>
      <w:r w:rsidRPr="00A5334E">
        <w:rPr>
          <w:b/>
          <w:bCs/>
        </w:rPr>
        <w:t>p</w:t>
      </w:r>
      <w:r w:rsidRPr="00326118">
        <w:rPr>
          <w:b/>
          <w:bCs/>
        </w:rPr>
        <w:t>rogram requirements</w:t>
      </w:r>
      <w:r>
        <w:t xml:space="preserve"> for Intensive Family Services, including specific advice on model intent, target group, </w:t>
      </w:r>
      <w:proofErr w:type="gramStart"/>
      <w:r>
        <w:t>roles</w:t>
      </w:r>
      <w:proofErr w:type="gramEnd"/>
      <w:r>
        <w:t xml:space="preserve"> and responsibilities as well as governance and reporting requirements</w:t>
      </w:r>
    </w:p>
    <w:p w14:paraId="68607FF6" w14:textId="77777777" w:rsidR="008B581E" w:rsidRPr="002C31FD" w:rsidRDefault="008B581E" w:rsidP="0081470F">
      <w:pPr>
        <w:pStyle w:val="Bullet1"/>
        <w:rPr>
          <w:bCs/>
        </w:rPr>
      </w:pPr>
      <w:r>
        <w:rPr>
          <w:bCs/>
        </w:rPr>
        <w:t xml:space="preserve">new editions of </w:t>
      </w:r>
      <w:r>
        <w:rPr>
          <w:b/>
        </w:rPr>
        <w:t xml:space="preserve">frequently asked questions </w:t>
      </w:r>
      <w:r w:rsidRPr="002C31FD">
        <w:rPr>
          <w:bCs/>
        </w:rPr>
        <w:t xml:space="preserve">and </w:t>
      </w:r>
      <w:r>
        <w:rPr>
          <w:b/>
        </w:rPr>
        <w:t xml:space="preserve">fact sheets, </w:t>
      </w:r>
      <w:r w:rsidRPr="002C31FD">
        <w:rPr>
          <w:bCs/>
        </w:rPr>
        <w:t>including</w:t>
      </w:r>
      <w:r>
        <w:rPr>
          <w:bCs/>
        </w:rPr>
        <w:t xml:space="preserve"> an updated</w:t>
      </w:r>
      <w:r w:rsidRPr="002C31FD">
        <w:rPr>
          <w:bCs/>
        </w:rPr>
        <w:t xml:space="preserve"> list of providers</w:t>
      </w:r>
      <w:r>
        <w:rPr>
          <w:bCs/>
        </w:rPr>
        <w:t xml:space="preserve"> and area coverage</w:t>
      </w:r>
      <w:r w:rsidRPr="002C31FD">
        <w:rPr>
          <w:bCs/>
        </w:rPr>
        <w:t>.</w:t>
      </w:r>
    </w:p>
    <w:p w14:paraId="5919DD5A" w14:textId="61AEFE9F" w:rsidR="008B581E" w:rsidRDefault="008B581E" w:rsidP="0081470F">
      <w:pPr>
        <w:pStyle w:val="Bodyafterbullets"/>
      </w:pPr>
      <w:r>
        <w:t xml:space="preserve">While we hope that these resources will help organisations get started, it is important to recognise that the Response is a new initiative that is constantly </w:t>
      </w:r>
      <w:r w:rsidR="006C46DA">
        <w:t>evolving,</w:t>
      </w:r>
      <w:r>
        <w:t xml:space="preserve"> and we will continue to make available new resources as these are developed. </w:t>
      </w:r>
    </w:p>
    <w:p w14:paraId="504DAF7E" w14:textId="3F876920" w:rsidR="008B581E" w:rsidRPr="0059651D" w:rsidRDefault="008B581E" w:rsidP="008B581E">
      <w:pPr>
        <w:pStyle w:val="Heading2"/>
      </w:pPr>
      <w:bookmarkStart w:id="6" w:name="_Toc76724126"/>
      <w:r w:rsidRPr="0059651D">
        <w:t>W</w:t>
      </w:r>
      <w:r>
        <w:t>hat</w:t>
      </w:r>
      <w:r w:rsidRPr="0059651D">
        <w:t xml:space="preserve"> </w:t>
      </w:r>
      <w:r w:rsidR="006B52B5">
        <w:t>is the evidence</w:t>
      </w:r>
      <w:r w:rsidR="00E25DB6">
        <w:t>-</w:t>
      </w:r>
      <w:r w:rsidR="003A06C6">
        <w:t>informed</w:t>
      </w:r>
      <w:r w:rsidR="006B52B5">
        <w:t xml:space="preserve"> mode</w:t>
      </w:r>
      <w:r w:rsidR="00BA200E">
        <w:t>l and w</w:t>
      </w:r>
      <w:r w:rsidR="006B52B5">
        <w:t xml:space="preserve">hat </w:t>
      </w:r>
      <w:r>
        <w:t xml:space="preserve">support can new practitioners and team leaders expect to receive in delivering </w:t>
      </w:r>
      <w:r w:rsidR="00BA200E">
        <w:t>this model</w:t>
      </w:r>
      <w:r w:rsidRPr="0059651D">
        <w:t>?</w:t>
      </w:r>
      <w:bookmarkEnd w:id="6"/>
    </w:p>
    <w:p w14:paraId="3D635F4A" w14:textId="385B2451" w:rsidR="001F3BCF" w:rsidRPr="002E702E" w:rsidRDefault="006B52B5" w:rsidP="001F3BCF">
      <w:pPr>
        <w:pStyle w:val="Heading3"/>
      </w:pPr>
      <w:bookmarkStart w:id="7" w:name="_Toc76570442"/>
      <w:bookmarkStart w:id="8" w:name="_Toc76724127"/>
      <w:r>
        <w:t>E</w:t>
      </w:r>
      <w:r w:rsidR="001F3BCF" w:rsidRPr="002E702E">
        <w:t>vidence-</w:t>
      </w:r>
      <w:r w:rsidR="000B3B49">
        <w:t>informed</w:t>
      </w:r>
      <w:r w:rsidR="001F3BCF" w:rsidRPr="002E702E">
        <w:t xml:space="preserve"> model</w:t>
      </w:r>
      <w:bookmarkEnd w:id="7"/>
      <w:bookmarkEnd w:id="8"/>
      <w:r w:rsidR="001F3BCF" w:rsidRPr="002E702E">
        <w:t> </w:t>
      </w:r>
    </w:p>
    <w:p w14:paraId="7E93410F" w14:textId="36F57F36" w:rsidR="009B2691" w:rsidRDefault="009B2691" w:rsidP="009B2691">
      <w:pPr>
        <w:pStyle w:val="Body"/>
      </w:pPr>
      <w:r>
        <w:t xml:space="preserve">The Response is unique to our service system. </w:t>
      </w:r>
      <w:r w:rsidR="000B3B49">
        <w:t>The</w:t>
      </w:r>
      <w:r>
        <w:t xml:space="preserve"> implementation process has been designed to build workforce capability through training, coaching and support to embed data-led decision making by a team of practice and implementation specialists. These specialists will work with a key contact/s or role/s in each organisation to ensure that implementation efforts are sustained. </w:t>
      </w:r>
    </w:p>
    <w:p w14:paraId="61A0217D" w14:textId="4FF2E40B" w:rsidR="001F3BCF" w:rsidRPr="002E702E" w:rsidRDefault="001F3BCF" w:rsidP="001F3BCF">
      <w:pPr>
        <w:pStyle w:val="Body"/>
      </w:pPr>
      <w:r w:rsidRPr="002E702E">
        <w:t>Response </w:t>
      </w:r>
      <w:r>
        <w:t>p</w:t>
      </w:r>
      <w:r w:rsidRPr="002E702E">
        <w:t>roviders will</w:t>
      </w:r>
      <w:r w:rsidR="00BA200E">
        <w:t xml:space="preserve"> be required to</w:t>
      </w:r>
      <w:r w:rsidRPr="002E702E">
        <w:t xml:space="preserve"> use an evidence-informed approach to deliver support to children and families. Two broad approaches are being used across the state: </w:t>
      </w:r>
    </w:p>
    <w:p w14:paraId="5731A727" w14:textId="6DBB1D72" w:rsidR="001F3BCF" w:rsidRDefault="001F3BCF" w:rsidP="0081470F">
      <w:pPr>
        <w:pStyle w:val="Bullet1"/>
      </w:pPr>
      <w:r w:rsidRPr="002E702E">
        <w:t xml:space="preserve">Family Preservation and Reunification </w:t>
      </w:r>
      <w:r w:rsidR="00B6038B">
        <w:t>p</w:t>
      </w:r>
      <w:r w:rsidRPr="002E702E">
        <w:t xml:space="preserve">ractice </w:t>
      </w:r>
      <w:r w:rsidR="00B6038B">
        <w:t>m</w:t>
      </w:r>
      <w:r w:rsidRPr="002E702E">
        <w:t xml:space="preserve">odules, including Aboriginal </w:t>
      </w:r>
      <w:r w:rsidR="00B6038B">
        <w:t>c</w:t>
      </w:r>
      <w:r w:rsidRPr="002E702E">
        <w:t xml:space="preserve">ultural </w:t>
      </w:r>
      <w:r w:rsidR="00B6038B">
        <w:t>e</w:t>
      </w:r>
      <w:r w:rsidRPr="002E702E">
        <w:t>lements, with implementation support</w:t>
      </w:r>
      <w:r w:rsidR="00BA200E">
        <w:t>, or</w:t>
      </w:r>
    </w:p>
    <w:p w14:paraId="26E66ED7" w14:textId="2F3A9FFD" w:rsidR="001F3BCF" w:rsidRPr="002E702E" w:rsidRDefault="001F3BCF" w:rsidP="0081470F">
      <w:pPr>
        <w:pStyle w:val="Bullet1"/>
      </w:pPr>
      <w:r w:rsidRPr="002E702E">
        <w:t>an existing Evidence-</w:t>
      </w:r>
      <w:r w:rsidR="00E16C04">
        <w:t>B</w:t>
      </w:r>
      <w:r w:rsidRPr="002E702E">
        <w:t xml:space="preserve">ased </w:t>
      </w:r>
      <w:r w:rsidR="00E16C04">
        <w:t>P</w:t>
      </w:r>
      <w:r w:rsidRPr="002E702E">
        <w:t>rogram</w:t>
      </w:r>
      <w:r w:rsidR="00E16C04">
        <w:t xml:space="preserve"> (EBP)</w:t>
      </w:r>
      <w:r w:rsidRPr="002E702E">
        <w:t> that includes practice elements that support FPR and implementation support. </w:t>
      </w:r>
    </w:p>
    <w:p w14:paraId="6388F11C" w14:textId="55E028C5" w:rsidR="003D7F45" w:rsidRDefault="003D7F45" w:rsidP="0081470F">
      <w:pPr>
        <w:pStyle w:val="Bodyafterbullets"/>
      </w:pPr>
      <w:r w:rsidRPr="002E702E">
        <w:t>Implementation support positions in Mobile Implementation Teams </w:t>
      </w:r>
      <w:r w:rsidR="008313E7">
        <w:t xml:space="preserve">(MITs) </w:t>
      </w:r>
      <w:r w:rsidR="00E16C04">
        <w:t xml:space="preserve">will </w:t>
      </w:r>
      <w:r w:rsidRPr="002E702E">
        <w:t xml:space="preserve">guide agencies through implementing the </w:t>
      </w:r>
      <w:r w:rsidR="00E16C04">
        <w:t>p</w:t>
      </w:r>
      <w:r w:rsidRPr="002E702E">
        <w:t xml:space="preserve">ractice </w:t>
      </w:r>
      <w:r w:rsidR="00E16C04">
        <w:t>m</w:t>
      </w:r>
      <w:r w:rsidRPr="002E702E">
        <w:t>odules</w:t>
      </w:r>
      <w:r w:rsidR="006F3F32">
        <w:t xml:space="preserve"> and cultural elements</w:t>
      </w:r>
      <w:r w:rsidRPr="002E702E">
        <w:t xml:space="preserve"> so that they are integrated into </w:t>
      </w:r>
      <w:r w:rsidR="006B52B5">
        <w:t>business as usual</w:t>
      </w:r>
      <w:r w:rsidRPr="002E702E">
        <w:t xml:space="preserve">. This </w:t>
      </w:r>
      <w:r w:rsidR="005734FF">
        <w:t xml:space="preserve">will </w:t>
      </w:r>
      <w:r w:rsidRPr="002E702E">
        <w:t>involve establishing Local Implementation Teams</w:t>
      </w:r>
      <w:r w:rsidR="008313E7">
        <w:t xml:space="preserve"> (LIT</w:t>
      </w:r>
      <w:r w:rsidR="00A817D9">
        <w:t>s)</w:t>
      </w:r>
      <w:r w:rsidRPr="002E702E">
        <w:t>, continuous quality improvement and data led decision making, training and coaching practitioners, and building coaching skill in Team Leaders.  </w:t>
      </w:r>
    </w:p>
    <w:p w14:paraId="5CC02DBC" w14:textId="1D39CAF2" w:rsidR="00083755" w:rsidRPr="00083755" w:rsidRDefault="00083755" w:rsidP="00083755">
      <w:pPr>
        <w:pStyle w:val="Heading3"/>
      </w:pPr>
      <w:bookmarkStart w:id="9" w:name="_Toc76570443"/>
      <w:bookmarkStart w:id="10" w:name="_Toc76724128"/>
      <w:r>
        <w:lastRenderedPageBreak/>
        <w:t>Preparing for change</w:t>
      </w:r>
      <w:bookmarkEnd w:id="9"/>
      <w:bookmarkEnd w:id="10"/>
    </w:p>
    <w:p w14:paraId="2B4DC6EC" w14:textId="77777777" w:rsidR="00E25DB6" w:rsidRPr="002E702E" w:rsidRDefault="00E25DB6" w:rsidP="00E25DB6">
      <w:pPr>
        <w:pStyle w:val="Body"/>
      </w:pPr>
      <w:r>
        <w:t>Providers</w:t>
      </w:r>
      <w:r w:rsidRPr="002E702E">
        <w:t xml:space="preserve"> are required to identify a role or existing position that will be the key contact for implementation support and a conduit to building implementation science capability. These roles will work with the MITs to: </w:t>
      </w:r>
    </w:p>
    <w:p w14:paraId="61D513D0" w14:textId="116B074F" w:rsidR="00E25DB6" w:rsidRPr="002E702E" w:rsidRDefault="00E25DB6" w:rsidP="0081470F">
      <w:pPr>
        <w:pStyle w:val="Bullet1"/>
      </w:pPr>
      <w:r>
        <w:t>e</w:t>
      </w:r>
      <w:r w:rsidRPr="002E702E">
        <w:t xml:space="preserve">stablish </w:t>
      </w:r>
      <w:r w:rsidR="00EF0841">
        <w:t xml:space="preserve">and maintain </w:t>
      </w:r>
      <w:r w:rsidR="00BD112F">
        <w:t>LITs</w:t>
      </w:r>
      <w:r w:rsidRPr="002E702E">
        <w:t xml:space="preserve">. This </w:t>
      </w:r>
      <w:r w:rsidR="00BD112F">
        <w:t>will</w:t>
      </w:r>
      <w:r w:rsidRPr="002E702E">
        <w:t xml:space="preserve"> require identifying </w:t>
      </w:r>
      <w:r w:rsidR="00E1472E">
        <w:t xml:space="preserve">and engaging </w:t>
      </w:r>
      <w:r w:rsidRPr="002E702E">
        <w:t>appropriate LIT members. </w:t>
      </w:r>
    </w:p>
    <w:p w14:paraId="466608B9" w14:textId="52042A9B" w:rsidR="00E25DB6" w:rsidRDefault="00E25DB6" w:rsidP="0081470F">
      <w:pPr>
        <w:pStyle w:val="Bullet1"/>
      </w:pPr>
      <w:r>
        <w:t>c</w:t>
      </w:r>
      <w:r w:rsidRPr="002E702E">
        <w:t xml:space="preserve">oordinate and </w:t>
      </w:r>
      <w:r>
        <w:t>s</w:t>
      </w:r>
      <w:r w:rsidRPr="002E702E">
        <w:t>upport LITs</w:t>
      </w:r>
      <w:r w:rsidR="003F53E4">
        <w:t>.</w:t>
      </w:r>
      <w:r w:rsidR="00BA200E">
        <w:t xml:space="preserve"> This </w:t>
      </w:r>
      <w:r w:rsidR="001502D4">
        <w:t xml:space="preserve">will </w:t>
      </w:r>
      <w:r w:rsidR="00BA200E">
        <w:t>require</w:t>
      </w:r>
      <w:r w:rsidRPr="002E702E">
        <w:t xml:space="preserve"> scheduling meetings, preparing required papers or documentation, </w:t>
      </w:r>
      <w:r w:rsidR="001502D4">
        <w:t>revie</w:t>
      </w:r>
      <w:r w:rsidR="004936C6">
        <w:t>w</w:t>
      </w:r>
      <w:r w:rsidR="001502D4">
        <w:t xml:space="preserve">ing </w:t>
      </w:r>
      <w:r w:rsidR="009B7B12">
        <w:t>data,</w:t>
      </w:r>
      <w:r w:rsidR="001502D4">
        <w:t xml:space="preserve"> and </w:t>
      </w:r>
      <w:r w:rsidRPr="002E702E">
        <w:t xml:space="preserve">connecting the LIT to key </w:t>
      </w:r>
      <w:r>
        <w:t>organisation</w:t>
      </w:r>
      <w:r w:rsidRPr="002E702E">
        <w:t xml:space="preserve"> contacts as necessary. </w:t>
      </w:r>
    </w:p>
    <w:p w14:paraId="53698C34" w14:textId="1EE8B2F0" w:rsidR="00E25DB6" w:rsidRPr="002E702E" w:rsidRDefault="00E25DB6" w:rsidP="00E25DB6">
      <w:pPr>
        <w:pStyle w:val="Body"/>
      </w:pPr>
      <w:r>
        <w:t xml:space="preserve">Providers should </w:t>
      </w:r>
      <w:r w:rsidR="00BA200E">
        <w:t xml:space="preserve">also be </w:t>
      </w:r>
      <w:r>
        <w:t>plan</w:t>
      </w:r>
      <w:r w:rsidR="00BA200E">
        <w:t xml:space="preserve">ning </w:t>
      </w:r>
      <w:r>
        <w:t xml:space="preserve">for the use of evidence-based program development funding to </w:t>
      </w:r>
      <w:r w:rsidRPr="002E702E">
        <w:t xml:space="preserve">support activities that build </w:t>
      </w:r>
      <w:r>
        <w:t>organisational</w:t>
      </w:r>
      <w:r w:rsidRPr="002E702E">
        <w:t xml:space="preserve"> capability to embed and sustain evidence-based intervention that improve family preservation and reunification outcomes. These activities may include</w:t>
      </w:r>
      <w:r>
        <w:t xml:space="preserve"> for example,</w:t>
      </w:r>
      <w:r w:rsidRPr="002E702E">
        <w:t xml:space="preserve"> a role that leads and/or coordinates implementation activities, </w:t>
      </w:r>
      <w:r w:rsidR="001C396D">
        <w:t xml:space="preserve">assessment tool </w:t>
      </w:r>
      <w:r w:rsidRPr="002E702E">
        <w:t>licensing (</w:t>
      </w:r>
      <w:r w:rsidR="00517438">
        <w:t xml:space="preserve">for example </w:t>
      </w:r>
      <w:r w:rsidR="00517438" w:rsidRPr="002E702E">
        <w:t xml:space="preserve">NCFAS </w:t>
      </w:r>
      <w:r w:rsidRPr="002E702E">
        <w:t>or other</w:t>
      </w:r>
      <w:r w:rsidR="00517438">
        <w:t xml:space="preserve"> </w:t>
      </w:r>
      <w:r w:rsidR="00B30975">
        <w:t>tools</w:t>
      </w:r>
      <w:r w:rsidRPr="002E702E">
        <w:t>)</w:t>
      </w:r>
      <w:r>
        <w:t xml:space="preserve"> or </w:t>
      </w:r>
      <w:r w:rsidRPr="002E702E">
        <w:t>training backfill</w:t>
      </w:r>
      <w:r>
        <w:t>.</w:t>
      </w:r>
      <w:r w:rsidRPr="002E702E">
        <w:t> </w:t>
      </w:r>
    </w:p>
    <w:p w14:paraId="10CDD0F6" w14:textId="26EED994" w:rsidR="009B2691" w:rsidRDefault="00E25DB6" w:rsidP="009B2691">
      <w:pPr>
        <w:pStyle w:val="Body"/>
      </w:pPr>
      <w:r>
        <w:t>To support existing and new providers and divisions to prepare, the department will be delivering a dedicated implementation workshop</w:t>
      </w:r>
      <w:r w:rsidR="00BA200E">
        <w:t xml:space="preserve"> </w:t>
      </w:r>
      <w:r w:rsidR="25A74B63">
        <w:t xml:space="preserve">on </w:t>
      </w:r>
      <w:r w:rsidR="43C7AD5A">
        <w:t>28</w:t>
      </w:r>
      <w:r>
        <w:t xml:space="preserve"> July</w:t>
      </w:r>
      <w:r w:rsidR="1784D8A4">
        <w:t xml:space="preserve"> 2021.</w:t>
      </w:r>
      <w:r w:rsidR="00666CEA">
        <w:t xml:space="preserve"> </w:t>
      </w:r>
      <w:r w:rsidR="009B2691">
        <w:t>We will</w:t>
      </w:r>
      <w:r>
        <w:t xml:space="preserve"> also be</w:t>
      </w:r>
      <w:r w:rsidR="009B2691">
        <w:t xml:space="preserve"> developing and updating key resources to support implementation, including:</w:t>
      </w:r>
    </w:p>
    <w:p w14:paraId="6FBF0403" w14:textId="28928763" w:rsidR="003D7F45" w:rsidRDefault="003D7F45" w:rsidP="0081470F">
      <w:pPr>
        <w:pStyle w:val="Bullet1"/>
      </w:pPr>
      <w:r>
        <w:t xml:space="preserve">a </w:t>
      </w:r>
      <w:r w:rsidRPr="003D7F45">
        <w:rPr>
          <w:b/>
          <w:bCs/>
        </w:rPr>
        <w:t xml:space="preserve">policy and acquittal tool </w:t>
      </w:r>
      <w:r w:rsidRPr="00E25DB6">
        <w:t>for the use of evidence-based program development funding</w:t>
      </w:r>
    </w:p>
    <w:p w14:paraId="5221E00D" w14:textId="77777777" w:rsidR="00BA200E" w:rsidRDefault="003D7F45" w:rsidP="0081470F">
      <w:pPr>
        <w:pStyle w:val="Bullet1"/>
      </w:pPr>
      <w:r>
        <w:t xml:space="preserve">revisions to the </w:t>
      </w:r>
      <w:r w:rsidRPr="003D7F45">
        <w:rPr>
          <w:b/>
          <w:bCs/>
        </w:rPr>
        <w:t>Response SharePoint site</w:t>
      </w:r>
      <w:r>
        <w:t xml:space="preserve"> that contains resources that will be useful to introduce the capability building materials and tools and includes access to the self-guided learning components of the Practice Modules. </w:t>
      </w:r>
    </w:p>
    <w:p w14:paraId="34BE1C77" w14:textId="4C5ED098" w:rsidR="008B581E" w:rsidRDefault="008B581E" w:rsidP="0081470F">
      <w:pPr>
        <w:pStyle w:val="Bodyafterbullets"/>
      </w:pPr>
      <w:r>
        <w:t>We expect to commence and progressively roll out evidence implementation activities with new providers from August, informed by organisational readiness. This initial engagement will include implementation specialists working with the key implementation contact at each organisation to build readiness for training and coaching in the practice modules</w:t>
      </w:r>
      <w:r w:rsidR="00DB3FC4">
        <w:t xml:space="preserve">, establishing monitoring and evaluation </w:t>
      </w:r>
      <w:proofErr w:type="gramStart"/>
      <w:r w:rsidR="00DB3FC4">
        <w:t>proc</w:t>
      </w:r>
      <w:r w:rsidR="00B508BD">
        <w:t>esses</w:t>
      </w:r>
      <w:proofErr w:type="gramEnd"/>
      <w:r>
        <w:t xml:space="preserve"> and establishing </w:t>
      </w:r>
      <w:r w:rsidR="00557D77">
        <w:t>LITs</w:t>
      </w:r>
      <w:r>
        <w:t xml:space="preserve">. </w:t>
      </w:r>
    </w:p>
    <w:p w14:paraId="2B94EDE9" w14:textId="77777777" w:rsidR="008B581E" w:rsidRPr="007904BB" w:rsidRDefault="008B581E" w:rsidP="008B581E">
      <w:pPr>
        <w:pStyle w:val="Body"/>
        <w:rPr>
          <w:rFonts w:eastAsia="Times New Roman"/>
        </w:rPr>
      </w:pPr>
      <w:r>
        <w:t xml:space="preserve">While the self-guided training modules would ideally follow the preliminary evidence implementation activities with new teams, we recognise that many practitioners will be keen to commence their learning journey and will want to explore these resources as early as possible. </w:t>
      </w:r>
    </w:p>
    <w:p w14:paraId="20F06988" w14:textId="6762C58F" w:rsidR="002E702E" w:rsidRDefault="004D06DF" w:rsidP="008B581E">
      <w:pPr>
        <w:pStyle w:val="Body"/>
      </w:pPr>
      <w:r>
        <w:t xml:space="preserve">We recommend new providers support their practitioners and team leaders to register with the site as soon as possible, which they can do by contacting </w:t>
      </w:r>
      <w:hyperlink r:id="rId14" w:history="1">
        <w:r>
          <w:rPr>
            <w:rStyle w:val="Hyperlink"/>
          </w:rPr>
          <w:t>CSQSO@dhhs.vic.gov.au</w:t>
        </w:r>
      </w:hyperlink>
      <w:r>
        <w:t>.</w:t>
      </w:r>
      <w:r w:rsidR="00666CEA">
        <w:t xml:space="preserve"> </w:t>
      </w:r>
      <w:r w:rsidR="008B581E">
        <w:t xml:space="preserve">More detailed information about evidence implementation activities and how these will be supported by implementation specialists will be made available shortly. </w:t>
      </w:r>
    </w:p>
    <w:p w14:paraId="27E3A6B1" w14:textId="0F5ADE32" w:rsidR="008B581E" w:rsidRPr="006F14AF" w:rsidRDefault="008B581E" w:rsidP="008B581E">
      <w:pPr>
        <w:pStyle w:val="Heading1"/>
      </w:pPr>
      <w:bookmarkStart w:id="11" w:name="_Toc76724129"/>
      <w:r w:rsidRPr="009A233A">
        <w:rPr>
          <w:rStyle w:val="normaltextrun"/>
        </w:rPr>
        <w:t>Target cohort focus and specialisation</w:t>
      </w:r>
      <w:r w:rsidRPr="009A233A">
        <w:rPr>
          <w:rStyle w:val="eop"/>
        </w:rPr>
        <w:t>​</w:t>
      </w:r>
      <w:bookmarkEnd w:id="11"/>
    </w:p>
    <w:p w14:paraId="7480E4F7" w14:textId="688F9FA1" w:rsidR="008B581E" w:rsidRPr="004C50C6" w:rsidRDefault="008B581E" w:rsidP="008B581E">
      <w:pPr>
        <w:pStyle w:val="Heading2"/>
      </w:pPr>
      <w:bookmarkStart w:id="12" w:name="_Toc76724130"/>
      <w:r>
        <w:t xml:space="preserve">How will the </w:t>
      </w:r>
      <w:r w:rsidRPr="39318C98">
        <w:t>eligibility</w:t>
      </w:r>
      <w:r>
        <w:t xml:space="preserve"> criteria</w:t>
      </w:r>
      <w:r w:rsidRPr="39318C98">
        <w:t xml:space="preserve"> for the Response</w:t>
      </w:r>
      <w:r>
        <w:t xml:space="preserve"> differ from 1 August</w:t>
      </w:r>
      <w:r w:rsidRPr="39318C98">
        <w:t>?</w:t>
      </w:r>
      <w:bookmarkEnd w:id="12"/>
    </w:p>
    <w:p w14:paraId="10359A91" w14:textId="2D4FE490" w:rsidR="008B581E" w:rsidRDefault="008B581E" w:rsidP="008B581E">
      <w:pPr>
        <w:pStyle w:val="DHHSbody"/>
        <w:rPr>
          <w:sz w:val="21"/>
          <w:szCs w:val="21"/>
        </w:rPr>
      </w:pPr>
      <w:r>
        <w:rPr>
          <w:sz w:val="21"/>
          <w:szCs w:val="21"/>
        </w:rPr>
        <w:t xml:space="preserve">Revisions have been made to the </w:t>
      </w:r>
      <w:r w:rsidRPr="00785A4B">
        <w:rPr>
          <w:sz w:val="21"/>
          <w:szCs w:val="21"/>
        </w:rPr>
        <w:t>eligibility criteri</w:t>
      </w:r>
      <w:r>
        <w:rPr>
          <w:sz w:val="21"/>
          <w:szCs w:val="21"/>
        </w:rPr>
        <w:t xml:space="preserve">a to support the expansion of the Response </w:t>
      </w:r>
      <w:r w:rsidRPr="00406E65">
        <w:rPr>
          <w:sz w:val="21"/>
          <w:szCs w:val="21"/>
        </w:rPr>
        <w:t xml:space="preserve">from </w:t>
      </w:r>
      <w:r w:rsidR="006A0826">
        <w:rPr>
          <w:sz w:val="21"/>
          <w:szCs w:val="21"/>
        </w:rPr>
        <w:t xml:space="preserve">approximately </w:t>
      </w:r>
      <w:r w:rsidRPr="00406E65">
        <w:rPr>
          <w:sz w:val="21"/>
          <w:szCs w:val="21"/>
        </w:rPr>
        <w:t>7</w:t>
      </w:r>
      <w:r w:rsidR="006A0826">
        <w:rPr>
          <w:sz w:val="21"/>
          <w:szCs w:val="21"/>
        </w:rPr>
        <w:t>20</w:t>
      </w:r>
      <w:r w:rsidRPr="00406E65">
        <w:rPr>
          <w:sz w:val="21"/>
          <w:szCs w:val="21"/>
        </w:rPr>
        <w:t xml:space="preserve"> to 2,</w:t>
      </w:r>
      <w:r w:rsidR="006A0826">
        <w:rPr>
          <w:sz w:val="21"/>
          <w:szCs w:val="21"/>
        </w:rPr>
        <w:t>3</w:t>
      </w:r>
      <w:r w:rsidRPr="00406E65">
        <w:rPr>
          <w:sz w:val="21"/>
          <w:szCs w:val="21"/>
        </w:rPr>
        <w:t>00 families per year,</w:t>
      </w:r>
      <w:r>
        <w:t xml:space="preserve"> </w:t>
      </w:r>
      <w:r>
        <w:rPr>
          <w:sz w:val="21"/>
          <w:szCs w:val="21"/>
        </w:rPr>
        <w:t xml:space="preserve">following an in-depth risk factor analysis for entry to care and based on early learnings from Phase 1 of the Response. </w:t>
      </w:r>
      <w:r w:rsidRPr="00785A4B">
        <w:rPr>
          <w:sz w:val="21"/>
          <w:szCs w:val="21"/>
        </w:rPr>
        <w:t xml:space="preserve">This work has been led by </w:t>
      </w:r>
      <w:r>
        <w:rPr>
          <w:sz w:val="21"/>
          <w:szCs w:val="21"/>
        </w:rPr>
        <w:t>the Department of Health’s Analytics and Evidence Branch,</w:t>
      </w:r>
      <w:r w:rsidRPr="00785A4B">
        <w:rPr>
          <w:sz w:val="21"/>
          <w:szCs w:val="21"/>
        </w:rPr>
        <w:t xml:space="preserve"> </w:t>
      </w:r>
      <w:r>
        <w:rPr>
          <w:sz w:val="21"/>
          <w:szCs w:val="21"/>
        </w:rPr>
        <w:t>in partnership with</w:t>
      </w:r>
      <w:r w:rsidRPr="00785A4B">
        <w:rPr>
          <w:sz w:val="21"/>
          <w:szCs w:val="21"/>
        </w:rPr>
        <w:t xml:space="preserve"> the University of Adelaide, </w:t>
      </w:r>
      <w:r>
        <w:rPr>
          <w:sz w:val="21"/>
          <w:szCs w:val="21"/>
        </w:rPr>
        <w:t>and the Department of Families, Fairness and Housing</w:t>
      </w:r>
      <w:r w:rsidRPr="00785A4B">
        <w:rPr>
          <w:sz w:val="21"/>
          <w:szCs w:val="21"/>
        </w:rPr>
        <w:t xml:space="preserve">. </w:t>
      </w:r>
    </w:p>
    <w:p w14:paraId="6D003EB4" w14:textId="64497057" w:rsidR="00E87243" w:rsidRDefault="00E87243" w:rsidP="008B581E">
      <w:pPr>
        <w:pStyle w:val="DHHSbody"/>
        <w:rPr>
          <w:sz w:val="21"/>
          <w:szCs w:val="21"/>
        </w:rPr>
      </w:pPr>
    </w:p>
    <w:p w14:paraId="7067A6EC" w14:textId="77777777" w:rsidR="00E87243" w:rsidRPr="0008025A" w:rsidRDefault="00E87243" w:rsidP="008B581E">
      <w:pPr>
        <w:pStyle w:val="DHHSbody"/>
        <w:rPr>
          <w:sz w:val="21"/>
          <w:szCs w:val="21"/>
        </w:rPr>
      </w:pPr>
    </w:p>
    <w:tbl>
      <w:tblPr>
        <w:tblStyle w:val="TableGrid"/>
        <w:tblW w:w="1015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1830"/>
        <w:gridCol w:w="2809"/>
        <w:gridCol w:w="1740"/>
        <w:gridCol w:w="3779"/>
      </w:tblGrid>
      <w:tr w:rsidR="008B581E" w:rsidRPr="00E929E4" w14:paraId="7D3A4FB7" w14:textId="77777777" w:rsidTr="4165A6F1">
        <w:tc>
          <w:tcPr>
            <w:tcW w:w="1830" w:type="dxa"/>
            <w:shd w:val="clear" w:color="auto" w:fill="4F81BD" w:themeFill="accent1"/>
          </w:tcPr>
          <w:p w14:paraId="20BAEBAB" w14:textId="77777777" w:rsidR="008B581E" w:rsidRPr="00E929E4" w:rsidRDefault="008B581E" w:rsidP="00D133B5">
            <w:pPr>
              <w:pStyle w:val="DHHSbody"/>
              <w:rPr>
                <w:b/>
                <w:bCs/>
              </w:rPr>
            </w:pPr>
            <w:r w:rsidRPr="00E929E4">
              <w:rPr>
                <w:rFonts w:cs="Arial"/>
                <w:b/>
                <w:color w:val="FFFFFF" w:themeColor="light1"/>
                <w:kern w:val="24"/>
                <w:lang w:eastAsia="en-AU"/>
              </w:rPr>
              <w:lastRenderedPageBreak/>
              <w:t>Stage</w:t>
            </w:r>
          </w:p>
        </w:tc>
        <w:tc>
          <w:tcPr>
            <w:tcW w:w="2809" w:type="dxa"/>
            <w:tcBorders>
              <w:bottom w:val="single" w:sz="18" w:space="0" w:color="4F81BD" w:themeColor="accent1"/>
            </w:tcBorders>
            <w:shd w:val="clear" w:color="auto" w:fill="4F81BD" w:themeFill="accent1"/>
          </w:tcPr>
          <w:p w14:paraId="3DEFC75A" w14:textId="77777777" w:rsidR="008B581E" w:rsidRPr="00E929E4" w:rsidRDefault="008B581E" w:rsidP="00D133B5">
            <w:pPr>
              <w:pStyle w:val="DHHSbody"/>
              <w:rPr>
                <w:b/>
                <w:bCs/>
              </w:rPr>
            </w:pPr>
            <w:r w:rsidRPr="00E929E4">
              <w:rPr>
                <w:rFonts w:cs="Arial"/>
                <w:b/>
                <w:color w:val="FFFFFF" w:themeColor="light1"/>
                <w:kern w:val="24"/>
                <w:lang w:eastAsia="en-AU"/>
              </w:rPr>
              <w:t>Case characteristics</w:t>
            </w:r>
          </w:p>
        </w:tc>
        <w:tc>
          <w:tcPr>
            <w:tcW w:w="5519" w:type="dxa"/>
            <w:gridSpan w:val="2"/>
            <w:shd w:val="clear" w:color="auto" w:fill="4F81BD" w:themeFill="accent1"/>
          </w:tcPr>
          <w:p w14:paraId="32BFA56F" w14:textId="77777777" w:rsidR="008B581E" w:rsidRPr="00E929E4" w:rsidRDefault="008B581E" w:rsidP="00D133B5">
            <w:pPr>
              <w:pStyle w:val="DHHSbody"/>
              <w:rPr>
                <w:b/>
                <w:bCs/>
              </w:rPr>
            </w:pPr>
            <w:r w:rsidRPr="00E929E4">
              <w:rPr>
                <w:rFonts w:cs="Arial"/>
                <w:b/>
                <w:color w:val="FFFFFF" w:themeColor="light1"/>
                <w:kern w:val="24"/>
                <w:lang w:eastAsia="en-AU"/>
              </w:rPr>
              <w:t>Additional risk factors needed</w:t>
            </w:r>
          </w:p>
        </w:tc>
      </w:tr>
      <w:tr w:rsidR="008B581E" w:rsidRPr="00E929E4" w14:paraId="19F9B552" w14:textId="77777777" w:rsidTr="4165A6F1">
        <w:tc>
          <w:tcPr>
            <w:tcW w:w="1830" w:type="dxa"/>
            <w:tcBorders>
              <w:right w:val="nil"/>
            </w:tcBorders>
            <w:shd w:val="clear" w:color="auto" w:fill="DBE5F1" w:themeFill="accent1" w:themeFillTint="33"/>
          </w:tcPr>
          <w:p w14:paraId="411108C1" w14:textId="77777777" w:rsidR="008B581E" w:rsidRPr="00E929E4" w:rsidRDefault="008B581E" w:rsidP="00D133B5">
            <w:pPr>
              <w:pStyle w:val="DHHSbody"/>
              <w:rPr>
                <w:b/>
                <w:bCs/>
              </w:rPr>
            </w:pPr>
            <w:r w:rsidRPr="00E929E4">
              <w:rPr>
                <w:rFonts w:cs="Arial"/>
                <w:b/>
                <w:color w:val="000000" w:themeColor="dark1"/>
                <w:kern w:val="24"/>
                <w:lang w:eastAsia="en-AU"/>
              </w:rPr>
              <w:t>Report</w:t>
            </w:r>
          </w:p>
        </w:tc>
        <w:tc>
          <w:tcPr>
            <w:tcW w:w="2809" w:type="dxa"/>
            <w:tcBorders>
              <w:left w:val="nil"/>
              <w:bottom w:val="single" w:sz="18" w:space="0" w:color="4F81BD" w:themeColor="accent1"/>
              <w:right w:val="nil"/>
            </w:tcBorders>
            <w:shd w:val="clear" w:color="auto" w:fill="DBE5F1" w:themeFill="accent1" w:themeFillTint="33"/>
          </w:tcPr>
          <w:p w14:paraId="4589B5E5" w14:textId="77777777" w:rsidR="008B581E" w:rsidRPr="00E929E4" w:rsidRDefault="008B581E" w:rsidP="00D133B5">
            <w:pPr>
              <w:pStyle w:val="DHHSbody"/>
              <w:rPr>
                <w:b/>
                <w:bCs/>
              </w:rPr>
            </w:pPr>
            <w:r w:rsidRPr="00E929E4">
              <w:rPr>
                <w:rFonts w:eastAsiaTheme="minorEastAsia" w:cs="Arial"/>
                <w:color w:val="000000" w:themeColor="dark1"/>
                <w:kern w:val="24"/>
                <w:lang w:eastAsia="en-AU"/>
              </w:rPr>
              <w:t xml:space="preserve">Unborn report or report within 7 days post birth </w:t>
            </w:r>
          </w:p>
        </w:tc>
        <w:tc>
          <w:tcPr>
            <w:tcW w:w="1740" w:type="dxa"/>
            <w:tcBorders>
              <w:left w:val="nil"/>
              <w:bottom w:val="single" w:sz="18" w:space="0" w:color="4F81BD" w:themeColor="accent1"/>
              <w:right w:val="nil"/>
            </w:tcBorders>
            <w:shd w:val="clear" w:color="auto" w:fill="DBE5F1" w:themeFill="accent1" w:themeFillTint="33"/>
          </w:tcPr>
          <w:p w14:paraId="4F13ED9A" w14:textId="749B51D1" w:rsidR="008B581E" w:rsidRPr="00E929E4" w:rsidRDefault="008B581E" w:rsidP="00D133B5">
            <w:pPr>
              <w:pStyle w:val="DHHSbody"/>
              <w:rPr>
                <w:b/>
                <w:bCs/>
              </w:rPr>
            </w:pPr>
            <w:r w:rsidRPr="00E929E4">
              <w:rPr>
                <w:rFonts w:eastAsiaTheme="minorEastAsia" w:cs="Arial"/>
                <w:color w:val="000000" w:themeColor="dark1"/>
                <w:kern w:val="24"/>
                <w:lang w:val="en-US" w:eastAsia="en-AU"/>
              </w:rPr>
              <w:t xml:space="preserve">Non-Aboriginal children must have </w:t>
            </w:r>
            <w:r w:rsidRPr="00E929E4">
              <w:rPr>
                <w:rFonts w:eastAsiaTheme="minorEastAsia" w:cs="Arial"/>
                <w:b/>
                <w:color w:val="000000" w:themeColor="dark1"/>
                <w:kern w:val="24"/>
                <w:lang w:val="en-US" w:eastAsia="en-AU"/>
              </w:rPr>
              <w:t>TWO</w:t>
            </w:r>
            <w:r w:rsidRPr="00E929E4">
              <w:rPr>
                <w:rFonts w:eastAsiaTheme="minorEastAsia" w:cs="Arial"/>
                <w:color w:val="000000" w:themeColor="dark1"/>
                <w:kern w:val="24"/>
                <w:lang w:val="en-US" w:eastAsia="en-AU"/>
              </w:rPr>
              <w:t xml:space="preserve"> of the following:</w:t>
            </w:r>
          </w:p>
        </w:tc>
        <w:tc>
          <w:tcPr>
            <w:tcW w:w="3779" w:type="dxa"/>
            <w:tcBorders>
              <w:left w:val="nil"/>
              <w:bottom w:val="single" w:sz="18" w:space="0" w:color="4F81BD" w:themeColor="accent1"/>
            </w:tcBorders>
            <w:shd w:val="clear" w:color="auto" w:fill="DBE5F1" w:themeFill="accent1" w:themeFillTint="33"/>
          </w:tcPr>
          <w:p w14:paraId="4A8F1DDD" w14:textId="77777777" w:rsidR="008B581E" w:rsidRPr="00E929E4" w:rsidRDefault="008B581E" w:rsidP="00D133B5">
            <w:pPr>
              <w:pStyle w:val="ListParagraph"/>
              <w:numPr>
                <w:ilvl w:val="0"/>
                <w:numId w:val="17"/>
              </w:numPr>
              <w:spacing w:after="0" w:line="276" w:lineRule="auto"/>
              <w:textAlignment w:val="bottom"/>
              <w:rPr>
                <w:rFonts w:cs="Arial"/>
                <w:sz w:val="20"/>
                <w:lang w:eastAsia="en-AU"/>
              </w:rPr>
            </w:pPr>
            <w:r w:rsidRPr="00E929E4">
              <w:rPr>
                <w:rFonts w:eastAsiaTheme="minorEastAsia" w:cs="Arial"/>
                <w:color w:val="000000" w:themeColor="dark1"/>
                <w:kern w:val="24"/>
                <w:sz w:val="20"/>
                <w:lang w:eastAsia="en-AU"/>
              </w:rPr>
              <w:t>Parent(s) have a history of care</w:t>
            </w:r>
          </w:p>
          <w:p w14:paraId="6F7976DB" w14:textId="77777777" w:rsidR="008B581E" w:rsidRPr="00E929E4" w:rsidRDefault="008B581E" w:rsidP="00D133B5">
            <w:pPr>
              <w:pStyle w:val="ListParagraph"/>
              <w:numPr>
                <w:ilvl w:val="0"/>
                <w:numId w:val="17"/>
              </w:numPr>
              <w:spacing w:after="0" w:line="276" w:lineRule="auto"/>
              <w:textAlignment w:val="bottom"/>
              <w:rPr>
                <w:rFonts w:cs="Arial"/>
                <w:sz w:val="20"/>
                <w:lang w:eastAsia="en-AU"/>
              </w:rPr>
            </w:pPr>
            <w:r w:rsidRPr="00E929E4">
              <w:rPr>
                <w:rFonts w:eastAsiaTheme="minorEastAsia" w:cs="Arial"/>
                <w:color w:val="000000" w:themeColor="dark1"/>
                <w:kern w:val="24"/>
                <w:sz w:val="20"/>
                <w:lang w:eastAsia="en-AU"/>
              </w:rPr>
              <w:t>Young mother (under 20 at birth of first child)</w:t>
            </w:r>
          </w:p>
          <w:p w14:paraId="21D1AC04" w14:textId="77777777" w:rsidR="008B581E" w:rsidRPr="00E929E4" w:rsidRDefault="008B581E" w:rsidP="00D133B5">
            <w:pPr>
              <w:pStyle w:val="ListParagraph"/>
              <w:numPr>
                <w:ilvl w:val="0"/>
                <w:numId w:val="17"/>
              </w:numPr>
              <w:spacing w:after="0" w:line="276" w:lineRule="auto"/>
              <w:textAlignment w:val="bottom"/>
              <w:rPr>
                <w:rFonts w:cs="Arial"/>
                <w:sz w:val="20"/>
                <w:lang w:eastAsia="en-AU"/>
              </w:rPr>
            </w:pPr>
            <w:r w:rsidRPr="00E929E4">
              <w:rPr>
                <w:rFonts w:eastAsiaTheme="minorEastAsia" w:cs="Arial"/>
                <w:color w:val="000000" w:themeColor="dark1"/>
                <w:kern w:val="24"/>
                <w:sz w:val="20"/>
                <w:lang w:eastAsia="en-AU"/>
              </w:rPr>
              <w:t>Parent drug or alcohol problems</w:t>
            </w:r>
          </w:p>
          <w:p w14:paraId="03C0E40F" w14:textId="77777777" w:rsidR="008B581E" w:rsidRPr="00E929E4" w:rsidRDefault="008B581E" w:rsidP="00D133B5">
            <w:pPr>
              <w:pStyle w:val="ListParagraph"/>
              <w:numPr>
                <w:ilvl w:val="0"/>
                <w:numId w:val="17"/>
              </w:numPr>
              <w:spacing w:after="0" w:line="276" w:lineRule="auto"/>
              <w:textAlignment w:val="bottom"/>
              <w:rPr>
                <w:rFonts w:cs="Arial"/>
                <w:sz w:val="20"/>
                <w:lang w:eastAsia="en-AU"/>
              </w:rPr>
            </w:pPr>
            <w:r w:rsidRPr="00E929E4">
              <w:rPr>
                <w:rFonts w:eastAsiaTheme="minorEastAsia" w:cs="Arial"/>
                <w:color w:val="000000" w:themeColor="dark1"/>
                <w:kern w:val="24"/>
                <w:sz w:val="20"/>
                <w:lang w:eastAsia="en-AU"/>
              </w:rPr>
              <w:t>At least one maternal or paternal sibling in OOHC</w:t>
            </w:r>
          </w:p>
        </w:tc>
      </w:tr>
      <w:tr w:rsidR="008B581E" w:rsidRPr="00E929E4" w14:paraId="41819946" w14:textId="77777777" w:rsidTr="00D8067A">
        <w:tc>
          <w:tcPr>
            <w:tcW w:w="1830" w:type="dxa"/>
            <w:vMerge w:val="restart"/>
            <w:tcBorders>
              <w:right w:val="nil"/>
            </w:tcBorders>
          </w:tcPr>
          <w:p w14:paraId="1BADC22A" w14:textId="77777777" w:rsidR="008B581E" w:rsidRPr="00E929E4" w:rsidRDefault="008B581E" w:rsidP="00D133B5">
            <w:pPr>
              <w:pStyle w:val="DHHSbody"/>
              <w:rPr>
                <w:b/>
                <w:bCs/>
              </w:rPr>
            </w:pPr>
            <w:r w:rsidRPr="00E929E4">
              <w:rPr>
                <w:rFonts w:eastAsiaTheme="minorEastAsia" w:cs="Arial"/>
                <w:b/>
                <w:color w:val="000000" w:themeColor="dark1"/>
                <w:kern w:val="24"/>
                <w:lang w:eastAsia="en-AU"/>
              </w:rPr>
              <w:t>Substantiation</w:t>
            </w:r>
          </w:p>
        </w:tc>
        <w:tc>
          <w:tcPr>
            <w:tcW w:w="2809" w:type="dxa"/>
            <w:tcBorders>
              <w:left w:val="nil"/>
              <w:bottom w:val="single" w:sz="18" w:space="0" w:color="4F81BD" w:themeColor="accent1"/>
              <w:right w:val="nil"/>
            </w:tcBorders>
          </w:tcPr>
          <w:p w14:paraId="73FE81A6" w14:textId="77777777" w:rsidR="008B581E" w:rsidRPr="00E929E4" w:rsidRDefault="008B581E" w:rsidP="00D133B5">
            <w:pPr>
              <w:spacing w:after="40" w:line="256" w:lineRule="auto"/>
              <w:rPr>
                <w:rFonts w:cs="Arial"/>
                <w:sz w:val="20"/>
                <w:lang w:eastAsia="en-AU"/>
              </w:rPr>
            </w:pPr>
            <w:r w:rsidRPr="00E929E4">
              <w:rPr>
                <w:rFonts w:eastAsiaTheme="minorEastAsia" w:cs="Arial"/>
                <w:color w:val="000000" w:themeColor="dark1"/>
                <w:kern w:val="24"/>
                <w:sz w:val="20"/>
                <w:lang w:eastAsia="en-AU"/>
              </w:rPr>
              <w:t>Substantiation following multiple reports:</w:t>
            </w:r>
          </w:p>
          <w:p w14:paraId="05C0A695" w14:textId="77777777" w:rsidR="008B581E" w:rsidRPr="00E929E4" w:rsidRDefault="008B581E" w:rsidP="00D133B5">
            <w:pPr>
              <w:spacing w:after="40" w:line="256" w:lineRule="auto"/>
              <w:rPr>
                <w:rFonts w:cs="Arial"/>
                <w:sz w:val="20"/>
                <w:lang w:eastAsia="en-AU"/>
              </w:rPr>
            </w:pPr>
            <w:r w:rsidRPr="00E929E4">
              <w:rPr>
                <w:rFonts w:eastAsiaTheme="minorEastAsia" w:cs="Arial"/>
                <w:color w:val="000000" w:themeColor="dark1"/>
                <w:kern w:val="24"/>
                <w:sz w:val="20"/>
                <w:lang w:eastAsia="en-AU"/>
              </w:rPr>
              <w:t>• 4 or more reports at any time in their life or</w:t>
            </w:r>
          </w:p>
          <w:p w14:paraId="4AC35D8C" w14:textId="77777777" w:rsidR="008B581E" w:rsidRPr="00E929E4" w:rsidRDefault="008B581E" w:rsidP="00D133B5">
            <w:pPr>
              <w:spacing w:after="40" w:line="256" w:lineRule="auto"/>
              <w:rPr>
                <w:rFonts w:cs="Arial"/>
                <w:sz w:val="20"/>
                <w:lang w:eastAsia="en-AU"/>
              </w:rPr>
            </w:pPr>
            <w:r w:rsidRPr="00E929E4">
              <w:rPr>
                <w:rFonts w:eastAsiaTheme="minorEastAsia" w:cs="Arial"/>
                <w:color w:val="000000" w:themeColor="dark1"/>
                <w:kern w:val="24"/>
                <w:sz w:val="20"/>
                <w:lang w:eastAsia="en-AU"/>
              </w:rPr>
              <w:t>• 3 or more reports in the last two years</w:t>
            </w:r>
          </w:p>
          <w:p w14:paraId="43E89F46" w14:textId="77777777" w:rsidR="008B581E" w:rsidRPr="00E929E4" w:rsidRDefault="008B581E" w:rsidP="00D133B5">
            <w:pPr>
              <w:pStyle w:val="DHHSbody"/>
              <w:rPr>
                <w:b/>
                <w:bCs/>
              </w:rPr>
            </w:pPr>
            <w:r w:rsidRPr="00E929E4">
              <w:rPr>
                <w:rFonts w:eastAsiaTheme="minorEastAsia" w:cs="Arial"/>
                <w:color w:val="000000" w:themeColor="dark1"/>
                <w:kern w:val="24"/>
                <w:lang w:eastAsia="en-AU"/>
              </w:rPr>
              <w:t xml:space="preserve">Includes </w:t>
            </w:r>
            <w:proofErr w:type="gramStart"/>
            <w:r w:rsidRPr="00E929E4">
              <w:rPr>
                <w:rFonts w:eastAsiaTheme="minorEastAsia" w:cs="Arial"/>
                <w:color w:val="000000" w:themeColor="dark1"/>
                <w:kern w:val="24"/>
                <w:lang w:eastAsia="en-AU"/>
              </w:rPr>
              <w:t>6-9 year</w:t>
            </w:r>
            <w:proofErr w:type="gramEnd"/>
            <w:r w:rsidRPr="00E929E4">
              <w:rPr>
                <w:rFonts w:eastAsiaTheme="minorEastAsia" w:cs="Arial"/>
                <w:color w:val="000000" w:themeColor="dark1"/>
                <w:kern w:val="24"/>
                <w:lang w:eastAsia="en-AU"/>
              </w:rPr>
              <w:t xml:space="preserve"> </w:t>
            </w:r>
            <w:proofErr w:type="spellStart"/>
            <w:r w:rsidRPr="00E929E4">
              <w:rPr>
                <w:rFonts w:eastAsiaTheme="minorEastAsia" w:cs="Arial"/>
                <w:color w:val="000000" w:themeColor="dark1"/>
                <w:kern w:val="24"/>
                <w:lang w:eastAsia="en-AU"/>
              </w:rPr>
              <w:t>olds</w:t>
            </w:r>
            <w:proofErr w:type="spellEnd"/>
          </w:p>
        </w:tc>
        <w:tc>
          <w:tcPr>
            <w:tcW w:w="1740" w:type="dxa"/>
            <w:tcBorders>
              <w:left w:val="nil"/>
              <w:bottom w:val="single" w:sz="18" w:space="0" w:color="4F81BD" w:themeColor="accent1"/>
              <w:right w:val="nil"/>
            </w:tcBorders>
          </w:tcPr>
          <w:p w14:paraId="4E330AFC" w14:textId="4396278A" w:rsidR="008B581E" w:rsidRPr="00E929E4" w:rsidRDefault="008B581E" w:rsidP="00D133B5">
            <w:pPr>
              <w:pStyle w:val="DHHSbody"/>
              <w:rPr>
                <w:b/>
                <w:bCs/>
              </w:rPr>
            </w:pPr>
            <w:r w:rsidRPr="00E929E4">
              <w:rPr>
                <w:rFonts w:eastAsiaTheme="minorEastAsia" w:cs="Arial"/>
                <w:color w:val="000000" w:themeColor="dark1"/>
                <w:kern w:val="24"/>
                <w:lang w:val="en-US" w:eastAsia="en-AU"/>
              </w:rPr>
              <w:t xml:space="preserve">Non-Aboriginal children must have </w:t>
            </w:r>
            <w:r w:rsidRPr="00E929E4">
              <w:rPr>
                <w:rFonts w:eastAsiaTheme="minorEastAsia" w:cs="Arial"/>
                <w:b/>
                <w:color w:val="000000" w:themeColor="dark1"/>
                <w:kern w:val="24"/>
                <w:lang w:val="en-US" w:eastAsia="en-AU"/>
              </w:rPr>
              <w:t>TWO</w:t>
            </w:r>
            <w:r w:rsidRPr="00E929E4">
              <w:rPr>
                <w:rFonts w:eastAsiaTheme="minorEastAsia" w:cs="Arial"/>
                <w:color w:val="000000" w:themeColor="dark1"/>
                <w:kern w:val="24"/>
                <w:lang w:val="en-US" w:eastAsia="en-AU"/>
              </w:rPr>
              <w:t xml:space="preserve"> of the following:</w:t>
            </w:r>
          </w:p>
        </w:tc>
        <w:tc>
          <w:tcPr>
            <w:tcW w:w="3779" w:type="dxa"/>
            <w:tcBorders>
              <w:left w:val="nil"/>
              <w:bottom w:val="single" w:sz="18" w:space="0" w:color="4F81BD" w:themeColor="accent1"/>
            </w:tcBorders>
          </w:tcPr>
          <w:p w14:paraId="17393520"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Parent(s) have a history of care</w:t>
            </w:r>
          </w:p>
          <w:p w14:paraId="08B7BC5C"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Young mother (under 20 at birth of first child)</w:t>
            </w:r>
          </w:p>
          <w:p w14:paraId="0BC1BD96"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Parent drug or alcohol problems</w:t>
            </w:r>
          </w:p>
          <w:p w14:paraId="2292E4C2"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At least one maternal or paternal sibling in OOHC</w:t>
            </w:r>
          </w:p>
          <w:p w14:paraId="785EA1F7"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Other physical development or health</w:t>
            </w:r>
          </w:p>
          <w:p w14:paraId="61788979"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Multiple prior protective interventions</w:t>
            </w:r>
          </w:p>
          <w:p w14:paraId="683ED3D3" w14:textId="77777777" w:rsidR="008B581E" w:rsidRPr="00E929E4" w:rsidRDefault="008B581E" w:rsidP="00D133B5">
            <w:pPr>
              <w:pStyle w:val="ListParagraph"/>
              <w:numPr>
                <w:ilvl w:val="0"/>
                <w:numId w:val="17"/>
              </w:numPr>
              <w:spacing w:after="0" w:line="276" w:lineRule="auto"/>
              <w:textAlignment w:val="bottom"/>
              <w:rPr>
                <w:rFonts w:eastAsiaTheme="minorEastAsia" w:cs="Arial"/>
                <w:color w:val="000000" w:themeColor="dark1"/>
                <w:kern w:val="24"/>
                <w:sz w:val="20"/>
                <w:lang w:eastAsia="en-AU"/>
              </w:rPr>
            </w:pPr>
            <w:r w:rsidRPr="00E929E4">
              <w:rPr>
                <w:rFonts w:eastAsiaTheme="minorEastAsia" w:cs="Arial"/>
                <w:color w:val="000000" w:themeColor="dark1"/>
                <w:kern w:val="24"/>
                <w:sz w:val="20"/>
                <w:lang w:eastAsia="en-AU"/>
              </w:rPr>
              <w:t>Aggressive/ violent child behaviours</w:t>
            </w:r>
          </w:p>
          <w:p w14:paraId="4D5142EF" w14:textId="77777777" w:rsidR="008B581E" w:rsidRPr="00E929E4" w:rsidRDefault="008B581E" w:rsidP="00D133B5">
            <w:pPr>
              <w:pStyle w:val="ListParagraph"/>
              <w:numPr>
                <w:ilvl w:val="0"/>
                <w:numId w:val="17"/>
              </w:numPr>
              <w:spacing w:after="0" w:line="276" w:lineRule="auto"/>
              <w:textAlignment w:val="bottom"/>
              <w:rPr>
                <w:b/>
                <w:bCs/>
                <w:sz w:val="20"/>
              </w:rPr>
            </w:pPr>
            <w:r w:rsidRPr="00E929E4">
              <w:rPr>
                <w:rFonts w:eastAsiaTheme="minorEastAsia" w:cs="Arial"/>
                <w:color w:val="000000" w:themeColor="dark1"/>
                <w:kern w:val="24"/>
                <w:sz w:val="20"/>
                <w:lang w:eastAsia="en-AU"/>
              </w:rPr>
              <w:t>Other challenging child behaviours</w:t>
            </w:r>
          </w:p>
        </w:tc>
      </w:tr>
      <w:tr w:rsidR="008B581E" w:rsidRPr="00E929E4" w14:paraId="5022849C" w14:textId="77777777" w:rsidTr="00D8067A">
        <w:tc>
          <w:tcPr>
            <w:tcW w:w="1830" w:type="dxa"/>
            <w:vMerge/>
            <w:tcBorders>
              <w:right w:val="nil"/>
            </w:tcBorders>
          </w:tcPr>
          <w:p w14:paraId="23E1F317" w14:textId="77777777" w:rsidR="008B581E" w:rsidRPr="00E929E4" w:rsidRDefault="008B581E" w:rsidP="00D133B5">
            <w:pPr>
              <w:pStyle w:val="DHHSbody"/>
              <w:rPr>
                <w:b/>
                <w:bCs/>
              </w:rPr>
            </w:pPr>
          </w:p>
        </w:tc>
        <w:tc>
          <w:tcPr>
            <w:tcW w:w="2809" w:type="dxa"/>
            <w:tcBorders>
              <w:left w:val="nil"/>
              <w:bottom w:val="single" w:sz="18" w:space="0" w:color="4F81BD" w:themeColor="accent1"/>
              <w:right w:val="nil"/>
            </w:tcBorders>
          </w:tcPr>
          <w:p w14:paraId="2E3778F9" w14:textId="77777777" w:rsidR="008B581E" w:rsidRPr="00E929E4" w:rsidRDefault="008B581E" w:rsidP="00D133B5">
            <w:pPr>
              <w:pStyle w:val="DHHSbody"/>
              <w:rPr>
                <w:b/>
                <w:bCs/>
              </w:rPr>
            </w:pPr>
            <w:r w:rsidRPr="00E929E4">
              <w:rPr>
                <w:rFonts w:eastAsiaTheme="minorEastAsia" w:cs="Arial"/>
                <w:color w:val="000000" w:themeColor="dark1"/>
                <w:kern w:val="24"/>
                <w:lang w:eastAsia="en-AU"/>
              </w:rPr>
              <w:t>Child aged 0-2 with an Intensive Infant Response*</w:t>
            </w:r>
          </w:p>
        </w:tc>
        <w:tc>
          <w:tcPr>
            <w:tcW w:w="1740" w:type="dxa"/>
            <w:tcBorders>
              <w:left w:val="nil"/>
              <w:bottom w:val="single" w:sz="18" w:space="0" w:color="4F81BD" w:themeColor="accent1"/>
              <w:right w:val="nil"/>
            </w:tcBorders>
          </w:tcPr>
          <w:p w14:paraId="2128A41A" w14:textId="77777777" w:rsidR="008B581E" w:rsidRPr="00E929E4" w:rsidRDefault="008B581E" w:rsidP="00D133B5">
            <w:pPr>
              <w:pStyle w:val="DHHSbody"/>
              <w:rPr>
                <w:b/>
                <w:bCs/>
              </w:rPr>
            </w:pPr>
            <w:r w:rsidRPr="00E929E4">
              <w:rPr>
                <w:rFonts w:eastAsiaTheme="minorEastAsia" w:cs="Arial"/>
                <w:color w:val="000000" w:themeColor="dark1"/>
                <w:kern w:val="24"/>
                <w:lang w:val="en-US" w:eastAsia="en-AU"/>
              </w:rPr>
              <w:t>Not required</w:t>
            </w:r>
          </w:p>
        </w:tc>
        <w:tc>
          <w:tcPr>
            <w:tcW w:w="3779" w:type="dxa"/>
            <w:tcBorders>
              <w:left w:val="nil"/>
              <w:bottom w:val="single" w:sz="18" w:space="0" w:color="4F81BD" w:themeColor="accent1"/>
            </w:tcBorders>
          </w:tcPr>
          <w:p w14:paraId="2F2C4367" w14:textId="77777777" w:rsidR="008B581E" w:rsidRPr="00E929E4" w:rsidRDefault="008B581E" w:rsidP="00D133B5">
            <w:pPr>
              <w:pStyle w:val="DHHSbody"/>
              <w:rPr>
                <w:b/>
                <w:bCs/>
              </w:rPr>
            </w:pPr>
          </w:p>
        </w:tc>
      </w:tr>
      <w:tr w:rsidR="008B581E" w:rsidRPr="00E929E4" w14:paraId="4E9059A1" w14:textId="77777777" w:rsidTr="4165A6F1">
        <w:tc>
          <w:tcPr>
            <w:tcW w:w="1830" w:type="dxa"/>
            <w:tcBorders>
              <w:right w:val="nil"/>
            </w:tcBorders>
            <w:shd w:val="clear" w:color="auto" w:fill="DBE5F1" w:themeFill="accent1" w:themeFillTint="33"/>
          </w:tcPr>
          <w:p w14:paraId="5746255E" w14:textId="77777777" w:rsidR="008B581E" w:rsidRPr="00E929E4" w:rsidRDefault="008B581E" w:rsidP="00D133B5">
            <w:pPr>
              <w:pStyle w:val="DHHSbody"/>
              <w:rPr>
                <w:b/>
                <w:bCs/>
              </w:rPr>
            </w:pPr>
            <w:r w:rsidRPr="00E929E4">
              <w:rPr>
                <w:rFonts w:cs="Arial"/>
                <w:b/>
                <w:color w:val="000000" w:themeColor="dark1"/>
                <w:kern w:val="24"/>
                <w:lang w:eastAsia="en-AU"/>
              </w:rPr>
              <w:t>Protective Application</w:t>
            </w:r>
          </w:p>
        </w:tc>
        <w:tc>
          <w:tcPr>
            <w:tcW w:w="2809" w:type="dxa"/>
            <w:tcBorders>
              <w:left w:val="nil"/>
              <w:bottom w:val="single" w:sz="18" w:space="0" w:color="4F81BD" w:themeColor="accent1"/>
              <w:right w:val="nil"/>
            </w:tcBorders>
            <w:shd w:val="clear" w:color="auto" w:fill="DBE5F1" w:themeFill="accent1" w:themeFillTint="33"/>
          </w:tcPr>
          <w:p w14:paraId="3914790A" w14:textId="77777777" w:rsidR="008B581E" w:rsidRPr="00E929E4" w:rsidRDefault="008B581E" w:rsidP="00D133B5">
            <w:pPr>
              <w:pStyle w:val="DHHSbody"/>
              <w:rPr>
                <w:rFonts w:eastAsiaTheme="minorEastAsia" w:cs="Arial"/>
                <w:color w:val="000000" w:themeColor="dark1"/>
                <w:kern w:val="24"/>
                <w:lang w:eastAsia="en-AU"/>
              </w:rPr>
            </w:pPr>
            <w:r w:rsidRPr="00E929E4">
              <w:rPr>
                <w:rFonts w:eastAsiaTheme="minorEastAsia" w:cs="Arial"/>
                <w:color w:val="000000" w:themeColor="dark1"/>
                <w:kern w:val="24"/>
                <w:lang w:eastAsia="en-AU"/>
              </w:rPr>
              <w:t>Protective application where initiation method for the application was either emergency or by notice.</w:t>
            </w:r>
          </w:p>
        </w:tc>
        <w:tc>
          <w:tcPr>
            <w:tcW w:w="1740" w:type="dxa"/>
            <w:tcBorders>
              <w:left w:val="nil"/>
              <w:bottom w:val="single" w:sz="18" w:space="0" w:color="4F81BD" w:themeColor="accent1"/>
              <w:right w:val="nil"/>
            </w:tcBorders>
            <w:shd w:val="clear" w:color="auto" w:fill="DBE5F1" w:themeFill="accent1" w:themeFillTint="33"/>
          </w:tcPr>
          <w:p w14:paraId="61745211" w14:textId="77777777" w:rsidR="008B581E" w:rsidRPr="00E929E4" w:rsidRDefault="008B581E" w:rsidP="00D133B5">
            <w:pPr>
              <w:pStyle w:val="DHHSbody"/>
              <w:rPr>
                <w:rFonts w:eastAsiaTheme="minorEastAsia" w:cs="Arial"/>
                <w:color w:val="000000" w:themeColor="dark1"/>
                <w:kern w:val="24"/>
                <w:lang w:val="en-US" w:eastAsia="en-AU"/>
              </w:rPr>
            </w:pPr>
            <w:r w:rsidRPr="00E929E4">
              <w:rPr>
                <w:rFonts w:eastAsiaTheme="minorEastAsia" w:cs="Arial"/>
                <w:color w:val="000000" w:themeColor="dark1"/>
                <w:kern w:val="24"/>
                <w:lang w:val="en-US" w:eastAsia="en-AU"/>
              </w:rPr>
              <w:t>Not required</w:t>
            </w:r>
          </w:p>
        </w:tc>
        <w:tc>
          <w:tcPr>
            <w:tcW w:w="3779" w:type="dxa"/>
            <w:tcBorders>
              <w:left w:val="nil"/>
              <w:bottom w:val="single" w:sz="18" w:space="0" w:color="4F81BD" w:themeColor="accent1"/>
            </w:tcBorders>
            <w:shd w:val="clear" w:color="auto" w:fill="DBE5F1" w:themeFill="accent1" w:themeFillTint="33"/>
          </w:tcPr>
          <w:p w14:paraId="467D436C" w14:textId="77777777" w:rsidR="008B581E" w:rsidRPr="00E929E4" w:rsidRDefault="008B581E" w:rsidP="00D133B5">
            <w:pPr>
              <w:pStyle w:val="DHHSbody"/>
              <w:rPr>
                <w:b/>
                <w:bCs/>
              </w:rPr>
            </w:pPr>
          </w:p>
        </w:tc>
      </w:tr>
      <w:tr w:rsidR="008B581E" w:rsidRPr="00E929E4" w14:paraId="6D2260A3" w14:textId="77777777" w:rsidTr="4165A6F1">
        <w:tc>
          <w:tcPr>
            <w:tcW w:w="1830" w:type="dxa"/>
            <w:tcBorders>
              <w:right w:val="nil"/>
            </w:tcBorders>
          </w:tcPr>
          <w:p w14:paraId="12CB55B3" w14:textId="77777777" w:rsidR="008B581E" w:rsidRPr="00E929E4" w:rsidRDefault="008B581E" w:rsidP="00D133B5">
            <w:pPr>
              <w:pStyle w:val="DHHSbody"/>
              <w:rPr>
                <w:b/>
                <w:bCs/>
              </w:rPr>
            </w:pPr>
            <w:r w:rsidRPr="00E929E4">
              <w:rPr>
                <w:rFonts w:cs="Arial"/>
                <w:b/>
                <w:color w:val="000000" w:themeColor="dark1"/>
                <w:kern w:val="24"/>
                <w:lang w:eastAsia="en-AU"/>
              </w:rPr>
              <w:t>Already in care (Reunification)</w:t>
            </w:r>
          </w:p>
        </w:tc>
        <w:tc>
          <w:tcPr>
            <w:tcW w:w="2809" w:type="dxa"/>
            <w:tcBorders>
              <w:left w:val="nil"/>
              <w:right w:val="nil"/>
            </w:tcBorders>
          </w:tcPr>
          <w:p w14:paraId="1DA37032" w14:textId="77777777" w:rsidR="008B581E" w:rsidRPr="00E929E4" w:rsidRDefault="008B581E" w:rsidP="00D133B5">
            <w:pPr>
              <w:pStyle w:val="DHHSbody"/>
              <w:rPr>
                <w:rFonts w:eastAsiaTheme="minorEastAsia" w:cs="Arial"/>
                <w:color w:val="000000" w:themeColor="dark1"/>
                <w:kern w:val="24"/>
                <w:lang w:eastAsia="en-AU"/>
              </w:rPr>
            </w:pPr>
            <w:r w:rsidRPr="00E929E4">
              <w:rPr>
                <w:rFonts w:eastAsiaTheme="minorEastAsia" w:cs="Arial"/>
                <w:color w:val="000000" w:themeColor="dark1"/>
                <w:kern w:val="24"/>
                <w:lang w:eastAsia="en-AU"/>
              </w:rPr>
              <w:t xml:space="preserve">On an Interim Accommodation or Protection order with a reunification case plan* </w:t>
            </w:r>
            <w:r w:rsidRPr="00E929E4">
              <w:rPr>
                <w:rFonts w:cs="Arial"/>
                <w:color w:val="000000" w:themeColor="dark1"/>
                <w:kern w:val="24"/>
                <w:lang w:eastAsia="en-AU"/>
              </w:rPr>
              <w:t>for less than or equal to 18 months</w:t>
            </w:r>
          </w:p>
        </w:tc>
        <w:tc>
          <w:tcPr>
            <w:tcW w:w="1740" w:type="dxa"/>
            <w:tcBorders>
              <w:left w:val="nil"/>
              <w:right w:val="nil"/>
            </w:tcBorders>
          </w:tcPr>
          <w:p w14:paraId="22140289" w14:textId="77777777" w:rsidR="008B581E" w:rsidRPr="00E929E4" w:rsidRDefault="008B581E" w:rsidP="00D133B5">
            <w:pPr>
              <w:pStyle w:val="DHHSbody"/>
              <w:rPr>
                <w:rFonts w:eastAsiaTheme="minorEastAsia" w:cs="Arial"/>
                <w:color w:val="000000" w:themeColor="dark1"/>
                <w:kern w:val="24"/>
                <w:lang w:val="en-US" w:eastAsia="en-AU"/>
              </w:rPr>
            </w:pPr>
            <w:r w:rsidRPr="00E929E4">
              <w:rPr>
                <w:rFonts w:eastAsiaTheme="minorEastAsia" w:cs="Arial"/>
                <w:color w:val="000000" w:themeColor="dark1"/>
                <w:kern w:val="24"/>
                <w:lang w:val="en-US" w:eastAsia="en-AU"/>
              </w:rPr>
              <w:t>Not required</w:t>
            </w:r>
          </w:p>
        </w:tc>
        <w:tc>
          <w:tcPr>
            <w:tcW w:w="3779" w:type="dxa"/>
            <w:tcBorders>
              <w:left w:val="nil"/>
            </w:tcBorders>
          </w:tcPr>
          <w:p w14:paraId="74B20979" w14:textId="77777777" w:rsidR="008B581E" w:rsidRPr="00E929E4" w:rsidRDefault="008B581E" w:rsidP="00D133B5">
            <w:pPr>
              <w:pStyle w:val="DHHSbody"/>
              <w:rPr>
                <w:b/>
                <w:bCs/>
              </w:rPr>
            </w:pPr>
          </w:p>
        </w:tc>
      </w:tr>
    </w:tbl>
    <w:p w14:paraId="380703AB" w14:textId="77777777" w:rsidR="00E87243" w:rsidRDefault="00E87243" w:rsidP="0008025A">
      <w:pPr>
        <w:pStyle w:val="DHHSbody"/>
        <w:rPr>
          <w:sz w:val="21"/>
          <w:szCs w:val="21"/>
        </w:rPr>
      </w:pPr>
    </w:p>
    <w:p w14:paraId="014F33DD" w14:textId="6D24CE30" w:rsidR="0008025A" w:rsidRPr="00E929E4" w:rsidRDefault="0008025A" w:rsidP="0008025A">
      <w:pPr>
        <w:pStyle w:val="DHHSbody"/>
      </w:pPr>
      <w:r w:rsidRPr="00785A4B">
        <w:rPr>
          <w:sz w:val="21"/>
          <w:szCs w:val="21"/>
        </w:rPr>
        <w:t xml:space="preserve">The revised criteria </w:t>
      </w:r>
      <w:r>
        <w:rPr>
          <w:sz w:val="21"/>
          <w:szCs w:val="21"/>
        </w:rPr>
        <w:t>improve targeting of risk of out of home care, supports earlier intervention where possible, and reduces gaps in eligibility coverage in the context of placement prevention and reunification programs that will be ceasing</w:t>
      </w:r>
      <w:r w:rsidRPr="00785A4B">
        <w:rPr>
          <w:sz w:val="21"/>
          <w:szCs w:val="21"/>
        </w:rPr>
        <w:t xml:space="preserve">. Importantly it provides differentiated </w:t>
      </w:r>
      <w:r>
        <w:rPr>
          <w:sz w:val="21"/>
          <w:szCs w:val="21"/>
        </w:rPr>
        <w:t>criteria for</w:t>
      </w:r>
      <w:r w:rsidRPr="00785A4B">
        <w:rPr>
          <w:sz w:val="21"/>
          <w:szCs w:val="21"/>
        </w:rPr>
        <w:t xml:space="preserve"> Aboriginal families to support </w:t>
      </w:r>
      <w:r>
        <w:rPr>
          <w:sz w:val="21"/>
          <w:szCs w:val="21"/>
        </w:rPr>
        <w:t>s</w:t>
      </w:r>
      <w:r w:rsidRPr="00785A4B">
        <w:rPr>
          <w:sz w:val="21"/>
          <w:szCs w:val="21"/>
        </w:rPr>
        <w:t>elf</w:t>
      </w:r>
      <w:r>
        <w:rPr>
          <w:sz w:val="21"/>
          <w:szCs w:val="21"/>
        </w:rPr>
        <w:t>-d</w:t>
      </w:r>
      <w:r w:rsidRPr="00785A4B">
        <w:rPr>
          <w:sz w:val="21"/>
          <w:szCs w:val="21"/>
        </w:rPr>
        <w:t xml:space="preserve">etermination. </w:t>
      </w:r>
      <w:r w:rsidRPr="00E215B0">
        <w:rPr>
          <w:sz w:val="21"/>
          <w:szCs w:val="21"/>
        </w:rPr>
        <w:t>The model will continue to support 5</w:t>
      </w:r>
      <w:r>
        <w:rPr>
          <w:sz w:val="21"/>
          <w:szCs w:val="21"/>
        </w:rPr>
        <w:t xml:space="preserve"> per cent </w:t>
      </w:r>
      <w:r w:rsidRPr="00E215B0">
        <w:rPr>
          <w:sz w:val="21"/>
          <w:szCs w:val="21"/>
        </w:rPr>
        <w:t>community discretionary referrals. Feedback will continue to be monitored and amendments made in future if required.</w:t>
      </w:r>
      <w:r>
        <w:t xml:space="preserve"> </w:t>
      </w:r>
    </w:p>
    <w:p w14:paraId="49997F71" w14:textId="03535262" w:rsidR="008B581E" w:rsidRDefault="008B581E" w:rsidP="008B581E">
      <w:pPr>
        <w:pStyle w:val="DHHSbody"/>
        <w:rPr>
          <w:sz w:val="21"/>
          <w:szCs w:val="21"/>
        </w:rPr>
      </w:pPr>
      <w:r>
        <w:rPr>
          <w:sz w:val="21"/>
          <w:szCs w:val="21"/>
        </w:rPr>
        <w:t>Further s</w:t>
      </w:r>
      <w:r w:rsidRPr="00785A4B">
        <w:rPr>
          <w:sz w:val="21"/>
          <w:szCs w:val="21"/>
        </w:rPr>
        <w:t xml:space="preserve">upport and advice to understand </w:t>
      </w:r>
      <w:r>
        <w:rPr>
          <w:sz w:val="21"/>
          <w:szCs w:val="21"/>
        </w:rPr>
        <w:t xml:space="preserve">changes to </w:t>
      </w:r>
      <w:r w:rsidRPr="00785A4B">
        <w:rPr>
          <w:sz w:val="21"/>
          <w:szCs w:val="21"/>
        </w:rPr>
        <w:t xml:space="preserve">the eligibility criteria will be </w:t>
      </w:r>
      <w:r>
        <w:rPr>
          <w:sz w:val="21"/>
          <w:szCs w:val="21"/>
        </w:rPr>
        <w:t xml:space="preserve">made </w:t>
      </w:r>
      <w:r w:rsidRPr="00785A4B">
        <w:rPr>
          <w:sz w:val="21"/>
          <w:szCs w:val="21"/>
        </w:rPr>
        <w:t>available</w:t>
      </w:r>
      <w:r>
        <w:rPr>
          <w:sz w:val="21"/>
          <w:szCs w:val="21"/>
        </w:rPr>
        <w:t xml:space="preserve"> through the implementation phase</w:t>
      </w:r>
      <w:r w:rsidRPr="00785A4B">
        <w:rPr>
          <w:sz w:val="21"/>
          <w:szCs w:val="21"/>
        </w:rPr>
        <w:t xml:space="preserve">. </w:t>
      </w:r>
    </w:p>
    <w:p w14:paraId="6816A17E" w14:textId="65AFFD35" w:rsidR="008B581E" w:rsidRDefault="008B581E" w:rsidP="008B581E">
      <w:pPr>
        <w:pStyle w:val="Heading2"/>
      </w:pPr>
      <w:bookmarkStart w:id="13" w:name="_Toc76724131"/>
      <w:r w:rsidRPr="00F025CD">
        <w:t>What happens to children and families who are not eligible for the Response or Intensive Family Services?</w:t>
      </w:r>
      <w:bookmarkEnd w:id="13"/>
      <w:r w:rsidRPr="00F025CD">
        <w:t xml:space="preserve"> </w:t>
      </w:r>
    </w:p>
    <w:p w14:paraId="59D85F74" w14:textId="77777777" w:rsidR="006E2FCA" w:rsidRDefault="006E2FCA" w:rsidP="006E2FCA">
      <w:pPr>
        <w:spacing w:line="276" w:lineRule="auto"/>
        <w:rPr>
          <w:rStyle w:val="normaltextrun"/>
          <w:rFonts w:cs="Arial"/>
          <w:color w:val="000000"/>
          <w:szCs w:val="21"/>
          <w:shd w:val="clear" w:color="auto" w:fill="FFFFFF"/>
        </w:rPr>
      </w:pPr>
      <w:r>
        <w:rPr>
          <w:rFonts w:eastAsia="Times"/>
          <w:szCs w:val="21"/>
        </w:rPr>
        <w:t xml:space="preserve">We are transforming the children and families services platform </w:t>
      </w:r>
      <w:r>
        <w:rPr>
          <w:rStyle w:val="normaltextrun"/>
          <w:rFonts w:cs="Arial"/>
          <w:color w:val="000000"/>
          <w:szCs w:val="21"/>
          <w:shd w:val="clear" w:color="auto" w:fill="FFFFFF"/>
        </w:rPr>
        <w:t xml:space="preserve">to create a diverse range of </w:t>
      </w:r>
      <w:r w:rsidRPr="00C576AD">
        <w:rPr>
          <w:rStyle w:val="normaltextrun"/>
          <w:rFonts w:cs="Arial"/>
          <w:color w:val="000000"/>
          <w:szCs w:val="21"/>
          <w:shd w:val="clear" w:color="auto" w:fill="FFFFFF"/>
        </w:rPr>
        <w:t>evidence-informed service models across the </w:t>
      </w:r>
      <w:r>
        <w:rPr>
          <w:rStyle w:val="normaltextrun"/>
          <w:rFonts w:cs="Arial"/>
          <w:color w:val="000000"/>
          <w:szCs w:val="21"/>
          <w:shd w:val="clear" w:color="auto" w:fill="FFFFFF"/>
        </w:rPr>
        <w:t xml:space="preserve">system that can be used flexibly, acknowledging that families vary in their needs, preferences and characteristics, and that these needs may change over time. It means that </w:t>
      </w:r>
      <w:r>
        <w:rPr>
          <w:rStyle w:val="normaltextrun"/>
          <w:rFonts w:cs="Arial"/>
          <w:color w:val="000000"/>
          <w:shd w:val="clear" w:color="auto" w:fill="FFFFFF"/>
        </w:rPr>
        <w:t xml:space="preserve">some </w:t>
      </w:r>
      <w:r>
        <w:rPr>
          <w:rStyle w:val="normaltextrun"/>
          <w:rFonts w:cs="Arial"/>
          <w:color w:val="000000"/>
          <w:shd w:val="clear" w:color="auto" w:fill="FFFFFF"/>
        </w:rPr>
        <w:lastRenderedPageBreak/>
        <w:t xml:space="preserve">families will benefit from more intensive support, some will require support over a longer duration and others may need intermittent support at key intervals. </w:t>
      </w:r>
    </w:p>
    <w:p w14:paraId="6BB257A3" w14:textId="2AD957F6" w:rsidR="006E2FCA" w:rsidRPr="007E2BDB" w:rsidRDefault="006E2FCA" w:rsidP="006E2FCA">
      <w:pPr>
        <w:spacing w:line="276" w:lineRule="auto"/>
        <w:rPr>
          <w:rStyle w:val="normaltextrun"/>
          <w:rFonts w:eastAsia="Times"/>
          <w:szCs w:val="21"/>
        </w:rPr>
      </w:pPr>
      <w:r>
        <w:rPr>
          <w:rFonts w:eastAsia="Times"/>
          <w:szCs w:val="21"/>
        </w:rPr>
        <w:t xml:space="preserve">Children and families previously referred to placement prevention and reunification programs </w:t>
      </w:r>
      <w:r w:rsidR="00AA6A2B">
        <w:rPr>
          <w:rFonts w:eastAsia="Times"/>
          <w:szCs w:val="21"/>
        </w:rPr>
        <w:t xml:space="preserve">that are ceasing </w:t>
      </w:r>
      <w:r>
        <w:rPr>
          <w:rFonts w:eastAsia="Times"/>
          <w:szCs w:val="21"/>
        </w:rPr>
        <w:t xml:space="preserve">will have access to the full range of child and family services, according to what best meets their needs. </w:t>
      </w:r>
    </w:p>
    <w:p w14:paraId="041B43D9" w14:textId="28E3BBFB" w:rsidR="006E2FCA" w:rsidRDefault="008B581E" w:rsidP="006E2FCA">
      <w:pPr>
        <w:spacing w:line="276" w:lineRule="auto"/>
        <w:rPr>
          <w:rStyle w:val="normaltextrun"/>
          <w:rFonts w:cs="Arial"/>
          <w:color w:val="000000"/>
          <w:szCs w:val="21"/>
          <w:shd w:val="clear" w:color="auto" w:fill="FFFFFF"/>
        </w:rPr>
      </w:pPr>
      <w:r w:rsidRPr="00BB2EBD">
        <w:rPr>
          <w:rFonts w:eastAsia="Times"/>
          <w:szCs w:val="21"/>
        </w:rPr>
        <w:t xml:space="preserve">It is expected that a significant proportion of children and families </w:t>
      </w:r>
      <w:r w:rsidR="00D507C5" w:rsidRPr="00BB2EBD">
        <w:rPr>
          <w:rFonts w:eastAsia="Times"/>
          <w:szCs w:val="21"/>
        </w:rPr>
        <w:t xml:space="preserve">eligible for </w:t>
      </w:r>
      <w:r w:rsidRPr="00BB2EBD">
        <w:rPr>
          <w:rFonts w:eastAsia="Times"/>
          <w:szCs w:val="21"/>
        </w:rPr>
        <w:t>placement prevention and reunification services</w:t>
      </w:r>
      <w:r w:rsidR="000F2D3E">
        <w:rPr>
          <w:rFonts w:eastAsia="Times"/>
          <w:szCs w:val="21"/>
        </w:rPr>
        <w:t xml:space="preserve"> that will be ceasing</w:t>
      </w:r>
      <w:r w:rsidRPr="00BB2EBD">
        <w:rPr>
          <w:rFonts w:eastAsia="Times"/>
          <w:szCs w:val="21"/>
        </w:rPr>
        <w:t xml:space="preserve"> will </w:t>
      </w:r>
      <w:r w:rsidR="00AD4F3A">
        <w:rPr>
          <w:rFonts w:eastAsia="Times"/>
          <w:szCs w:val="21"/>
        </w:rPr>
        <w:t>now</w:t>
      </w:r>
      <w:r w:rsidR="00AD4F3A" w:rsidRPr="00BB2EBD">
        <w:rPr>
          <w:rFonts w:eastAsia="Times"/>
          <w:szCs w:val="21"/>
        </w:rPr>
        <w:t xml:space="preserve"> </w:t>
      </w:r>
      <w:r w:rsidR="00D507C5" w:rsidRPr="00BB2EBD">
        <w:rPr>
          <w:rFonts w:eastAsia="Times"/>
          <w:szCs w:val="21"/>
        </w:rPr>
        <w:t>be eligible for the</w:t>
      </w:r>
      <w:r w:rsidRPr="00BB2EBD">
        <w:rPr>
          <w:rFonts w:eastAsia="Times"/>
          <w:szCs w:val="21"/>
        </w:rPr>
        <w:t xml:space="preserve"> Response</w:t>
      </w:r>
      <w:r w:rsidR="005251DB">
        <w:rPr>
          <w:rFonts w:eastAsia="Times"/>
          <w:szCs w:val="21"/>
        </w:rPr>
        <w:t xml:space="preserve">. </w:t>
      </w:r>
      <w:r w:rsidR="004616E0">
        <w:rPr>
          <w:rFonts w:eastAsia="Times"/>
          <w:szCs w:val="21"/>
        </w:rPr>
        <w:t xml:space="preserve">These discontinued programs </w:t>
      </w:r>
      <w:r w:rsidR="004616E0">
        <w:rPr>
          <w:rStyle w:val="normaltextrun"/>
          <w:rFonts w:cs="Arial"/>
          <w:color w:val="000000"/>
          <w:szCs w:val="21"/>
          <w:shd w:val="clear" w:color="auto" w:fill="FFFFFF"/>
        </w:rPr>
        <w:t xml:space="preserve">were also designed to </w:t>
      </w:r>
      <w:r w:rsidR="004616E0" w:rsidRPr="00BB2EBD">
        <w:rPr>
          <w:rStyle w:val="normaltextrun"/>
          <w:rFonts w:cs="Arial"/>
          <w:color w:val="000000"/>
          <w:szCs w:val="21"/>
          <w:shd w:val="clear" w:color="auto" w:fill="FFFFFF"/>
        </w:rPr>
        <w:t>support highly vulnerable children and families with complex needs</w:t>
      </w:r>
      <w:r w:rsidR="00BF1D09">
        <w:rPr>
          <w:rStyle w:val="normaltextrun"/>
          <w:rFonts w:cs="Arial"/>
          <w:color w:val="000000"/>
          <w:szCs w:val="21"/>
          <w:shd w:val="clear" w:color="auto" w:fill="FFFFFF"/>
        </w:rPr>
        <w:t>.</w:t>
      </w:r>
      <w:r w:rsidR="00DF4038">
        <w:rPr>
          <w:rStyle w:val="normaltextrun"/>
          <w:rFonts w:cs="Arial"/>
          <w:color w:val="000000"/>
          <w:szCs w:val="21"/>
          <w:shd w:val="clear" w:color="auto" w:fill="FFFFFF"/>
        </w:rPr>
        <w:t xml:space="preserve"> </w:t>
      </w:r>
      <w:r w:rsidR="005251DB">
        <w:rPr>
          <w:rFonts w:eastAsia="Times"/>
          <w:szCs w:val="21"/>
        </w:rPr>
        <w:t xml:space="preserve">If they do not meet the criteria for the </w:t>
      </w:r>
      <w:r w:rsidR="0089460E">
        <w:rPr>
          <w:rFonts w:eastAsia="Times"/>
          <w:szCs w:val="21"/>
        </w:rPr>
        <w:t xml:space="preserve">Response (see </w:t>
      </w:r>
      <w:r w:rsidR="00366E31">
        <w:rPr>
          <w:rFonts w:eastAsia="Times"/>
          <w:szCs w:val="21"/>
        </w:rPr>
        <w:t xml:space="preserve">above) </w:t>
      </w:r>
      <w:r w:rsidR="007E0A2C">
        <w:rPr>
          <w:rFonts w:eastAsia="Times"/>
          <w:szCs w:val="21"/>
        </w:rPr>
        <w:t xml:space="preserve">they </w:t>
      </w:r>
      <w:r w:rsidR="00E156F7">
        <w:rPr>
          <w:rFonts w:eastAsia="Times"/>
          <w:szCs w:val="21"/>
        </w:rPr>
        <w:t xml:space="preserve">will be eligible for </w:t>
      </w:r>
      <w:r w:rsidR="000403BB">
        <w:rPr>
          <w:rFonts w:eastAsia="Times"/>
          <w:szCs w:val="21"/>
        </w:rPr>
        <w:t>the new</w:t>
      </w:r>
      <w:r w:rsidRPr="00BB2EBD">
        <w:rPr>
          <w:rFonts w:eastAsia="Times"/>
          <w:szCs w:val="21"/>
        </w:rPr>
        <w:t xml:space="preserve"> Intensive Family Services</w:t>
      </w:r>
      <w:r w:rsidR="000403BB">
        <w:rPr>
          <w:rFonts w:eastAsia="Times"/>
          <w:szCs w:val="21"/>
        </w:rPr>
        <w:t xml:space="preserve"> or Family Services more broadly. </w:t>
      </w:r>
      <w:r w:rsidR="00D2074A" w:rsidRPr="00BB2EBD">
        <w:rPr>
          <w:rStyle w:val="eop"/>
          <w:rFonts w:eastAsia="MS Gothic" w:cs="Arial"/>
          <w:color w:val="000000"/>
          <w:szCs w:val="21"/>
          <w:shd w:val="clear" w:color="auto" w:fill="FFFFFF"/>
        </w:rPr>
        <w:t> </w:t>
      </w:r>
    </w:p>
    <w:p w14:paraId="517525B5" w14:textId="77777777" w:rsidR="008B581E" w:rsidRDefault="008B581E" w:rsidP="008B581E">
      <w:pPr>
        <w:pStyle w:val="Heading2"/>
      </w:pPr>
      <w:bookmarkStart w:id="14" w:name="_Toc76724132"/>
      <w:r>
        <w:t>Will my organisation be able to maintain its specialist focus in the delivery of new service models?</w:t>
      </w:r>
      <w:bookmarkEnd w:id="14"/>
    </w:p>
    <w:p w14:paraId="16346414" w14:textId="4D93433D" w:rsidR="008B581E" w:rsidRDefault="00E87243" w:rsidP="008B581E">
      <w:pPr>
        <w:pStyle w:val="Body"/>
      </w:pPr>
      <w:r>
        <w:t>Many</w:t>
      </w:r>
      <w:r w:rsidR="008B581E">
        <w:t xml:space="preserve"> organisations employ practitioners with </w:t>
      </w:r>
      <w:proofErr w:type="gramStart"/>
      <w:r w:rsidR="008B581E">
        <w:t>particular skills</w:t>
      </w:r>
      <w:proofErr w:type="gramEnd"/>
      <w:r w:rsidR="008B581E">
        <w:t xml:space="preserve"> or experience with key targets groups, such as young parents, infants or adolescents. In transitioning to new services, it is expected that there will continue to be a need for this specialisation. </w:t>
      </w:r>
    </w:p>
    <w:p w14:paraId="72F00624" w14:textId="25874B09" w:rsidR="008B581E" w:rsidRDefault="00E87243" w:rsidP="008B581E">
      <w:pPr>
        <w:pStyle w:val="Body"/>
      </w:pPr>
      <w:r>
        <w:t>W</w:t>
      </w:r>
      <w:r w:rsidR="008B581E">
        <w:t>hile this specialisation may relate to the primary client, practitioners will be required to provide a ‘whole of family’ response that will likely involve working with children and young people spanning a range of ages, needs and characteristics.</w:t>
      </w:r>
    </w:p>
    <w:p w14:paraId="7D2879BA" w14:textId="77777777" w:rsidR="008B581E" w:rsidRDefault="008B581E" w:rsidP="008B581E">
      <w:r>
        <w:t xml:space="preserve">Decisions about how specialisation can be maintained or introduced into service models will need to be determined at the local area level, to ensure sufficient coverage of service offerings for all children and families eligible for these new services. As more detailed cohort data becomes available, this will be shared with local areas to support service planning. </w:t>
      </w:r>
    </w:p>
    <w:p w14:paraId="14D2CF15" w14:textId="77777777" w:rsidR="008B581E" w:rsidRPr="00053490" w:rsidRDefault="008B581E" w:rsidP="008B581E">
      <w:pPr>
        <w:pStyle w:val="Heading1"/>
      </w:pPr>
      <w:bookmarkStart w:id="15" w:name="_Toc76724133"/>
      <w:r w:rsidRPr="00F025CD">
        <w:t>Referral pathways​</w:t>
      </w:r>
      <w:bookmarkEnd w:id="15"/>
    </w:p>
    <w:p w14:paraId="765F0B81" w14:textId="499EB5B7" w:rsidR="008B581E" w:rsidRDefault="008B581E" w:rsidP="008B581E">
      <w:pPr>
        <w:pStyle w:val="Heading2"/>
      </w:pPr>
      <w:bookmarkStart w:id="16" w:name="_Toc76724134"/>
      <w:r>
        <w:t>What happens with children and families currently receiving</w:t>
      </w:r>
      <w:r w:rsidR="000F2D3E">
        <w:t xml:space="preserve"> a</w:t>
      </w:r>
      <w:r w:rsidR="00B362A0">
        <w:t xml:space="preserve"> </w:t>
      </w:r>
      <w:r>
        <w:t>placement prevention and reunification service</w:t>
      </w:r>
      <w:r w:rsidR="000F2D3E">
        <w:t xml:space="preserve"> that </w:t>
      </w:r>
      <w:r w:rsidR="00B362A0">
        <w:t>is to be</w:t>
      </w:r>
      <w:r w:rsidR="000F2D3E">
        <w:t xml:space="preserve"> discontinued</w:t>
      </w:r>
      <w:r>
        <w:t>?</w:t>
      </w:r>
      <w:bookmarkEnd w:id="16"/>
      <w:r>
        <w:t xml:space="preserve"> </w:t>
      </w:r>
    </w:p>
    <w:p w14:paraId="092DD1D7" w14:textId="30B13E6C" w:rsidR="00DD709A" w:rsidRPr="00887034" w:rsidRDefault="00357922" w:rsidP="00A70F28">
      <w:pPr>
        <w:pStyle w:val="CommentText"/>
      </w:pPr>
      <w:r w:rsidRPr="00887034">
        <w:rPr>
          <w:szCs w:val="21"/>
        </w:rPr>
        <w:t>For children and families currently receiving placement prevention and reunification service, it will be important for organisations to review these on a case by case basis</w:t>
      </w:r>
      <w:r w:rsidR="00BB132A">
        <w:rPr>
          <w:szCs w:val="21"/>
        </w:rPr>
        <w:t xml:space="preserve">, </w:t>
      </w:r>
      <w:r w:rsidR="004E5A67">
        <w:rPr>
          <w:szCs w:val="21"/>
        </w:rPr>
        <w:t xml:space="preserve">considering the client </w:t>
      </w:r>
      <w:r w:rsidR="009F2B97">
        <w:rPr>
          <w:szCs w:val="21"/>
        </w:rPr>
        <w:t xml:space="preserve">circumstances, </w:t>
      </w:r>
      <w:r w:rsidR="00BB132A">
        <w:t>timeframe</w:t>
      </w:r>
      <w:r w:rsidR="009F2B97">
        <w:t xml:space="preserve"> for intervention and</w:t>
      </w:r>
      <w:r w:rsidR="00BB132A">
        <w:t xml:space="preserve"> level of support </w:t>
      </w:r>
      <w:r w:rsidR="009F2B97">
        <w:t>required,</w:t>
      </w:r>
      <w:r w:rsidRPr="00887034">
        <w:rPr>
          <w:szCs w:val="21"/>
        </w:rPr>
        <w:t xml:space="preserve"> to determine the most suitable pathway to support</w:t>
      </w:r>
      <w:r w:rsidR="00746556" w:rsidRPr="00887034">
        <w:rPr>
          <w:szCs w:val="21"/>
        </w:rPr>
        <w:t xml:space="preserve"> and to ensure a </w:t>
      </w:r>
      <w:r w:rsidR="00F5668E" w:rsidRPr="00887034">
        <w:t>smooth transition</w:t>
      </w:r>
      <w:r w:rsidR="00DD709A" w:rsidRPr="00887034">
        <w:t>.</w:t>
      </w:r>
    </w:p>
    <w:p w14:paraId="448D5FD9" w14:textId="1AE1C916" w:rsidR="00161E31" w:rsidRPr="00887034" w:rsidRDefault="00DD709A" w:rsidP="00A70F28">
      <w:pPr>
        <w:pStyle w:val="CommentText"/>
      </w:pPr>
      <w:r w:rsidRPr="00887034">
        <w:t>It is recommended that</w:t>
      </w:r>
      <w:r w:rsidR="00A70F28" w:rsidRPr="00887034">
        <w:t xml:space="preserve"> organisations </w:t>
      </w:r>
      <w:r w:rsidR="006F7463" w:rsidRPr="00887034">
        <w:t xml:space="preserve">commence </w:t>
      </w:r>
      <w:r w:rsidR="00B447E2" w:rsidRPr="00887034">
        <w:t xml:space="preserve">a </w:t>
      </w:r>
      <w:r w:rsidR="005B4C8A" w:rsidRPr="00887034">
        <w:t xml:space="preserve">review of existing </w:t>
      </w:r>
      <w:r w:rsidR="00AC0D1A" w:rsidRPr="00887034">
        <w:t>caseload</w:t>
      </w:r>
      <w:r w:rsidR="00FB0BDF">
        <w:t>s</w:t>
      </w:r>
      <w:r w:rsidR="008F3ACE" w:rsidRPr="00887034">
        <w:t xml:space="preserve"> to </w:t>
      </w:r>
      <w:r w:rsidR="00A70F28" w:rsidRPr="00887034">
        <w:t>determine</w:t>
      </w:r>
      <w:r w:rsidR="00161E31" w:rsidRPr="00887034">
        <w:t>:</w:t>
      </w:r>
    </w:p>
    <w:p w14:paraId="1E8B1C0C" w14:textId="4FBF0B0E" w:rsidR="00161E31" w:rsidRPr="00887034" w:rsidRDefault="00C626D2" w:rsidP="0081470F">
      <w:pPr>
        <w:pStyle w:val="Bullet1"/>
      </w:pPr>
      <w:r w:rsidRPr="00887034">
        <w:t>f</w:t>
      </w:r>
      <w:r w:rsidR="00A70F28" w:rsidRPr="00887034">
        <w:t>amilies</w:t>
      </w:r>
      <w:r w:rsidRPr="00887034">
        <w:t xml:space="preserve"> who</w:t>
      </w:r>
      <w:r w:rsidR="00A70F28" w:rsidRPr="00887034">
        <w:t xml:space="preserve"> continue to require a</w:t>
      </w:r>
      <w:r w:rsidR="000C27DE" w:rsidRPr="00887034">
        <w:t>n intensive</w:t>
      </w:r>
      <w:r w:rsidR="00A70F28" w:rsidRPr="00887034">
        <w:t xml:space="preserve"> service and could transition to the Response (providing they meet the eligibility criteria or </w:t>
      </w:r>
      <w:r w:rsidR="00535A5F" w:rsidRPr="00887034">
        <w:t xml:space="preserve">would have </w:t>
      </w:r>
      <w:r w:rsidR="00A70F28" w:rsidRPr="00887034">
        <w:t>at the time of engagement</w:t>
      </w:r>
      <w:r w:rsidR="003B6518" w:rsidRPr="00887034">
        <w:t>)</w:t>
      </w:r>
    </w:p>
    <w:p w14:paraId="3F5CDA19" w14:textId="4A2735B7" w:rsidR="00405DA9" w:rsidRPr="00887034" w:rsidRDefault="00CD4C6B" w:rsidP="0081470F">
      <w:pPr>
        <w:pStyle w:val="Bullet1"/>
      </w:pPr>
      <w:r w:rsidRPr="00887034">
        <w:t xml:space="preserve">families who </w:t>
      </w:r>
      <w:r w:rsidR="009835E2" w:rsidRPr="00887034">
        <w:t>require</w:t>
      </w:r>
      <w:r w:rsidR="007A0687" w:rsidRPr="00887034">
        <w:t xml:space="preserve"> sustained </w:t>
      </w:r>
      <w:r w:rsidR="009835E2" w:rsidRPr="00887034">
        <w:t xml:space="preserve">support and </w:t>
      </w:r>
      <w:proofErr w:type="gramStart"/>
      <w:r w:rsidR="007B742C">
        <w:t>whom</w:t>
      </w:r>
      <w:proofErr w:type="gramEnd"/>
      <w:r w:rsidR="007B742C">
        <w:t xml:space="preserve"> may benefit from another program within </w:t>
      </w:r>
      <w:r w:rsidR="00B2497D">
        <w:t>the same or another</w:t>
      </w:r>
      <w:r w:rsidR="007B742C">
        <w:t xml:space="preserve"> organisation</w:t>
      </w:r>
      <w:r w:rsidR="000C353D" w:rsidRPr="00887034">
        <w:t>, noting transition into an Intensive Families Service or family service should be managed through the existing referral and allocations process within each Alliance</w:t>
      </w:r>
      <w:r w:rsidR="002317F0" w:rsidRPr="00887034">
        <w:t xml:space="preserve"> </w:t>
      </w:r>
      <w:r w:rsidR="00357922" w:rsidRPr="00887034">
        <w:t xml:space="preserve"> </w:t>
      </w:r>
      <w:r w:rsidR="004305B7" w:rsidRPr="00887034">
        <w:t xml:space="preserve"> </w:t>
      </w:r>
      <w:r w:rsidR="00A70F28" w:rsidRPr="00887034">
        <w:t xml:space="preserve"> </w:t>
      </w:r>
    </w:p>
    <w:p w14:paraId="70198294" w14:textId="2830FACC" w:rsidR="00FB0BDF" w:rsidRPr="00887034" w:rsidRDefault="00FB0BDF" w:rsidP="0081470F">
      <w:pPr>
        <w:pStyle w:val="Bullet1"/>
      </w:pPr>
      <w:r w:rsidRPr="00887034">
        <w:t>families whose case plan goals have been substantially progressed and are due for closure</w:t>
      </w:r>
      <w:r w:rsidR="004568A4">
        <w:t>.</w:t>
      </w:r>
    </w:p>
    <w:p w14:paraId="34AA1487" w14:textId="77777777" w:rsidR="00EF4854" w:rsidRDefault="00656C9B" w:rsidP="0081470F">
      <w:pPr>
        <w:pStyle w:val="Bodyafterbullets"/>
      </w:pPr>
      <w:r w:rsidRPr="00887034">
        <w:t>T</w:t>
      </w:r>
      <w:r w:rsidR="004E6AF2" w:rsidRPr="00887034">
        <w:t xml:space="preserve">o ensure </w:t>
      </w:r>
      <w:r w:rsidR="000E5F97" w:rsidRPr="00887034">
        <w:t>the Response remains targeted to children and young people at highest risk of entry to care,</w:t>
      </w:r>
      <w:r w:rsidRPr="00887034">
        <w:t xml:space="preserve"> it is recommended that once the caseload assessments have been </w:t>
      </w:r>
      <w:r w:rsidR="0076090C" w:rsidRPr="00887034">
        <w:t>undertaken</w:t>
      </w:r>
      <w:r w:rsidRPr="00887034">
        <w:t>,</w:t>
      </w:r>
      <w:r w:rsidR="000E5F97" w:rsidRPr="00887034">
        <w:t xml:space="preserve"> that </w:t>
      </w:r>
      <w:r w:rsidR="009B49E3" w:rsidRPr="00887034">
        <w:t xml:space="preserve">organisations </w:t>
      </w:r>
      <w:r w:rsidR="000904B9" w:rsidRPr="00887034">
        <w:t xml:space="preserve">undertake a </w:t>
      </w:r>
      <w:r w:rsidR="000904B9" w:rsidRPr="00887034">
        <w:lastRenderedPageBreak/>
        <w:t>joint review with C</w:t>
      </w:r>
      <w:r w:rsidR="001F4A41" w:rsidRPr="00887034">
        <w:t xml:space="preserve">hild Protection Navigator </w:t>
      </w:r>
      <w:r w:rsidR="00222D1D" w:rsidRPr="00887034">
        <w:t xml:space="preserve">to establish </w:t>
      </w:r>
      <w:r w:rsidR="00FE3A7E" w:rsidRPr="00887034">
        <w:t xml:space="preserve">shared understanding of </w:t>
      </w:r>
      <w:r w:rsidR="003E1C3C" w:rsidRPr="00887034">
        <w:t xml:space="preserve">capacity </w:t>
      </w:r>
      <w:r w:rsidR="00BE58F7" w:rsidRPr="00887034">
        <w:t xml:space="preserve">to allow for </w:t>
      </w:r>
      <w:r w:rsidR="00D862EE" w:rsidRPr="00887034">
        <w:t>phasing of Response connections</w:t>
      </w:r>
      <w:r w:rsidR="001701A4" w:rsidRPr="00887034">
        <w:t xml:space="preserve"> </w:t>
      </w:r>
      <w:r w:rsidR="0076090C" w:rsidRPr="00887034">
        <w:t xml:space="preserve">for </w:t>
      </w:r>
      <w:r w:rsidR="00D862EE" w:rsidRPr="00887034">
        <w:t>stead</w:t>
      </w:r>
      <w:r w:rsidR="00C831ED" w:rsidRPr="00887034">
        <w:t>y</w:t>
      </w:r>
      <w:r w:rsidR="0076090C" w:rsidRPr="00887034">
        <w:t xml:space="preserve"> </w:t>
      </w:r>
      <w:r w:rsidR="003F0408" w:rsidRPr="00887034">
        <w:t>flow</w:t>
      </w:r>
      <w:r w:rsidR="00D862EE" w:rsidRPr="00887034">
        <w:t xml:space="preserve"> </w:t>
      </w:r>
      <w:r w:rsidR="00E60C3C" w:rsidRPr="00887034">
        <w:t xml:space="preserve">over the year. </w:t>
      </w:r>
    </w:p>
    <w:p w14:paraId="5E573371" w14:textId="0A1076CC" w:rsidR="00405DA9" w:rsidRPr="00887034" w:rsidRDefault="002D4A7E" w:rsidP="00F4506D">
      <w:pPr>
        <w:pStyle w:val="DHHSbody"/>
        <w:rPr>
          <w:sz w:val="21"/>
          <w:szCs w:val="21"/>
        </w:rPr>
      </w:pPr>
      <w:r w:rsidRPr="00887034">
        <w:rPr>
          <w:sz w:val="21"/>
          <w:szCs w:val="21"/>
        </w:rPr>
        <w:t>These cases are expected to remain open in Child Protection and continue to be jointly worked between the Response provider and Child Protection</w:t>
      </w:r>
      <w:r w:rsidR="00F26A61" w:rsidRPr="00887034">
        <w:rPr>
          <w:sz w:val="21"/>
          <w:szCs w:val="21"/>
        </w:rPr>
        <w:t>,</w:t>
      </w:r>
      <w:r w:rsidR="008C4529" w:rsidRPr="00887034">
        <w:rPr>
          <w:sz w:val="21"/>
          <w:szCs w:val="21"/>
        </w:rPr>
        <w:t xml:space="preserve"> until</w:t>
      </w:r>
      <w:r w:rsidR="00F26A61" w:rsidRPr="00887034">
        <w:rPr>
          <w:sz w:val="21"/>
          <w:szCs w:val="21"/>
        </w:rPr>
        <w:t xml:space="preserve"> it is</w:t>
      </w:r>
      <w:r w:rsidR="008C4529" w:rsidRPr="00887034">
        <w:rPr>
          <w:sz w:val="21"/>
          <w:szCs w:val="21"/>
        </w:rPr>
        <w:t xml:space="preserve"> assessed </w:t>
      </w:r>
      <w:r w:rsidR="009A3549" w:rsidRPr="00887034">
        <w:rPr>
          <w:sz w:val="21"/>
          <w:szCs w:val="21"/>
        </w:rPr>
        <w:t>that Child Protection involvement is no longer required</w:t>
      </w:r>
      <w:r w:rsidRPr="00887034">
        <w:rPr>
          <w:sz w:val="21"/>
          <w:szCs w:val="21"/>
        </w:rPr>
        <w:t>.</w:t>
      </w:r>
      <w:r w:rsidR="00A951B9" w:rsidRPr="00887034">
        <w:rPr>
          <w:sz w:val="21"/>
          <w:szCs w:val="21"/>
        </w:rPr>
        <w:t xml:space="preserve"> Wherever possible, families should be supported to maintain their existing relationship with their case manager and organisation.</w:t>
      </w:r>
    </w:p>
    <w:p w14:paraId="3C6AF91D" w14:textId="2D039CFE" w:rsidR="00A951B9" w:rsidRPr="00F4506D" w:rsidRDefault="00627198" w:rsidP="00F4506D">
      <w:pPr>
        <w:pStyle w:val="DHHSbody"/>
        <w:rPr>
          <w:sz w:val="21"/>
          <w:szCs w:val="21"/>
        </w:rPr>
      </w:pPr>
      <w:r w:rsidRPr="00887034">
        <w:rPr>
          <w:rFonts w:cs="Arial"/>
          <w:sz w:val="21"/>
          <w:szCs w:val="21"/>
        </w:rPr>
        <w:t xml:space="preserve">It is envisaged that leading up to 1 August, Child Protection representatives will be invited to relevant local area governance meetings with existing and </w:t>
      </w:r>
      <w:r w:rsidR="00EF4854">
        <w:rPr>
          <w:rFonts w:cs="Arial"/>
          <w:sz w:val="21"/>
          <w:szCs w:val="21"/>
        </w:rPr>
        <w:t>new</w:t>
      </w:r>
      <w:r w:rsidRPr="00887034">
        <w:rPr>
          <w:rFonts w:cs="Arial"/>
          <w:sz w:val="21"/>
          <w:szCs w:val="21"/>
        </w:rPr>
        <w:t xml:space="preserve"> Response providers to support a better understanding of Child Protection Navigator functions</w:t>
      </w:r>
      <w:r w:rsidR="00A77100" w:rsidRPr="00887034">
        <w:rPr>
          <w:rFonts w:cs="Arial"/>
          <w:sz w:val="21"/>
          <w:szCs w:val="21"/>
        </w:rPr>
        <w:t>, Response eligibility criteria</w:t>
      </w:r>
      <w:r w:rsidRPr="00887034">
        <w:rPr>
          <w:rFonts w:cs="Arial"/>
          <w:sz w:val="21"/>
          <w:szCs w:val="21"/>
        </w:rPr>
        <w:t xml:space="preserve"> and plan for operationalising transition of existing families, allocation and prioritisation processes.</w:t>
      </w:r>
      <w:r>
        <w:rPr>
          <w:rFonts w:cs="Arial"/>
          <w:sz w:val="21"/>
          <w:szCs w:val="21"/>
        </w:rPr>
        <w:t xml:space="preserve">  </w:t>
      </w:r>
    </w:p>
    <w:p w14:paraId="7793D462" w14:textId="77777777" w:rsidR="008B581E" w:rsidRDefault="008B581E" w:rsidP="008B581E">
      <w:pPr>
        <w:pStyle w:val="Heading2"/>
      </w:pPr>
      <w:bookmarkStart w:id="17" w:name="_Toc76724135"/>
      <w:r>
        <w:t>How should any new referrals received between now and 1 August be managed?</w:t>
      </w:r>
      <w:bookmarkEnd w:id="17"/>
    </w:p>
    <w:p w14:paraId="7D479F0C" w14:textId="301661BF" w:rsidR="008B581E" w:rsidRDefault="008B581E" w:rsidP="008B581E">
      <w:pPr>
        <w:pStyle w:val="DHHSbody"/>
        <w:rPr>
          <w:sz w:val="21"/>
          <w:szCs w:val="21"/>
        </w:rPr>
      </w:pPr>
      <w:r>
        <w:rPr>
          <w:sz w:val="21"/>
          <w:szCs w:val="21"/>
        </w:rPr>
        <w:t xml:space="preserve">Service providers are required to continue to accept new referrals, subject to capacity, throughout the transition period. </w:t>
      </w:r>
      <w:r w:rsidR="004301DA">
        <w:rPr>
          <w:sz w:val="21"/>
          <w:szCs w:val="21"/>
        </w:rPr>
        <w:t>Consider the intent and target cohort for the Response, Intensive Family Services as well as the broader range of child and family services</w:t>
      </w:r>
      <w:r w:rsidR="003E0997">
        <w:rPr>
          <w:sz w:val="21"/>
          <w:szCs w:val="21"/>
        </w:rPr>
        <w:t xml:space="preserve"> to identify the most suitable service</w:t>
      </w:r>
      <w:r w:rsidR="00BA2207">
        <w:rPr>
          <w:sz w:val="21"/>
          <w:szCs w:val="21"/>
        </w:rPr>
        <w:t xml:space="preserve"> option. </w:t>
      </w:r>
    </w:p>
    <w:p w14:paraId="3FAD7B7B" w14:textId="77777777" w:rsidR="008B581E" w:rsidRPr="008E1AAD" w:rsidRDefault="008B581E" w:rsidP="008B581E">
      <w:pPr>
        <w:pStyle w:val="DHHSbody"/>
        <w:rPr>
          <w:sz w:val="21"/>
          <w:szCs w:val="21"/>
        </w:rPr>
      </w:pPr>
      <w:r w:rsidRPr="008E1AAD">
        <w:rPr>
          <w:sz w:val="21"/>
          <w:szCs w:val="21"/>
        </w:rPr>
        <w:t xml:space="preserve">For children and families eligible for the Response, potential connections should be discussed with the existing CP Navigator in the first instance. </w:t>
      </w:r>
    </w:p>
    <w:p w14:paraId="7D66FBB7" w14:textId="77777777" w:rsidR="008B581E" w:rsidRDefault="008B581E" w:rsidP="008B581E">
      <w:pPr>
        <w:pStyle w:val="DHHSbody"/>
        <w:rPr>
          <w:sz w:val="21"/>
          <w:szCs w:val="21"/>
        </w:rPr>
      </w:pPr>
      <w:r w:rsidRPr="008E1AAD">
        <w:rPr>
          <w:sz w:val="21"/>
          <w:szCs w:val="21"/>
        </w:rPr>
        <w:t>Referrals for all other child and family services, including an Intensive Family Service, should be managed through the existing referral and allocations process within each Alliance.</w:t>
      </w:r>
      <w:r>
        <w:rPr>
          <w:sz w:val="21"/>
          <w:szCs w:val="21"/>
        </w:rPr>
        <w:t xml:space="preserve"> </w:t>
      </w:r>
    </w:p>
    <w:p w14:paraId="72D39A1B" w14:textId="525663DF" w:rsidR="008B581E" w:rsidRDefault="008B581E" w:rsidP="008B581E">
      <w:pPr>
        <w:pStyle w:val="Heading2"/>
      </w:pPr>
      <w:bookmarkStart w:id="18" w:name="_Toc76724136"/>
      <w:r w:rsidRPr="00203B5C">
        <w:t xml:space="preserve">How will referrals into the new services be made </w:t>
      </w:r>
      <w:r w:rsidR="004568A4">
        <w:t>after</w:t>
      </w:r>
      <w:r w:rsidR="004568A4" w:rsidRPr="00203B5C">
        <w:t xml:space="preserve"> </w:t>
      </w:r>
      <w:r w:rsidRPr="00203B5C">
        <w:t>1 August?</w:t>
      </w:r>
      <w:bookmarkEnd w:id="18"/>
      <w:r>
        <w:t xml:space="preserve"> </w:t>
      </w:r>
    </w:p>
    <w:p w14:paraId="3ACBFD1D" w14:textId="77777777" w:rsidR="008B581E" w:rsidRDefault="008B581E" w:rsidP="008B581E">
      <w:pPr>
        <w:pStyle w:val="Heading3"/>
      </w:pPr>
      <w:bookmarkStart w:id="19" w:name="_Toc76570452"/>
      <w:bookmarkStart w:id="20" w:name="_Toc76724137"/>
      <w:r>
        <w:t>Connections into the Response</w:t>
      </w:r>
      <w:bookmarkEnd w:id="19"/>
      <w:bookmarkEnd w:id="20"/>
      <w:r>
        <w:t xml:space="preserve"> </w:t>
      </w:r>
    </w:p>
    <w:p w14:paraId="3EBA0C64" w14:textId="195E157A" w:rsidR="008B581E" w:rsidRPr="00FB14E9" w:rsidRDefault="008B581E" w:rsidP="008B581E">
      <w:pPr>
        <w:pStyle w:val="Body"/>
      </w:pPr>
      <w:r>
        <w:t xml:space="preserve">From 1 August, </w:t>
      </w:r>
      <w:proofErr w:type="gramStart"/>
      <w:r>
        <w:t>children</w:t>
      </w:r>
      <w:proofErr w:type="gramEnd"/>
      <w:r>
        <w:t xml:space="preserve"> and families eligible for the Response will be identified and connected through the Child Protection Navigator. </w:t>
      </w:r>
      <w:r w:rsidRPr="00C76F2C">
        <w:t>Navigator</w:t>
      </w:r>
      <w:r>
        <w:t>s make these connections</w:t>
      </w:r>
      <w:r w:rsidRPr="00C76F2C">
        <w:t xml:space="preserve"> using careful targeting that combines system analytics and professional judgement</w:t>
      </w:r>
      <w:r>
        <w:t>.</w:t>
      </w:r>
    </w:p>
    <w:p w14:paraId="21C7311E" w14:textId="6E73A30A" w:rsidR="008B581E" w:rsidRPr="00203B5C" w:rsidRDefault="008B581E" w:rsidP="008B581E">
      <w:pPr>
        <w:pStyle w:val="Body"/>
      </w:pPr>
      <w:r w:rsidRPr="00203B5C">
        <w:t>The primary focus of the C</w:t>
      </w:r>
      <w:r w:rsidR="00B10C94">
        <w:t xml:space="preserve">hild </w:t>
      </w:r>
      <w:r w:rsidRPr="00203B5C">
        <w:t>P</w:t>
      </w:r>
      <w:r w:rsidR="00B10C94">
        <w:t>rotection</w:t>
      </w:r>
      <w:r w:rsidRPr="00203B5C">
        <w:t xml:space="preserve"> Navigator </w:t>
      </w:r>
      <w:r w:rsidR="00B10C94">
        <w:t xml:space="preserve">is </w:t>
      </w:r>
      <w:r w:rsidRPr="00203B5C">
        <w:t xml:space="preserve">the effective and timely identification and connection of children and families to the Response. </w:t>
      </w:r>
    </w:p>
    <w:p w14:paraId="71B41BEC" w14:textId="22FCA0AB" w:rsidR="008B581E" w:rsidRDefault="008B581E" w:rsidP="008B581E">
      <w:pPr>
        <w:pStyle w:val="Body"/>
        <w:rPr>
          <w:szCs w:val="21"/>
        </w:rPr>
      </w:pPr>
      <w:r w:rsidRPr="00203B5C">
        <w:rPr>
          <w:szCs w:val="21"/>
        </w:rPr>
        <w:t>Further information about C</w:t>
      </w:r>
      <w:r w:rsidR="00B10C94">
        <w:rPr>
          <w:szCs w:val="21"/>
        </w:rPr>
        <w:t xml:space="preserve">hild </w:t>
      </w:r>
      <w:r w:rsidRPr="00203B5C">
        <w:rPr>
          <w:szCs w:val="21"/>
        </w:rPr>
        <w:t>P</w:t>
      </w:r>
      <w:r w:rsidR="00B10C94">
        <w:rPr>
          <w:szCs w:val="21"/>
        </w:rPr>
        <w:t>rotection</w:t>
      </w:r>
      <w:r w:rsidRPr="00203B5C">
        <w:rPr>
          <w:szCs w:val="21"/>
        </w:rPr>
        <w:t xml:space="preserve"> Navigator function will be provided at the upcoming information sessions and will be detailed in the revised Response operational guide that will be made available shortly.</w:t>
      </w:r>
      <w:r w:rsidRPr="00BE3857">
        <w:rPr>
          <w:szCs w:val="21"/>
        </w:rPr>
        <w:t xml:space="preserve"> </w:t>
      </w:r>
    </w:p>
    <w:p w14:paraId="25A01D47" w14:textId="77777777" w:rsidR="008B581E" w:rsidRPr="00203B5C" w:rsidRDefault="008B581E" w:rsidP="008B581E">
      <w:pPr>
        <w:pStyle w:val="Heading3"/>
      </w:pPr>
      <w:bookmarkStart w:id="21" w:name="_Toc76570453"/>
      <w:bookmarkStart w:id="22" w:name="_Toc76724138"/>
      <w:r w:rsidRPr="00203B5C">
        <w:t>Referral</w:t>
      </w:r>
      <w:r>
        <w:t>s</w:t>
      </w:r>
      <w:r w:rsidRPr="00203B5C">
        <w:t xml:space="preserve"> into Intensive Family Services</w:t>
      </w:r>
      <w:bookmarkEnd w:id="21"/>
      <w:bookmarkEnd w:id="22"/>
      <w:r w:rsidRPr="00203B5C">
        <w:t xml:space="preserve">  </w:t>
      </w:r>
    </w:p>
    <w:p w14:paraId="0A90000B" w14:textId="77777777" w:rsidR="008B581E" w:rsidRDefault="008B581E" w:rsidP="008B581E">
      <w:pPr>
        <w:pStyle w:val="Body"/>
      </w:pPr>
      <w:r>
        <w:t xml:space="preserve">From 1 August, referrals into Intensive Family Services will be made through </w:t>
      </w:r>
      <w:r w:rsidRPr="00203B5C">
        <w:t>Child Protection</w:t>
      </w:r>
      <w:r>
        <w:t xml:space="preserve">, </w:t>
      </w:r>
      <w:r w:rsidRPr="00203B5C">
        <w:t xml:space="preserve">including </w:t>
      </w:r>
      <w:r>
        <w:t>C</w:t>
      </w:r>
      <w:r w:rsidRPr="00203B5C">
        <w:t xml:space="preserve">ommunity </w:t>
      </w:r>
      <w:r>
        <w:t xml:space="preserve">Based Child Protection, or the </w:t>
      </w:r>
      <w:r w:rsidRPr="00203B5C">
        <w:t>Orange Door</w:t>
      </w:r>
      <w:r>
        <w:t>/</w:t>
      </w:r>
      <w:r w:rsidRPr="00203B5C">
        <w:t xml:space="preserve">Child FIRST. </w:t>
      </w:r>
      <w:r>
        <w:t>Allocations</w:t>
      </w:r>
      <w:r w:rsidRPr="00203B5C">
        <w:t xml:space="preserve"> </w:t>
      </w:r>
      <w:r>
        <w:t>are to be</w:t>
      </w:r>
      <w:r w:rsidRPr="00203B5C">
        <w:t xml:space="preserve"> negotiated through</w:t>
      </w:r>
      <w:r>
        <w:t xml:space="preserve"> local area</w:t>
      </w:r>
      <w:r w:rsidRPr="00203B5C">
        <w:t xml:space="preserve"> </w:t>
      </w:r>
      <w:r>
        <w:t>Children and Families Alliances</w:t>
      </w:r>
      <w:r w:rsidRPr="00203B5C">
        <w:t xml:space="preserve">, using existing processes. All referrals must be registered with </w:t>
      </w:r>
      <w:r>
        <w:t>t</w:t>
      </w:r>
      <w:r w:rsidRPr="00203B5C">
        <w:t>he Orange Door/Child FIRST.</w:t>
      </w:r>
    </w:p>
    <w:p w14:paraId="7D765AEB" w14:textId="32204FA2" w:rsidR="008B581E" w:rsidRPr="00F025CD" w:rsidRDefault="008B581E" w:rsidP="008B581E">
      <w:pPr>
        <w:pStyle w:val="Heading2"/>
      </w:pPr>
      <w:bookmarkStart w:id="23" w:name="_Toc76724139"/>
      <w:r w:rsidRPr="00F025CD">
        <w:t xml:space="preserve">How will referrals to specialised intervention supports be made </w:t>
      </w:r>
      <w:r w:rsidR="004568A4">
        <w:t>after</w:t>
      </w:r>
      <w:r w:rsidR="004568A4" w:rsidRPr="00F025CD">
        <w:t xml:space="preserve"> </w:t>
      </w:r>
      <w:r w:rsidRPr="00F025CD">
        <w:t>1 August?</w:t>
      </w:r>
      <w:bookmarkEnd w:id="23"/>
    </w:p>
    <w:p w14:paraId="0DF97EF1" w14:textId="43AF5982" w:rsidR="008B581E" w:rsidRPr="00F025CD" w:rsidRDefault="008B581E" w:rsidP="008B581E">
      <w:pPr>
        <w:pStyle w:val="Body"/>
        <w:rPr>
          <w:rFonts w:cs="Arial"/>
        </w:rPr>
      </w:pPr>
      <w:r>
        <w:t xml:space="preserve">The specialist components of </w:t>
      </w:r>
      <w:r w:rsidRPr="7F186369">
        <w:rPr>
          <w:rFonts w:cs="Arial"/>
        </w:rPr>
        <w:t xml:space="preserve">the Stronger Families model, funded under </w:t>
      </w:r>
      <w:r w:rsidRPr="7F186369">
        <w:rPr>
          <w:rFonts w:cs="Arial"/>
          <w:i/>
        </w:rPr>
        <w:t>Activity 31438 Specialised Interventions,</w:t>
      </w:r>
      <w:r w:rsidRPr="7F186369">
        <w:rPr>
          <w:rFonts w:cs="Arial"/>
        </w:rPr>
        <w:t xml:space="preserve"> are out of scope of the</w:t>
      </w:r>
      <w:r w:rsidR="008C34D4">
        <w:rPr>
          <w:rFonts w:cs="Arial"/>
        </w:rPr>
        <w:t xml:space="preserve"> transformation of </w:t>
      </w:r>
      <w:r w:rsidR="00B5556C">
        <w:rPr>
          <w:rFonts w:cs="Arial"/>
        </w:rPr>
        <w:t>the current phase of reforms</w:t>
      </w:r>
      <w:r w:rsidRPr="7F186369">
        <w:rPr>
          <w:rFonts w:cs="Arial"/>
        </w:rPr>
        <w:t xml:space="preserve">. This includes programs funded under the following sub-activities: </w:t>
      </w:r>
    </w:p>
    <w:p w14:paraId="3787A50A" w14:textId="77777777" w:rsidR="008B581E" w:rsidRPr="00DA6765" w:rsidRDefault="008B581E" w:rsidP="0081470F">
      <w:pPr>
        <w:pStyle w:val="Bullet1"/>
      </w:pPr>
      <w:r w:rsidRPr="00DA6765">
        <w:lastRenderedPageBreak/>
        <w:t>Stronger Families - Finding Solutions Plus</w:t>
      </w:r>
    </w:p>
    <w:p w14:paraId="69D34107" w14:textId="77777777" w:rsidR="008B581E" w:rsidRPr="00DA6765" w:rsidRDefault="008B581E" w:rsidP="0081470F">
      <w:pPr>
        <w:pStyle w:val="Bullet1"/>
      </w:pPr>
      <w:r w:rsidRPr="00DA6765">
        <w:t>Stronger Families - Intensive In-Home Parenting Support Service</w:t>
      </w:r>
    </w:p>
    <w:p w14:paraId="6872A5EC" w14:textId="66FBE48F" w:rsidR="008B581E" w:rsidRPr="00DA6765" w:rsidRDefault="008B581E" w:rsidP="0081470F">
      <w:pPr>
        <w:pStyle w:val="Bullet1"/>
      </w:pPr>
      <w:r w:rsidRPr="00DA6765">
        <w:t>Stronger Families - Therapeutic Treatment Service</w:t>
      </w:r>
    </w:p>
    <w:p w14:paraId="27E6F261" w14:textId="2A9C2B7A" w:rsidR="008B581E" w:rsidRDefault="008B581E" w:rsidP="0081470F">
      <w:pPr>
        <w:pStyle w:val="Bodyafterbullets"/>
      </w:pPr>
      <w:r>
        <w:t>While Stronger Families as a program will be ceasing</w:t>
      </w:r>
      <w:r w:rsidRPr="7F186369">
        <w:t xml:space="preserve">, </w:t>
      </w:r>
      <w:r w:rsidR="0F9B5E51" w:rsidRPr="7F186369">
        <w:t xml:space="preserve">the </w:t>
      </w:r>
      <w:r w:rsidRPr="7F186369">
        <w:t>intent and funding arrangements for these specialist components are to be maintained, as specialist expertise, essential to achieving change with families.</w:t>
      </w:r>
    </w:p>
    <w:p w14:paraId="61ED2F2E" w14:textId="77777777" w:rsidR="008B581E" w:rsidRPr="009906D3" w:rsidRDefault="008B581E" w:rsidP="008B581E">
      <w:pPr>
        <w:pStyle w:val="Body"/>
        <w:rPr>
          <w:rFonts w:cs="Arial"/>
          <w:szCs w:val="21"/>
        </w:rPr>
      </w:pPr>
      <w:r w:rsidRPr="00F025CD">
        <w:rPr>
          <w:rFonts w:cs="Arial"/>
          <w:szCs w:val="21"/>
        </w:rPr>
        <w:t xml:space="preserve">In the </w:t>
      </w:r>
      <w:r>
        <w:rPr>
          <w:rFonts w:cs="Arial"/>
          <w:szCs w:val="21"/>
        </w:rPr>
        <w:t>interim</w:t>
      </w:r>
      <w:r w:rsidRPr="00F025CD">
        <w:rPr>
          <w:rFonts w:cs="Arial"/>
          <w:szCs w:val="21"/>
        </w:rPr>
        <w:t xml:space="preserve">, </w:t>
      </w:r>
      <w:r>
        <w:rPr>
          <w:rFonts w:cs="Arial"/>
          <w:szCs w:val="21"/>
        </w:rPr>
        <w:t xml:space="preserve">it is intended that </w:t>
      </w:r>
      <w:r w:rsidRPr="00F025CD">
        <w:rPr>
          <w:rFonts w:cs="Arial"/>
          <w:szCs w:val="21"/>
        </w:rPr>
        <w:t>the specialist component</w:t>
      </w:r>
      <w:r>
        <w:rPr>
          <w:rFonts w:cs="Arial"/>
          <w:szCs w:val="21"/>
        </w:rPr>
        <w:t>s</w:t>
      </w:r>
      <w:r w:rsidRPr="00F025CD">
        <w:rPr>
          <w:rFonts w:cs="Arial"/>
          <w:szCs w:val="21"/>
        </w:rPr>
        <w:t xml:space="preserve"> will: </w:t>
      </w:r>
    </w:p>
    <w:p w14:paraId="6337DD89" w14:textId="77777777" w:rsidR="008B581E" w:rsidRPr="00924411" w:rsidRDefault="008B581E" w:rsidP="0081470F">
      <w:pPr>
        <w:pStyle w:val="Bullet1"/>
      </w:pPr>
      <w:r w:rsidRPr="00924411">
        <w:rPr>
          <w:b/>
          <w:bCs/>
        </w:rPr>
        <w:t>target children and families with more complex needs</w:t>
      </w:r>
      <w:r w:rsidRPr="00F025CD">
        <w:t xml:space="preserve">, with referrals </w:t>
      </w:r>
      <w:r>
        <w:t xml:space="preserve">from </w:t>
      </w:r>
      <w:r w:rsidRPr="00F025CD">
        <w:t>Response</w:t>
      </w:r>
      <w:r>
        <w:t xml:space="preserve"> providers being prioritised</w:t>
      </w:r>
      <w:r w:rsidRPr="00F025CD">
        <w:t xml:space="preserve">. </w:t>
      </w:r>
      <w:r>
        <w:t xml:space="preserve">Notably, there will be more Response </w:t>
      </w:r>
      <w:r w:rsidRPr="00F025CD">
        <w:t xml:space="preserve">providers </w:t>
      </w:r>
      <w:r>
        <w:t>than there have been</w:t>
      </w:r>
      <w:r w:rsidRPr="00F025CD">
        <w:t xml:space="preserve"> Stronger Families providers. </w:t>
      </w:r>
      <w:r>
        <w:t>L</w:t>
      </w:r>
      <w:r w:rsidRPr="00F025CD">
        <w:t xml:space="preserve">ocal governance </w:t>
      </w:r>
      <w:r>
        <w:t>groups</w:t>
      </w:r>
      <w:r w:rsidRPr="00F025CD">
        <w:t xml:space="preserve"> will need to make decisions about the best way to prioritise access to these specialist practitioners. It may vary by </w:t>
      </w:r>
      <w:r>
        <w:t>a</w:t>
      </w:r>
      <w:r w:rsidRPr="00F025CD">
        <w:t xml:space="preserve">rea depending on the various models in place. </w:t>
      </w:r>
      <w:r>
        <w:t>W</w:t>
      </w:r>
      <w:r w:rsidRPr="00924411">
        <w:t>here capacity exists, these services may be extended to less intensive family services</w:t>
      </w:r>
      <w:r>
        <w:t>.</w:t>
      </w:r>
    </w:p>
    <w:p w14:paraId="713ACB33" w14:textId="77777777" w:rsidR="008B581E" w:rsidRPr="009906D3" w:rsidRDefault="008B581E" w:rsidP="0081470F">
      <w:pPr>
        <w:pStyle w:val="Bullet1"/>
      </w:pPr>
      <w:r w:rsidRPr="00924411">
        <w:rPr>
          <w:b/>
          <w:bCs/>
        </w:rPr>
        <w:t>continue to operate as a joint service delivery model</w:t>
      </w:r>
      <w:r>
        <w:t xml:space="preserve">, with a </w:t>
      </w:r>
      <w:r w:rsidRPr="00F025CD">
        <w:t xml:space="preserve">Response </w:t>
      </w:r>
      <w:r>
        <w:t xml:space="preserve">(or other case management service) </w:t>
      </w:r>
      <w:r w:rsidRPr="00F025CD">
        <w:t>practitioner who holds the role of key worker. The specialist practitioner will generally work within a specific area of the assessment or overall child and family action plan, often in a time limited capacity.</w:t>
      </w:r>
    </w:p>
    <w:p w14:paraId="77925C15" w14:textId="77777777" w:rsidR="008B581E" w:rsidRPr="00F025CD" w:rsidRDefault="008B581E" w:rsidP="0081470F">
      <w:pPr>
        <w:pStyle w:val="Bullet1"/>
      </w:pPr>
      <w:r w:rsidRPr="7F186369">
        <w:rPr>
          <w:b/>
        </w:rPr>
        <w:t>maintain similar caseloads and models</w:t>
      </w:r>
      <w:r>
        <w:t xml:space="preserve">, subject to any service model redesign work or revisions made in consult with local areas and the department. </w:t>
      </w:r>
    </w:p>
    <w:p w14:paraId="6ADF98CB" w14:textId="498F7C40" w:rsidR="008B581E" w:rsidRPr="002D67CA" w:rsidRDefault="0081470F" w:rsidP="0081470F">
      <w:pPr>
        <w:pStyle w:val="Bodyafterbullets"/>
        <w:rPr>
          <w:rFonts w:cs="Arial"/>
        </w:rPr>
      </w:pPr>
      <w:r>
        <w:t xml:space="preserve">Over </w:t>
      </w:r>
      <w:r w:rsidR="008B581E">
        <w:t>time, r</w:t>
      </w:r>
      <w:r w:rsidR="008B581E" w:rsidRPr="00F025CD">
        <w:t xml:space="preserve">eferral </w:t>
      </w:r>
      <w:r w:rsidR="008B581E">
        <w:t>pathways</w:t>
      </w:r>
      <w:r w:rsidR="008B581E" w:rsidRPr="00F025CD">
        <w:t xml:space="preserve"> and co-working </w:t>
      </w:r>
      <w:r w:rsidR="008B581E">
        <w:t>arrangements will be reviewed at the</w:t>
      </w:r>
      <w:r w:rsidR="008B581E" w:rsidRPr="00F025CD">
        <w:t xml:space="preserve"> local leve</w:t>
      </w:r>
      <w:r w:rsidR="008B581E">
        <w:t>l, in line with reform changes</w:t>
      </w:r>
      <w:r w:rsidR="008B581E" w:rsidRPr="00F025CD">
        <w:t>. While these specialist components will continue to be funded in the current format</w:t>
      </w:r>
      <w:r w:rsidR="008B581E" w:rsidRPr="00F025CD">
        <w:rPr>
          <w:rFonts w:cs="Arial"/>
        </w:rPr>
        <w:t xml:space="preserve">, we welcome discussions </w:t>
      </w:r>
      <w:r w:rsidR="008B581E">
        <w:rPr>
          <w:rFonts w:cs="Arial"/>
        </w:rPr>
        <w:t xml:space="preserve">on how </w:t>
      </w:r>
      <w:r w:rsidR="008B581E" w:rsidRPr="00F025CD">
        <w:rPr>
          <w:rFonts w:cs="Arial"/>
        </w:rPr>
        <w:t>we can maximise and evidence the benefits o</w:t>
      </w:r>
      <w:r w:rsidR="008B581E">
        <w:rPr>
          <w:rFonts w:cs="Arial"/>
        </w:rPr>
        <w:t>f these components</w:t>
      </w:r>
      <w:r w:rsidR="008B581E" w:rsidRPr="00F025CD">
        <w:rPr>
          <w:rFonts w:cs="Arial"/>
        </w:rPr>
        <w:t xml:space="preserve">. </w:t>
      </w:r>
    </w:p>
    <w:p w14:paraId="1EF59B56" w14:textId="77777777" w:rsidR="008B581E" w:rsidRDefault="008B581E" w:rsidP="008B581E">
      <w:pPr>
        <w:pStyle w:val="Heading1"/>
      </w:pPr>
      <w:bookmarkStart w:id="24" w:name="_Toc76724140"/>
      <w:r>
        <w:t>Case recording and reporting</w:t>
      </w:r>
      <w:bookmarkEnd w:id="24"/>
      <w:r>
        <w:t xml:space="preserve"> </w:t>
      </w:r>
    </w:p>
    <w:p w14:paraId="27BE305B" w14:textId="77777777" w:rsidR="0094514D" w:rsidRPr="008E1AAD" w:rsidRDefault="0094514D" w:rsidP="0094514D">
      <w:pPr>
        <w:pStyle w:val="Heading2"/>
      </w:pPr>
      <w:bookmarkStart w:id="25" w:name="_Toc76724141"/>
      <w:r w:rsidRPr="008E1AAD">
        <w:t xml:space="preserve">How should </w:t>
      </w:r>
      <w:r>
        <w:t xml:space="preserve">cases for the Response and Intensive Family Services </w:t>
      </w:r>
      <w:r w:rsidRPr="008E1AAD">
        <w:t>be recorded in IRIS?</w:t>
      </w:r>
      <w:bookmarkEnd w:id="25"/>
    </w:p>
    <w:p w14:paraId="4651D48C" w14:textId="77777777" w:rsidR="0094514D" w:rsidRDefault="0094514D" w:rsidP="0094514D">
      <w:pPr>
        <w:pStyle w:val="Body"/>
      </w:pPr>
      <w:r w:rsidRPr="008E1AAD">
        <w:t>Response cases will be recorded in IRIS under the Family Services case using the</w:t>
      </w:r>
      <w:r>
        <w:t xml:space="preserve"> f</w:t>
      </w:r>
      <w:r w:rsidRPr="008E1AAD">
        <w:t xml:space="preserve">unding </w:t>
      </w:r>
      <w:r>
        <w:t>s</w:t>
      </w:r>
      <w:r w:rsidRPr="008E1AAD">
        <w:t>ource ‘</w:t>
      </w:r>
      <w:r w:rsidRPr="008E1AAD">
        <w:rPr>
          <w:i/>
          <w:iCs/>
        </w:rPr>
        <w:t>Preservation &amp; Reunification’</w:t>
      </w:r>
      <w:r w:rsidRPr="008E1AAD">
        <w:t xml:space="preserve">. </w:t>
      </w:r>
    </w:p>
    <w:p w14:paraId="3DFB1C98" w14:textId="191AA09B" w:rsidR="00B775F7" w:rsidRDefault="0094514D" w:rsidP="00B775F7">
      <w:pPr>
        <w:pStyle w:val="Body"/>
      </w:pPr>
      <w:r w:rsidRPr="00B23CEC">
        <w:t xml:space="preserve">Intensive Family Services </w:t>
      </w:r>
      <w:r>
        <w:t>cases</w:t>
      </w:r>
      <w:r w:rsidRPr="00B23CEC">
        <w:t xml:space="preserve"> will be recorded in </w:t>
      </w:r>
      <w:r>
        <w:t xml:space="preserve">IRIS </w:t>
      </w:r>
      <w:r w:rsidRPr="00B23CEC">
        <w:t xml:space="preserve">under </w:t>
      </w:r>
      <w:r>
        <w:t xml:space="preserve">the Family Services case using </w:t>
      </w:r>
      <w:r w:rsidRPr="00B23CEC">
        <w:t>the funding source ‘</w:t>
      </w:r>
      <w:r w:rsidRPr="00B23CEC">
        <w:rPr>
          <w:i/>
          <w:iCs/>
        </w:rPr>
        <w:t>Provisional 1</w:t>
      </w:r>
      <w:r w:rsidRPr="00B23CEC">
        <w:t>’</w:t>
      </w:r>
      <w:r w:rsidR="001E03C1">
        <w:t>. O</w:t>
      </w:r>
      <w:r>
        <w:t xml:space="preserve">rganisations will be required to </w:t>
      </w:r>
      <w:r w:rsidRPr="00B23CEC">
        <w:t xml:space="preserve">re-name </w:t>
      </w:r>
      <w:r w:rsidR="001E03C1">
        <w:t xml:space="preserve">this funding source </w:t>
      </w:r>
      <w:r>
        <w:t xml:space="preserve">in the </w:t>
      </w:r>
      <w:r w:rsidRPr="00B23CEC">
        <w:t xml:space="preserve">IRIS database </w:t>
      </w:r>
      <w:r>
        <w:t xml:space="preserve">as </w:t>
      </w:r>
      <w:r w:rsidRPr="00B23CEC">
        <w:t>‘</w:t>
      </w:r>
      <w:r w:rsidRPr="00B23CEC">
        <w:rPr>
          <w:i/>
          <w:iCs/>
        </w:rPr>
        <w:t>Intensive Family Services</w:t>
      </w:r>
      <w:r w:rsidRPr="00B23CEC">
        <w:t>’</w:t>
      </w:r>
      <w:r>
        <w:t>.</w:t>
      </w:r>
      <w:r w:rsidRPr="00B23CEC">
        <w:t xml:space="preserve"> </w:t>
      </w:r>
      <w:r w:rsidR="0006308B">
        <w:t>F</w:t>
      </w:r>
      <w:r w:rsidR="00B775F7">
        <w:t>urther a</w:t>
      </w:r>
      <w:r w:rsidR="00B775F7" w:rsidRPr="00B23CEC">
        <w:t xml:space="preserve">dvice will be provided on how to </w:t>
      </w:r>
      <w:r w:rsidR="00F80A56">
        <w:t xml:space="preserve">request </w:t>
      </w:r>
      <w:r w:rsidR="00077B45">
        <w:t xml:space="preserve">access to these </w:t>
      </w:r>
      <w:r w:rsidR="00B775F7" w:rsidRPr="00B23CEC">
        <w:t>two funding sources</w:t>
      </w:r>
      <w:r w:rsidR="0059347F">
        <w:t xml:space="preserve"> </w:t>
      </w:r>
      <w:r w:rsidR="00077B45">
        <w:t>from the IRIS helpdesk</w:t>
      </w:r>
      <w:r w:rsidR="0059347F">
        <w:t>.</w:t>
      </w:r>
    </w:p>
    <w:p w14:paraId="1F9F5135" w14:textId="7A2F5A63" w:rsidR="00B775F7" w:rsidRPr="00B23CEC" w:rsidRDefault="007F6862" w:rsidP="0094514D">
      <w:pPr>
        <w:pStyle w:val="Body"/>
      </w:pPr>
      <w:r>
        <w:t>Note that t</w:t>
      </w:r>
      <w:r w:rsidR="008F1B44">
        <w:t>he Cradle to Kinder case type will no longer be</w:t>
      </w:r>
      <w:r w:rsidR="00E304B2">
        <w:t xml:space="preserve"> in use</w:t>
      </w:r>
      <w:r w:rsidR="008F1B44">
        <w:t xml:space="preserve"> </w:t>
      </w:r>
      <w:r w:rsidR="00234B59">
        <w:t>once the transition period is complete</w:t>
      </w:r>
      <w:r w:rsidR="008F1B44">
        <w:t>.</w:t>
      </w:r>
    </w:p>
    <w:p w14:paraId="4F54E1D2" w14:textId="744B4A24" w:rsidR="008B581E" w:rsidRPr="00B23CEC" w:rsidRDefault="008B581E" w:rsidP="008B581E">
      <w:pPr>
        <w:pStyle w:val="Heading2"/>
      </w:pPr>
      <w:bookmarkStart w:id="26" w:name="_Toc76724142"/>
      <w:r w:rsidRPr="008E1AAD">
        <w:t>How should</w:t>
      </w:r>
      <w:r>
        <w:t xml:space="preserve"> existing</w:t>
      </w:r>
      <w:r w:rsidRPr="008E1AAD">
        <w:t xml:space="preserve"> </w:t>
      </w:r>
      <w:r>
        <w:t>cases</w:t>
      </w:r>
      <w:r w:rsidRPr="008E1AAD">
        <w:t xml:space="preserve"> be recorded in IRIS?</w:t>
      </w:r>
      <w:bookmarkEnd w:id="26"/>
    </w:p>
    <w:p w14:paraId="10025B4F" w14:textId="77777777" w:rsidR="005E7257" w:rsidRDefault="008B581E" w:rsidP="008B581E">
      <w:pPr>
        <w:pStyle w:val="Body"/>
      </w:pPr>
      <w:r w:rsidRPr="00641ED4">
        <w:t xml:space="preserve">IRIS data will play a critical role in understanding service delivery and outcomes </w:t>
      </w:r>
      <w:r w:rsidR="3EA42EE4" w:rsidRPr="00641ED4">
        <w:t>so</w:t>
      </w:r>
      <w:r w:rsidRPr="00641ED4">
        <w:t xml:space="preserve"> consistent data entry is essential. </w:t>
      </w:r>
    </w:p>
    <w:p w14:paraId="1F1B552E" w14:textId="60D342C5" w:rsidR="00D56649" w:rsidRDefault="00D56649" w:rsidP="00B5556C">
      <w:pPr>
        <w:pStyle w:val="Heading4"/>
      </w:pPr>
      <w:r>
        <w:t>IRIS for the Response</w:t>
      </w:r>
    </w:p>
    <w:p w14:paraId="06681C3F" w14:textId="46B3E8EE" w:rsidR="008B581E" w:rsidRPr="00641ED4" w:rsidRDefault="004568A4" w:rsidP="008B581E">
      <w:pPr>
        <w:pStyle w:val="Body"/>
      </w:pPr>
      <w:r>
        <w:t>During</w:t>
      </w:r>
      <w:r w:rsidR="008B581E" w:rsidRPr="00641ED4">
        <w:t xml:space="preserve"> the transition and implementation period, </w:t>
      </w:r>
      <w:r w:rsidR="00DF614E">
        <w:t xml:space="preserve">providers will be working with </w:t>
      </w:r>
      <w:r w:rsidR="00A2252C">
        <w:t xml:space="preserve">families who are eligible for the </w:t>
      </w:r>
      <w:r w:rsidR="00920E9E">
        <w:t xml:space="preserve">Response </w:t>
      </w:r>
      <w:r w:rsidR="002819F5">
        <w:t xml:space="preserve">as well as </w:t>
      </w:r>
      <w:r w:rsidR="00A72C9D">
        <w:t xml:space="preserve">some who may not be eligible but </w:t>
      </w:r>
      <w:r w:rsidR="00B62B01">
        <w:t xml:space="preserve">continue to be supported through transition arrangements. </w:t>
      </w:r>
      <w:r w:rsidR="00C63A5B">
        <w:t>S</w:t>
      </w:r>
      <w:r w:rsidR="00C63A5B" w:rsidRPr="00641ED4">
        <w:t>ee</w:t>
      </w:r>
      <w:r w:rsidR="00C63A5B">
        <w:t xml:space="preserve"> also</w:t>
      </w:r>
      <w:r w:rsidR="00C63A5B" w:rsidRPr="00641ED4">
        <w:t xml:space="preserve"> </w:t>
      </w:r>
      <w:r w:rsidR="00C63A5B" w:rsidRPr="007B3C9E">
        <w:rPr>
          <w:i/>
          <w:iCs/>
        </w:rPr>
        <w:t>What happens with children and families currently receiving an existing placement prevention and reunification service</w:t>
      </w:r>
      <w:r w:rsidR="00C63A5B">
        <w:rPr>
          <w:i/>
          <w:iCs/>
        </w:rPr>
        <w:t>?</w:t>
      </w:r>
      <w:r w:rsidR="00B62B01">
        <w:t xml:space="preserve"> We need to be able to distinguish between these arrangements in IRIS.</w:t>
      </w:r>
    </w:p>
    <w:p w14:paraId="4D8574B3" w14:textId="456901D8" w:rsidR="008430F7" w:rsidRPr="00641ED4" w:rsidRDefault="00631488" w:rsidP="007153DA">
      <w:pPr>
        <w:pStyle w:val="Body"/>
      </w:pPr>
      <w:r>
        <w:lastRenderedPageBreak/>
        <w:t xml:space="preserve">For </w:t>
      </w:r>
      <w:r w:rsidR="008B581E" w:rsidRPr="00641ED4">
        <w:t>children and families</w:t>
      </w:r>
      <w:r w:rsidR="00F8306A">
        <w:t xml:space="preserve"> who are already receiving services and who</w:t>
      </w:r>
      <w:r w:rsidR="008917A9">
        <w:t xml:space="preserve"> </w:t>
      </w:r>
      <w:r>
        <w:t xml:space="preserve">will continue to be supported through Response </w:t>
      </w:r>
      <w:r w:rsidR="004612D5">
        <w:t>targets</w:t>
      </w:r>
      <w:r w:rsidR="0040533D">
        <w:t xml:space="preserve"> (because they meet the eligibility criteria)</w:t>
      </w:r>
      <w:r w:rsidR="004612D5">
        <w:t xml:space="preserve">, </w:t>
      </w:r>
      <w:r w:rsidR="003A2332">
        <w:t xml:space="preserve">their current IRIS case </w:t>
      </w:r>
      <w:r w:rsidR="008430F7" w:rsidRPr="00641ED4">
        <w:t xml:space="preserve">should </w:t>
      </w:r>
      <w:r w:rsidR="00B85A79" w:rsidRPr="00641ED4">
        <w:t>be ‘reclassified’ as a Response case</w:t>
      </w:r>
      <w:r w:rsidR="00A3580F" w:rsidRPr="00641ED4">
        <w:t xml:space="preserve"> in IRIS</w:t>
      </w:r>
      <w:r w:rsidR="003A2332">
        <w:t xml:space="preserve">. </w:t>
      </w:r>
      <w:r w:rsidR="00573B33">
        <w:t xml:space="preserve">If the current </w:t>
      </w:r>
      <w:r w:rsidR="00DA0B1A">
        <w:t xml:space="preserve">IRIS </w:t>
      </w:r>
      <w:r w:rsidR="00573B33">
        <w:t xml:space="preserve">case is a </w:t>
      </w:r>
      <w:r w:rsidR="004E0D28">
        <w:t>Family Services case, t</w:t>
      </w:r>
      <w:r w:rsidR="003A2332">
        <w:t xml:space="preserve">his can be done </w:t>
      </w:r>
      <w:r w:rsidR="003B6441" w:rsidRPr="00641ED4">
        <w:t xml:space="preserve">by editing the ‘funding source’ in IRIS to the </w:t>
      </w:r>
      <w:r w:rsidR="001A2C27">
        <w:t>‘</w:t>
      </w:r>
      <w:r w:rsidR="00316A55">
        <w:t xml:space="preserve">Preservation and </w:t>
      </w:r>
      <w:r w:rsidR="00261255">
        <w:t>Reunification</w:t>
      </w:r>
      <w:r w:rsidR="001A2C27">
        <w:t>’</w:t>
      </w:r>
      <w:r w:rsidR="00A3580F" w:rsidRPr="00641ED4">
        <w:t xml:space="preserve"> funding source</w:t>
      </w:r>
      <w:r w:rsidR="00297994">
        <w:t xml:space="preserve">. </w:t>
      </w:r>
      <w:r w:rsidR="00266CFB">
        <w:t xml:space="preserve">If the current </w:t>
      </w:r>
      <w:r w:rsidR="00DA0B1A">
        <w:t xml:space="preserve">IRIS </w:t>
      </w:r>
      <w:r w:rsidR="00E63627">
        <w:t xml:space="preserve">case is a </w:t>
      </w:r>
      <w:r w:rsidR="00266CFB" w:rsidRPr="00641ED4">
        <w:t>Cradle to Kinder case</w:t>
      </w:r>
      <w:r w:rsidR="00DA69F0">
        <w:t xml:space="preserve">, this will </w:t>
      </w:r>
      <w:r w:rsidR="00266CFB" w:rsidRPr="00641ED4">
        <w:t xml:space="preserve">need to be ended and </w:t>
      </w:r>
      <w:r w:rsidR="00E500E2">
        <w:t xml:space="preserve">a </w:t>
      </w:r>
      <w:r w:rsidR="00266CFB" w:rsidRPr="00641ED4">
        <w:t>new case commenced in the Family Services case type</w:t>
      </w:r>
      <w:r w:rsidR="00C575FF">
        <w:t xml:space="preserve"> with </w:t>
      </w:r>
      <w:r w:rsidR="00261F6E">
        <w:t>the ‘Preservation and Reunification’</w:t>
      </w:r>
      <w:r w:rsidR="00261F6E" w:rsidRPr="00641ED4">
        <w:t xml:space="preserve"> </w:t>
      </w:r>
      <w:r w:rsidR="00261F6E">
        <w:t xml:space="preserve">funding source selected. This </w:t>
      </w:r>
      <w:r w:rsidR="0062242B">
        <w:t xml:space="preserve">is </w:t>
      </w:r>
      <w:r w:rsidR="00266CFB" w:rsidRPr="00641ED4">
        <w:t>because the new funding source</w:t>
      </w:r>
      <w:r w:rsidR="00FE5C15">
        <w:t xml:space="preserve"> is </w:t>
      </w:r>
      <w:r w:rsidR="00266CFB" w:rsidRPr="00641ED4">
        <w:t>not available to the Cradle to Kinder case</w:t>
      </w:r>
      <w:r w:rsidR="00A3580F" w:rsidRPr="00641ED4">
        <w:t xml:space="preserve">. </w:t>
      </w:r>
    </w:p>
    <w:p w14:paraId="35D63E1F" w14:textId="7BEF7942" w:rsidR="008E5429" w:rsidRDefault="00724020" w:rsidP="008E5429">
      <w:pPr>
        <w:pStyle w:val="Body"/>
      </w:pPr>
      <w:r>
        <w:t xml:space="preserve">If </w:t>
      </w:r>
      <w:r w:rsidR="00021D81">
        <w:t xml:space="preserve">children and families </w:t>
      </w:r>
      <w:r w:rsidR="00F8306A">
        <w:t xml:space="preserve">already receiving services </w:t>
      </w:r>
      <w:r w:rsidR="00021D81">
        <w:t xml:space="preserve">do not meet the eligibility criteria for the </w:t>
      </w:r>
      <w:r w:rsidR="00F00C23">
        <w:t>Response</w:t>
      </w:r>
      <w:r w:rsidR="00021D81">
        <w:t xml:space="preserve"> but are being supported through transition arrangements</w:t>
      </w:r>
      <w:r w:rsidR="004B6296">
        <w:t>, s</w:t>
      </w:r>
      <w:r w:rsidR="008E5429" w:rsidRPr="00641ED4">
        <w:t>ervice activity for these cases should continue to be recorded under their current IRIS case types and funding sources, in other words, as Stronger Families, Families First, Cradle to Kinder, until these cases are closed</w:t>
      </w:r>
      <w:r w:rsidR="008E5429">
        <w:t xml:space="preserve">. </w:t>
      </w:r>
    </w:p>
    <w:p w14:paraId="20661C63" w14:textId="49EA75FA" w:rsidR="00F8306A" w:rsidRDefault="00FF59F0" w:rsidP="008E5429">
      <w:pPr>
        <w:pStyle w:val="Body"/>
      </w:pPr>
      <w:r>
        <w:t>For c</w:t>
      </w:r>
      <w:r w:rsidR="00F8306A">
        <w:t>hildren and families who are new connections to the Response</w:t>
      </w:r>
      <w:r>
        <w:t xml:space="preserve">, </w:t>
      </w:r>
      <w:r w:rsidR="0013060E">
        <w:t xml:space="preserve">create a </w:t>
      </w:r>
      <w:r w:rsidR="0029247A">
        <w:t>family services</w:t>
      </w:r>
      <w:r w:rsidR="006C24AD">
        <w:t xml:space="preserve"> case in IRIS</w:t>
      </w:r>
      <w:r w:rsidR="0029247A">
        <w:t xml:space="preserve"> and select the ‘Preservation and Reunification’</w:t>
      </w:r>
      <w:r w:rsidR="0029247A" w:rsidRPr="00641ED4">
        <w:t xml:space="preserve"> funding source</w:t>
      </w:r>
      <w:r w:rsidR="006C24AD">
        <w:t>.</w:t>
      </w:r>
    </w:p>
    <w:p w14:paraId="4C33490B" w14:textId="7FACE908" w:rsidR="00776246" w:rsidRDefault="00776246" w:rsidP="00B5556C">
      <w:pPr>
        <w:pStyle w:val="Heading4"/>
      </w:pPr>
      <w:r>
        <w:t>IRIS for Intensive Family Services</w:t>
      </w:r>
    </w:p>
    <w:p w14:paraId="0DE63B87" w14:textId="79082B2E" w:rsidR="008917A9" w:rsidRDefault="009D4C2A" w:rsidP="008917A9">
      <w:pPr>
        <w:pStyle w:val="Body"/>
      </w:pPr>
      <w:r>
        <w:t>For</w:t>
      </w:r>
      <w:r w:rsidR="008917A9">
        <w:t xml:space="preserve"> children and families already receiving services</w:t>
      </w:r>
      <w:r w:rsidR="00DB6F57">
        <w:t xml:space="preserve"> and </w:t>
      </w:r>
      <w:r w:rsidR="00631488">
        <w:t>who</w:t>
      </w:r>
      <w:r w:rsidR="00DB6F57">
        <w:t xml:space="preserve"> will continue to be supported through the Intensive Family Services targets</w:t>
      </w:r>
      <w:r w:rsidR="005E5312">
        <w:t xml:space="preserve">, </w:t>
      </w:r>
      <w:r w:rsidR="008917A9">
        <w:t>s</w:t>
      </w:r>
      <w:r w:rsidR="008917A9" w:rsidRPr="00641ED4">
        <w:t>ervice activity should continue to be recorded under their current IRIS case types and funding sources, in other words, as Stronger Families, Families First, Cradle to Kinder, until these cases are closed</w:t>
      </w:r>
      <w:r w:rsidR="008917A9">
        <w:t xml:space="preserve">. </w:t>
      </w:r>
    </w:p>
    <w:p w14:paraId="4806A255" w14:textId="599F5688" w:rsidR="00776246" w:rsidRPr="007F6862" w:rsidRDefault="008917A9" w:rsidP="008917A9">
      <w:pPr>
        <w:pStyle w:val="Body"/>
      </w:pPr>
      <w:r>
        <w:t xml:space="preserve">For children and families who are new connections to </w:t>
      </w:r>
      <w:r w:rsidR="00EA6E37">
        <w:t>Intensive Family Services</w:t>
      </w:r>
      <w:r>
        <w:t xml:space="preserve">, create a </w:t>
      </w:r>
      <w:r w:rsidR="00B02C20">
        <w:t>Family Services</w:t>
      </w:r>
      <w:r>
        <w:t xml:space="preserve"> case in IRIS</w:t>
      </w:r>
      <w:r w:rsidR="00B02C20">
        <w:t xml:space="preserve"> and use the </w:t>
      </w:r>
      <w:r w:rsidR="007C625D">
        <w:t>‘</w:t>
      </w:r>
      <w:r w:rsidR="00B02C20">
        <w:t>Intensive Family Service</w:t>
      </w:r>
      <w:r w:rsidR="007C625D">
        <w:t>’</w:t>
      </w:r>
      <w:r w:rsidR="00B02C20">
        <w:t xml:space="preserve"> funding source.</w:t>
      </w:r>
    </w:p>
    <w:p w14:paraId="4595BDCF" w14:textId="77777777" w:rsidR="008B581E" w:rsidRDefault="008B581E" w:rsidP="008B581E">
      <w:pPr>
        <w:pStyle w:val="Heading2"/>
      </w:pPr>
      <w:bookmarkStart w:id="27" w:name="_Toc76724143"/>
      <w:r>
        <w:t>How will targets be counted in the transition and implementation period?</w:t>
      </w:r>
      <w:bookmarkEnd w:id="27"/>
    </w:p>
    <w:p w14:paraId="1C9F82DF" w14:textId="77777777" w:rsidR="008B581E" w:rsidRDefault="008B581E" w:rsidP="008B581E">
      <w:pPr>
        <w:pStyle w:val="Heading3"/>
      </w:pPr>
      <w:bookmarkStart w:id="28" w:name="_Toc76570459"/>
      <w:bookmarkStart w:id="29" w:name="_Toc76724144"/>
      <w:r w:rsidRPr="00B23CEC">
        <w:t>Monitoring of service hours during the reporting period</w:t>
      </w:r>
      <w:bookmarkEnd w:id="28"/>
      <w:bookmarkEnd w:id="29"/>
      <w:r w:rsidRPr="00B23CEC">
        <w:t xml:space="preserve"> </w:t>
      </w:r>
    </w:p>
    <w:p w14:paraId="2E6C623B" w14:textId="74C8FC14" w:rsidR="008B581E" w:rsidRDefault="008B581E" w:rsidP="008B581E">
      <w:pPr>
        <w:pStyle w:val="Body"/>
      </w:pPr>
      <w:r>
        <w:t>The primary key performance measure for child and family services is</w:t>
      </w:r>
      <w:r w:rsidRPr="00B23CEC">
        <w:t xml:space="preserve"> service hours delivered during the reporting period (the financial year). </w:t>
      </w:r>
      <w:r>
        <w:t xml:space="preserve">Child and family services, including </w:t>
      </w:r>
      <w:r w:rsidR="00B06A57">
        <w:t xml:space="preserve">existing </w:t>
      </w:r>
      <w:r w:rsidR="00907455">
        <w:t>preservation and reunification</w:t>
      </w:r>
      <w:r w:rsidR="00B73E1A">
        <w:t xml:space="preserve"> programs,</w:t>
      </w:r>
      <w:r w:rsidR="00F926FD">
        <w:t xml:space="preserve"> </w:t>
      </w:r>
      <w:r w:rsidR="00B73E1A">
        <w:t xml:space="preserve">the </w:t>
      </w:r>
      <w:proofErr w:type="gramStart"/>
      <w:r w:rsidRPr="00B23CEC">
        <w:t>Response</w:t>
      </w:r>
      <w:proofErr w:type="gramEnd"/>
      <w:r w:rsidRPr="00B23CEC">
        <w:t xml:space="preserve"> and Intensive Family Services</w:t>
      </w:r>
      <w:r>
        <w:t>,</w:t>
      </w:r>
      <w:r w:rsidRPr="00B23CEC">
        <w:t xml:space="preserve"> are funded </w:t>
      </w:r>
      <w:r>
        <w:t>as</w:t>
      </w:r>
      <w:r w:rsidRPr="00B23CEC">
        <w:t xml:space="preserve"> Individual Child </w:t>
      </w:r>
      <w:r>
        <w:t>and</w:t>
      </w:r>
      <w:r w:rsidRPr="00B23CEC">
        <w:t xml:space="preserve"> Family Support. </w:t>
      </w:r>
    </w:p>
    <w:p w14:paraId="0F013446" w14:textId="3754EDFF" w:rsidR="008B581E" w:rsidRPr="00B23CEC" w:rsidRDefault="008B581E" w:rsidP="008B581E">
      <w:pPr>
        <w:pStyle w:val="Body"/>
      </w:pPr>
      <w:r>
        <w:t xml:space="preserve">For </w:t>
      </w:r>
      <w:r w:rsidR="00371CDD">
        <w:t>services</w:t>
      </w:r>
      <w:r>
        <w:t xml:space="preserve"> transitioning between an existing placement prevention and reunification program and the</w:t>
      </w:r>
      <w:r w:rsidRPr="00B23CEC">
        <w:t xml:space="preserve"> Response </w:t>
      </w:r>
      <w:r>
        <w:t xml:space="preserve">or an </w:t>
      </w:r>
      <w:r w:rsidRPr="00B23CEC">
        <w:t>Intensive Family Services</w:t>
      </w:r>
      <w:r>
        <w:t xml:space="preserve">, </w:t>
      </w:r>
      <w:r w:rsidRPr="00B23CEC">
        <w:t xml:space="preserve">Agency Performance and System </w:t>
      </w:r>
      <w:r>
        <w:t>S</w:t>
      </w:r>
      <w:r w:rsidRPr="00B23CEC">
        <w:t xml:space="preserve">upport teams will consider the total hours delivered over the financial year </w:t>
      </w:r>
      <w:r>
        <w:t>across both programs</w:t>
      </w:r>
      <w:r w:rsidRPr="00B23CEC">
        <w:t xml:space="preserve">. </w:t>
      </w:r>
    </w:p>
    <w:p w14:paraId="3C3F15CE" w14:textId="77777777" w:rsidR="008B581E" w:rsidRDefault="008B581E" w:rsidP="008B581E">
      <w:pPr>
        <w:pStyle w:val="Heading3"/>
      </w:pPr>
      <w:bookmarkStart w:id="30" w:name="_Toc76570460"/>
      <w:bookmarkStart w:id="31" w:name="_Toc76724145"/>
      <w:r w:rsidRPr="00B23CEC">
        <w:t xml:space="preserve">Monitoring of </w:t>
      </w:r>
      <w:r>
        <w:t>n</w:t>
      </w:r>
      <w:r w:rsidRPr="00B23CEC">
        <w:t xml:space="preserve">umber of cases </w:t>
      </w:r>
      <w:r>
        <w:t>during the reporting period</w:t>
      </w:r>
      <w:bookmarkEnd w:id="30"/>
      <w:bookmarkEnd w:id="31"/>
    </w:p>
    <w:p w14:paraId="5B345866" w14:textId="77777777" w:rsidR="008B581E" w:rsidRDefault="008B581E" w:rsidP="008B581E">
      <w:pPr>
        <w:pStyle w:val="Body"/>
      </w:pPr>
      <w:r>
        <w:t>From 1 August any new referrals into the Response or an</w:t>
      </w:r>
      <w:r w:rsidRPr="00B23CEC">
        <w:t xml:space="preserve"> Intensive Family Services</w:t>
      </w:r>
      <w:r>
        <w:t xml:space="preserve"> will be </w:t>
      </w:r>
      <w:r w:rsidRPr="00B23CEC">
        <w:t xml:space="preserve">recorded </w:t>
      </w:r>
      <w:r>
        <w:t xml:space="preserve">as new cases, </w:t>
      </w:r>
      <w:r w:rsidRPr="00B23CEC">
        <w:t xml:space="preserve">under the relevant IRIS funding source of Preservation </w:t>
      </w:r>
      <w:r>
        <w:t>and</w:t>
      </w:r>
      <w:r w:rsidRPr="00B23CEC">
        <w:t xml:space="preserve"> Reunification. </w:t>
      </w:r>
    </w:p>
    <w:p w14:paraId="023035B9" w14:textId="566331D1" w:rsidR="008B581E" w:rsidRDefault="008B581E" w:rsidP="008B581E">
      <w:pPr>
        <w:pStyle w:val="Body"/>
      </w:pPr>
      <w:r w:rsidRPr="00B23CEC">
        <w:t>Organisations should plan to take on a steady stream of new referrals</w:t>
      </w:r>
      <w:r>
        <w:t xml:space="preserve"> into the Response</w:t>
      </w:r>
      <w:r w:rsidRPr="00B23CEC">
        <w:t xml:space="preserve"> over </w:t>
      </w:r>
      <w:r>
        <w:t>the reporting period</w:t>
      </w:r>
      <w:r w:rsidRPr="00B23CEC">
        <w:t>.</w:t>
      </w:r>
    </w:p>
    <w:p w14:paraId="0E89A691" w14:textId="5DBEE319" w:rsidR="008B581E" w:rsidRPr="00B23CEC" w:rsidRDefault="008B581E" w:rsidP="008B581E">
      <w:pPr>
        <w:pStyle w:val="Body"/>
      </w:pPr>
      <w:r w:rsidRPr="00B23CEC">
        <w:t>Cases accepted over the</w:t>
      </w:r>
      <w:r>
        <w:t xml:space="preserve"> financial</w:t>
      </w:r>
      <w:r w:rsidRPr="00B23CEC">
        <w:t xml:space="preserve"> year count toward the </w:t>
      </w:r>
      <w:r>
        <w:t xml:space="preserve">total </w:t>
      </w:r>
      <w:r w:rsidRPr="00B23CEC">
        <w:t>number of cases</w:t>
      </w:r>
      <w:r>
        <w:t xml:space="preserve">, </w:t>
      </w:r>
      <w:r w:rsidRPr="00B23CEC">
        <w:t>not</w:t>
      </w:r>
      <w:r>
        <w:t>ing</w:t>
      </w:r>
      <w:r w:rsidRPr="00B23CEC">
        <w:t xml:space="preserve"> that cases accepted </w:t>
      </w:r>
      <w:r>
        <w:t>towards the end of the reporting period</w:t>
      </w:r>
      <w:r w:rsidRPr="00B23CEC">
        <w:t xml:space="preserve"> </w:t>
      </w:r>
      <w:r>
        <w:t>will have fewer service hours</w:t>
      </w:r>
      <w:r w:rsidRPr="00B23CEC">
        <w:t xml:space="preserve"> recorded</w:t>
      </w:r>
      <w:r w:rsidR="006F6CAE">
        <w:t xml:space="preserve"> in that reporting period – the majority of their hours will count in the subsequent reporting period</w:t>
      </w:r>
      <w:r w:rsidRPr="00B23CEC">
        <w:t xml:space="preserve">. </w:t>
      </w:r>
    </w:p>
    <w:p w14:paraId="51C7D089" w14:textId="77777777" w:rsidR="008B581E" w:rsidRDefault="008B581E" w:rsidP="008B581E">
      <w:pPr>
        <w:pStyle w:val="Heading3"/>
      </w:pPr>
      <w:bookmarkStart w:id="32" w:name="_Toc76570461"/>
      <w:bookmarkStart w:id="33" w:name="_Toc76724146"/>
      <w:r w:rsidRPr="00B23CEC">
        <w:lastRenderedPageBreak/>
        <w:t xml:space="preserve">Understanding </w:t>
      </w:r>
      <w:r>
        <w:t xml:space="preserve">the relationship between </w:t>
      </w:r>
      <w:r w:rsidRPr="00B23CEC">
        <w:t xml:space="preserve">service hours </w:t>
      </w:r>
      <w:r>
        <w:t>and</w:t>
      </w:r>
      <w:r w:rsidRPr="00B23CEC">
        <w:t xml:space="preserve"> case</w:t>
      </w:r>
      <w:r>
        <w:t>s</w:t>
      </w:r>
      <w:bookmarkEnd w:id="32"/>
      <w:bookmarkEnd w:id="33"/>
      <w:r w:rsidRPr="00B23CEC">
        <w:t xml:space="preserve"> </w:t>
      </w:r>
    </w:p>
    <w:p w14:paraId="7997E9AA" w14:textId="67E968E1" w:rsidR="008B581E" w:rsidRPr="00A6766E" w:rsidRDefault="008B581E" w:rsidP="008B581E">
      <w:pPr>
        <w:pStyle w:val="Body"/>
      </w:pPr>
      <w:r w:rsidRPr="00B23CEC">
        <w:t xml:space="preserve">The funding approach provides for an average of 240 hours per case. In cases where the connection has been made late in the </w:t>
      </w:r>
      <w:r>
        <w:t>reporting period</w:t>
      </w:r>
      <w:r w:rsidRPr="00B23CEC">
        <w:t xml:space="preserve">, some of these hours will be delivered in one reporting period, and some in the next. </w:t>
      </w:r>
      <w:r w:rsidR="00FB7DDF">
        <w:t xml:space="preserve">Our data can tell us hours in the reporting period (for </w:t>
      </w:r>
      <w:r w:rsidR="005E1B83">
        <w:t>key per</w:t>
      </w:r>
      <w:r w:rsidR="00F1798E">
        <w:t>formance measure</w:t>
      </w:r>
      <w:r w:rsidR="005E1B83">
        <w:t xml:space="preserve"> </w:t>
      </w:r>
      <w:r w:rsidR="00FB7DDF">
        <w:t xml:space="preserve">purposes) and hours per case over the whole case – </w:t>
      </w:r>
      <w:r w:rsidR="00A34CB2">
        <w:t xml:space="preserve">which is useful for understanding what families are </w:t>
      </w:r>
      <w:r w:rsidR="00FE0976">
        <w:t>receiving</w:t>
      </w:r>
    </w:p>
    <w:p w14:paraId="53EC0D0D" w14:textId="77777777" w:rsidR="008B581E" w:rsidRPr="00B23CEC" w:rsidRDefault="008B581E" w:rsidP="008B581E">
      <w:pPr>
        <w:pStyle w:val="Body"/>
      </w:pPr>
      <w:r>
        <w:t xml:space="preserve">Considering service hours and cases together allows us to better </w:t>
      </w:r>
      <w:r w:rsidRPr="00B23CEC">
        <w:t xml:space="preserve">understand </w:t>
      </w:r>
      <w:r>
        <w:t>how</w:t>
      </w:r>
      <w:r w:rsidRPr="00B23CEC">
        <w:t xml:space="preserve"> service model</w:t>
      </w:r>
      <w:r>
        <w:t>s are</w:t>
      </w:r>
      <w:r w:rsidRPr="00B23CEC">
        <w:t xml:space="preserve"> being delivered</w:t>
      </w:r>
      <w:r>
        <w:t xml:space="preserve">. </w:t>
      </w:r>
      <w:r w:rsidRPr="00B23CEC">
        <w:t xml:space="preserve">This data </w:t>
      </w:r>
      <w:r>
        <w:t xml:space="preserve">supports our </w:t>
      </w:r>
      <w:r w:rsidRPr="00B23CEC">
        <w:t xml:space="preserve">learning system </w:t>
      </w:r>
      <w:r>
        <w:t xml:space="preserve">and </w:t>
      </w:r>
      <w:r w:rsidRPr="00B23CEC">
        <w:t>helps us to iterate our service models</w:t>
      </w:r>
      <w:r>
        <w:t>, reflecting on questions like</w:t>
      </w:r>
      <w:r w:rsidRPr="00B23CEC">
        <w:t>:</w:t>
      </w:r>
    </w:p>
    <w:p w14:paraId="630B446A" w14:textId="77777777" w:rsidR="008B581E" w:rsidRPr="00B23CEC" w:rsidRDefault="008B581E" w:rsidP="0081470F">
      <w:pPr>
        <w:pStyle w:val="Bullet1"/>
      </w:pPr>
      <w:r w:rsidRPr="00B23CEC">
        <w:t>Are there family characteristics that tend to be associated with longer or more intense cases?</w:t>
      </w:r>
    </w:p>
    <w:p w14:paraId="424C7E82" w14:textId="687C32F0" w:rsidR="008B581E" w:rsidRPr="00B23CEC" w:rsidRDefault="008B581E" w:rsidP="0081470F">
      <w:pPr>
        <w:pStyle w:val="Bullet1"/>
      </w:pPr>
      <w:r w:rsidRPr="00B23CEC">
        <w:t>Are there some family characteristics that suggest that sustainable outcomes cannot be achieved with</w:t>
      </w:r>
      <w:r>
        <w:t>in the service or funding model</w:t>
      </w:r>
      <w:r w:rsidRPr="00B23CEC">
        <w:t>?</w:t>
      </w:r>
    </w:p>
    <w:p w14:paraId="0B9E1F91" w14:textId="7FBB1E17" w:rsidR="008B581E" w:rsidRPr="00B23CEC" w:rsidRDefault="008B581E" w:rsidP="0081470F">
      <w:pPr>
        <w:pStyle w:val="Bullet1"/>
      </w:pPr>
      <w:r w:rsidRPr="00B23CEC">
        <w:t xml:space="preserve">Is there a </w:t>
      </w:r>
      <w:r>
        <w:t xml:space="preserve">discernible </w:t>
      </w:r>
      <w:r w:rsidRPr="00B23CEC">
        <w:t>difference between model</w:t>
      </w:r>
      <w:r>
        <w:t>s</w:t>
      </w:r>
      <w:r w:rsidRPr="00B23CEC">
        <w:t xml:space="preserve"> </w:t>
      </w:r>
      <w:r>
        <w:t xml:space="preserve">in </w:t>
      </w:r>
      <w:r w:rsidRPr="00B23CEC">
        <w:t>achiev</w:t>
      </w:r>
      <w:r>
        <w:t>ing</w:t>
      </w:r>
      <w:r w:rsidRPr="00B23CEC">
        <w:t xml:space="preserve"> outcomes for </w:t>
      </w:r>
      <w:r>
        <w:t xml:space="preserve">a </w:t>
      </w:r>
      <w:r w:rsidRPr="00B23CEC">
        <w:t xml:space="preserve">similar cohort? </w:t>
      </w:r>
    </w:p>
    <w:p w14:paraId="4C2DA516" w14:textId="487E50B1" w:rsidR="008B581E" w:rsidRDefault="008B581E" w:rsidP="0081470F">
      <w:pPr>
        <w:pStyle w:val="Bullet1"/>
      </w:pPr>
      <w:r w:rsidRPr="00B23CEC">
        <w:t xml:space="preserve">What is the best way to use our Family Services resource to maximise placement prevention and child wellbeing outcomes? </w:t>
      </w:r>
    </w:p>
    <w:p w14:paraId="5F6CDB92" w14:textId="77777777" w:rsidR="008B581E" w:rsidRPr="006F14AF" w:rsidRDefault="008B581E" w:rsidP="008B581E">
      <w:pPr>
        <w:pStyle w:val="Heading1"/>
      </w:pPr>
      <w:bookmarkStart w:id="34" w:name="_Toc76724147"/>
      <w:r w:rsidRPr="00593FC8">
        <w:rPr>
          <w:rStyle w:val="normaltextrun"/>
        </w:rPr>
        <w:t>Staffing and governance</w:t>
      </w:r>
      <w:r w:rsidRPr="00593FC8">
        <w:rPr>
          <w:rStyle w:val="eop"/>
        </w:rPr>
        <w:t>​</w:t>
      </w:r>
      <w:bookmarkEnd w:id="34"/>
    </w:p>
    <w:p w14:paraId="6E305590" w14:textId="34BC0BDC" w:rsidR="008B581E" w:rsidRDefault="008B581E" w:rsidP="008B581E">
      <w:pPr>
        <w:pStyle w:val="Heading2"/>
      </w:pPr>
      <w:bookmarkStart w:id="35" w:name="_Toc76724148"/>
      <w:r>
        <w:t>What staffing arrangements should be in place</w:t>
      </w:r>
      <w:r w:rsidR="00565DE6">
        <w:t xml:space="preserve"> for the Response</w:t>
      </w:r>
      <w:r>
        <w:t xml:space="preserve"> before 1 August?</w:t>
      </w:r>
      <w:bookmarkEnd w:id="35"/>
      <w:r>
        <w:t xml:space="preserve"> </w:t>
      </w:r>
    </w:p>
    <w:p w14:paraId="4F4F7A3C" w14:textId="77777777" w:rsidR="008B581E" w:rsidRDefault="008B581E" w:rsidP="008B581E">
      <w:pPr>
        <w:pStyle w:val="Body"/>
      </w:pPr>
      <w:r>
        <w:t xml:space="preserve">We encourage organisations to finalise their staffing structure for the Response as soon as possible, including appointment of practitioners and team leaders as well the identification of an implementation supports key contact. This will allow for relevant staff to participate in key pre-implementation engagement and learning activities from the earliest possible point. </w:t>
      </w:r>
    </w:p>
    <w:p w14:paraId="371132A1" w14:textId="3163EB55" w:rsidR="008B581E" w:rsidRPr="00CC3D6A" w:rsidRDefault="004568A4" w:rsidP="008B581E">
      <w:pPr>
        <w:pStyle w:val="Body"/>
      </w:pPr>
      <w:r>
        <w:t>In some instances,</w:t>
      </w:r>
      <w:r w:rsidR="008B581E">
        <w:t xml:space="preserve"> </w:t>
      </w:r>
      <w:r>
        <w:t>due to</w:t>
      </w:r>
      <w:r w:rsidR="008B581E">
        <w:t xml:space="preserve"> organisational changes that need to occur</w:t>
      </w:r>
      <w:r>
        <w:t xml:space="preserve">, </w:t>
      </w:r>
      <w:r w:rsidR="008B581E">
        <w:t>these arrangements may not be finalised prior to the commencement of these engagement and learning activities. We will endeavour to make recordings and resources available online for future access.</w:t>
      </w:r>
    </w:p>
    <w:p w14:paraId="29D0145F" w14:textId="484ECB11" w:rsidR="008B581E" w:rsidRDefault="008B581E" w:rsidP="008B581E">
      <w:pPr>
        <w:pStyle w:val="Heading2"/>
      </w:pPr>
      <w:bookmarkStart w:id="36" w:name="_Toc76724149"/>
      <w:r>
        <w:t>What local area operational governance arrangements should be in place</w:t>
      </w:r>
      <w:r w:rsidR="00565DE6">
        <w:t xml:space="preserve"> for the Response</w:t>
      </w:r>
      <w:r>
        <w:t xml:space="preserve"> before 1 August?</w:t>
      </w:r>
      <w:bookmarkEnd w:id="36"/>
      <w:r>
        <w:t xml:space="preserve"> </w:t>
      </w:r>
    </w:p>
    <w:p w14:paraId="2EAA37BC" w14:textId="77777777" w:rsidR="008B581E" w:rsidRDefault="008B581E" w:rsidP="008B581E">
      <w:pPr>
        <w:rPr>
          <w:rFonts w:eastAsia="Times" w:cs="Arial"/>
        </w:rPr>
      </w:pPr>
      <w:r w:rsidRPr="006B0730">
        <w:rPr>
          <w:rFonts w:eastAsia="Times" w:cs="Arial"/>
        </w:rPr>
        <w:t>Area-based governance structures</w:t>
      </w:r>
      <w:r>
        <w:rPr>
          <w:rFonts w:eastAsia="Times" w:cs="Arial"/>
        </w:rPr>
        <w:t xml:space="preserve"> for the Response, established in Phase 1, will need to be redesigned to support the expansion of the</w:t>
      </w:r>
      <w:r w:rsidRPr="006B0730">
        <w:rPr>
          <w:rFonts w:eastAsia="Times" w:cs="Arial"/>
        </w:rPr>
        <w:t xml:space="preserve"> Response commenc</w:t>
      </w:r>
      <w:r>
        <w:rPr>
          <w:rFonts w:eastAsia="Times" w:cs="Arial"/>
        </w:rPr>
        <w:t>ing</w:t>
      </w:r>
      <w:r w:rsidRPr="006B0730">
        <w:rPr>
          <w:rFonts w:eastAsia="Times" w:cs="Arial"/>
        </w:rPr>
        <w:t xml:space="preserve"> in </w:t>
      </w:r>
      <w:r>
        <w:rPr>
          <w:rFonts w:eastAsia="Times" w:cs="Arial"/>
        </w:rPr>
        <w:t>P</w:t>
      </w:r>
      <w:r w:rsidRPr="006B0730">
        <w:rPr>
          <w:rFonts w:eastAsia="Times" w:cs="Arial"/>
        </w:rPr>
        <w:t>hase 2</w:t>
      </w:r>
      <w:r>
        <w:rPr>
          <w:rFonts w:eastAsia="Times" w:cs="Arial"/>
        </w:rPr>
        <w:t xml:space="preserve"> and over time integrated and aligned into the broader children and families service platform</w:t>
      </w:r>
      <w:r w:rsidRPr="006B0730">
        <w:rPr>
          <w:rFonts w:eastAsia="Times" w:cs="Arial"/>
        </w:rPr>
        <w:t xml:space="preserve">. </w:t>
      </w:r>
    </w:p>
    <w:p w14:paraId="5328FC1D" w14:textId="1C57B74F" w:rsidR="008B581E" w:rsidRDefault="008B581E" w:rsidP="008B581E">
      <w:pPr>
        <w:rPr>
          <w:rFonts w:eastAsia="Times" w:cs="Arial"/>
        </w:rPr>
      </w:pPr>
      <w:r w:rsidRPr="00057D5A">
        <w:rPr>
          <w:rFonts w:eastAsia="Times" w:cs="Arial"/>
        </w:rPr>
        <w:t xml:space="preserve">In the </w:t>
      </w:r>
      <w:r w:rsidRPr="008D7A1B">
        <w:rPr>
          <w:rFonts w:eastAsia="Times" w:cs="Arial"/>
          <w:b/>
          <w:bCs/>
        </w:rPr>
        <w:t>s</w:t>
      </w:r>
      <w:r w:rsidRPr="00057D5A">
        <w:rPr>
          <w:rFonts w:eastAsia="Times" w:cs="Arial"/>
          <w:b/>
          <w:bCs/>
        </w:rPr>
        <w:t>hort term</w:t>
      </w:r>
      <w:r w:rsidRPr="00057D5A">
        <w:rPr>
          <w:rFonts w:eastAsia="Times" w:cs="Arial"/>
        </w:rPr>
        <w:t xml:space="preserve">, </w:t>
      </w:r>
      <w:r>
        <w:rPr>
          <w:rFonts w:eastAsia="Times" w:cs="Arial"/>
        </w:rPr>
        <w:t xml:space="preserve">each area </w:t>
      </w:r>
      <w:r w:rsidR="004568A4">
        <w:rPr>
          <w:rFonts w:eastAsia="Times" w:cs="Arial"/>
        </w:rPr>
        <w:t xml:space="preserve">should </w:t>
      </w:r>
      <w:r>
        <w:rPr>
          <w:rFonts w:eastAsia="Times" w:cs="Arial"/>
        </w:rPr>
        <w:t>continue to operate a dedicated Response operations group that</w:t>
      </w:r>
      <w:r w:rsidRPr="00057D5A">
        <w:rPr>
          <w:rFonts w:eastAsia="Times" w:cs="Arial"/>
        </w:rPr>
        <w:t xml:space="preserve"> oversee</w:t>
      </w:r>
      <w:r>
        <w:rPr>
          <w:rFonts w:eastAsia="Times" w:cs="Arial"/>
        </w:rPr>
        <w:t>s and drives</w:t>
      </w:r>
      <w:r w:rsidRPr="00057D5A">
        <w:rPr>
          <w:rFonts w:eastAsia="Times" w:cs="Arial"/>
        </w:rPr>
        <w:t xml:space="preserve"> the strategic and operational implementation of the Response at the local level. </w:t>
      </w:r>
      <w:r>
        <w:rPr>
          <w:rFonts w:eastAsia="Times" w:cs="Arial"/>
        </w:rPr>
        <w:t>It is important that these groups continue to be aligned with Children and Families Services Alliances.</w:t>
      </w:r>
    </w:p>
    <w:p w14:paraId="665CD60D" w14:textId="77777777" w:rsidR="008B581E" w:rsidRPr="008D7A1B" w:rsidRDefault="008B581E" w:rsidP="008B581E">
      <w:pPr>
        <w:rPr>
          <w:rFonts w:eastAsia="Times" w:cs="Arial"/>
        </w:rPr>
      </w:pPr>
      <w:r>
        <w:rPr>
          <w:rFonts w:eastAsia="Times" w:cs="Arial"/>
        </w:rPr>
        <w:t xml:space="preserve">These groups will need to invite new providers and embed local implementation teams into their existing structure. They will also need to </w:t>
      </w:r>
      <w:r w:rsidRPr="00057D5A">
        <w:rPr>
          <w:rFonts w:eastAsia="Times" w:cs="Arial"/>
        </w:rPr>
        <w:t xml:space="preserve">establish, or build on, an </w:t>
      </w:r>
      <w:r>
        <w:rPr>
          <w:rFonts w:eastAsia="Times" w:cs="Arial"/>
        </w:rPr>
        <w:t>a</w:t>
      </w:r>
      <w:r w:rsidRPr="00057D5A">
        <w:rPr>
          <w:rFonts w:eastAsia="Times" w:cs="Arial"/>
        </w:rPr>
        <w:t>rea allocation process that can manage rapid connections. Th</w:t>
      </w:r>
      <w:r>
        <w:rPr>
          <w:rFonts w:eastAsia="Times" w:cs="Arial"/>
        </w:rPr>
        <w:t>e allocation</w:t>
      </w:r>
      <w:r w:rsidRPr="00057D5A">
        <w:rPr>
          <w:rFonts w:eastAsia="Times" w:cs="Arial"/>
        </w:rPr>
        <w:t xml:space="preserve"> process must enable </w:t>
      </w:r>
      <w:r w:rsidRPr="00057D5A">
        <w:t xml:space="preserve">Child Protection Navigators or ACAC to engage </w:t>
      </w:r>
      <w:r>
        <w:t>Response team leaders</w:t>
      </w:r>
      <w:r w:rsidRPr="00057D5A">
        <w:t xml:space="preserve"> within 24 hours of identifying </w:t>
      </w:r>
      <w:r>
        <w:t>a</w:t>
      </w:r>
      <w:r w:rsidRPr="00057D5A">
        <w:t xml:space="preserve"> connection </w:t>
      </w:r>
      <w:r w:rsidRPr="00057D5A">
        <w:rPr>
          <w:color w:val="000000"/>
          <w:szCs w:val="21"/>
        </w:rPr>
        <w:t>to discuss:</w:t>
      </w:r>
    </w:p>
    <w:p w14:paraId="128C91AF" w14:textId="77777777" w:rsidR="008B581E" w:rsidRPr="00057D5A" w:rsidRDefault="008B581E" w:rsidP="0081470F">
      <w:pPr>
        <w:pStyle w:val="Bullet1"/>
      </w:pPr>
      <w:r w:rsidRPr="00057D5A">
        <w:t>suitability and in principle acceptance of the connection to the Response</w:t>
      </w:r>
    </w:p>
    <w:p w14:paraId="35BD9BB3" w14:textId="77777777" w:rsidR="008B581E" w:rsidRPr="00057D5A" w:rsidRDefault="008B581E" w:rsidP="0081470F">
      <w:pPr>
        <w:pStyle w:val="Bullet1"/>
      </w:pPr>
      <w:r w:rsidRPr="00057D5A">
        <w:t>availability and matching of a lead Response practitioner</w:t>
      </w:r>
    </w:p>
    <w:p w14:paraId="460AF38D" w14:textId="77777777" w:rsidR="008B581E" w:rsidRPr="00057D5A" w:rsidRDefault="008B581E" w:rsidP="0081470F">
      <w:pPr>
        <w:pStyle w:val="Bullet1"/>
      </w:pPr>
      <w:r w:rsidRPr="00057D5A">
        <w:t>capacity of the Response to commence work with the family within two business days.</w:t>
      </w:r>
    </w:p>
    <w:p w14:paraId="2D2E33AD" w14:textId="3E3E8810" w:rsidR="008B581E" w:rsidRPr="00BE3857" w:rsidRDefault="008B581E" w:rsidP="008B581E">
      <w:pPr>
        <w:rPr>
          <w:rFonts w:eastAsia="Times" w:cs="Arial"/>
          <w:szCs w:val="21"/>
        </w:rPr>
      </w:pPr>
      <w:r w:rsidRPr="00BE3857">
        <w:rPr>
          <w:rFonts w:eastAsia="Times" w:cs="Arial"/>
          <w:szCs w:val="21"/>
        </w:rPr>
        <w:lastRenderedPageBreak/>
        <w:t>It is important that these groups come together as soon as possible to determine how Response services will be coordinated across each area and how it will report into divisional and state</w:t>
      </w:r>
      <w:r w:rsidR="00491118">
        <w:rPr>
          <w:rFonts w:eastAsia="Times" w:cs="Arial"/>
          <w:szCs w:val="21"/>
        </w:rPr>
        <w:t>-</w:t>
      </w:r>
      <w:r w:rsidRPr="00BE3857">
        <w:rPr>
          <w:rFonts w:eastAsia="Times" w:cs="Arial"/>
          <w:szCs w:val="21"/>
        </w:rPr>
        <w:t xml:space="preserve">wide governance groups. These discussions should also include analysis of cohort needs and consideration as to how any specialisation can be used to best support families. </w:t>
      </w:r>
    </w:p>
    <w:p w14:paraId="60814A50" w14:textId="6F1AD27E" w:rsidR="008B581E" w:rsidRPr="00BE3857" w:rsidRDefault="008B581E" w:rsidP="008B581E">
      <w:pPr>
        <w:pStyle w:val="DHHSbody"/>
        <w:rPr>
          <w:rFonts w:cs="Arial"/>
          <w:sz w:val="21"/>
          <w:szCs w:val="21"/>
        </w:rPr>
      </w:pPr>
      <w:r w:rsidRPr="00BE3857">
        <w:rPr>
          <w:rFonts w:cs="Arial"/>
          <w:sz w:val="21"/>
          <w:szCs w:val="21"/>
        </w:rPr>
        <w:t xml:space="preserve">In the </w:t>
      </w:r>
      <w:r w:rsidRPr="00BE3857">
        <w:rPr>
          <w:rFonts w:cs="Arial"/>
          <w:b/>
          <w:bCs/>
          <w:sz w:val="21"/>
          <w:szCs w:val="21"/>
        </w:rPr>
        <w:t>medium to long term</w:t>
      </w:r>
      <w:r w:rsidRPr="00BE3857">
        <w:rPr>
          <w:rFonts w:cs="Arial"/>
          <w:sz w:val="21"/>
          <w:szCs w:val="21"/>
        </w:rPr>
        <w:t xml:space="preserve">, it is expected that Response governance groups will be integrated into the broader child and family services governance groups, building on existing Alliance structures. </w:t>
      </w:r>
      <w:r>
        <w:rPr>
          <w:sz w:val="21"/>
          <w:szCs w:val="21"/>
        </w:rPr>
        <w:t xml:space="preserve">It is noted that </w:t>
      </w:r>
      <w:r w:rsidRPr="00BE3857">
        <w:rPr>
          <w:sz w:val="21"/>
          <w:szCs w:val="21"/>
        </w:rPr>
        <w:t>many areas have Orange Door services operating or opening soon and</w:t>
      </w:r>
      <w:r>
        <w:rPr>
          <w:sz w:val="21"/>
          <w:szCs w:val="21"/>
        </w:rPr>
        <w:t xml:space="preserve"> will need to be </w:t>
      </w:r>
      <w:r w:rsidRPr="00BE3857">
        <w:rPr>
          <w:sz w:val="21"/>
          <w:szCs w:val="21"/>
        </w:rPr>
        <w:t>considered as part of the ongoing implementation.</w:t>
      </w:r>
      <w:r>
        <w:rPr>
          <w:rFonts w:cs="Arial"/>
          <w:sz w:val="21"/>
          <w:szCs w:val="21"/>
        </w:rPr>
        <w:t xml:space="preserve"> </w:t>
      </w:r>
    </w:p>
    <w:p w14:paraId="5B0CD06D" w14:textId="77777777" w:rsidR="008B581E" w:rsidRDefault="008B581E" w:rsidP="008B581E">
      <w:pPr>
        <w:pStyle w:val="Body"/>
        <w:rPr>
          <w:szCs w:val="21"/>
        </w:rPr>
      </w:pPr>
      <w:r>
        <w:t xml:space="preserve">Further information about local area operational governance will be provided at the upcoming information sessions and will be detailed in the revised Response operational guide that will be made available shortly. </w:t>
      </w:r>
    </w:p>
    <w:p w14:paraId="15A4DEFC" w14:textId="77777777" w:rsidR="008B581E" w:rsidRDefault="008B581E" w:rsidP="008B581E">
      <w:pPr>
        <w:pStyle w:val="Heading1"/>
      </w:pPr>
      <w:bookmarkStart w:id="37" w:name="_Toc76724150"/>
      <w:r>
        <w:t>Further information</w:t>
      </w:r>
      <w:bookmarkEnd w:id="37"/>
    </w:p>
    <w:p w14:paraId="0ADC7978" w14:textId="77777777" w:rsidR="008B581E" w:rsidRPr="00CB0B2F" w:rsidRDefault="008B581E" w:rsidP="008B581E">
      <w:pPr>
        <w:pStyle w:val="DHHSbody"/>
        <w:rPr>
          <w:szCs w:val="21"/>
        </w:rPr>
      </w:pPr>
      <w:r w:rsidRPr="004A34D6">
        <w:rPr>
          <w:sz w:val="21"/>
          <w:szCs w:val="21"/>
        </w:rPr>
        <w:t>We are committed to provid</w:t>
      </w:r>
      <w:r>
        <w:rPr>
          <w:sz w:val="21"/>
          <w:szCs w:val="21"/>
        </w:rPr>
        <w:t>ing</w:t>
      </w:r>
      <w:r w:rsidRPr="004A34D6">
        <w:rPr>
          <w:sz w:val="21"/>
          <w:szCs w:val="21"/>
        </w:rPr>
        <w:t xml:space="preserve"> you with information and updates as this work progresses and will do so through a range of communication and engagement channels. </w:t>
      </w:r>
    </w:p>
    <w:p w14:paraId="472CB59A" w14:textId="77777777" w:rsidR="008B581E" w:rsidRPr="00CB0B2F" w:rsidRDefault="008B581E" w:rsidP="008B581E">
      <w:pPr>
        <w:pStyle w:val="DHHSbody"/>
        <w:rPr>
          <w:szCs w:val="21"/>
        </w:rPr>
      </w:pPr>
      <w:r w:rsidRPr="004A34D6">
        <w:rPr>
          <w:sz w:val="21"/>
          <w:szCs w:val="21"/>
        </w:rPr>
        <w:t xml:space="preserve">We will continue to update these frequently asked questions and we will let you know when a new addition has been posted. </w:t>
      </w:r>
    </w:p>
    <w:p w14:paraId="1446826B" w14:textId="10AEA4CF" w:rsidR="0021398F" w:rsidRPr="009B31E8" w:rsidRDefault="008B581E" w:rsidP="009B31E8">
      <w:pPr>
        <w:pStyle w:val="DHHSbody"/>
        <w:rPr>
          <w:b/>
          <w:sz w:val="21"/>
          <w:szCs w:val="21"/>
        </w:rPr>
      </w:pPr>
      <w:r w:rsidRPr="004A34D6">
        <w:rPr>
          <w:b/>
          <w:sz w:val="21"/>
          <w:szCs w:val="21"/>
        </w:rPr>
        <w:t>Your primary point of contact will be your local area Agency Performance and System Support teams. In the first instance, please direct any queries to your APSS Adviser. Local Area APSS teams will be supported by divisional Implementation Managers.</w:t>
      </w:r>
    </w:p>
    <w:p w14:paraId="5EB23CEA" w14:textId="65613525" w:rsidR="008B581E" w:rsidRPr="0092228D" w:rsidRDefault="008B581E" w:rsidP="008B581E">
      <w:pPr>
        <w:spacing w:after="0" w:line="240" w:lineRule="auto"/>
        <w:rPr>
          <w:rFonts w:eastAsia="Times"/>
          <w:b/>
          <w:szCs w:val="21"/>
        </w:rPr>
      </w:pPr>
    </w:p>
    <w:tbl>
      <w:tblPr>
        <w:tblStyle w:val="TableGrid"/>
        <w:tblW w:w="0" w:type="auto"/>
        <w:tblCellMar>
          <w:bottom w:w="108" w:type="dxa"/>
        </w:tblCellMar>
        <w:tblLook w:val="0600" w:firstRow="0" w:lastRow="0" w:firstColumn="0" w:lastColumn="0" w:noHBand="1" w:noVBand="1"/>
      </w:tblPr>
      <w:tblGrid>
        <w:gridCol w:w="10194"/>
      </w:tblGrid>
      <w:tr w:rsidR="008B581E" w14:paraId="31AD5DB3" w14:textId="77777777" w:rsidTr="00A403DE">
        <w:tc>
          <w:tcPr>
            <w:tcW w:w="10194" w:type="dxa"/>
          </w:tcPr>
          <w:p w14:paraId="7643075E" w14:textId="207DDF51" w:rsidR="008B581E" w:rsidRPr="0055119B" w:rsidRDefault="008B581E" w:rsidP="00D133B5">
            <w:pPr>
              <w:pStyle w:val="Accessibilitypara"/>
            </w:pPr>
            <w:r w:rsidRPr="0055119B">
              <w:t>To receive this document in another format</w:t>
            </w:r>
            <w:r>
              <w:t>,</w:t>
            </w:r>
            <w:r w:rsidRPr="0055119B">
              <w:t xml:space="preserve"> phone </w:t>
            </w:r>
            <w:r>
              <w:t xml:space="preserve">the </w:t>
            </w:r>
            <w:r w:rsidRPr="0055119B">
              <w:t>National Relay Service 13 36 77 if required,</w:t>
            </w:r>
            <w:r>
              <w:t xml:space="preserve"> </w:t>
            </w:r>
            <w:r w:rsidRPr="00434B52">
              <w:t xml:space="preserve">or </w:t>
            </w:r>
            <w:hyperlink r:id="rId15" w:history="1">
              <w:r w:rsidRPr="00047962">
                <w:rPr>
                  <w:rStyle w:val="Hyperlink"/>
                </w:rPr>
                <w:t>email the Child Safeguarding team</w:t>
              </w:r>
            </w:hyperlink>
            <w:r>
              <w:t xml:space="preserve"> </w:t>
            </w:r>
            <w:r w:rsidRPr="0055119B">
              <w:t>&lt;</w:t>
            </w:r>
            <w:r>
              <w:t>child.safeguarding</w:t>
            </w:r>
            <w:r w:rsidRPr="00434B52">
              <w:t>@d</w:t>
            </w:r>
            <w:r>
              <w:t>ffh</w:t>
            </w:r>
            <w:r w:rsidRPr="00434B52">
              <w:t>.vic.gov.au</w:t>
            </w:r>
            <w:r w:rsidRPr="0055119B">
              <w:t>&gt;.</w:t>
            </w:r>
            <w:r>
              <w:t xml:space="preserve"> </w:t>
            </w:r>
          </w:p>
          <w:p w14:paraId="047E9810" w14:textId="77777777" w:rsidR="008B581E" w:rsidRPr="0055119B" w:rsidRDefault="008B581E" w:rsidP="00D133B5">
            <w:pPr>
              <w:pStyle w:val="Imprint"/>
            </w:pPr>
            <w:r w:rsidRPr="0055119B">
              <w:t>Authorised and published by the Victorian Government, 1 Treasury Place, Melbourne.</w:t>
            </w:r>
          </w:p>
          <w:p w14:paraId="079C5B7B" w14:textId="572F0D04" w:rsidR="008B581E" w:rsidRPr="0055119B" w:rsidRDefault="008B581E" w:rsidP="00D133B5">
            <w:pPr>
              <w:pStyle w:val="Imprint"/>
            </w:pPr>
            <w:r w:rsidRPr="0055119B">
              <w:t xml:space="preserve">© State of Victoria, Australia, Department </w:t>
            </w:r>
            <w:r w:rsidRPr="001B058F">
              <w:t xml:space="preserve">of </w:t>
            </w:r>
            <w:r>
              <w:t xml:space="preserve">Families, Fairness </w:t>
            </w:r>
            <w:r w:rsidRPr="00434B52">
              <w:rPr>
                <w:color w:val="auto"/>
              </w:rPr>
              <w:t xml:space="preserve">and Housing, </w:t>
            </w:r>
            <w:r w:rsidR="00521E95">
              <w:rPr>
                <w:color w:val="auto"/>
              </w:rPr>
              <w:t xml:space="preserve">July </w:t>
            </w:r>
            <w:r w:rsidRPr="00434B52">
              <w:rPr>
                <w:color w:val="auto"/>
              </w:rPr>
              <w:t>2021.</w:t>
            </w:r>
          </w:p>
          <w:p w14:paraId="146E43F8" w14:textId="601D3658" w:rsidR="008B581E" w:rsidRPr="00434B52" w:rsidRDefault="008B581E" w:rsidP="00D133B5">
            <w:pPr>
              <w:pStyle w:val="Imprint"/>
              <w:rPr>
                <w:color w:val="auto"/>
              </w:rPr>
            </w:pPr>
            <w:bookmarkStart w:id="38" w:name="_Hlk62746129"/>
            <w:r w:rsidRPr="00434B52">
              <w:rPr>
                <w:color w:val="auto"/>
              </w:rPr>
              <w:t xml:space="preserve">In this document, ‘Aboriginal’ refers to both Aboriginal and Torres Strait Islander people. </w:t>
            </w:r>
          </w:p>
          <w:p w14:paraId="6532431B" w14:textId="43CD4250" w:rsidR="008B581E" w:rsidRPr="0055119B" w:rsidRDefault="008B581E" w:rsidP="00D133B5">
            <w:pPr>
              <w:pStyle w:val="Imprint"/>
            </w:pPr>
            <w:r w:rsidRPr="0055119B">
              <w:t xml:space="preserve">ISBN </w:t>
            </w:r>
            <w:r>
              <w:rPr>
                <w:rFonts w:cs="Arial"/>
                <w:color w:val="000000"/>
              </w:rPr>
              <w:t>978-1-76096-344-6</w:t>
            </w:r>
            <w:r>
              <w:rPr>
                <w:rFonts w:cs="Arial"/>
                <w:b/>
                <w:bCs/>
                <w:color w:val="000000"/>
              </w:rPr>
              <w:t xml:space="preserve"> </w:t>
            </w:r>
            <w:r w:rsidRPr="00B569DA">
              <w:rPr>
                <w:rFonts w:cs="Arial"/>
                <w:color w:val="000000"/>
              </w:rPr>
              <w:t>(online/MS word)</w:t>
            </w:r>
          </w:p>
          <w:p w14:paraId="422C1EFB" w14:textId="7F59DC4B" w:rsidR="008B581E" w:rsidRDefault="008B581E" w:rsidP="00D133B5">
            <w:pPr>
              <w:pStyle w:val="Imprint"/>
            </w:pPr>
            <w:r w:rsidRPr="00434B52">
              <w:rPr>
                <w:color w:val="auto"/>
              </w:rPr>
              <w:t xml:space="preserve">Available at the </w:t>
            </w:r>
            <w:hyperlink r:id="rId16" w:history="1">
              <w:r w:rsidRPr="0092228D">
                <w:rPr>
                  <w:rStyle w:val="Hyperlink"/>
                  <w:color w:val="1F497D" w:themeColor="text2"/>
                </w:rPr>
                <w:t>DHHS Providers website</w:t>
              </w:r>
            </w:hyperlink>
            <w:r w:rsidRPr="00434B52">
              <w:rPr>
                <w:color w:val="auto"/>
              </w:rPr>
              <w:t xml:space="preserve"> &lt;https://providers.dhhs.vic.gov.au/victorian-and-aboriginal-family-preservation-and-reunification-response</w:t>
            </w:r>
            <w:bookmarkEnd w:id="38"/>
            <w:r w:rsidRPr="00434B52">
              <w:rPr>
                <w:color w:val="auto"/>
              </w:rPr>
              <w:t>&gt;</w:t>
            </w:r>
          </w:p>
        </w:tc>
      </w:tr>
    </w:tbl>
    <w:p w14:paraId="112EE83E" w14:textId="5AB93095" w:rsidR="008B581E" w:rsidRDefault="008B581E" w:rsidP="008B581E">
      <w:pPr>
        <w:pStyle w:val="DHHSbody"/>
      </w:pPr>
    </w:p>
    <w:p w14:paraId="39438017" w14:textId="77777777" w:rsidR="008B581E" w:rsidRDefault="008B581E" w:rsidP="008B581E">
      <w:pPr>
        <w:pStyle w:val="DHHSbody"/>
      </w:pPr>
    </w:p>
    <w:p w14:paraId="38C44BBD" w14:textId="77777777" w:rsidR="0092228D" w:rsidRDefault="0092228D" w:rsidP="008B581E">
      <w:pPr>
        <w:pStyle w:val="Body"/>
      </w:pPr>
    </w:p>
    <w:sectPr w:rsidR="0092228D" w:rsidSect="006F14AF">
      <w:headerReference w:type="default" r:id="rId17"/>
      <w:footerReference w:type="even" r:id="rId18"/>
      <w:footerReference w:type="default" r:id="rId19"/>
      <w:footerReference w:type="firs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D3C69" w14:textId="77777777" w:rsidR="003B42C0" w:rsidRDefault="003B42C0">
      <w:r>
        <w:separator/>
      </w:r>
    </w:p>
    <w:p w14:paraId="067373AC" w14:textId="77777777" w:rsidR="003B42C0" w:rsidRDefault="003B42C0"/>
  </w:endnote>
  <w:endnote w:type="continuationSeparator" w:id="0">
    <w:p w14:paraId="45B405CD" w14:textId="77777777" w:rsidR="003B42C0" w:rsidRDefault="003B42C0">
      <w:r>
        <w:continuationSeparator/>
      </w:r>
    </w:p>
    <w:p w14:paraId="264F5F44" w14:textId="77777777" w:rsidR="003B42C0" w:rsidRDefault="003B42C0"/>
  </w:endnote>
  <w:endnote w:type="continuationNotice" w:id="1">
    <w:p w14:paraId="6C514097" w14:textId="77777777" w:rsidR="003B42C0" w:rsidRDefault="003B4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FB3A" w14:textId="1DE5A748" w:rsidR="001762D1" w:rsidRPr="00A1389F" w:rsidRDefault="001762D1" w:rsidP="00815208">
    <w:pPr>
      <w:pStyle w:val="Documentsubtitle"/>
    </w:pPr>
    <w:r>
      <w:rPr>
        <w:noProof/>
        <w:lang w:eastAsia="en-AU"/>
      </w:rPr>
      <mc:AlternateContent>
        <mc:Choice Requires="wps">
          <w:drawing>
            <wp:anchor distT="0" distB="0" distL="114300" distR="114300" simplePos="0" relativeHeight="251661312" behindDoc="0" locked="0" layoutInCell="0" allowOverlap="1" wp14:anchorId="0E4F2AE2" wp14:editId="130EB4D6">
              <wp:simplePos x="0" y="0"/>
              <wp:positionH relativeFrom="page">
                <wp:posOffset>0</wp:posOffset>
              </wp:positionH>
              <wp:positionV relativeFrom="page">
                <wp:posOffset>10189210</wp:posOffset>
              </wp:positionV>
              <wp:extent cx="7560310" cy="311785"/>
              <wp:effectExtent l="0" t="0" r="0" b="12065"/>
              <wp:wrapNone/>
              <wp:docPr id="5" name="MSIPCMab3146b29d98af0ea2f03c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976C9" w14:textId="34BD88A2" w:rsidR="001762D1" w:rsidRPr="00F51EA4" w:rsidRDefault="001762D1"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4F2AE2" id="_x0000_t202" coordsize="21600,21600" o:spt="202" path="m,l,21600r21600,l21600,xe">
              <v:stroke joinstyle="miter"/>
              <v:path gradientshapeok="t" o:connecttype="rect"/>
            </v:shapetype>
            <v:shape id="MSIPCMab3146b29d98af0ea2f03c2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G+WSeetAgAARQUAAA4AAAAA&#10;AAAAAAAAAAAALgIAAGRycy9lMm9Eb2MueG1sUEsBAi0AFAAGAAgAAAAhAEgNXprfAAAACwEAAA8A&#10;AAAAAAAAAAAAAAAABwUAAGRycy9kb3ducmV2LnhtbFBLBQYAAAAABAAEAPMAAAATBgAAAAA=&#10;" o:allowincell="f" filled="f" stroked="f" strokeweight=".5pt">
              <v:textbox inset=",0,,0">
                <w:txbxContent>
                  <w:p w14:paraId="6A1976C9" w14:textId="34BD88A2" w:rsidR="001762D1" w:rsidRPr="00F51EA4" w:rsidRDefault="001762D1"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7216" behindDoc="1" locked="1" layoutInCell="1" allowOverlap="1" wp14:anchorId="46DEE8CA" wp14:editId="7AB348A3">
          <wp:simplePos x="0" y="0"/>
          <wp:positionH relativeFrom="page">
            <wp:posOffset>6985</wp:posOffset>
          </wp:positionH>
          <wp:positionV relativeFrom="bottomMargin">
            <wp:align>top</wp:align>
          </wp:positionV>
          <wp:extent cx="7559675" cy="1007745"/>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89370AA" w14:textId="72D3C572" w:rsidR="001762D1" w:rsidRDefault="0017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0C75" w14:textId="12C4C539" w:rsidR="001762D1" w:rsidRDefault="00176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07F8E" w14:textId="7BCAEBDA" w:rsidR="001762D1" w:rsidRDefault="001614B9">
    <w:pPr>
      <w:pStyle w:val="Footer"/>
      <w:jc w:val="right"/>
    </w:pPr>
    <w:r>
      <w:rPr>
        <w:noProof/>
      </w:rPr>
      <mc:AlternateContent>
        <mc:Choice Requires="wps">
          <w:drawing>
            <wp:anchor distT="0" distB="0" distL="114300" distR="114300" simplePos="0" relativeHeight="251658242" behindDoc="0" locked="0" layoutInCell="0" allowOverlap="1" wp14:anchorId="32C71005" wp14:editId="7E82501F">
              <wp:simplePos x="0" y="0"/>
              <wp:positionH relativeFrom="page">
                <wp:posOffset>0</wp:posOffset>
              </wp:positionH>
              <wp:positionV relativeFrom="page">
                <wp:posOffset>10189210</wp:posOffset>
              </wp:positionV>
              <wp:extent cx="7560310" cy="311785"/>
              <wp:effectExtent l="0" t="0" r="0" b="12065"/>
              <wp:wrapNone/>
              <wp:docPr id="1" name="MSIPCM3ff64e34a86e0f00b464bc3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A7296" w14:textId="3EA1E88E" w:rsidR="001614B9" w:rsidRPr="001614B9" w:rsidRDefault="001614B9" w:rsidP="001614B9">
                          <w:pPr>
                            <w:spacing w:after="0"/>
                            <w:jc w:val="center"/>
                            <w:rPr>
                              <w:rFonts w:ascii="Arial Black" w:hAnsi="Arial Black"/>
                              <w:color w:val="000000"/>
                              <w:sz w:val="20"/>
                            </w:rPr>
                          </w:pPr>
                          <w:r w:rsidRPr="001614B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C71005" id="_x0000_t202" coordsize="21600,21600" o:spt="202" path="m,l,21600r21600,l21600,xe">
              <v:stroke joinstyle="miter"/>
              <v:path gradientshapeok="t" o:connecttype="rect"/>
            </v:shapetype>
            <v:shape id="MSIPCM3ff64e34a86e0f00b464bc30" o:spid="_x0000_s102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Z+j9dq8CAABMBQAADgAA&#10;AAAAAAAAAAAAAAAuAgAAZHJzL2Uyb0RvYy54bWxQSwECLQAUAAYACAAAACEASA1emt8AAAALAQAA&#10;DwAAAAAAAAAAAAAAAAAJBQAAZHJzL2Rvd25yZXYueG1sUEsFBgAAAAAEAAQA8wAAABUGAAAAAA==&#10;" o:allowincell="f" filled="f" stroked="f" strokeweight=".5pt">
              <v:textbox inset=",0,,0">
                <w:txbxContent>
                  <w:p w14:paraId="022A7296" w14:textId="3EA1E88E" w:rsidR="001614B9" w:rsidRPr="001614B9" w:rsidRDefault="001614B9" w:rsidP="001614B9">
                    <w:pPr>
                      <w:spacing w:after="0"/>
                      <w:jc w:val="center"/>
                      <w:rPr>
                        <w:rFonts w:ascii="Arial Black" w:hAnsi="Arial Black"/>
                        <w:color w:val="000000"/>
                        <w:sz w:val="20"/>
                      </w:rPr>
                    </w:pPr>
                    <w:r w:rsidRPr="001614B9">
                      <w:rPr>
                        <w:rFonts w:ascii="Arial Black" w:hAnsi="Arial Black"/>
                        <w:color w:val="000000"/>
                        <w:sz w:val="20"/>
                      </w:rPr>
                      <w:t>OFFICIAL</w:t>
                    </w:r>
                  </w:p>
                </w:txbxContent>
              </v:textbox>
              <w10:wrap anchorx="page" anchory="page"/>
            </v:shape>
          </w:pict>
        </mc:Fallback>
      </mc:AlternateContent>
    </w:r>
    <w:sdt>
      <w:sdtPr>
        <w:id w:val="1726567576"/>
        <w:docPartObj>
          <w:docPartGallery w:val="Page Numbers (Bottom of Page)"/>
          <w:docPartUnique/>
        </w:docPartObj>
      </w:sdtPr>
      <w:sdtEndPr>
        <w:rPr>
          <w:noProof/>
        </w:rPr>
      </w:sdtEndPr>
      <w:sdtContent>
        <w:r w:rsidR="001762D1">
          <w:fldChar w:fldCharType="begin"/>
        </w:r>
        <w:r w:rsidR="001762D1">
          <w:instrText xml:space="preserve"> PAGE   \* MERGEFORMAT </w:instrText>
        </w:r>
        <w:r w:rsidR="001762D1">
          <w:fldChar w:fldCharType="separate"/>
        </w:r>
        <w:r w:rsidR="001762D1">
          <w:rPr>
            <w:noProof/>
          </w:rPr>
          <w:t>2</w:t>
        </w:r>
        <w:r w:rsidR="001762D1">
          <w:rPr>
            <w:noProof/>
          </w:rPr>
          <w:fldChar w:fldCharType="end"/>
        </w:r>
      </w:sdtContent>
    </w:sdt>
  </w:p>
  <w:p w14:paraId="4D1A0D90" w14:textId="3760DFFD" w:rsidR="001762D1" w:rsidRDefault="00BB0D87" w:rsidP="00BB0D87">
    <w:pPr>
      <w:pStyle w:val="Footer"/>
    </w:pPr>
    <w:r>
      <w:t>FAQs – Transitio</w:t>
    </w:r>
    <w:r w:rsidR="000D1AF9">
      <w:t>n g</w:t>
    </w:r>
    <w:r>
      <w:t xml:space="preserve">uidance for the delivery of the Response and Intensive Family Services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CC31" w14:textId="013100B1" w:rsidR="001762D1" w:rsidRDefault="0017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5D787" w14:textId="77777777" w:rsidR="003B42C0" w:rsidRDefault="003B42C0" w:rsidP="00207717">
      <w:pPr>
        <w:spacing w:before="120"/>
      </w:pPr>
      <w:r>
        <w:separator/>
      </w:r>
    </w:p>
  </w:footnote>
  <w:footnote w:type="continuationSeparator" w:id="0">
    <w:p w14:paraId="5655C71E" w14:textId="77777777" w:rsidR="003B42C0" w:rsidRDefault="003B42C0">
      <w:r>
        <w:continuationSeparator/>
      </w:r>
    </w:p>
    <w:p w14:paraId="33C4AD8E" w14:textId="77777777" w:rsidR="003B42C0" w:rsidRDefault="003B42C0"/>
  </w:footnote>
  <w:footnote w:type="continuationNotice" w:id="1">
    <w:p w14:paraId="7126D4F1" w14:textId="77777777" w:rsidR="003B42C0" w:rsidRDefault="003B4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1762D1" w:rsidRDefault="001762D1"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868913"/>
      <w:docPartObj>
        <w:docPartGallery w:val="Page Numbers (Top of Page)"/>
        <w:docPartUnique/>
      </w:docPartObj>
    </w:sdtPr>
    <w:sdtEndPr>
      <w:rPr>
        <w:noProof/>
      </w:rPr>
    </w:sdtEndPr>
    <w:sdtContent>
      <w:p w14:paraId="25FFDF93" w14:textId="39BAE1EB" w:rsidR="001762D1" w:rsidRPr="00AA7491" w:rsidRDefault="001762D1" w:rsidP="00AA7491">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D13"/>
    <w:multiLevelType w:val="multilevel"/>
    <w:tmpl w:val="F232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C278E"/>
    <w:multiLevelType w:val="hybridMultilevel"/>
    <w:tmpl w:val="7A209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D2B18"/>
    <w:multiLevelType w:val="hybridMultilevel"/>
    <w:tmpl w:val="C88636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7424EA"/>
    <w:multiLevelType w:val="hybridMultilevel"/>
    <w:tmpl w:val="9E022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F5D"/>
    <w:multiLevelType w:val="multilevel"/>
    <w:tmpl w:val="B3B2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65981"/>
    <w:multiLevelType w:val="hybridMultilevel"/>
    <w:tmpl w:val="E2AC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10F1"/>
    <w:multiLevelType w:val="multilevel"/>
    <w:tmpl w:val="214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AD2E30"/>
    <w:multiLevelType w:val="multilevel"/>
    <w:tmpl w:val="A10A987A"/>
    <w:styleLink w:val="ZZNumberslowerroman"/>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0B404B4"/>
    <w:multiLevelType w:val="hybridMultilevel"/>
    <w:tmpl w:val="1636684E"/>
    <w:styleLink w:val="ZZNumbersloweralph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0A0A78"/>
    <w:multiLevelType w:val="multilevel"/>
    <w:tmpl w:val="BE7E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00654"/>
    <w:multiLevelType w:val="hybridMultilevel"/>
    <w:tmpl w:val="C0EE0600"/>
    <w:lvl w:ilvl="0" w:tplc="AFFE2C6A">
      <w:start w:val="1"/>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A16231"/>
    <w:multiLevelType w:val="hybridMultilevel"/>
    <w:tmpl w:val="FFFFFFFF"/>
    <w:lvl w:ilvl="0" w:tplc="6FA0DC5E">
      <w:start w:val="1"/>
      <w:numFmt w:val="lowerLetter"/>
      <w:lvlText w:val="%1."/>
      <w:lvlJc w:val="left"/>
      <w:pPr>
        <w:ind w:left="720" w:hanging="360"/>
      </w:pPr>
    </w:lvl>
    <w:lvl w:ilvl="1" w:tplc="C7047448">
      <w:start w:val="1"/>
      <w:numFmt w:val="lowerLetter"/>
      <w:lvlText w:val="%2."/>
      <w:lvlJc w:val="left"/>
      <w:pPr>
        <w:ind w:left="1440" w:hanging="360"/>
      </w:pPr>
    </w:lvl>
    <w:lvl w:ilvl="2" w:tplc="84A08EC4">
      <w:start w:val="1"/>
      <w:numFmt w:val="lowerRoman"/>
      <w:lvlText w:val="%3."/>
      <w:lvlJc w:val="right"/>
      <w:pPr>
        <w:ind w:left="2160" w:hanging="180"/>
      </w:pPr>
    </w:lvl>
    <w:lvl w:ilvl="3" w:tplc="60285024">
      <w:start w:val="1"/>
      <w:numFmt w:val="decimal"/>
      <w:lvlText w:val="%4."/>
      <w:lvlJc w:val="left"/>
      <w:pPr>
        <w:ind w:left="2880" w:hanging="360"/>
      </w:pPr>
    </w:lvl>
    <w:lvl w:ilvl="4" w:tplc="0E346216">
      <w:start w:val="1"/>
      <w:numFmt w:val="lowerLetter"/>
      <w:lvlText w:val="%5."/>
      <w:lvlJc w:val="left"/>
      <w:pPr>
        <w:ind w:left="3600" w:hanging="360"/>
      </w:pPr>
    </w:lvl>
    <w:lvl w:ilvl="5" w:tplc="6D40A16E">
      <w:start w:val="1"/>
      <w:numFmt w:val="lowerRoman"/>
      <w:lvlText w:val="%6."/>
      <w:lvlJc w:val="right"/>
      <w:pPr>
        <w:ind w:left="4320" w:hanging="180"/>
      </w:pPr>
    </w:lvl>
    <w:lvl w:ilvl="6" w:tplc="A3A0B504">
      <w:start w:val="1"/>
      <w:numFmt w:val="decimal"/>
      <w:lvlText w:val="%7."/>
      <w:lvlJc w:val="left"/>
      <w:pPr>
        <w:ind w:left="5040" w:hanging="360"/>
      </w:pPr>
    </w:lvl>
    <w:lvl w:ilvl="7" w:tplc="0E3207BA">
      <w:start w:val="1"/>
      <w:numFmt w:val="lowerLetter"/>
      <w:lvlText w:val="%8."/>
      <w:lvlJc w:val="left"/>
      <w:pPr>
        <w:ind w:left="5760" w:hanging="360"/>
      </w:pPr>
    </w:lvl>
    <w:lvl w:ilvl="8" w:tplc="AC108742">
      <w:start w:val="1"/>
      <w:numFmt w:val="lowerRoman"/>
      <w:lvlText w:val="%9."/>
      <w:lvlJc w:val="right"/>
      <w:pPr>
        <w:ind w:left="6480" w:hanging="180"/>
      </w:pPr>
    </w:lvl>
  </w:abstractNum>
  <w:abstractNum w:abstractNumId="12" w15:restartNumberingAfterBreak="0">
    <w:nsid w:val="2F5C0B5F"/>
    <w:multiLevelType w:val="hybridMultilevel"/>
    <w:tmpl w:val="E0AA7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70DB1"/>
    <w:multiLevelType w:val="hybridMultilevel"/>
    <w:tmpl w:val="BDE48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3E47AF"/>
    <w:multiLevelType w:val="hybridMultilevel"/>
    <w:tmpl w:val="B5421836"/>
    <w:lvl w:ilvl="0" w:tplc="3216EB7C">
      <w:start w:val="1"/>
      <w:numFmt w:val="bullet"/>
      <w:lvlText w:val="•"/>
      <w:lvlJc w:val="left"/>
      <w:pPr>
        <w:tabs>
          <w:tab w:val="num" w:pos="720"/>
        </w:tabs>
        <w:ind w:left="720" w:hanging="360"/>
      </w:pPr>
      <w:rPr>
        <w:rFonts w:ascii="Arial" w:hAnsi="Arial" w:hint="default"/>
      </w:rPr>
    </w:lvl>
    <w:lvl w:ilvl="1" w:tplc="9DF08F0E" w:tentative="1">
      <w:start w:val="1"/>
      <w:numFmt w:val="bullet"/>
      <w:lvlText w:val="•"/>
      <w:lvlJc w:val="left"/>
      <w:pPr>
        <w:tabs>
          <w:tab w:val="num" w:pos="1440"/>
        </w:tabs>
        <w:ind w:left="1440" w:hanging="360"/>
      </w:pPr>
      <w:rPr>
        <w:rFonts w:ascii="Arial" w:hAnsi="Arial" w:hint="default"/>
      </w:rPr>
    </w:lvl>
    <w:lvl w:ilvl="2" w:tplc="734240FC" w:tentative="1">
      <w:start w:val="1"/>
      <w:numFmt w:val="bullet"/>
      <w:lvlText w:val="•"/>
      <w:lvlJc w:val="left"/>
      <w:pPr>
        <w:tabs>
          <w:tab w:val="num" w:pos="2160"/>
        </w:tabs>
        <w:ind w:left="2160" w:hanging="360"/>
      </w:pPr>
      <w:rPr>
        <w:rFonts w:ascii="Arial" w:hAnsi="Arial" w:hint="default"/>
      </w:rPr>
    </w:lvl>
    <w:lvl w:ilvl="3" w:tplc="67F8F1BA" w:tentative="1">
      <w:start w:val="1"/>
      <w:numFmt w:val="bullet"/>
      <w:lvlText w:val="•"/>
      <w:lvlJc w:val="left"/>
      <w:pPr>
        <w:tabs>
          <w:tab w:val="num" w:pos="2880"/>
        </w:tabs>
        <w:ind w:left="2880" w:hanging="360"/>
      </w:pPr>
      <w:rPr>
        <w:rFonts w:ascii="Arial" w:hAnsi="Arial" w:hint="default"/>
      </w:rPr>
    </w:lvl>
    <w:lvl w:ilvl="4" w:tplc="FE525AE2" w:tentative="1">
      <w:start w:val="1"/>
      <w:numFmt w:val="bullet"/>
      <w:lvlText w:val="•"/>
      <w:lvlJc w:val="left"/>
      <w:pPr>
        <w:tabs>
          <w:tab w:val="num" w:pos="3600"/>
        </w:tabs>
        <w:ind w:left="3600" w:hanging="360"/>
      </w:pPr>
      <w:rPr>
        <w:rFonts w:ascii="Arial" w:hAnsi="Arial" w:hint="default"/>
      </w:rPr>
    </w:lvl>
    <w:lvl w:ilvl="5" w:tplc="2500CF4A" w:tentative="1">
      <w:start w:val="1"/>
      <w:numFmt w:val="bullet"/>
      <w:lvlText w:val="•"/>
      <w:lvlJc w:val="left"/>
      <w:pPr>
        <w:tabs>
          <w:tab w:val="num" w:pos="4320"/>
        </w:tabs>
        <w:ind w:left="4320" w:hanging="360"/>
      </w:pPr>
      <w:rPr>
        <w:rFonts w:ascii="Arial" w:hAnsi="Arial" w:hint="default"/>
      </w:rPr>
    </w:lvl>
    <w:lvl w:ilvl="6" w:tplc="F1A4AFC0" w:tentative="1">
      <w:start w:val="1"/>
      <w:numFmt w:val="bullet"/>
      <w:lvlText w:val="•"/>
      <w:lvlJc w:val="left"/>
      <w:pPr>
        <w:tabs>
          <w:tab w:val="num" w:pos="5040"/>
        </w:tabs>
        <w:ind w:left="5040" w:hanging="360"/>
      </w:pPr>
      <w:rPr>
        <w:rFonts w:ascii="Arial" w:hAnsi="Arial" w:hint="default"/>
      </w:rPr>
    </w:lvl>
    <w:lvl w:ilvl="7" w:tplc="08027962" w:tentative="1">
      <w:start w:val="1"/>
      <w:numFmt w:val="bullet"/>
      <w:lvlText w:val="•"/>
      <w:lvlJc w:val="left"/>
      <w:pPr>
        <w:tabs>
          <w:tab w:val="num" w:pos="5760"/>
        </w:tabs>
        <w:ind w:left="5760" w:hanging="360"/>
      </w:pPr>
      <w:rPr>
        <w:rFonts w:ascii="Arial" w:hAnsi="Arial" w:hint="default"/>
      </w:rPr>
    </w:lvl>
    <w:lvl w:ilvl="8" w:tplc="2B42D7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95561"/>
    <w:multiLevelType w:val="hybridMultilevel"/>
    <w:tmpl w:val="708C1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6C68D4"/>
    <w:multiLevelType w:val="multilevel"/>
    <w:tmpl w:val="5890EA66"/>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EA56950A"/>
    <w:styleLink w:val="ZZQuotebullet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72A59D9"/>
    <w:multiLevelType w:val="hybridMultilevel"/>
    <w:tmpl w:val="37B2E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AAF4D4A"/>
    <w:multiLevelType w:val="multilevel"/>
    <w:tmpl w:val="A68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B641C5"/>
    <w:multiLevelType w:val="hybridMultilevel"/>
    <w:tmpl w:val="E996D1C4"/>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15:restartNumberingAfterBreak="0">
    <w:nsid w:val="4DA1514B"/>
    <w:multiLevelType w:val="hybridMultilevel"/>
    <w:tmpl w:val="B76E6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Numbersdigit"/>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Tabl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58267C4"/>
    <w:multiLevelType w:val="hybridMultilevel"/>
    <w:tmpl w:val="3A82F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DE587B"/>
    <w:multiLevelType w:val="hybridMultilevel"/>
    <w:tmpl w:val="42C28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33219C"/>
    <w:multiLevelType w:val="hybridMultilevel"/>
    <w:tmpl w:val="1E422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606965"/>
    <w:multiLevelType w:val="hybridMultilevel"/>
    <w:tmpl w:val="FFFFFFFF"/>
    <w:lvl w:ilvl="0" w:tplc="2A3822FE">
      <w:start w:val="1"/>
      <w:numFmt w:val="decimal"/>
      <w:lvlText w:val="%1."/>
      <w:lvlJc w:val="left"/>
      <w:pPr>
        <w:ind w:left="720" w:hanging="360"/>
      </w:pPr>
    </w:lvl>
    <w:lvl w:ilvl="1" w:tplc="F0523270">
      <w:start w:val="1"/>
      <w:numFmt w:val="decimal"/>
      <w:lvlText w:val="%2."/>
      <w:lvlJc w:val="left"/>
      <w:pPr>
        <w:ind w:left="1440" w:hanging="360"/>
      </w:pPr>
    </w:lvl>
    <w:lvl w:ilvl="2" w:tplc="41085762">
      <w:start w:val="1"/>
      <w:numFmt w:val="lowerRoman"/>
      <w:lvlText w:val="%3."/>
      <w:lvlJc w:val="right"/>
      <w:pPr>
        <w:ind w:left="2160" w:hanging="180"/>
      </w:pPr>
    </w:lvl>
    <w:lvl w:ilvl="3" w:tplc="A880AFC0">
      <w:start w:val="1"/>
      <w:numFmt w:val="decimal"/>
      <w:lvlText w:val="%4."/>
      <w:lvlJc w:val="left"/>
      <w:pPr>
        <w:ind w:left="2880" w:hanging="360"/>
      </w:pPr>
    </w:lvl>
    <w:lvl w:ilvl="4" w:tplc="E5B28EDA">
      <w:start w:val="1"/>
      <w:numFmt w:val="lowerLetter"/>
      <w:lvlText w:val="%5."/>
      <w:lvlJc w:val="left"/>
      <w:pPr>
        <w:ind w:left="3600" w:hanging="360"/>
      </w:pPr>
    </w:lvl>
    <w:lvl w:ilvl="5" w:tplc="AB76515A">
      <w:start w:val="1"/>
      <w:numFmt w:val="lowerRoman"/>
      <w:lvlText w:val="%6."/>
      <w:lvlJc w:val="right"/>
      <w:pPr>
        <w:ind w:left="4320" w:hanging="180"/>
      </w:pPr>
    </w:lvl>
    <w:lvl w:ilvl="6" w:tplc="64F0DD40">
      <w:start w:val="1"/>
      <w:numFmt w:val="decimal"/>
      <w:lvlText w:val="%7."/>
      <w:lvlJc w:val="left"/>
      <w:pPr>
        <w:ind w:left="5040" w:hanging="360"/>
      </w:pPr>
    </w:lvl>
    <w:lvl w:ilvl="7" w:tplc="9B7EA464">
      <w:start w:val="1"/>
      <w:numFmt w:val="lowerLetter"/>
      <w:lvlText w:val="%8."/>
      <w:lvlJc w:val="left"/>
      <w:pPr>
        <w:ind w:left="5760" w:hanging="360"/>
      </w:pPr>
    </w:lvl>
    <w:lvl w:ilvl="8" w:tplc="051E9688">
      <w:start w:val="1"/>
      <w:numFmt w:val="lowerRoman"/>
      <w:lvlText w:val="%9."/>
      <w:lvlJc w:val="right"/>
      <w:pPr>
        <w:ind w:left="6480" w:hanging="180"/>
      </w:pPr>
    </w:lvl>
  </w:abstractNum>
  <w:abstractNum w:abstractNumId="29" w15:restartNumberingAfterBreak="0">
    <w:nsid w:val="755F1541"/>
    <w:multiLevelType w:val="hybridMultilevel"/>
    <w:tmpl w:val="418019CC"/>
    <w:lvl w:ilvl="0" w:tplc="044AF6C6">
      <w:start w:val="1"/>
      <w:numFmt w:val="bullet"/>
      <w:lvlText w:val="•"/>
      <w:lvlJc w:val="left"/>
      <w:pPr>
        <w:tabs>
          <w:tab w:val="num" w:pos="720"/>
        </w:tabs>
        <w:ind w:left="720" w:hanging="360"/>
      </w:pPr>
      <w:rPr>
        <w:rFonts w:ascii="Arial" w:hAnsi="Arial" w:hint="default"/>
      </w:rPr>
    </w:lvl>
    <w:lvl w:ilvl="1" w:tplc="B12085A6" w:tentative="1">
      <w:start w:val="1"/>
      <w:numFmt w:val="bullet"/>
      <w:lvlText w:val="•"/>
      <w:lvlJc w:val="left"/>
      <w:pPr>
        <w:tabs>
          <w:tab w:val="num" w:pos="1440"/>
        </w:tabs>
        <w:ind w:left="1440" w:hanging="360"/>
      </w:pPr>
      <w:rPr>
        <w:rFonts w:ascii="Arial" w:hAnsi="Arial" w:hint="default"/>
      </w:rPr>
    </w:lvl>
    <w:lvl w:ilvl="2" w:tplc="C4267E0E" w:tentative="1">
      <w:start w:val="1"/>
      <w:numFmt w:val="bullet"/>
      <w:lvlText w:val="•"/>
      <w:lvlJc w:val="left"/>
      <w:pPr>
        <w:tabs>
          <w:tab w:val="num" w:pos="2160"/>
        </w:tabs>
        <w:ind w:left="2160" w:hanging="360"/>
      </w:pPr>
      <w:rPr>
        <w:rFonts w:ascii="Arial" w:hAnsi="Arial" w:hint="default"/>
      </w:rPr>
    </w:lvl>
    <w:lvl w:ilvl="3" w:tplc="744627AC" w:tentative="1">
      <w:start w:val="1"/>
      <w:numFmt w:val="bullet"/>
      <w:lvlText w:val="•"/>
      <w:lvlJc w:val="left"/>
      <w:pPr>
        <w:tabs>
          <w:tab w:val="num" w:pos="2880"/>
        </w:tabs>
        <w:ind w:left="2880" w:hanging="360"/>
      </w:pPr>
      <w:rPr>
        <w:rFonts w:ascii="Arial" w:hAnsi="Arial" w:hint="default"/>
      </w:rPr>
    </w:lvl>
    <w:lvl w:ilvl="4" w:tplc="554E2D0A" w:tentative="1">
      <w:start w:val="1"/>
      <w:numFmt w:val="bullet"/>
      <w:lvlText w:val="•"/>
      <w:lvlJc w:val="left"/>
      <w:pPr>
        <w:tabs>
          <w:tab w:val="num" w:pos="3600"/>
        </w:tabs>
        <w:ind w:left="3600" w:hanging="360"/>
      </w:pPr>
      <w:rPr>
        <w:rFonts w:ascii="Arial" w:hAnsi="Arial" w:hint="default"/>
      </w:rPr>
    </w:lvl>
    <w:lvl w:ilvl="5" w:tplc="2F8A483A" w:tentative="1">
      <w:start w:val="1"/>
      <w:numFmt w:val="bullet"/>
      <w:lvlText w:val="•"/>
      <w:lvlJc w:val="left"/>
      <w:pPr>
        <w:tabs>
          <w:tab w:val="num" w:pos="4320"/>
        </w:tabs>
        <w:ind w:left="4320" w:hanging="360"/>
      </w:pPr>
      <w:rPr>
        <w:rFonts w:ascii="Arial" w:hAnsi="Arial" w:hint="default"/>
      </w:rPr>
    </w:lvl>
    <w:lvl w:ilvl="6" w:tplc="45C27F46" w:tentative="1">
      <w:start w:val="1"/>
      <w:numFmt w:val="bullet"/>
      <w:lvlText w:val="•"/>
      <w:lvlJc w:val="left"/>
      <w:pPr>
        <w:tabs>
          <w:tab w:val="num" w:pos="5040"/>
        </w:tabs>
        <w:ind w:left="5040" w:hanging="360"/>
      </w:pPr>
      <w:rPr>
        <w:rFonts w:ascii="Arial" w:hAnsi="Arial" w:hint="default"/>
      </w:rPr>
    </w:lvl>
    <w:lvl w:ilvl="7" w:tplc="3EE8AD72" w:tentative="1">
      <w:start w:val="1"/>
      <w:numFmt w:val="bullet"/>
      <w:lvlText w:val="•"/>
      <w:lvlJc w:val="left"/>
      <w:pPr>
        <w:tabs>
          <w:tab w:val="num" w:pos="5760"/>
        </w:tabs>
        <w:ind w:left="5760" w:hanging="360"/>
      </w:pPr>
      <w:rPr>
        <w:rFonts w:ascii="Arial" w:hAnsi="Arial" w:hint="default"/>
      </w:rPr>
    </w:lvl>
    <w:lvl w:ilvl="8" w:tplc="7EC844A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AC1794"/>
    <w:multiLevelType w:val="hybridMultilevel"/>
    <w:tmpl w:val="248EE0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993E75"/>
    <w:multiLevelType w:val="hybridMultilevel"/>
    <w:tmpl w:val="C7408AA2"/>
    <w:lvl w:ilvl="0" w:tplc="EE42E406">
      <w:start w:val="1"/>
      <w:numFmt w:val="decimal"/>
      <w:lvlText w:val="%1."/>
      <w:lvlJc w:val="left"/>
      <w:pPr>
        <w:ind w:left="360" w:hanging="360"/>
      </w:pPr>
      <w:rPr>
        <w:b w:val="0"/>
        <w:bCs w:val="0"/>
        <w:i w:val="0"/>
        <w:iCs w:val="0"/>
      </w:rPr>
    </w:lvl>
    <w:lvl w:ilvl="1" w:tplc="17F8EEDE">
      <w:start w:val="1"/>
      <w:numFmt w:val="lowerLetter"/>
      <w:lvlText w:val="%2."/>
      <w:lvlJc w:val="left"/>
      <w:pPr>
        <w:ind w:left="786" w:hanging="360"/>
      </w:pPr>
      <w:rPr>
        <w:i w:val="0"/>
        <w:iCs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AF7E12"/>
    <w:multiLevelType w:val="hybridMultilevel"/>
    <w:tmpl w:val="B554D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A14950"/>
    <w:multiLevelType w:val="hybridMultilevel"/>
    <w:tmpl w:val="7B8053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1"/>
  </w:num>
  <w:num w:numId="2">
    <w:abstractNumId w:val="16"/>
  </w:num>
  <w:num w:numId="3">
    <w:abstractNumId w:val="23"/>
  </w:num>
  <w:num w:numId="4">
    <w:abstractNumId w:val="22"/>
  </w:num>
  <w:num w:numId="5">
    <w:abstractNumId w:val="24"/>
  </w:num>
  <w:num w:numId="6">
    <w:abstractNumId w:val="17"/>
  </w:num>
  <w:num w:numId="7">
    <w:abstractNumId w:val="7"/>
  </w:num>
  <w:num w:numId="8">
    <w:abstractNumId w:val="32"/>
  </w:num>
  <w:num w:numId="9">
    <w:abstractNumId w:val="28"/>
  </w:num>
  <w:num w:numId="10">
    <w:abstractNumId w:val="26"/>
  </w:num>
  <w:num w:numId="11">
    <w:abstractNumId w:val="3"/>
  </w:num>
  <w:num w:numId="12">
    <w:abstractNumId w:val="10"/>
  </w:num>
  <w:num w:numId="13">
    <w:abstractNumId w:val="14"/>
  </w:num>
  <w:num w:numId="14">
    <w:abstractNumId w:val="29"/>
  </w:num>
  <w:num w:numId="15">
    <w:abstractNumId w:val="8"/>
  </w:num>
  <w:num w:numId="16">
    <w:abstractNumId w:val="0"/>
  </w:num>
  <w:num w:numId="17">
    <w:abstractNumId w:val="13"/>
  </w:num>
  <w:num w:numId="18">
    <w:abstractNumId w:val="30"/>
  </w:num>
  <w:num w:numId="19">
    <w:abstractNumId w:val="31"/>
  </w:num>
  <w:num w:numId="20">
    <w:abstractNumId w:val="2"/>
  </w:num>
  <w:num w:numId="21">
    <w:abstractNumId w:val="1"/>
  </w:num>
  <w:num w:numId="22">
    <w:abstractNumId w:val="18"/>
  </w:num>
  <w:num w:numId="23">
    <w:abstractNumId w:val="21"/>
  </w:num>
  <w:num w:numId="24">
    <w:abstractNumId w:val="9"/>
  </w:num>
  <w:num w:numId="25">
    <w:abstractNumId w:val="4"/>
  </w:num>
  <w:num w:numId="26">
    <w:abstractNumId w:val="6"/>
  </w:num>
  <w:num w:numId="27">
    <w:abstractNumId w:val="5"/>
  </w:num>
  <w:num w:numId="28">
    <w:abstractNumId w:val="27"/>
  </w:num>
  <w:num w:numId="29">
    <w:abstractNumId w:val="25"/>
  </w:num>
  <w:num w:numId="30">
    <w:abstractNumId w:val="20"/>
  </w:num>
  <w:num w:numId="31">
    <w:abstractNumId w:val="12"/>
  </w:num>
  <w:num w:numId="32">
    <w:abstractNumId w:val="19"/>
  </w:num>
  <w:num w:numId="33">
    <w:abstractNumId w:val="15"/>
  </w:num>
  <w:num w:numId="3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70"/>
  <w:removePersonalInformation/>
  <w:removeDateAndTim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1MLYwsjAwNLcwNjJW0lEKTi0uzszPAykwrgUAFh8vUCwAAAA="/>
  </w:docVars>
  <w:rsids>
    <w:rsidRoot w:val="00C04F42"/>
    <w:rsid w:val="0000023C"/>
    <w:rsid w:val="000002F5"/>
    <w:rsid w:val="000004BA"/>
    <w:rsid w:val="00000519"/>
    <w:rsid w:val="00000719"/>
    <w:rsid w:val="00000908"/>
    <w:rsid w:val="00000C86"/>
    <w:rsid w:val="00001AA3"/>
    <w:rsid w:val="0000290F"/>
    <w:rsid w:val="00002993"/>
    <w:rsid w:val="00002D68"/>
    <w:rsid w:val="00002E20"/>
    <w:rsid w:val="00003311"/>
    <w:rsid w:val="000033E6"/>
    <w:rsid w:val="00003403"/>
    <w:rsid w:val="00004930"/>
    <w:rsid w:val="00004C08"/>
    <w:rsid w:val="00004E5E"/>
    <w:rsid w:val="00005347"/>
    <w:rsid w:val="0000551D"/>
    <w:rsid w:val="0000590A"/>
    <w:rsid w:val="000065CA"/>
    <w:rsid w:val="000072B6"/>
    <w:rsid w:val="0001021B"/>
    <w:rsid w:val="000106C7"/>
    <w:rsid w:val="00010C45"/>
    <w:rsid w:val="00010E5C"/>
    <w:rsid w:val="00011702"/>
    <w:rsid w:val="000117F9"/>
    <w:rsid w:val="00011D89"/>
    <w:rsid w:val="00011DA8"/>
    <w:rsid w:val="00012BB7"/>
    <w:rsid w:val="000134AE"/>
    <w:rsid w:val="00013C45"/>
    <w:rsid w:val="00013F48"/>
    <w:rsid w:val="00014E3E"/>
    <w:rsid w:val="000154EA"/>
    <w:rsid w:val="000154FD"/>
    <w:rsid w:val="000164A3"/>
    <w:rsid w:val="00017729"/>
    <w:rsid w:val="00017997"/>
    <w:rsid w:val="00017BB3"/>
    <w:rsid w:val="000208C7"/>
    <w:rsid w:val="00020BC9"/>
    <w:rsid w:val="0002100B"/>
    <w:rsid w:val="00021774"/>
    <w:rsid w:val="00021D81"/>
    <w:rsid w:val="00022271"/>
    <w:rsid w:val="00022275"/>
    <w:rsid w:val="00023221"/>
    <w:rsid w:val="000235E8"/>
    <w:rsid w:val="0002384E"/>
    <w:rsid w:val="00023888"/>
    <w:rsid w:val="00024B42"/>
    <w:rsid w:val="00024CDA"/>
    <w:rsid w:val="00024D89"/>
    <w:rsid w:val="000250B6"/>
    <w:rsid w:val="000265C3"/>
    <w:rsid w:val="00026686"/>
    <w:rsid w:val="00026C35"/>
    <w:rsid w:val="00026ED1"/>
    <w:rsid w:val="00026EE6"/>
    <w:rsid w:val="000273F5"/>
    <w:rsid w:val="00027713"/>
    <w:rsid w:val="0003041A"/>
    <w:rsid w:val="00030D36"/>
    <w:rsid w:val="00031E21"/>
    <w:rsid w:val="000322B3"/>
    <w:rsid w:val="000324E7"/>
    <w:rsid w:val="000324EB"/>
    <w:rsid w:val="000328A7"/>
    <w:rsid w:val="0003336B"/>
    <w:rsid w:val="00033D81"/>
    <w:rsid w:val="0003536F"/>
    <w:rsid w:val="00037366"/>
    <w:rsid w:val="00037BF3"/>
    <w:rsid w:val="000403BB"/>
    <w:rsid w:val="00040E8C"/>
    <w:rsid w:val="00041283"/>
    <w:rsid w:val="000412F8"/>
    <w:rsid w:val="00041861"/>
    <w:rsid w:val="000419C5"/>
    <w:rsid w:val="00041BE4"/>
    <w:rsid w:val="00041BF0"/>
    <w:rsid w:val="00042C8A"/>
    <w:rsid w:val="00042E54"/>
    <w:rsid w:val="00042F07"/>
    <w:rsid w:val="00043501"/>
    <w:rsid w:val="0004355E"/>
    <w:rsid w:val="00044C06"/>
    <w:rsid w:val="00044E55"/>
    <w:rsid w:val="0004536B"/>
    <w:rsid w:val="00046B68"/>
    <w:rsid w:val="00047529"/>
    <w:rsid w:val="00047962"/>
    <w:rsid w:val="00051E6C"/>
    <w:rsid w:val="000527DD"/>
    <w:rsid w:val="000533DA"/>
    <w:rsid w:val="00053490"/>
    <w:rsid w:val="00053839"/>
    <w:rsid w:val="00053C4B"/>
    <w:rsid w:val="00053C81"/>
    <w:rsid w:val="00053E0B"/>
    <w:rsid w:val="00054081"/>
    <w:rsid w:val="00054432"/>
    <w:rsid w:val="000546C9"/>
    <w:rsid w:val="00054A91"/>
    <w:rsid w:val="00054D88"/>
    <w:rsid w:val="000552F6"/>
    <w:rsid w:val="0005532D"/>
    <w:rsid w:val="0005546B"/>
    <w:rsid w:val="00055584"/>
    <w:rsid w:val="000555D3"/>
    <w:rsid w:val="00055DE9"/>
    <w:rsid w:val="00055F51"/>
    <w:rsid w:val="000561C7"/>
    <w:rsid w:val="00056237"/>
    <w:rsid w:val="000566F7"/>
    <w:rsid w:val="00056772"/>
    <w:rsid w:val="00056913"/>
    <w:rsid w:val="00056ECF"/>
    <w:rsid w:val="0005707E"/>
    <w:rsid w:val="000578B2"/>
    <w:rsid w:val="000600F4"/>
    <w:rsid w:val="00060959"/>
    <w:rsid w:val="00060C8F"/>
    <w:rsid w:val="000610D7"/>
    <w:rsid w:val="0006120D"/>
    <w:rsid w:val="00061D49"/>
    <w:rsid w:val="000620DB"/>
    <w:rsid w:val="00062738"/>
    <w:rsid w:val="0006298A"/>
    <w:rsid w:val="00063041"/>
    <w:rsid w:val="0006308B"/>
    <w:rsid w:val="00063C87"/>
    <w:rsid w:val="0006463D"/>
    <w:rsid w:val="0006466F"/>
    <w:rsid w:val="000659AD"/>
    <w:rsid w:val="00065B60"/>
    <w:rsid w:val="000663CD"/>
    <w:rsid w:val="00071015"/>
    <w:rsid w:val="000710E1"/>
    <w:rsid w:val="00071162"/>
    <w:rsid w:val="00071668"/>
    <w:rsid w:val="00072145"/>
    <w:rsid w:val="00072B09"/>
    <w:rsid w:val="00072D28"/>
    <w:rsid w:val="000732BF"/>
    <w:rsid w:val="000733FE"/>
    <w:rsid w:val="0007377D"/>
    <w:rsid w:val="000737C0"/>
    <w:rsid w:val="00073A11"/>
    <w:rsid w:val="00073EC3"/>
    <w:rsid w:val="00074219"/>
    <w:rsid w:val="00074E8A"/>
    <w:rsid w:val="00074ED5"/>
    <w:rsid w:val="00075817"/>
    <w:rsid w:val="000761F3"/>
    <w:rsid w:val="0007796F"/>
    <w:rsid w:val="00077B45"/>
    <w:rsid w:val="00080107"/>
    <w:rsid w:val="0008025A"/>
    <w:rsid w:val="00080292"/>
    <w:rsid w:val="0008096E"/>
    <w:rsid w:val="00080F23"/>
    <w:rsid w:val="00081443"/>
    <w:rsid w:val="00081C8A"/>
    <w:rsid w:val="00082079"/>
    <w:rsid w:val="00082A6B"/>
    <w:rsid w:val="0008300E"/>
    <w:rsid w:val="0008367B"/>
    <w:rsid w:val="00083755"/>
    <w:rsid w:val="000847C7"/>
    <w:rsid w:val="00084DD5"/>
    <w:rsid w:val="0008508E"/>
    <w:rsid w:val="000852DA"/>
    <w:rsid w:val="00086ECE"/>
    <w:rsid w:val="00087085"/>
    <w:rsid w:val="0008709C"/>
    <w:rsid w:val="00087214"/>
    <w:rsid w:val="000872C9"/>
    <w:rsid w:val="000873E4"/>
    <w:rsid w:val="00087636"/>
    <w:rsid w:val="00087951"/>
    <w:rsid w:val="0009029E"/>
    <w:rsid w:val="000904B9"/>
    <w:rsid w:val="00090B64"/>
    <w:rsid w:val="00090B69"/>
    <w:rsid w:val="0009113B"/>
    <w:rsid w:val="00091163"/>
    <w:rsid w:val="00092556"/>
    <w:rsid w:val="00092A56"/>
    <w:rsid w:val="00092DCB"/>
    <w:rsid w:val="00092E62"/>
    <w:rsid w:val="00093402"/>
    <w:rsid w:val="00093705"/>
    <w:rsid w:val="00094902"/>
    <w:rsid w:val="00094C7C"/>
    <w:rsid w:val="00094DA3"/>
    <w:rsid w:val="00095EEC"/>
    <w:rsid w:val="000967D8"/>
    <w:rsid w:val="00096965"/>
    <w:rsid w:val="00096C0B"/>
    <w:rsid w:val="00096CD1"/>
    <w:rsid w:val="00097251"/>
    <w:rsid w:val="000974B2"/>
    <w:rsid w:val="000A012C"/>
    <w:rsid w:val="000A048A"/>
    <w:rsid w:val="000A0EB9"/>
    <w:rsid w:val="000A1750"/>
    <w:rsid w:val="000A186C"/>
    <w:rsid w:val="000A1EA4"/>
    <w:rsid w:val="000A1EAD"/>
    <w:rsid w:val="000A2297"/>
    <w:rsid w:val="000A2476"/>
    <w:rsid w:val="000A29DA"/>
    <w:rsid w:val="000A2E28"/>
    <w:rsid w:val="000A3436"/>
    <w:rsid w:val="000A3AFE"/>
    <w:rsid w:val="000A3F73"/>
    <w:rsid w:val="000A4387"/>
    <w:rsid w:val="000A4D78"/>
    <w:rsid w:val="000A4D98"/>
    <w:rsid w:val="000A5183"/>
    <w:rsid w:val="000A51C8"/>
    <w:rsid w:val="000A5432"/>
    <w:rsid w:val="000A57E9"/>
    <w:rsid w:val="000A582B"/>
    <w:rsid w:val="000A6013"/>
    <w:rsid w:val="000A641A"/>
    <w:rsid w:val="000A688C"/>
    <w:rsid w:val="000A69B0"/>
    <w:rsid w:val="000A6C3A"/>
    <w:rsid w:val="000A7F7B"/>
    <w:rsid w:val="000B06E6"/>
    <w:rsid w:val="000B0A6E"/>
    <w:rsid w:val="000B17A9"/>
    <w:rsid w:val="000B2333"/>
    <w:rsid w:val="000B2D02"/>
    <w:rsid w:val="000B3570"/>
    <w:rsid w:val="000B35B0"/>
    <w:rsid w:val="000B38AB"/>
    <w:rsid w:val="000B3B49"/>
    <w:rsid w:val="000B3EDB"/>
    <w:rsid w:val="000B438B"/>
    <w:rsid w:val="000B5183"/>
    <w:rsid w:val="000B543D"/>
    <w:rsid w:val="000B55F9"/>
    <w:rsid w:val="000B58CD"/>
    <w:rsid w:val="000B5BF7"/>
    <w:rsid w:val="000B6728"/>
    <w:rsid w:val="000B6BC8"/>
    <w:rsid w:val="000B709D"/>
    <w:rsid w:val="000C0303"/>
    <w:rsid w:val="000C0EA6"/>
    <w:rsid w:val="000C1801"/>
    <w:rsid w:val="000C1B0D"/>
    <w:rsid w:val="000C239D"/>
    <w:rsid w:val="000C2531"/>
    <w:rsid w:val="000C2731"/>
    <w:rsid w:val="000C27DE"/>
    <w:rsid w:val="000C2942"/>
    <w:rsid w:val="000C2D8A"/>
    <w:rsid w:val="000C353D"/>
    <w:rsid w:val="000C3CF3"/>
    <w:rsid w:val="000C3E5D"/>
    <w:rsid w:val="000C42EA"/>
    <w:rsid w:val="000C4464"/>
    <w:rsid w:val="000C44C1"/>
    <w:rsid w:val="000C4546"/>
    <w:rsid w:val="000C5219"/>
    <w:rsid w:val="000C5CAC"/>
    <w:rsid w:val="000C68E6"/>
    <w:rsid w:val="000D022E"/>
    <w:rsid w:val="000D0B8F"/>
    <w:rsid w:val="000D0CE7"/>
    <w:rsid w:val="000D123D"/>
    <w:rsid w:val="000D1242"/>
    <w:rsid w:val="000D1520"/>
    <w:rsid w:val="000D1AF9"/>
    <w:rsid w:val="000D3450"/>
    <w:rsid w:val="000D38D5"/>
    <w:rsid w:val="000D3D0D"/>
    <w:rsid w:val="000D4AA2"/>
    <w:rsid w:val="000D5B23"/>
    <w:rsid w:val="000D6D0E"/>
    <w:rsid w:val="000D6F9D"/>
    <w:rsid w:val="000D7858"/>
    <w:rsid w:val="000E0970"/>
    <w:rsid w:val="000E18A8"/>
    <w:rsid w:val="000E1B05"/>
    <w:rsid w:val="000E1B10"/>
    <w:rsid w:val="000E1DCF"/>
    <w:rsid w:val="000E23FD"/>
    <w:rsid w:val="000E24DF"/>
    <w:rsid w:val="000E3364"/>
    <w:rsid w:val="000E3CA3"/>
    <w:rsid w:val="000E3CC7"/>
    <w:rsid w:val="000E4377"/>
    <w:rsid w:val="000E4813"/>
    <w:rsid w:val="000E48E8"/>
    <w:rsid w:val="000E4DF4"/>
    <w:rsid w:val="000E4ED5"/>
    <w:rsid w:val="000E524D"/>
    <w:rsid w:val="000E542D"/>
    <w:rsid w:val="000E5AEA"/>
    <w:rsid w:val="000E5F97"/>
    <w:rsid w:val="000E6BD4"/>
    <w:rsid w:val="000E6D6D"/>
    <w:rsid w:val="000E6F1E"/>
    <w:rsid w:val="000E718B"/>
    <w:rsid w:val="000E7698"/>
    <w:rsid w:val="000E7B6A"/>
    <w:rsid w:val="000E7F0E"/>
    <w:rsid w:val="000E7F89"/>
    <w:rsid w:val="000F029F"/>
    <w:rsid w:val="000F0689"/>
    <w:rsid w:val="000F0961"/>
    <w:rsid w:val="000F0ED5"/>
    <w:rsid w:val="000F10EE"/>
    <w:rsid w:val="000F12C2"/>
    <w:rsid w:val="000F13DD"/>
    <w:rsid w:val="000F1525"/>
    <w:rsid w:val="000F1F1E"/>
    <w:rsid w:val="000F21B8"/>
    <w:rsid w:val="000F2259"/>
    <w:rsid w:val="000F22E5"/>
    <w:rsid w:val="000F2665"/>
    <w:rsid w:val="000F2D3E"/>
    <w:rsid w:val="000F2DAA"/>
    <w:rsid w:val="000F2DDA"/>
    <w:rsid w:val="000F2EA0"/>
    <w:rsid w:val="000F3156"/>
    <w:rsid w:val="000F315B"/>
    <w:rsid w:val="000F342B"/>
    <w:rsid w:val="000F388D"/>
    <w:rsid w:val="000F4473"/>
    <w:rsid w:val="000F49CC"/>
    <w:rsid w:val="000F4A54"/>
    <w:rsid w:val="000F4BE4"/>
    <w:rsid w:val="000F5213"/>
    <w:rsid w:val="000F5A0D"/>
    <w:rsid w:val="000F70E3"/>
    <w:rsid w:val="000F7457"/>
    <w:rsid w:val="000F74A3"/>
    <w:rsid w:val="00101001"/>
    <w:rsid w:val="001020DE"/>
    <w:rsid w:val="0010216E"/>
    <w:rsid w:val="00102183"/>
    <w:rsid w:val="00102D6F"/>
    <w:rsid w:val="00103276"/>
    <w:rsid w:val="0010392D"/>
    <w:rsid w:val="0010447F"/>
    <w:rsid w:val="00104FE3"/>
    <w:rsid w:val="00105CEB"/>
    <w:rsid w:val="00105E0F"/>
    <w:rsid w:val="00105E5C"/>
    <w:rsid w:val="00106E99"/>
    <w:rsid w:val="001070A6"/>
    <w:rsid w:val="001070F4"/>
    <w:rsid w:val="0010714F"/>
    <w:rsid w:val="00107832"/>
    <w:rsid w:val="00107DE0"/>
    <w:rsid w:val="0011048D"/>
    <w:rsid w:val="00110C10"/>
    <w:rsid w:val="001113E8"/>
    <w:rsid w:val="00111D6C"/>
    <w:rsid w:val="001120C5"/>
    <w:rsid w:val="001131C6"/>
    <w:rsid w:val="001133B6"/>
    <w:rsid w:val="001133FA"/>
    <w:rsid w:val="00113694"/>
    <w:rsid w:val="00113E6D"/>
    <w:rsid w:val="00113E8B"/>
    <w:rsid w:val="00114BE1"/>
    <w:rsid w:val="001150C7"/>
    <w:rsid w:val="001158B5"/>
    <w:rsid w:val="0011590C"/>
    <w:rsid w:val="00116920"/>
    <w:rsid w:val="001171CF"/>
    <w:rsid w:val="00117AD8"/>
    <w:rsid w:val="00120A3C"/>
    <w:rsid w:val="00120BAF"/>
    <w:rsid w:val="00120BD3"/>
    <w:rsid w:val="0012109A"/>
    <w:rsid w:val="001218E7"/>
    <w:rsid w:val="001219A1"/>
    <w:rsid w:val="0012221F"/>
    <w:rsid w:val="00122FEA"/>
    <w:rsid w:val="00123065"/>
    <w:rsid w:val="001232BD"/>
    <w:rsid w:val="0012421A"/>
    <w:rsid w:val="001246D6"/>
    <w:rsid w:val="00124ED5"/>
    <w:rsid w:val="001258D3"/>
    <w:rsid w:val="001276FA"/>
    <w:rsid w:val="0013060E"/>
    <w:rsid w:val="00130867"/>
    <w:rsid w:val="001310B1"/>
    <w:rsid w:val="001315E6"/>
    <w:rsid w:val="00131730"/>
    <w:rsid w:val="00131839"/>
    <w:rsid w:val="00131AF8"/>
    <w:rsid w:val="00133249"/>
    <w:rsid w:val="001340A4"/>
    <w:rsid w:val="00134334"/>
    <w:rsid w:val="00134DF4"/>
    <w:rsid w:val="00135B24"/>
    <w:rsid w:val="0013654E"/>
    <w:rsid w:val="001365A0"/>
    <w:rsid w:val="001366EE"/>
    <w:rsid w:val="00136F7D"/>
    <w:rsid w:val="0013713D"/>
    <w:rsid w:val="001374C8"/>
    <w:rsid w:val="00137729"/>
    <w:rsid w:val="00137DB5"/>
    <w:rsid w:val="00137E6E"/>
    <w:rsid w:val="001400A5"/>
    <w:rsid w:val="00140640"/>
    <w:rsid w:val="00141011"/>
    <w:rsid w:val="00141052"/>
    <w:rsid w:val="00141474"/>
    <w:rsid w:val="00142228"/>
    <w:rsid w:val="001432C9"/>
    <w:rsid w:val="001439F8"/>
    <w:rsid w:val="00143A10"/>
    <w:rsid w:val="001447B3"/>
    <w:rsid w:val="00144A53"/>
    <w:rsid w:val="00144ABB"/>
    <w:rsid w:val="0014510C"/>
    <w:rsid w:val="00145C26"/>
    <w:rsid w:val="00145C6C"/>
    <w:rsid w:val="0014709C"/>
    <w:rsid w:val="00147276"/>
    <w:rsid w:val="00147881"/>
    <w:rsid w:val="00147C81"/>
    <w:rsid w:val="00147D10"/>
    <w:rsid w:val="001502D4"/>
    <w:rsid w:val="00150625"/>
    <w:rsid w:val="00150BD1"/>
    <w:rsid w:val="00151243"/>
    <w:rsid w:val="00151748"/>
    <w:rsid w:val="00151D29"/>
    <w:rsid w:val="00151DEA"/>
    <w:rsid w:val="00152073"/>
    <w:rsid w:val="00152544"/>
    <w:rsid w:val="00152C63"/>
    <w:rsid w:val="00152F65"/>
    <w:rsid w:val="001534A2"/>
    <w:rsid w:val="00153983"/>
    <w:rsid w:val="00154196"/>
    <w:rsid w:val="00154429"/>
    <w:rsid w:val="0015494E"/>
    <w:rsid w:val="00154E16"/>
    <w:rsid w:val="00154E35"/>
    <w:rsid w:val="0015526F"/>
    <w:rsid w:val="00155877"/>
    <w:rsid w:val="001559EE"/>
    <w:rsid w:val="0015606A"/>
    <w:rsid w:val="00156598"/>
    <w:rsid w:val="001572DB"/>
    <w:rsid w:val="00157304"/>
    <w:rsid w:val="001609E9"/>
    <w:rsid w:val="00160DC1"/>
    <w:rsid w:val="001614A7"/>
    <w:rsid w:val="001614B9"/>
    <w:rsid w:val="00161939"/>
    <w:rsid w:val="00161A4B"/>
    <w:rsid w:val="00161AA0"/>
    <w:rsid w:val="00161D2E"/>
    <w:rsid w:val="00161E31"/>
    <w:rsid w:val="00161F3E"/>
    <w:rsid w:val="00162093"/>
    <w:rsid w:val="001621DC"/>
    <w:rsid w:val="00162CA9"/>
    <w:rsid w:val="00164142"/>
    <w:rsid w:val="00164815"/>
    <w:rsid w:val="00164CD9"/>
    <w:rsid w:val="00165459"/>
    <w:rsid w:val="00165A57"/>
    <w:rsid w:val="00165B37"/>
    <w:rsid w:val="00165CA5"/>
    <w:rsid w:val="00166FCD"/>
    <w:rsid w:val="001701A4"/>
    <w:rsid w:val="001712C2"/>
    <w:rsid w:val="00172BAF"/>
    <w:rsid w:val="00172FC4"/>
    <w:rsid w:val="00173AEE"/>
    <w:rsid w:val="001741C4"/>
    <w:rsid w:val="00174784"/>
    <w:rsid w:val="00174D27"/>
    <w:rsid w:val="00175F9B"/>
    <w:rsid w:val="001762D1"/>
    <w:rsid w:val="0017674D"/>
    <w:rsid w:val="0017681C"/>
    <w:rsid w:val="00176E37"/>
    <w:rsid w:val="001771DD"/>
    <w:rsid w:val="001776B5"/>
    <w:rsid w:val="00177837"/>
    <w:rsid w:val="00177995"/>
    <w:rsid w:val="00177A8C"/>
    <w:rsid w:val="00177B78"/>
    <w:rsid w:val="001803E3"/>
    <w:rsid w:val="00180405"/>
    <w:rsid w:val="00180AF5"/>
    <w:rsid w:val="00180DF6"/>
    <w:rsid w:val="00181438"/>
    <w:rsid w:val="0018189A"/>
    <w:rsid w:val="0018199F"/>
    <w:rsid w:val="00181BA2"/>
    <w:rsid w:val="00181E79"/>
    <w:rsid w:val="0018226F"/>
    <w:rsid w:val="001831BB"/>
    <w:rsid w:val="0018365F"/>
    <w:rsid w:val="00184467"/>
    <w:rsid w:val="00184A20"/>
    <w:rsid w:val="00184E3A"/>
    <w:rsid w:val="001850E5"/>
    <w:rsid w:val="00185384"/>
    <w:rsid w:val="0018546D"/>
    <w:rsid w:val="00185DDC"/>
    <w:rsid w:val="00185E7D"/>
    <w:rsid w:val="00185ED5"/>
    <w:rsid w:val="00185F6D"/>
    <w:rsid w:val="001864E7"/>
    <w:rsid w:val="00186B33"/>
    <w:rsid w:val="00187C18"/>
    <w:rsid w:val="00187E1C"/>
    <w:rsid w:val="001908D2"/>
    <w:rsid w:val="00191A10"/>
    <w:rsid w:val="00191D4B"/>
    <w:rsid w:val="00192222"/>
    <w:rsid w:val="00192F9D"/>
    <w:rsid w:val="00193ACF"/>
    <w:rsid w:val="00193D10"/>
    <w:rsid w:val="00193EF5"/>
    <w:rsid w:val="00194409"/>
    <w:rsid w:val="00194EB2"/>
    <w:rsid w:val="0019510C"/>
    <w:rsid w:val="00196390"/>
    <w:rsid w:val="00196BFC"/>
    <w:rsid w:val="00196EB8"/>
    <w:rsid w:val="00196EFB"/>
    <w:rsid w:val="001979FF"/>
    <w:rsid w:val="00197B17"/>
    <w:rsid w:val="001A0218"/>
    <w:rsid w:val="001A02E8"/>
    <w:rsid w:val="001A0A9E"/>
    <w:rsid w:val="001A155A"/>
    <w:rsid w:val="001A16C8"/>
    <w:rsid w:val="001A1950"/>
    <w:rsid w:val="001A19F8"/>
    <w:rsid w:val="001A1C54"/>
    <w:rsid w:val="001A202A"/>
    <w:rsid w:val="001A21F7"/>
    <w:rsid w:val="001A25D3"/>
    <w:rsid w:val="001A27FD"/>
    <w:rsid w:val="001A2C27"/>
    <w:rsid w:val="001A3ACE"/>
    <w:rsid w:val="001A42C2"/>
    <w:rsid w:val="001A4596"/>
    <w:rsid w:val="001A46E3"/>
    <w:rsid w:val="001A48B7"/>
    <w:rsid w:val="001A4D4E"/>
    <w:rsid w:val="001A553F"/>
    <w:rsid w:val="001A60F6"/>
    <w:rsid w:val="001A622C"/>
    <w:rsid w:val="001A6560"/>
    <w:rsid w:val="001A7F02"/>
    <w:rsid w:val="001B058F"/>
    <w:rsid w:val="001B09FA"/>
    <w:rsid w:val="001B0E62"/>
    <w:rsid w:val="001B1A82"/>
    <w:rsid w:val="001B1B5D"/>
    <w:rsid w:val="001B1D32"/>
    <w:rsid w:val="001B1E54"/>
    <w:rsid w:val="001B2441"/>
    <w:rsid w:val="001B2539"/>
    <w:rsid w:val="001B2D62"/>
    <w:rsid w:val="001B30CF"/>
    <w:rsid w:val="001B364F"/>
    <w:rsid w:val="001B3F28"/>
    <w:rsid w:val="001B452C"/>
    <w:rsid w:val="001B4ADB"/>
    <w:rsid w:val="001B4FC6"/>
    <w:rsid w:val="001B53BF"/>
    <w:rsid w:val="001B5C73"/>
    <w:rsid w:val="001B640B"/>
    <w:rsid w:val="001B6B96"/>
    <w:rsid w:val="001B7228"/>
    <w:rsid w:val="001B738B"/>
    <w:rsid w:val="001B7710"/>
    <w:rsid w:val="001B7901"/>
    <w:rsid w:val="001C03F8"/>
    <w:rsid w:val="001C0777"/>
    <w:rsid w:val="001C07E1"/>
    <w:rsid w:val="001C080B"/>
    <w:rsid w:val="001C09DB"/>
    <w:rsid w:val="001C0EE5"/>
    <w:rsid w:val="001C1031"/>
    <w:rsid w:val="001C12E5"/>
    <w:rsid w:val="001C1E3C"/>
    <w:rsid w:val="001C2116"/>
    <w:rsid w:val="001C277E"/>
    <w:rsid w:val="001C27E6"/>
    <w:rsid w:val="001C286B"/>
    <w:rsid w:val="001C2A72"/>
    <w:rsid w:val="001C31B7"/>
    <w:rsid w:val="001C3590"/>
    <w:rsid w:val="001C396D"/>
    <w:rsid w:val="001C3E42"/>
    <w:rsid w:val="001C407E"/>
    <w:rsid w:val="001C4DE0"/>
    <w:rsid w:val="001C6C48"/>
    <w:rsid w:val="001C757D"/>
    <w:rsid w:val="001C77EE"/>
    <w:rsid w:val="001D05C7"/>
    <w:rsid w:val="001D09A8"/>
    <w:rsid w:val="001D0B75"/>
    <w:rsid w:val="001D0B96"/>
    <w:rsid w:val="001D10F7"/>
    <w:rsid w:val="001D15C7"/>
    <w:rsid w:val="001D16B9"/>
    <w:rsid w:val="001D1A3E"/>
    <w:rsid w:val="001D1BCE"/>
    <w:rsid w:val="001D2D1B"/>
    <w:rsid w:val="001D32E8"/>
    <w:rsid w:val="001D36D2"/>
    <w:rsid w:val="001D38EC"/>
    <w:rsid w:val="001D39A5"/>
    <w:rsid w:val="001D3C09"/>
    <w:rsid w:val="001D44E8"/>
    <w:rsid w:val="001D47D8"/>
    <w:rsid w:val="001D48D0"/>
    <w:rsid w:val="001D5B24"/>
    <w:rsid w:val="001D60EC"/>
    <w:rsid w:val="001D658F"/>
    <w:rsid w:val="001D6AF3"/>
    <w:rsid w:val="001D6F59"/>
    <w:rsid w:val="001D7079"/>
    <w:rsid w:val="001D76C8"/>
    <w:rsid w:val="001D7780"/>
    <w:rsid w:val="001E03C1"/>
    <w:rsid w:val="001E0B35"/>
    <w:rsid w:val="001E0F5E"/>
    <w:rsid w:val="001E1384"/>
    <w:rsid w:val="001E154E"/>
    <w:rsid w:val="001E22E8"/>
    <w:rsid w:val="001E32D9"/>
    <w:rsid w:val="001E3B30"/>
    <w:rsid w:val="001E42E0"/>
    <w:rsid w:val="001E44DF"/>
    <w:rsid w:val="001E4544"/>
    <w:rsid w:val="001E4F63"/>
    <w:rsid w:val="001E515C"/>
    <w:rsid w:val="001E543A"/>
    <w:rsid w:val="001E56EF"/>
    <w:rsid w:val="001E68A5"/>
    <w:rsid w:val="001E6BB0"/>
    <w:rsid w:val="001E6D46"/>
    <w:rsid w:val="001E6DA9"/>
    <w:rsid w:val="001E7282"/>
    <w:rsid w:val="001E767E"/>
    <w:rsid w:val="001E7E21"/>
    <w:rsid w:val="001F0CEF"/>
    <w:rsid w:val="001F0D65"/>
    <w:rsid w:val="001F1617"/>
    <w:rsid w:val="001F16A1"/>
    <w:rsid w:val="001F18C6"/>
    <w:rsid w:val="001F1C49"/>
    <w:rsid w:val="001F1F61"/>
    <w:rsid w:val="001F2158"/>
    <w:rsid w:val="001F2171"/>
    <w:rsid w:val="001F235C"/>
    <w:rsid w:val="001F2548"/>
    <w:rsid w:val="001F2ED6"/>
    <w:rsid w:val="001F3826"/>
    <w:rsid w:val="001F3BCF"/>
    <w:rsid w:val="001F416D"/>
    <w:rsid w:val="001F4A41"/>
    <w:rsid w:val="001F5104"/>
    <w:rsid w:val="001F518B"/>
    <w:rsid w:val="001F54FE"/>
    <w:rsid w:val="001F5699"/>
    <w:rsid w:val="001F6E46"/>
    <w:rsid w:val="001F752E"/>
    <w:rsid w:val="001F7C91"/>
    <w:rsid w:val="002001CE"/>
    <w:rsid w:val="00200A0E"/>
    <w:rsid w:val="00201482"/>
    <w:rsid w:val="002018ED"/>
    <w:rsid w:val="00201B99"/>
    <w:rsid w:val="00201E62"/>
    <w:rsid w:val="002028F1"/>
    <w:rsid w:val="00202D47"/>
    <w:rsid w:val="0020306C"/>
    <w:rsid w:val="002033B7"/>
    <w:rsid w:val="00203751"/>
    <w:rsid w:val="002041C1"/>
    <w:rsid w:val="00204633"/>
    <w:rsid w:val="0020463F"/>
    <w:rsid w:val="00205260"/>
    <w:rsid w:val="00205390"/>
    <w:rsid w:val="00206463"/>
    <w:rsid w:val="00206C71"/>
    <w:rsid w:val="00206F2F"/>
    <w:rsid w:val="00207717"/>
    <w:rsid w:val="00207E2D"/>
    <w:rsid w:val="00210516"/>
    <w:rsid w:val="0021053D"/>
    <w:rsid w:val="00210662"/>
    <w:rsid w:val="00210A92"/>
    <w:rsid w:val="00210FFB"/>
    <w:rsid w:val="0021156B"/>
    <w:rsid w:val="00212F8F"/>
    <w:rsid w:val="00213368"/>
    <w:rsid w:val="0021398F"/>
    <w:rsid w:val="00214DFA"/>
    <w:rsid w:val="00215FAD"/>
    <w:rsid w:val="0021624C"/>
    <w:rsid w:val="002165E1"/>
    <w:rsid w:val="00216C03"/>
    <w:rsid w:val="0021790D"/>
    <w:rsid w:val="00217ABC"/>
    <w:rsid w:val="00220C04"/>
    <w:rsid w:val="00222245"/>
    <w:rsid w:val="0022278D"/>
    <w:rsid w:val="00222B88"/>
    <w:rsid w:val="00222BDB"/>
    <w:rsid w:val="00222D1D"/>
    <w:rsid w:val="00222E6C"/>
    <w:rsid w:val="00223C2B"/>
    <w:rsid w:val="002242B6"/>
    <w:rsid w:val="002243F0"/>
    <w:rsid w:val="0022482B"/>
    <w:rsid w:val="00224A13"/>
    <w:rsid w:val="00225DA4"/>
    <w:rsid w:val="00225E49"/>
    <w:rsid w:val="00226A05"/>
    <w:rsid w:val="0022701F"/>
    <w:rsid w:val="002272F1"/>
    <w:rsid w:val="00227C68"/>
    <w:rsid w:val="00227ED2"/>
    <w:rsid w:val="0023025D"/>
    <w:rsid w:val="0023083B"/>
    <w:rsid w:val="0023098E"/>
    <w:rsid w:val="00230B4C"/>
    <w:rsid w:val="00230EE4"/>
    <w:rsid w:val="002312EA"/>
    <w:rsid w:val="002317F0"/>
    <w:rsid w:val="00231EF1"/>
    <w:rsid w:val="0023237F"/>
    <w:rsid w:val="00232707"/>
    <w:rsid w:val="002328A1"/>
    <w:rsid w:val="00232FF6"/>
    <w:rsid w:val="00233085"/>
    <w:rsid w:val="0023311C"/>
    <w:rsid w:val="002333F5"/>
    <w:rsid w:val="00233640"/>
    <w:rsid w:val="00233724"/>
    <w:rsid w:val="00234786"/>
    <w:rsid w:val="00234807"/>
    <w:rsid w:val="00234B59"/>
    <w:rsid w:val="00234EF7"/>
    <w:rsid w:val="0023567A"/>
    <w:rsid w:val="002356A6"/>
    <w:rsid w:val="00235734"/>
    <w:rsid w:val="00235ADE"/>
    <w:rsid w:val="00236102"/>
    <w:rsid w:val="0023633E"/>
    <w:rsid w:val="0023651D"/>
    <w:rsid w:val="0023654F"/>
    <w:rsid w:val="00236568"/>
    <w:rsid w:val="002365B4"/>
    <w:rsid w:val="002368E9"/>
    <w:rsid w:val="00236CA5"/>
    <w:rsid w:val="002409E2"/>
    <w:rsid w:val="00241150"/>
    <w:rsid w:val="002412D3"/>
    <w:rsid w:val="00241563"/>
    <w:rsid w:val="00241F2A"/>
    <w:rsid w:val="0024280D"/>
    <w:rsid w:val="00242BA2"/>
    <w:rsid w:val="002432E1"/>
    <w:rsid w:val="00244228"/>
    <w:rsid w:val="002453EA"/>
    <w:rsid w:val="00245CED"/>
    <w:rsid w:val="00246207"/>
    <w:rsid w:val="002462F0"/>
    <w:rsid w:val="0024648D"/>
    <w:rsid w:val="0024668F"/>
    <w:rsid w:val="00246C5E"/>
    <w:rsid w:val="00246F2B"/>
    <w:rsid w:val="002478BB"/>
    <w:rsid w:val="00247A4E"/>
    <w:rsid w:val="00247EA0"/>
    <w:rsid w:val="00250960"/>
    <w:rsid w:val="00250BC1"/>
    <w:rsid w:val="00250DC4"/>
    <w:rsid w:val="00250E99"/>
    <w:rsid w:val="00250F78"/>
    <w:rsid w:val="0025104F"/>
    <w:rsid w:val="00251188"/>
    <w:rsid w:val="00251343"/>
    <w:rsid w:val="00252520"/>
    <w:rsid w:val="0025257A"/>
    <w:rsid w:val="00253387"/>
    <w:rsid w:val="002536A4"/>
    <w:rsid w:val="00253915"/>
    <w:rsid w:val="00253F6D"/>
    <w:rsid w:val="00254298"/>
    <w:rsid w:val="0025475E"/>
    <w:rsid w:val="002548F4"/>
    <w:rsid w:val="00254C78"/>
    <w:rsid w:val="00254F58"/>
    <w:rsid w:val="00255653"/>
    <w:rsid w:val="0025572F"/>
    <w:rsid w:val="00255A0A"/>
    <w:rsid w:val="00255BCE"/>
    <w:rsid w:val="00256581"/>
    <w:rsid w:val="002566C5"/>
    <w:rsid w:val="00257ABB"/>
    <w:rsid w:val="00257B97"/>
    <w:rsid w:val="00257EDE"/>
    <w:rsid w:val="002601CD"/>
    <w:rsid w:val="0026059C"/>
    <w:rsid w:val="00261255"/>
    <w:rsid w:val="00261E66"/>
    <w:rsid w:val="00261F6E"/>
    <w:rsid w:val="002620BC"/>
    <w:rsid w:val="00262802"/>
    <w:rsid w:val="0026361F"/>
    <w:rsid w:val="00263A90"/>
    <w:rsid w:val="0026408B"/>
    <w:rsid w:val="0026408C"/>
    <w:rsid w:val="00264EBA"/>
    <w:rsid w:val="00266688"/>
    <w:rsid w:val="00266B4E"/>
    <w:rsid w:val="00266CFB"/>
    <w:rsid w:val="00266EFB"/>
    <w:rsid w:val="00267C3E"/>
    <w:rsid w:val="00267E04"/>
    <w:rsid w:val="002709BB"/>
    <w:rsid w:val="002710D5"/>
    <w:rsid w:val="0027131C"/>
    <w:rsid w:val="00271BBD"/>
    <w:rsid w:val="00272880"/>
    <w:rsid w:val="00273BAC"/>
    <w:rsid w:val="00273F02"/>
    <w:rsid w:val="002745CF"/>
    <w:rsid w:val="00274747"/>
    <w:rsid w:val="00274B9A"/>
    <w:rsid w:val="002750D9"/>
    <w:rsid w:val="00275107"/>
    <w:rsid w:val="00275596"/>
    <w:rsid w:val="00275796"/>
    <w:rsid w:val="00275962"/>
    <w:rsid w:val="002763B3"/>
    <w:rsid w:val="00276AD4"/>
    <w:rsid w:val="00277169"/>
    <w:rsid w:val="00277A8B"/>
    <w:rsid w:val="0028021A"/>
    <w:rsid w:val="002802E3"/>
    <w:rsid w:val="00280EDF"/>
    <w:rsid w:val="002814CF"/>
    <w:rsid w:val="002814F3"/>
    <w:rsid w:val="002819F5"/>
    <w:rsid w:val="00281D7B"/>
    <w:rsid w:val="0028213D"/>
    <w:rsid w:val="00282822"/>
    <w:rsid w:val="00282DAD"/>
    <w:rsid w:val="0028311D"/>
    <w:rsid w:val="00284151"/>
    <w:rsid w:val="00284943"/>
    <w:rsid w:val="0028497A"/>
    <w:rsid w:val="00285EB4"/>
    <w:rsid w:val="00285EF3"/>
    <w:rsid w:val="002862F1"/>
    <w:rsid w:val="00286F68"/>
    <w:rsid w:val="00286FEA"/>
    <w:rsid w:val="002874E2"/>
    <w:rsid w:val="00287E19"/>
    <w:rsid w:val="0029020E"/>
    <w:rsid w:val="002905BA"/>
    <w:rsid w:val="00290980"/>
    <w:rsid w:val="00290EAD"/>
    <w:rsid w:val="002912E9"/>
    <w:rsid w:val="00291373"/>
    <w:rsid w:val="002913FA"/>
    <w:rsid w:val="002914AF"/>
    <w:rsid w:val="00291793"/>
    <w:rsid w:val="00291AD4"/>
    <w:rsid w:val="00292165"/>
    <w:rsid w:val="0029247A"/>
    <w:rsid w:val="002927FD"/>
    <w:rsid w:val="00292A39"/>
    <w:rsid w:val="00292D38"/>
    <w:rsid w:val="00292DBB"/>
    <w:rsid w:val="00293327"/>
    <w:rsid w:val="002936AA"/>
    <w:rsid w:val="002939AD"/>
    <w:rsid w:val="00293ECC"/>
    <w:rsid w:val="00293FDC"/>
    <w:rsid w:val="00294F84"/>
    <w:rsid w:val="00294FA2"/>
    <w:rsid w:val="00295656"/>
    <w:rsid w:val="0029597D"/>
    <w:rsid w:val="002962C3"/>
    <w:rsid w:val="00297350"/>
    <w:rsid w:val="0029752B"/>
    <w:rsid w:val="00297994"/>
    <w:rsid w:val="002A0A9C"/>
    <w:rsid w:val="002A0B69"/>
    <w:rsid w:val="002A1A38"/>
    <w:rsid w:val="002A2276"/>
    <w:rsid w:val="002A27C6"/>
    <w:rsid w:val="002A3360"/>
    <w:rsid w:val="002A3706"/>
    <w:rsid w:val="002A3A09"/>
    <w:rsid w:val="002A46D2"/>
    <w:rsid w:val="002A4723"/>
    <w:rsid w:val="002A483C"/>
    <w:rsid w:val="002A48BE"/>
    <w:rsid w:val="002A669A"/>
    <w:rsid w:val="002A67E4"/>
    <w:rsid w:val="002A7214"/>
    <w:rsid w:val="002A781F"/>
    <w:rsid w:val="002B0088"/>
    <w:rsid w:val="002B0463"/>
    <w:rsid w:val="002B050D"/>
    <w:rsid w:val="002B0C7C"/>
    <w:rsid w:val="002B0CC2"/>
    <w:rsid w:val="002B1729"/>
    <w:rsid w:val="002B1DA0"/>
    <w:rsid w:val="002B27D4"/>
    <w:rsid w:val="002B313E"/>
    <w:rsid w:val="002B36C7"/>
    <w:rsid w:val="002B3CAA"/>
    <w:rsid w:val="002B3E51"/>
    <w:rsid w:val="002B3FAA"/>
    <w:rsid w:val="002B4712"/>
    <w:rsid w:val="002B4DD4"/>
    <w:rsid w:val="002B4E84"/>
    <w:rsid w:val="002B5277"/>
    <w:rsid w:val="002B5333"/>
    <w:rsid w:val="002B5375"/>
    <w:rsid w:val="002B5B1D"/>
    <w:rsid w:val="002B5D00"/>
    <w:rsid w:val="002B63CC"/>
    <w:rsid w:val="002B7060"/>
    <w:rsid w:val="002B72E8"/>
    <w:rsid w:val="002B77C1"/>
    <w:rsid w:val="002C0ABF"/>
    <w:rsid w:val="002C0BB8"/>
    <w:rsid w:val="002C0CDC"/>
    <w:rsid w:val="002C0E6B"/>
    <w:rsid w:val="002C0ED7"/>
    <w:rsid w:val="002C0FC8"/>
    <w:rsid w:val="002C1DCF"/>
    <w:rsid w:val="002C2067"/>
    <w:rsid w:val="002C247A"/>
    <w:rsid w:val="002C2728"/>
    <w:rsid w:val="002C2D62"/>
    <w:rsid w:val="002C31FD"/>
    <w:rsid w:val="002C3943"/>
    <w:rsid w:val="002C3A5A"/>
    <w:rsid w:val="002C3C16"/>
    <w:rsid w:val="002C4542"/>
    <w:rsid w:val="002C4FBB"/>
    <w:rsid w:val="002C56D1"/>
    <w:rsid w:val="002C57CB"/>
    <w:rsid w:val="002C5875"/>
    <w:rsid w:val="002C5B62"/>
    <w:rsid w:val="002C5C0D"/>
    <w:rsid w:val="002C64D5"/>
    <w:rsid w:val="002C7153"/>
    <w:rsid w:val="002C730A"/>
    <w:rsid w:val="002D00DD"/>
    <w:rsid w:val="002D050F"/>
    <w:rsid w:val="002D0D21"/>
    <w:rsid w:val="002D1E0D"/>
    <w:rsid w:val="002D2490"/>
    <w:rsid w:val="002D2864"/>
    <w:rsid w:val="002D293F"/>
    <w:rsid w:val="002D2CEE"/>
    <w:rsid w:val="002D310E"/>
    <w:rsid w:val="002D349D"/>
    <w:rsid w:val="002D36D7"/>
    <w:rsid w:val="002D38FE"/>
    <w:rsid w:val="002D3AB5"/>
    <w:rsid w:val="002D47E9"/>
    <w:rsid w:val="002D4A7E"/>
    <w:rsid w:val="002D4FF4"/>
    <w:rsid w:val="002D5006"/>
    <w:rsid w:val="002D521B"/>
    <w:rsid w:val="002D5522"/>
    <w:rsid w:val="002D5735"/>
    <w:rsid w:val="002D6263"/>
    <w:rsid w:val="002D67CA"/>
    <w:rsid w:val="002D72BC"/>
    <w:rsid w:val="002D7FA5"/>
    <w:rsid w:val="002E01D0"/>
    <w:rsid w:val="002E0358"/>
    <w:rsid w:val="002E161D"/>
    <w:rsid w:val="002E1DF9"/>
    <w:rsid w:val="002E297C"/>
    <w:rsid w:val="002E29BF"/>
    <w:rsid w:val="002E3100"/>
    <w:rsid w:val="002E3348"/>
    <w:rsid w:val="002E371A"/>
    <w:rsid w:val="002E3871"/>
    <w:rsid w:val="002E4235"/>
    <w:rsid w:val="002E474E"/>
    <w:rsid w:val="002E47A0"/>
    <w:rsid w:val="002E48E1"/>
    <w:rsid w:val="002E4D44"/>
    <w:rsid w:val="002E535D"/>
    <w:rsid w:val="002E5C90"/>
    <w:rsid w:val="002E60D2"/>
    <w:rsid w:val="002E6622"/>
    <w:rsid w:val="002E6AD8"/>
    <w:rsid w:val="002E6BE5"/>
    <w:rsid w:val="002E6C95"/>
    <w:rsid w:val="002E702D"/>
    <w:rsid w:val="002E702E"/>
    <w:rsid w:val="002E7583"/>
    <w:rsid w:val="002E7C36"/>
    <w:rsid w:val="002EB98E"/>
    <w:rsid w:val="002F022E"/>
    <w:rsid w:val="002F1013"/>
    <w:rsid w:val="002F1089"/>
    <w:rsid w:val="002F10DE"/>
    <w:rsid w:val="002F10FA"/>
    <w:rsid w:val="002F1C2F"/>
    <w:rsid w:val="002F2158"/>
    <w:rsid w:val="002F21A3"/>
    <w:rsid w:val="002F306B"/>
    <w:rsid w:val="002F3ADF"/>
    <w:rsid w:val="002F3D32"/>
    <w:rsid w:val="002F3DDF"/>
    <w:rsid w:val="002F4A02"/>
    <w:rsid w:val="002F500E"/>
    <w:rsid w:val="002F578C"/>
    <w:rsid w:val="002F5B96"/>
    <w:rsid w:val="002F5F31"/>
    <w:rsid w:val="002F5F46"/>
    <w:rsid w:val="002F6747"/>
    <w:rsid w:val="002F6957"/>
    <w:rsid w:val="002F6C3D"/>
    <w:rsid w:val="002F7003"/>
    <w:rsid w:val="00300958"/>
    <w:rsid w:val="00301187"/>
    <w:rsid w:val="00301611"/>
    <w:rsid w:val="0030171C"/>
    <w:rsid w:val="00301A35"/>
    <w:rsid w:val="00301B97"/>
    <w:rsid w:val="00302216"/>
    <w:rsid w:val="0030286B"/>
    <w:rsid w:val="00302A99"/>
    <w:rsid w:val="00303704"/>
    <w:rsid w:val="00303E53"/>
    <w:rsid w:val="003041D0"/>
    <w:rsid w:val="00304F34"/>
    <w:rsid w:val="00305CC1"/>
    <w:rsid w:val="00305D3D"/>
    <w:rsid w:val="00305FFB"/>
    <w:rsid w:val="00306B5B"/>
    <w:rsid w:val="00306CE7"/>
    <w:rsid w:val="00306E5F"/>
    <w:rsid w:val="00307414"/>
    <w:rsid w:val="00307E14"/>
    <w:rsid w:val="00311140"/>
    <w:rsid w:val="00311841"/>
    <w:rsid w:val="0031199C"/>
    <w:rsid w:val="00312BE9"/>
    <w:rsid w:val="00313E83"/>
    <w:rsid w:val="00314054"/>
    <w:rsid w:val="00314571"/>
    <w:rsid w:val="00315350"/>
    <w:rsid w:val="00315428"/>
    <w:rsid w:val="00315A23"/>
    <w:rsid w:val="003164C5"/>
    <w:rsid w:val="003166FC"/>
    <w:rsid w:val="00316A55"/>
    <w:rsid w:val="00316F27"/>
    <w:rsid w:val="00317031"/>
    <w:rsid w:val="003214F1"/>
    <w:rsid w:val="00321779"/>
    <w:rsid w:val="00322ACB"/>
    <w:rsid w:val="00322C9F"/>
    <w:rsid w:val="00322D3F"/>
    <w:rsid w:val="00322E4B"/>
    <w:rsid w:val="0032301E"/>
    <w:rsid w:val="0032315E"/>
    <w:rsid w:val="003237B4"/>
    <w:rsid w:val="00324061"/>
    <w:rsid w:val="00324F77"/>
    <w:rsid w:val="003255F8"/>
    <w:rsid w:val="003256F2"/>
    <w:rsid w:val="00325970"/>
    <w:rsid w:val="00326118"/>
    <w:rsid w:val="00327745"/>
    <w:rsid w:val="00327870"/>
    <w:rsid w:val="00327CFD"/>
    <w:rsid w:val="00330839"/>
    <w:rsid w:val="003308F3"/>
    <w:rsid w:val="00330A7A"/>
    <w:rsid w:val="00331B84"/>
    <w:rsid w:val="0033259D"/>
    <w:rsid w:val="003330D7"/>
    <w:rsid w:val="003333D2"/>
    <w:rsid w:val="0033384C"/>
    <w:rsid w:val="00334975"/>
    <w:rsid w:val="00334FAC"/>
    <w:rsid w:val="00335480"/>
    <w:rsid w:val="0033582A"/>
    <w:rsid w:val="00335DDD"/>
    <w:rsid w:val="00335FD3"/>
    <w:rsid w:val="00336500"/>
    <w:rsid w:val="00336E7F"/>
    <w:rsid w:val="00337339"/>
    <w:rsid w:val="003402D6"/>
    <w:rsid w:val="003406C6"/>
    <w:rsid w:val="003418CC"/>
    <w:rsid w:val="0034249D"/>
    <w:rsid w:val="00342FB2"/>
    <w:rsid w:val="00343186"/>
    <w:rsid w:val="003434D7"/>
    <w:rsid w:val="003439A7"/>
    <w:rsid w:val="00343A47"/>
    <w:rsid w:val="00344329"/>
    <w:rsid w:val="003443C1"/>
    <w:rsid w:val="00344735"/>
    <w:rsid w:val="0034576F"/>
    <w:rsid w:val="003459BD"/>
    <w:rsid w:val="00346459"/>
    <w:rsid w:val="0034645D"/>
    <w:rsid w:val="00346DE3"/>
    <w:rsid w:val="003471D4"/>
    <w:rsid w:val="003472B9"/>
    <w:rsid w:val="00347621"/>
    <w:rsid w:val="00347ADF"/>
    <w:rsid w:val="00350A1B"/>
    <w:rsid w:val="00350BCF"/>
    <w:rsid w:val="00350D38"/>
    <w:rsid w:val="0035143C"/>
    <w:rsid w:val="00351A9D"/>
    <w:rsid w:val="00351B36"/>
    <w:rsid w:val="00352316"/>
    <w:rsid w:val="00352C21"/>
    <w:rsid w:val="00352EB8"/>
    <w:rsid w:val="00353870"/>
    <w:rsid w:val="003538F1"/>
    <w:rsid w:val="00353B63"/>
    <w:rsid w:val="0035419D"/>
    <w:rsid w:val="003556A4"/>
    <w:rsid w:val="003556DF"/>
    <w:rsid w:val="00355733"/>
    <w:rsid w:val="00355D56"/>
    <w:rsid w:val="00355D7D"/>
    <w:rsid w:val="003560B3"/>
    <w:rsid w:val="0035647B"/>
    <w:rsid w:val="003566B4"/>
    <w:rsid w:val="003568C9"/>
    <w:rsid w:val="00356E23"/>
    <w:rsid w:val="00356EC3"/>
    <w:rsid w:val="00357866"/>
    <w:rsid w:val="00357922"/>
    <w:rsid w:val="003579E1"/>
    <w:rsid w:val="00357B4E"/>
    <w:rsid w:val="003607AB"/>
    <w:rsid w:val="003612C7"/>
    <w:rsid w:val="003619A5"/>
    <w:rsid w:val="00361FC2"/>
    <w:rsid w:val="00362564"/>
    <w:rsid w:val="00362777"/>
    <w:rsid w:val="00362A3E"/>
    <w:rsid w:val="00363116"/>
    <w:rsid w:val="003633E9"/>
    <w:rsid w:val="003635DE"/>
    <w:rsid w:val="003637E3"/>
    <w:rsid w:val="00364068"/>
    <w:rsid w:val="00364094"/>
    <w:rsid w:val="003645DF"/>
    <w:rsid w:val="00364F9A"/>
    <w:rsid w:val="003654D5"/>
    <w:rsid w:val="00366367"/>
    <w:rsid w:val="00366E31"/>
    <w:rsid w:val="00366F6C"/>
    <w:rsid w:val="00366FD6"/>
    <w:rsid w:val="00367526"/>
    <w:rsid w:val="00367532"/>
    <w:rsid w:val="003703F1"/>
    <w:rsid w:val="0037141D"/>
    <w:rsid w:val="003715E3"/>
    <w:rsid w:val="003716FD"/>
    <w:rsid w:val="00371CDD"/>
    <w:rsid w:val="0037204B"/>
    <w:rsid w:val="0037242B"/>
    <w:rsid w:val="00372665"/>
    <w:rsid w:val="003744CF"/>
    <w:rsid w:val="00374717"/>
    <w:rsid w:val="00374C50"/>
    <w:rsid w:val="00374D31"/>
    <w:rsid w:val="00374F16"/>
    <w:rsid w:val="00374F36"/>
    <w:rsid w:val="00374F52"/>
    <w:rsid w:val="003755A2"/>
    <w:rsid w:val="003758BF"/>
    <w:rsid w:val="00375AF3"/>
    <w:rsid w:val="003760AD"/>
    <w:rsid w:val="0037676C"/>
    <w:rsid w:val="003769B2"/>
    <w:rsid w:val="00376AC7"/>
    <w:rsid w:val="003778A8"/>
    <w:rsid w:val="0038042F"/>
    <w:rsid w:val="00380AF0"/>
    <w:rsid w:val="00381043"/>
    <w:rsid w:val="00381CD3"/>
    <w:rsid w:val="003829E5"/>
    <w:rsid w:val="003832F5"/>
    <w:rsid w:val="0038392C"/>
    <w:rsid w:val="003841B2"/>
    <w:rsid w:val="00384307"/>
    <w:rsid w:val="00386109"/>
    <w:rsid w:val="00386944"/>
    <w:rsid w:val="00387755"/>
    <w:rsid w:val="003877A1"/>
    <w:rsid w:val="00387ADB"/>
    <w:rsid w:val="00390607"/>
    <w:rsid w:val="00391F65"/>
    <w:rsid w:val="00392367"/>
    <w:rsid w:val="00392514"/>
    <w:rsid w:val="00392BE6"/>
    <w:rsid w:val="00393153"/>
    <w:rsid w:val="00393989"/>
    <w:rsid w:val="00393FA0"/>
    <w:rsid w:val="0039494D"/>
    <w:rsid w:val="00394BB1"/>
    <w:rsid w:val="00394C5E"/>
    <w:rsid w:val="003956CC"/>
    <w:rsid w:val="00395C9A"/>
    <w:rsid w:val="00396D36"/>
    <w:rsid w:val="003972EC"/>
    <w:rsid w:val="00397948"/>
    <w:rsid w:val="003A014B"/>
    <w:rsid w:val="003A04E1"/>
    <w:rsid w:val="003A06C6"/>
    <w:rsid w:val="003A0853"/>
    <w:rsid w:val="003A0CE7"/>
    <w:rsid w:val="003A1665"/>
    <w:rsid w:val="003A1A7A"/>
    <w:rsid w:val="003A2223"/>
    <w:rsid w:val="003A2332"/>
    <w:rsid w:val="003A2F21"/>
    <w:rsid w:val="003A3689"/>
    <w:rsid w:val="003A3DBE"/>
    <w:rsid w:val="003A45ED"/>
    <w:rsid w:val="003A4F27"/>
    <w:rsid w:val="003A5124"/>
    <w:rsid w:val="003A5259"/>
    <w:rsid w:val="003A5755"/>
    <w:rsid w:val="003A5A31"/>
    <w:rsid w:val="003A6B67"/>
    <w:rsid w:val="003A6D47"/>
    <w:rsid w:val="003A6E2F"/>
    <w:rsid w:val="003A7AF5"/>
    <w:rsid w:val="003B084C"/>
    <w:rsid w:val="003B126E"/>
    <w:rsid w:val="003B13B6"/>
    <w:rsid w:val="003B145B"/>
    <w:rsid w:val="003B14C3"/>
    <w:rsid w:val="003B15E6"/>
    <w:rsid w:val="003B191B"/>
    <w:rsid w:val="003B1E32"/>
    <w:rsid w:val="003B2125"/>
    <w:rsid w:val="003B2455"/>
    <w:rsid w:val="003B26C0"/>
    <w:rsid w:val="003B272E"/>
    <w:rsid w:val="003B27B7"/>
    <w:rsid w:val="003B2DC2"/>
    <w:rsid w:val="003B2E0A"/>
    <w:rsid w:val="003B32C3"/>
    <w:rsid w:val="003B408A"/>
    <w:rsid w:val="003B42C0"/>
    <w:rsid w:val="003B43B3"/>
    <w:rsid w:val="003B4B5F"/>
    <w:rsid w:val="003B54E3"/>
    <w:rsid w:val="003B6441"/>
    <w:rsid w:val="003B6518"/>
    <w:rsid w:val="003B6959"/>
    <w:rsid w:val="003B6CF6"/>
    <w:rsid w:val="003B7645"/>
    <w:rsid w:val="003B7F0E"/>
    <w:rsid w:val="003C0591"/>
    <w:rsid w:val="003C0635"/>
    <w:rsid w:val="003C08A2"/>
    <w:rsid w:val="003C0CB1"/>
    <w:rsid w:val="003C1FD5"/>
    <w:rsid w:val="003C2045"/>
    <w:rsid w:val="003C27D8"/>
    <w:rsid w:val="003C32B8"/>
    <w:rsid w:val="003C3B5B"/>
    <w:rsid w:val="003C3DB6"/>
    <w:rsid w:val="003C43A1"/>
    <w:rsid w:val="003C4FC0"/>
    <w:rsid w:val="003C54FA"/>
    <w:rsid w:val="003C55F4"/>
    <w:rsid w:val="003C5743"/>
    <w:rsid w:val="003C69FF"/>
    <w:rsid w:val="003C7897"/>
    <w:rsid w:val="003C7A3F"/>
    <w:rsid w:val="003C7C43"/>
    <w:rsid w:val="003D13B1"/>
    <w:rsid w:val="003D13EA"/>
    <w:rsid w:val="003D2084"/>
    <w:rsid w:val="003D2766"/>
    <w:rsid w:val="003D27EA"/>
    <w:rsid w:val="003D2A74"/>
    <w:rsid w:val="003D2D19"/>
    <w:rsid w:val="003D3879"/>
    <w:rsid w:val="003D39EE"/>
    <w:rsid w:val="003D3E8F"/>
    <w:rsid w:val="003D40F3"/>
    <w:rsid w:val="003D4230"/>
    <w:rsid w:val="003D4AF9"/>
    <w:rsid w:val="003D6475"/>
    <w:rsid w:val="003D6519"/>
    <w:rsid w:val="003D66B8"/>
    <w:rsid w:val="003D6EE6"/>
    <w:rsid w:val="003D7F45"/>
    <w:rsid w:val="003E0997"/>
    <w:rsid w:val="003E1003"/>
    <w:rsid w:val="003E14FB"/>
    <w:rsid w:val="003E1C3C"/>
    <w:rsid w:val="003E253A"/>
    <w:rsid w:val="003E2609"/>
    <w:rsid w:val="003E2E4E"/>
    <w:rsid w:val="003E30F7"/>
    <w:rsid w:val="003E331B"/>
    <w:rsid w:val="003E375C"/>
    <w:rsid w:val="003E3C86"/>
    <w:rsid w:val="003E4086"/>
    <w:rsid w:val="003E4B4A"/>
    <w:rsid w:val="003E519D"/>
    <w:rsid w:val="003E5444"/>
    <w:rsid w:val="003E60EE"/>
    <w:rsid w:val="003E60F2"/>
    <w:rsid w:val="003E61AC"/>
    <w:rsid w:val="003E639E"/>
    <w:rsid w:val="003E6418"/>
    <w:rsid w:val="003E71E5"/>
    <w:rsid w:val="003E74C1"/>
    <w:rsid w:val="003E7FFD"/>
    <w:rsid w:val="003F0048"/>
    <w:rsid w:val="003F0408"/>
    <w:rsid w:val="003F0445"/>
    <w:rsid w:val="003F05DE"/>
    <w:rsid w:val="003F08F1"/>
    <w:rsid w:val="003F0905"/>
    <w:rsid w:val="003F0CF0"/>
    <w:rsid w:val="003F1069"/>
    <w:rsid w:val="003F1100"/>
    <w:rsid w:val="003F11F2"/>
    <w:rsid w:val="003F14B1"/>
    <w:rsid w:val="003F16AF"/>
    <w:rsid w:val="003F2B20"/>
    <w:rsid w:val="003F2FFD"/>
    <w:rsid w:val="003F3289"/>
    <w:rsid w:val="003F339C"/>
    <w:rsid w:val="003F3C62"/>
    <w:rsid w:val="003F3E8F"/>
    <w:rsid w:val="003F429D"/>
    <w:rsid w:val="003F4CBC"/>
    <w:rsid w:val="003F4D83"/>
    <w:rsid w:val="003F53E4"/>
    <w:rsid w:val="003F5958"/>
    <w:rsid w:val="003F5CB9"/>
    <w:rsid w:val="003F62EA"/>
    <w:rsid w:val="003F7D04"/>
    <w:rsid w:val="003F7F02"/>
    <w:rsid w:val="00400219"/>
    <w:rsid w:val="00400FAA"/>
    <w:rsid w:val="004013C7"/>
    <w:rsid w:val="00401FCF"/>
    <w:rsid w:val="004023E6"/>
    <w:rsid w:val="0040247B"/>
    <w:rsid w:val="00402DA4"/>
    <w:rsid w:val="00403636"/>
    <w:rsid w:val="00403700"/>
    <w:rsid w:val="00403729"/>
    <w:rsid w:val="00403961"/>
    <w:rsid w:val="00403C9C"/>
    <w:rsid w:val="004040F6"/>
    <w:rsid w:val="0040427E"/>
    <w:rsid w:val="00404A61"/>
    <w:rsid w:val="00404C03"/>
    <w:rsid w:val="00404D76"/>
    <w:rsid w:val="004051C3"/>
    <w:rsid w:val="0040533D"/>
    <w:rsid w:val="00405BBD"/>
    <w:rsid w:val="00405BF4"/>
    <w:rsid w:val="00405DA9"/>
    <w:rsid w:val="0040614B"/>
    <w:rsid w:val="004061D0"/>
    <w:rsid w:val="00406285"/>
    <w:rsid w:val="00406816"/>
    <w:rsid w:val="00406E65"/>
    <w:rsid w:val="004071A6"/>
    <w:rsid w:val="004075C3"/>
    <w:rsid w:val="00407E0F"/>
    <w:rsid w:val="00410144"/>
    <w:rsid w:val="004101B0"/>
    <w:rsid w:val="00411416"/>
    <w:rsid w:val="004130CA"/>
    <w:rsid w:val="004134B0"/>
    <w:rsid w:val="00413ADD"/>
    <w:rsid w:val="004145CD"/>
    <w:rsid w:val="004148F9"/>
    <w:rsid w:val="00414E5B"/>
    <w:rsid w:val="00415326"/>
    <w:rsid w:val="00415942"/>
    <w:rsid w:val="00415E3F"/>
    <w:rsid w:val="0041628B"/>
    <w:rsid w:val="004162F4"/>
    <w:rsid w:val="00416377"/>
    <w:rsid w:val="00417893"/>
    <w:rsid w:val="0042013F"/>
    <w:rsid w:val="0042054C"/>
    <w:rsid w:val="0042084E"/>
    <w:rsid w:val="00420E7D"/>
    <w:rsid w:val="00421848"/>
    <w:rsid w:val="004219E1"/>
    <w:rsid w:val="00421A32"/>
    <w:rsid w:val="00421EEF"/>
    <w:rsid w:val="004226DD"/>
    <w:rsid w:val="00422D10"/>
    <w:rsid w:val="00423690"/>
    <w:rsid w:val="00423B0D"/>
    <w:rsid w:val="00423DEC"/>
    <w:rsid w:val="004241E3"/>
    <w:rsid w:val="00424D65"/>
    <w:rsid w:val="00426404"/>
    <w:rsid w:val="0042646A"/>
    <w:rsid w:val="00426C91"/>
    <w:rsid w:val="0042755E"/>
    <w:rsid w:val="004277D7"/>
    <w:rsid w:val="00427CA4"/>
    <w:rsid w:val="00427DAD"/>
    <w:rsid w:val="00427E42"/>
    <w:rsid w:val="00430145"/>
    <w:rsid w:val="004301DA"/>
    <w:rsid w:val="00430393"/>
    <w:rsid w:val="004305B7"/>
    <w:rsid w:val="004307B1"/>
    <w:rsid w:val="00430CA0"/>
    <w:rsid w:val="00431806"/>
    <w:rsid w:val="00431E4D"/>
    <w:rsid w:val="00432377"/>
    <w:rsid w:val="0043248C"/>
    <w:rsid w:val="00433313"/>
    <w:rsid w:val="00433CA4"/>
    <w:rsid w:val="00433CC4"/>
    <w:rsid w:val="004340AF"/>
    <w:rsid w:val="0043411C"/>
    <w:rsid w:val="00435342"/>
    <w:rsid w:val="00436603"/>
    <w:rsid w:val="00436F09"/>
    <w:rsid w:val="00437220"/>
    <w:rsid w:val="00437779"/>
    <w:rsid w:val="0043791A"/>
    <w:rsid w:val="00437AC5"/>
    <w:rsid w:val="00440178"/>
    <w:rsid w:val="00440AE0"/>
    <w:rsid w:val="00440C91"/>
    <w:rsid w:val="00441036"/>
    <w:rsid w:val="00441526"/>
    <w:rsid w:val="00441C01"/>
    <w:rsid w:val="00442055"/>
    <w:rsid w:val="0044205E"/>
    <w:rsid w:val="00442695"/>
    <w:rsid w:val="00442A79"/>
    <w:rsid w:val="00442C6C"/>
    <w:rsid w:val="00442E14"/>
    <w:rsid w:val="004432C5"/>
    <w:rsid w:val="00443CBE"/>
    <w:rsid w:val="00443E8A"/>
    <w:rsid w:val="00443F54"/>
    <w:rsid w:val="004441BC"/>
    <w:rsid w:val="0044468B"/>
    <w:rsid w:val="004449DA"/>
    <w:rsid w:val="00444B1D"/>
    <w:rsid w:val="00446570"/>
    <w:rsid w:val="004467A2"/>
    <w:rsid w:val="004468B4"/>
    <w:rsid w:val="00446BE0"/>
    <w:rsid w:val="004470A9"/>
    <w:rsid w:val="00447A2C"/>
    <w:rsid w:val="00447DDB"/>
    <w:rsid w:val="004502E8"/>
    <w:rsid w:val="00450B81"/>
    <w:rsid w:val="00450EED"/>
    <w:rsid w:val="00451857"/>
    <w:rsid w:val="00451BB7"/>
    <w:rsid w:val="00452305"/>
    <w:rsid w:val="0045230A"/>
    <w:rsid w:val="00452D16"/>
    <w:rsid w:val="0045317E"/>
    <w:rsid w:val="004531D5"/>
    <w:rsid w:val="0045376A"/>
    <w:rsid w:val="00454156"/>
    <w:rsid w:val="00454AA5"/>
    <w:rsid w:val="00454AD0"/>
    <w:rsid w:val="00454E71"/>
    <w:rsid w:val="00455A7C"/>
    <w:rsid w:val="004568A4"/>
    <w:rsid w:val="00457337"/>
    <w:rsid w:val="00457D8F"/>
    <w:rsid w:val="00460FEB"/>
    <w:rsid w:val="004612D5"/>
    <w:rsid w:val="004616E0"/>
    <w:rsid w:val="004618FF"/>
    <w:rsid w:val="00461EAF"/>
    <w:rsid w:val="00462774"/>
    <w:rsid w:val="004628FD"/>
    <w:rsid w:val="00462E3D"/>
    <w:rsid w:val="00462FD8"/>
    <w:rsid w:val="00463723"/>
    <w:rsid w:val="004653E7"/>
    <w:rsid w:val="004654F5"/>
    <w:rsid w:val="0046582A"/>
    <w:rsid w:val="00465FAB"/>
    <w:rsid w:val="00466E79"/>
    <w:rsid w:val="00466FF7"/>
    <w:rsid w:val="00467B7E"/>
    <w:rsid w:val="00467EB2"/>
    <w:rsid w:val="00470039"/>
    <w:rsid w:val="0047095D"/>
    <w:rsid w:val="00470CE1"/>
    <w:rsid w:val="00470D7D"/>
    <w:rsid w:val="0047127B"/>
    <w:rsid w:val="00471B35"/>
    <w:rsid w:val="00471BAC"/>
    <w:rsid w:val="00471C96"/>
    <w:rsid w:val="00472065"/>
    <w:rsid w:val="00472B2B"/>
    <w:rsid w:val="0047372D"/>
    <w:rsid w:val="0047387E"/>
    <w:rsid w:val="00473BA3"/>
    <w:rsid w:val="00473EB8"/>
    <w:rsid w:val="004740CC"/>
    <w:rsid w:val="00474251"/>
    <w:rsid w:val="004743DD"/>
    <w:rsid w:val="00474549"/>
    <w:rsid w:val="0047460B"/>
    <w:rsid w:val="004748CF"/>
    <w:rsid w:val="00474B9F"/>
    <w:rsid w:val="00474CEA"/>
    <w:rsid w:val="00475178"/>
    <w:rsid w:val="0047581C"/>
    <w:rsid w:val="00476312"/>
    <w:rsid w:val="00476C01"/>
    <w:rsid w:val="00476D6B"/>
    <w:rsid w:val="004779FB"/>
    <w:rsid w:val="004813BE"/>
    <w:rsid w:val="0048164E"/>
    <w:rsid w:val="0048178B"/>
    <w:rsid w:val="00481B6D"/>
    <w:rsid w:val="00482167"/>
    <w:rsid w:val="00482223"/>
    <w:rsid w:val="004827C7"/>
    <w:rsid w:val="004835E1"/>
    <w:rsid w:val="00483630"/>
    <w:rsid w:val="0048382F"/>
    <w:rsid w:val="00483968"/>
    <w:rsid w:val="004839EF"/>
    <w:rsid w:val="004841BE"/>
    <w:rsid w:val="0048443B"/>
    <w:rsid w:val="00484F86"/>
    <w:rsid w:val="00484FA4"/>
    <w:rsid w:val="00485F63"/>
    <w:rsid w:val="00486028"/>
    <w:rsid w:val="00486080"/>
    <w:rsid w:val="00486863"/>
    <w:rsid w:val="00487CAD"/>
    <w:rsid w:val="00487CEF"/>
    <w:rsid w:val="00487D59"/>
    <w:rsid w:val="00490470"/>
    <w:rsid w:val="00490746"/>
    <w:rsid w:val="00490852"/>
    <w:rsid w:val="00491118"/>
    <w:rsid w:val="00491C9C"/>
    <w:rsid w:val="00492473"/>
    <w:rsid w:val="00492F30"/>
    <w:rsid w:val="004936C6"/>
    <w:rsid w:val="0049380E"/>
    <w:rsid w:val="004943F1"/>
    <w:rsid w:val="004946F4"/>
    <w:rsid w:val="0049487E"/>
    <w:rsid w:val="00495AFA"/>
    <w:rsid w:val="004961B8"/>
    <w:rsid w:val="0049756F"/>
    <w:rsid w:val="004975C5"/>
    <w:rsid w:val="00497704"/>
    <w:rsid w:val="004979AF"/>
    <w:rsid w:val="00497B0F"/>
    <w:rsid w:val="004A006C"/>
    <w:rsid w:val="004A040C"/>
    <w:rsid w:val="004A0410"/>
    <w:rsid w:val="004A1151"/>
    <w:rsid w:val="004A160D"/>
    <w:rsid w:val="004A161A"/>
    <w:rsid w:val="004A1966"/>
    <w:rsid w:val="004A1A70"/>
    <w:rsid w:val="004A1F5B"/>
    <w:rsid w:val="004A1F95"/>
    <w:rsid w:val="004A2A59"/>
    <w:rsid w:val="004A34D6"/>
    <w:rsid w:val="004A3E81"/>
    <w:rsid w:val="004A4195"/>
    <w:rsid w:val="004A450D"/>
    <w:rsid w:val="004A50A1"/>
    <w:rsid w:val="004A5C62"/>
    <w:rsid w:val="004A5CE5"/>
    <w:rsid w:val="004A666D"/>
    <w:rsid w:val="004A707D"/>
    <w:rsid w:val="004A7352"/>
    <w:rsid w:val="004A76FA"/>
    <w:rsid w:val="004A77F0"/>
    <w:rsid w:val="004B0448"/>
    <w:rsid w:val="004B046D"/>
    <w:rsid w:val="004B08EA"/>
    <w:rsid w:val="004B184B"/>
    <w:rsid w:val="004B1FA6"/>
    <w:rsid w:val="004B2613"/>
    <w:rsid w:val="004B3D72"/>
    <w:rsid w:val="004B4185"/>
    <w:rsid w:val="004B4E77"/>
    <w:rsid w:val="004B5498"/>
    <w:rsid w:val="004B59C5"/>
    <w:rsid w:val="004B5BBF"/>
    <w:rsid w:val="004B5DA9"/>
    <w:rsid w:val="004B6296"/>
    <w:rsid w:val="004B6979"/>
    <w:rsid w:val="004B698D"/>
    <w:rsid w:val="004B734D"/>
    <w:rsid w:val="004B7387"/>
    <w:rsid w:val="004B74DA"/>
    <w:rsid w:val="004C0D88"/>
    <w:rsid w:val="004C0E63"/>
    <w:rsid w:val="004C25A1"/>
    <w:rsid w:val="004C31C3"/>
    <w:rsid w:val="004C31D2"/>
    <w:rsid w:val="004C3685"/>
    <w:rsid w:val="004C39BC"/>
    <w:rsid w:val="004C3C63"/>
    <w:rsid w:val="004C44AC"/>
    <w:rsid w:val="004C4782"/>
    <w:rsid w:val="004C480E"/>
    <w:rsid w:val="004C4FAE"/>
    <w:rsid w:val="004C50C6"/>
    <w:rsid w:val="004C5541"/>
    <w:rsid w:val="004C562C"/>
    <w:rsid w:val="004C5E51"/>
    <w:rsid w:val="004C5F03"/>
    <w:rsid w:val="004C62BF"/>
    <w:rsid w:val="004C64ED"/>
    <w:rsid w:val="004C68E3"/>
    <w:rsid w:val="004C6EEE"/>
    <w:rsid w:val="004C6EFD"/>
    <w:rsid w:val="004C702B"/>
    <w:rsid w:val="004C7C48"/>
    <w:rsid w:val="004D0033"/>
    <w:rsid w:val="004D016B"/>
    <w:rsid w:val="004D0382"/>
    <w:rsid w:val="004D06DF"/>
    <w:rsid w:val="004D08CF"/>
    <w:rsid w:val="004D0BEB"/>
    <w:rsid w:val="004D0D92"/>
    <w:rsid w:val="004D0E1D"/>
    <w:rsid w:val="004D103C"/>
    <w:rsid w:val="004D1455"/>
    <w:rsid w:val="004D16A0"/>
    <w:rsid w:val="004D1B22"/>
    <w:rsid w:val="004D23CC"/>
    <w:rsid w:val="004D2786"/>
    <w:rsid w:val="004D36F2"/>
    <w:rsid w:val="004D3802"/>
    <w:rsid w:val="004D52A9"/>
    <w:rsid w:val="004D581B"/>
    <w:rsid w:val="004D5AAC"/>
    <w:rsid w:val="004D61F5"/>
    <w:rsid w:val="004D66C6"/>
    <w:rsid w:val="004D6964"/>
    <w:rsid w:val="004D70D0"/>
    <w:rsid w:val="004D76C2"/>
    <w:rsid w:val="004E0398"/>
    <w:rsid w:val="004E04BD"/>
    <w:rsid w:val="004E0B84"/>
    <w:rsid w:val="004E0D28"/>
    <w:rsid w:val="004E1088"/>
    <w:rsid w:val="004E1106"/>
    <w:rsid w:val="004E138F"/>
    <w:rsid w:val="004E175A"/>
    <w:rsid w:val="004E230C"/>
    <w:rsid w:val="004E29B3"/>
    <w:rsid w:val="004E2FF4"/>
    <w:rsid w:val="004E3671"/>
    <w:rsid w:val="004E3B8D"/>
    <w:rsid w:val="004E3E89"/>
    <w:rsid w:val="004E4649"/>
    <w:rsid w:val="004E53B0"/>
    <w:rsid w:val="004E58E6"/>
    <w:rsid w:val="004E5A67"/>
    <w:rsid w:val="004E5C2B"/>
    <w:rsid w:val="004E65F0"/>
    <w:rsid w:val="004E6674"/>
    <w:rsid w:val="004E6AF2"/>
    <w:rsid w:val="004E7C13"/>
    <w:rsid w:val="004E7E8A"/>
    <w:rsid w:val="004E7F45"/>
    <w:rsid w:val="004E7F72"/>
    <w:rsid w:val="004F00DD"/>
    <w:rsid w:val="004F13EA"/>
    <w:rsid w:val="004F2133"/>
    <w:rsid w:val="004F284B"/>
    <w:rsid w:val="004F2B94"/>
    <w:rsid w:val="004F3359"/>
    <w:rsid w:val="004F3A14"/>
    <w:rsid w:val="004F3E32"/>
    <w:rsid w:val="004F3E68"/>
    <w:rsid w:val="004F4205"/>
    <w:rsid w:val="004F4560"/>
    <w:rsid w:val="004F48BF"/>
    <w:rsid w:val="004F5398"/>
    <w:rsid w:val="004F55D0"/>
    <w:rsid w:val="004F55F1"/>
    <w:rsid w:val="004F6231"/>
    <w:rsid w:val="004F681D"/>
    <w:rsid w:val="004F68B7"/>
    <w:rsid w:val="004F68F3"/>
    <w:rsid w:val="004F6936"/>
    <w:rsid w:val="004F69EF"/>
    <w:rsid w:val="004F6B45"/>
    <w:rsid w:val="004F72C6"/>
    <w:rsid w:val="004F768E"/>
    <w:rsid w:val="00500806"/>
    <w:rsid w:val="00501B3F"/>
    <w:rsid w:val="00501C0A"/>
    <w:rsid w:val="00501DEB"/>
    <w:rsid w:val="00501FA0"/>
    <w:rsid w:val="005021A5"/>
    <w:rsid w:val="0050282D"/>
    <w:rsid w:val="00503934"/>
    <w:rsid w:val="0050396D"/>
    <w:rsid w:val="00503A19"/>
    <w:rsid w:val="00503DC6"/>
    <w:rsid w:val="00503E8A"/>
    <w:rsid w:val="0050488C"/>
    <w:rsid w:val="00504B97"/>
    <w:rsid w:val="00504F71"/>
    <w:rsid w:val="005050E4"/>
    <w:rsid w:val="00505402"/>
    <w:rsid w:val="00505A47"/>
    <w:rsid w:val="00505D34"/>
    <w:rsid w:val="0050611F"/>
    <w:rsid w:val="0050629C"/>
    <w:rsid w:val="00506326"/>
    <w:rsid w:val="00506F5D"/>
    <w:rsid w:val="005075F5"/>
    <w:rsid w:val="00510C37"/>
    <w:rsid w:val="00511597"/>
    <w:rsid w:val="00511926"/>
    <w:rsid w:val="00511A77"/>
    <w:rsid w:val="005126D0"/>
    <w:rsid w:val="0051278B"/>
    <w:rsid w:val="00512F34"/>
    <w:rsid w:val="00514667"/>
    <w:rsid w:val="00514943"/>
    <w:rsid w:val="00514BF2"/>
    <w:rsid w:val="00514E39"/>
    <w:rsid w:val="00515515"/>
    <w:rsid w:val="0051568D"/>
    <w:rsid w:val="00515EEA"/>
    <w:rsid w:val="0051653D"/>
    <w:rsid w:val="00516A19"/>
    <w:rsid w:val="00516B85"/>
    <w:rsid w:val="0051731A"/>
    <w:rsid w:val="00517438"/>
    <w:rsid w:val="005176C8"/>
    <w:rsid w:val="00517739"/>
    <w:rsid w:val="00517902"/>
    <w:rsid w:val="00517C23"/>
    <w:rsid w:val="00520281"/>
    <w:rsid w:val="0052029F"/>
    <w:rsid w:val="00520D66"/>
    <w:rsid w:val="00521147"/>
    <w:rsid w:val="0052123A"/>
    <w:rsid w:val="0052142A"/>
    <w:rsid w:val="00521E95"/>
    <w:rsid w:val="00522243"/>
    <w:rsid w:val="0052255B"/>
    <w:rsid w:val="005228CB"/>
    <w:rsid w:val="00522955"/>
    <w:rsid w:val="005231DB"/>
    <w:rsid w:val="00523B2A"/>
    <w:rsid w:val="00523E49"/>
    <w:rsid w:val="00524C9B"/>
    <w:rsid w:val="005251DB"/>
    <w:rsid w:val="0052544A"/>
    <w:rsid w:val="00525831"/>
    <w:rsid w:val="0052632F"/>
    <w:rsid w:val="0052677A"/>
    <w:rsid w:val="00526AC7"/>
    <w:rsid w:val="00526C15"/>
    <w:rsid w:val="0052715F"/>
    <w:rsid w:val="00527231"/>
    <w:rsid w:val="00527683"/>
    <w:rsid w:val="00530157"/>
    <w:rsid w:val="00530336"/>
    <w:rsid w:val="005319BA"/>
    <w:rsid w:val="00531E20"/>
    <w:rsid w:val="005335CB"/>
    <w:rsid w:val="00533BFB"/>
    <w:rsid w:val="0053415D"/>
    <w:rsid w:val="0053483A"/>
    <w:rsid w:val="005349A0"/>
    <w:rsid w:val="00535461"/>
    <w:rsid w:val="00535A5F"/>
    <w:rsid w:val="00535D03"/>
    <w:rsid w:val="00535FC9"/>
    <w:rsid w:val="00536499"/>
    <w:rsid w:val="0053663C"/>
    <w:rsid w:val="00536AB9"/>
    <w:rsid w:val="00536AC9"/>
    <w:rsid w:val="00536F9A"/>
    <w:rsid w:val="005378EF"/>
    <w:rsid w:val="00537ADC"/>
    <w:rsid w:val="00537F9E"/>
    <w:rsid w:val="005409E3"/>
    <w:rsid w:val="00540EE5"/>
    <w:rsid w:val="005413AF"/>
    <w:rsid w:val="00541911"/>
    <w:rsid w:val="00542090"/>
    <w:rsid w:val="005423F1"/>
    <w:rsid w:val="00542A03"/>
    <w:rsid w:val="00542BE2"/>
    <w:rsid w:val="00542F20"/>
    <w:rsid w:val="0054315B"/>
    <w:rsid w:val="00543903"/>
    <w:rsid w:val="00543F11"/>
    <w:rsid w:val="00544E02"/>
    <w:rsid w:val="00545342"/>
    <w:rsid w:val="00545928"/>
    <w:rsid w:val="00545A89"/>
    <w:rsid w:val="00546305"/>
    <w:rsid w:val="00546AA4"/>
    <w:rsid w:val="00546B8B"/>
    <w:rsid w:val="005474AB"/>
    <w:rsid w:val="0054769D"/>
    <w:rsid w:val="00547A95"/>
    <w:rsid w:val="005508EF"/>
    <w:rsid w:val="00550EA0"/>
    <w:rsid w:val="0055105B"/>
    <w:rsid w:val="0055119B"/>
    <w:rsid w:val="00551711"/>
    <w:rsid w:val="00551BED"/>
    <w:rsid w:val="005523C4"/>
    <w:rsid w:val="0055281A"/>
    <w:rsid w:val="0055326F"/>
    <w:rsid w:val="0055345E"/>
    <w:rsid w:val="0055353A"/>
    <w:rsid w:val="00553565"/>
    <w:rsid w:val="00553A84"/>
    <w:rsid w:val="005544DF"/>
    <w:rsid w:val="00555407"/>
    <w:rsid w:val="00555489"/>
    <w:rsid w:val="00555D64"/>
    <w:rsid w:val="005564B7"/>
    <w:rsid w:val="005569F4"/>
    <w:rsid w:val="00557378"/>
    <w:rsid w:val="00557D67"/>
    <w:rsid w:val="00557D77"/>
    <w:rsid w:val="00561202"/>
    <w:rsid w:val="005625BC"/>
    <w:rsid w:val="0056310B"/>
    <w:rsid w:val="00564007"/>
    <w:rsid w:val="0056482B"/>
    <w:rsid w:val="00564870"/>
    <w:rsid w:val="0056496B"/>
    <w:rsid w:val="00564A05"/>
    <w:rsid w:val="00565DE6"/>
    <w:rsid w:val="0056790C"/>
    <w:rsid w:val="00567C56"/>
    <w:rsid w:val="0057035E"/>
    <w:rsid w:val="00571BC5"/>
    <w:rsid w:val="00572031"/>
    <w:rsid w:val="00572282"/>
    <w:rsid w:val="0057302B"/>
    <w:rsid w:val="005734FF"/>
    <w:rsid w:val="0057360D"/>
    <w:rsid w:val="00573B33"/>
    <w:rsid w:val="00573CE3"/>
    <w:rsid w:val="00574451"/>
    <w:rsid w:val="00574BF6"/>
    <w:rsid w:val="00574DB4"/>
    <w:rsid w:val="00575027"/>
    <w:rsid w:val="005750FB"/>
    <w:rsid w:val="005758D2"/>
    <w:rsid w:val="005761E5"/>
    <w:rsid w:val="0057663E"/>
    <w:rsid w:val="00576AB2"/>
    <w:rsid w:val="00576CAB"/>
    <w:rsid w:val="00576D68"/>
    <w:rsid w:val="00576E84"/>
    <w:rsid w:val="00576EF8"/>
    <w:rsid w:val="005777B6"/>
    <w:rsid w:val="00577F2D"/>
    <w:rsid w:val="00580394"/>
    <w:rsid w:val="005809CD"/>
    <w:rsid w:val="00581702"/>
    <w:rsid w:val="00581B2C"/>
    <w:rsid w:val="00581C75"/>
    <w:rsid w:val="00582B8C"/>
    <w:rsid w:val="0058439F"/>
    <w:rsid w:val="005847A4"/>
    <w:rsid w:val="0058543D"/>
    <w:rsid w:val="00586311"/>
    <w:rsid w:val="0058757E"/>
    <w:rsid w:val="00590625"/>
    <w:rsid w:val="005916CA"/>
    <w:rsid w:val="00591DBC"/>
    <w:rsid w:val="00592436"/>
    <w:rsid w:val="0059347F"/>
    <w:rsid w:val="005936DC"/>
    <w:rsid w:val="00593FC8"/>
    <w:rsid w:val="00594207"/>
    <w:rsid w:val="00594D01"/>
    <w:rsid w:val="005953C4"/>
    <w:rsid w:val="00595422"/>
    <w:rsid w:val="00595D1C"/>
    <w:rsid w:val="00595E74"/>
    <w:rsid w:val="00596A4B"/>
    <w:rsid w:val="00596DC7"/>
    <w:rsid w:val="00597507"/>
    <w:rsid w:val="00597D56"/>
    <w:rsid w:val="005A010A"/>
    <w:rsid w:val="005A01FB"/>
    <w:rsid w:val="005A06E7"/>
    <w:rsid w:val="005A0BED"/>
    <w:rsid w:val="005A0F9A"/>
    <w:rsid w:val="005A1309"/>
    <w:rsid w:val="005A20A1"/>
    <w:rsid w:val="005A2568"/>
    <w:rsid w:val="005A2912"/>
    <w:rsid w:val="005A2D2E"/>
    <w:rsid w:val="005A2F41"/>
    <w:rsid w:val="005A323E"/>
    <w:rsid w:val="005A3A94"/>
    <w:rsid w:val="005A3EB3"/>
    <w:rsid w:val="005A479D"/>
    <w:rsid w:val="005A4EE3"/>
    <w:rsid w:val="005A5652"/>
    <w:rsid w:val="005A6C88"/>
    <w:rsid w:val="005A77A3"/>
    <w:rsid w:val="005A7B73"/>
    <w:rsid w:val="005A7BD3"/>
    <w:rsid w:val="005B0239"/>
    <w:rsid w:val="005B041B"/>
    <w:rsid w:val="005B0648"/>
    <w:rsid w:val="005B0ECD"/>
    <w:rsid w:val="005B14A2"/>
    <w:rsid w:val="005B1C5F"/>
    <w:rsid w:val="005B1C6D"/>
    <w:rsid w:val="005B21B6"/>
    <w:rsid w:val="005B2886"/>
    <w:rsid w:val="005B397A"/>
    <w:rsid w:val="005B3A08"/>
    <w:rsid w:val="005B3AC3"/>
    <w:rsid w:val="005B3BC6"/>
    <w:rsid w:val="005B3FB0"/>
    <w:rsid w:val="005B427E"/>
    <w:rsid w:val="005B47D2"/>
    <w:rsid w:val="005B4C8A"/>
    <w:rsid w:val="005B626C"/>
    <w:rsid w:val="005B67E0"/>
    <w:rsid w:val="005B69C9"/>
    <w:rsid w:val="005B7A63"/>
    <w:rsid w:val="005B7B9F"/>
    <w:rsid w:val="005C0386"/>
    <w:rsid w:val="005C094D"/>
    <w:rsid w:val="005C0955"/>
    <w:rsid w:val="005C0F25"/>
    <w:rsid w:val="005C1B41"/>
    <w:rsid w:val="005C1CBE"/>
    <w:rsid w:val="005C29B0"/>
    <w:rsid w:val="005C2F0E"/>
    <w:rsid w:val="005C3699"/>
    <w:rsid w:val="005C3821"/>
    <w:rsid w:val="005C3EC1"/>
    <w:rsid w:val="005C476B"/>
    <w:rsid w:val="005C48E5"/>
    <w:rsid w:val="005C49DA"/>
    <w:rsid w:val="005C50F3"/>
    <w:rsid w:val="005C5142"/>
    <w:rsid w:val="005C54B5"/>
    <w:rsid w:val="005C54CE"/>
    <w:rsid w:val="005C5511"/>
    <w:rsid w:val="005C5D80"/>
    <w:rsid w:val="005C5D91"/>
    <w:rsid w:val="005C5D9A"/>
    <w:rsid w:val="005C5E91"/>
    <w:rsid w:val="005C7241"/>
    <w:rsid w:val="005D042A"/>
    <w:rsid w:val="005D04B0"/>
    <w:rsid w:val="005D07B8"/>
    <w:rsid w:val="005D09F3"/>
    <w:rsid w:val="005D12A8"/>
    <w:rsid w:val="005D164A"/>
    <w:rsid w:val="005D17C7"/>
    <w:rsid w:val="005D1CFD"/>
    <w:rsid w:val="005D208B"/>
    <w:rsid w:val="005D2609"/>
    <w:rsid w:val="005D31F1"/>
    <w:rsid w:val="005D38B6"/>
    <w:rsid w:val="005D38BB"/>
    <w:rsid w:val="005D3BAF"/>
    <w:rsid w:val="005D4917"/>
    <w:rsid w:val="005D4AD9"/>
    <w:rsid w:val="005D4AE3"/>
    <w:rsid w:val="005D4F31"/>
    <w:rsid w:val="005D5108"/>
    <w:rsid w:val="005D6589"/>
    <w:rsid w:val="005D6597"/>
    <w:rsid w:val="005D66CE"/>
    <w:rsid w:val="005D7E85"/>
    <w:rsid w:val="005D9C63"/>
    <w:rsid w:val="005E013F"/>
    <w:rsid w:val="005E0C1F"/>
    <w:rsid w:val="005E1329"/>
    <w:rsid w:val="005E14E7"/>
    <w:rsid w:val="005E14F6"/>
    <w:rsid w:val="005E184E"/>
    <w:rsid w:val="005E1B83"/>
    <w:rsid w:val="005E207A"/>
    <w:rsid w:val="005E26A3"/>
    <w:rsid w:val="005E28A3"/>
    <w:rsid w:val="005E294D"/>
    <w:rsid w:val="005E2ECB"/>
    <w:rsid w:val="005E30EF"/>
    <w:rsid w:val="005E392B"/>
    <w:rsid w:val="005E3CC6"/>
    <w:rsid w:val="005E3F6A"/>
    <w:rsid w:val="005E4312"/>
    <w:rsid w:val="005E447E"/>
    <w:rsid w:val="005E4FD1"/>
    <w:rsid w:val="005E5312"/>
    <w:rsid w:val="005E5614"/>
    <w:rsid w:val="005E5B26"/>
    <w:rsid w:val="005E6314"/>
    <w:rsid w:val="005E7238"/>
    <w:rsid w:val="005E7250"/>
    <w:rsid w:val="005E7257"/>
    <w:rsid w:val="005E7753"/>
    <w:rsid w:val="005E7B9E"/>
    <w:rsid w:val="005F0537"/>
    <w:rsid w:val="005F06D4"/>
    <w:rsid w:val="005F0775"/>
    <w:rsid w:val="005F086C"/>
    <w:rsid w:val="005F0B19"/>
    <w:rsid w:val="005F0CF5"/>
    <w:rsid w:val="005F1A8E"/>
    <w:rsid w:val="005F1CCA"/>
    <w:rsid w:val="005F1F6B"/>
    <w:rsid w:val="005F216B"/>
    <w:rsid w:val="005F21EB"/>
    <w:rsid w:val="005F2834"/>
    <w:rsid w:val="005F2DCA"/>
    <w:rsid w:val="005F3D44"/>
    <w:rsid w:val="005F438B"/>
    <w:rsid w:val="005F4FF0"/>
    <w:rsid w:val="005F568B"/>
    <w:rsid w:val="005F5931"/>
    <w:rsid w:val="005F5DDD"/>
    <w:rsid w:val="005F5E2F"/>
    <w:rsid w:val="005F621F"/>
    <w:rsid w:val="005F64CF"/>
    <w:rsid w:val="005F6C29"/>
    <w:rsid w:val="005F6D43"/>
    <w:rsid w:val="005F72D9"/>
    <w:rsid w:val="005F73AD"/>
    <w:rsid w:val="005F7915"/>
    <w:rsid w:val="005F7AA9"/>
    <w:rsid w:val="005F7FEF"/>
    <w:rsid w:val="00600AFC"/>
    <w:rsid w:val="00601B59"/>
    <w:rsid w:val="00601B70"/>
    <w:rsid w:val="00601BCB"/>
    <w:rsid w:val="0060205C"/>
    <w:rsid w:val="00602814"/>
    <w:rsid w:val="006031C9"/>
    <w:rsid w:val="0060356A"/>
    <w:rsid w:val="006041AD"/>
    <w:rsid w:val="00604CD7"/>
    <w:rsid w:val="006050E0"/>
    <w:rsid w:val="0060575C"/>
    <w:rsid w:val="00605908"/>
    <w:rsid w:val="00605BEB"/>
    <w:rsid w:val="00605C6B"/>
    <w:rsid w:val="006077D2"/>
    <w:rsid w:val="00607850"/>
    <w:rsid w:val="0061063E"/>
    <w:rsid w:val="00610CCB"/>
    <w:rsid w:val="00610D7C"/>
    <w:rsid w:val="00611697"/>
    <w:rsid w:val="0061181A"/>
    <w:rsid w:val="00612262"/>
    <w:rsid w:val="00612A6B"/>
    <w:rsid w:val="00613414"/>
    <w:rsid w:val="00613B3D"/>
    <w:rsid w:val="00615739"/>
    <w:rsid w:val="00615861"/>
    <w:rsid w:val="00615D35"/>
    <w:rsid w:val="00615EF8"/>
    <w:rsid w:val="006160F1"/>
    <w:rsid w:val="00616491"/>
    <w:rsid w:val="0061677E"/>
    <w:rsid w:val="00616E7D"/>
    <w:rsid w:val="006172A5"/>
    <w:rsid w:val="00617D18"/>
    <w:rsid w:val="00620154"/>
    <w:rsid w:val="00620BD1"/>
    <w:rsid w:val="00620DD6"/>
    <w:rsid w:val="00621595"/>
    <w:rsid w:val="00621CAB"/>
    <w:rsid w:val="0062242B"/>
    <w:rsid w:val="00622824"/>
    <w:rsid w:val="00622C22"/>
    <w:rsid w:val="0062408D"/>
    <w:rsid w:val="006240CC"/>
    <w:rsid w:val="006244CF"/>
    <w:rsid w:val="00624940"/>
    <w:rsid w:val="0062495F"/>
    <w:rsid w:val="00625172"/>
    <w:rsid w:val="006254CA"/>
    <w:rsid w:val="006254F8"/>
    <w:rsid w:val="0062574A"/>
    <w:rsid w:val="006257D1"/>
    <w:rsid w:val="00625B17"/>
    <w:rsid w:val="00625BFD"/>
    <w:rsid w:val="006267D1"/>
    <w:rsid w:val="006268D5"/>
    <w:rsid w:val="00627198"/>
    <w:rsid w:val="00627432"/>
    <w:rsid w:val="00627578"/>
    <w:rsid w:val="00627C72"/>
    <w:rsid w:val="00627DA7"/>
    <w:rsid w:val="006300E0"/>
    <w:rsid w:val="00630CF2"/>
    <w:rsid w:val="00630DA4"/>
    <w:rsid w:val="00631488"/>
    <w:rsid w:val="006317D8"/>
    <w:rsid w:val="0063199B"/>
    <w:rsid w:val="006319C6"/>
    <w:rsid w:val="00631C35"/>
    <w:rsid w:val="00631C5D"/>
    <w:rsid w:val="00631CD4"/>
    <w:rsid w:val="00631EA3"/>
    <w:rsid w:val="00632597"/>
    <w:rsid w:val="00634715"/>
    <w:rsid w:val="006349A5"/>
    <w:rsid w:val="00634AF9"/>
    <w:rsid w:val="00634D13"/>
    <w:rsid w:val="00634D86"/>
    <w:rsid w:val="00634E2C"/>
    <w:rsid w:val="00635383"/>
    <w:rsid w:val="006358B4"/>
    <w:rsid w:val="00636293"/>
    <w:rsid w:val="00636776"/>
    <w:rsid w:val="006367C7"/>
    <w:rsid w:val="00636E49"/>
    <w:rsid w:val="006379EF"/>
    <w:rsid w:val="00640427"/>
    <w:rsid w:val="00640E4D"/>
    <w:rsid w:val="00641724"/>
    <w:rsid w:val="006418BC"/>
    <w:rsid w:val="006419AA"/>
    <w:rsid w:val="00641ED4"/>
    <w:rsid w:val="0064217D"/>
    <w:rsid w:val="00642530"/>
    <w:rsid w:val="0064310B"/>
    <w:rsid w:val="006434B2"/>
    <w:rsid w:val="006438C8"/>
    <w:rsid w:val="0064427A"/>
    <w:rsid w:val="006447A1"/>
    <w:rsid w:val="00644817"/>
    <w:rsid w:val="00644B1F"/>
    <w:rsid w:val="00644B7E"/>
    <w:rsid w:val="00644E29"/>
    <w:rsid w:val="006454E6"/>
    <w:rsid w:val="00645C9E"/>
    <w:rsid w:val="00645D1E"/>
    <w:rsid w:val="00646235"/>
    <w:rsid w:val="006468F3"/>
    <w:rsid w:val="00646A68"/>
    <w:rsid w:val="00646CB8"/>
    <w:rsid w:val="0064709C"/>
    <w:rsid w:val="006505BD"/>
    <w:rsid w:val="0065065D"/>
    <w:rsid w:val="006508EA"/>
    <w:rsid w:val="0065092E"/>
    <w:rsid w:val="006509E0"/>
    <w:rsid w:val="006512DF"/>
    <w:rsid w:val="00651EF8"/>
    <w:rsid w:val="006523F7"/>
    <w:rsid w:val="006524F0"/>
    <w:rsid w:val="00653001"/>
    <w:rsid w:val="00653BAB"/>
    <w:rsid w:val="006542EE"/>
    <w:rsid w:val="006543D0"/>
    <w:rsid w:val="0065579D"/>
    <w:rsid w:val="006557A7"/>
    <w:rsid w:val="00656290"/>
    <w:rsid w:val="00656C9B"/>
    <w:rsid w:val="006572E1"/>
    <w:rsid w:val="006572E4"/>
    <w:rsid w:val="00657B5B"/>
    <w:rsid w:val="006601C9"/>
    <w:rsid w:val="00660328"/>
    <w:rsid w:val="006605A9"/>
    <w:rsid w:val="00660663"/>
    <w:rsid w:val="006608D8"/>
    <w:rsid w:val="0066105E"/>
    <w:rsid w:val="00661265"/>
    <w:rsid w:val="006615CA"/>
    <w:rsid w:val="006621D7"/>
    <w:rsid w:val="00662E5D"/>
    <w:rsid w:val="00662F18"/>
    <w:rsid w:val="0066302A"/>
    <w:rsid w:val="00663237"/>
    <w:rsid w:val="00663519"/>
    <w:rsid w:val="00663D7E"/>
    <w:rsid w:val="00664609"/>
    <w:rsid w:val="00665368"/>
    <w:rsid w:val="00666BC7"/>
    <w:rsid w:val="00666CEA"/>
    <w:rsid w:val="00666EFA"/>
    <w:rsid w:val="00667114"/>
    <w:rsid w:val="006676CB"/>
    <w:rsid w:val="00667770"/>
    <w:rsid w:val="00667978"/>
    <w:rsid w:val="00670050"/>
    <w:rsid w:val="00670261"/>
    <w:rsid w:val="00670597"/>
    <w:rsid w:val="006706D0"/>
    <w:rsid w:val="00670B1B"/>
    <w:rsid w:val="00670C0E"/>
    <w:rsid w:val="00670E66"/>
    <w:rsid w:val="006711D1"/>
    <w:rsid w:val="00671552"/>
    <w:rsid w:val="006718D9"/>
    <w:rsid w:val="00671CF1"/>
    <w:rsid w:val="00672A57"/>
    <w:rsid w:val="00674549"/>
    <w:rsid w:val="006746EF"/>
    <w:rsid w:val="00674A93"/>
    <w:rsid w:val="006750D9"/>
    <w:rsid w:val="00675442"/>
    <w:rsid w:val="006755CE"/>
    <w:rsid w:val="00675CAB"/>
    <w:rsid w:val="006765CE"/>
    <w:rsid w:val="006768C2"/>
    <w:rsid w:val="006768C6"/>
    <w:rsid w:val="006771FA"/>
    <w:rsid w:val="00677574"/>
    <w:rsid w:val="006775A9"/>
    <w:rsid w:val="00677F90"/>
    <w:rsid w:val="00680316"/>
    <w:rsid w:val="006808AB"/>
    <w:rsid w:val="006809B2"/>
    <w:rsid w:val="00681C96"/>
    <w:rsid w:val="00681FEB"/>
    <w:rsid w:val="00683878"/>
    <w:rsid w:val="0068425A"/>
    <w:rsid w:val="00684339"/>
    <w:rsid w:val="0068451C"/>
    <w:rsid w:val="0068454C"/>
    <w:rsid w:val="006853BF"/>
    <w:rsid w:val="00685AF8"/>
    <w:rsid w:val="00686828"/>
    <w:rsid w:val="00686DCA"/>
    <w:rsid w:val="00686FCB"/>
    <w:rsid w:val="00687C66"/>
    <w:rsid w:val="0069035A"/>
    <w:rsid w:val="0069045B"/>
    <w:rsid w:val="006910CA"/>
    <w:rsid w:val="00691322"/>
    <w:rsid w:val="00691B62"/>
    <w:rsid w:val="00692097"/>
    <w:rsid w:val="006926F2"/>
    <w:rsid w:val="0069309B"/>
    <w:rsid w:val="006931B0"/>
    <w:rsid w:val="006933B5"/>
    <w:rsid w:val="006937F6"/>
    <w:rsid w:val="00693D14"/>
    <w:rsid w:val="00693F69"/>
    <w:rsid w:val="00694DDB"/>
    <w:rsid w:val="0069548E"/>
    <w:rsid w:val="0069572C"/>
    <w:rsid w:val="0069599E"/>
    <w:rsid w:val="00695A93"/>
    <w:rsid w:val="0069624F"/>
    <w:rsid w:val="00696278"/>
    <w:rsid w:val="006969D6"/>
    <w:rsid w:val="00696F27"/>
    <w:rsid w:val="00697D95"/>
    <w:rsid w:val="006A01B6"/>
    <w:rsid w:val="006A0270"/>
    <w:rsid w:val="006A0826"/>
    <w:rsid w:val="006A0E8E"/>
    <w:rsid w:val="006A1082"/>
    <w:rsid w:val="006A1096"/>
    <w:rsid w:val="006A18C2"/>
    <w:rsid w:val="006A2834"/>
    <w:rsid w:val="006A2F67"/>
    <w:rsid w:val="006A3054"/>
    <w:rsid w:val="006A3383"/>
    <w:rsid w:val="006A3A28"/>
    <w:rsid w:val="006A3CD2"/>
    <w:rsid w:val="006A3D6D"/>
    <w:rsid w:val="006A3F9D"/>
    <w:rsid w:val="006A4493"/>
    <w:rsid w:val="006A450F"/>
    <w:rsid w:val="006A551C"/>
    <w:rsid w:val="006A5BD5"/>
    <w:rsid w:val="006A5FFD"/>
    <w:rsid w:val="006A6D54"/>
    <w:rsid w:val="006A6E26"/>
    <w:rsid w:val="006A6F48"/>
    <w:rsid w:val="006A7019"/>
    <w:rsid w:val="006A7227"/>
    <w:rsid w:val="006A73ED"/>
    <w:rsid w:val="006A7C27"/>
    <w:rsid w:val="006A7DFE"/>
    <w:rsid w:val="006B06C2"/>
    <w:rsid w:val="006B0730"/>
    <w:rsid w:val="006B077C"/>
    <w:rsid w:val="006B0A8A"/>
    <w:rsid w:val="006B0E6B"/>
    <w:rsid w:val="006B16AF"/>
    <w:rsid w:val="006B18D5"/>
    <w:rsid w:val="006B1A8A"/>
    <w:rsid w:val="006B2449"/>
    <w:rsid w:val="006B4083"/>
    <w:rsid w:val="006B4124"/>
    <w:rsid w:val="006B43B8"/>
    <w:rsid w:val="006B4419"/>
    <w:rsid w:val="006B525A"/>
    <w:rsid w:val="006B52B5"/>
    <w:rsid w:val="006B586A"/>
    <w:rsid w:val="006B6803"/>
    <w:rsid w:val="006B6825"/>
    <w:rsid w:val="006B70F8"/>
    <w:rsid w:val="006B7409"/>
    <w:rsid w:val="006B7EAD"/>
    <w:rsid w:val="006C0516"/>
    <w:rsid w:val="006C0966"/>
    <w:rsid w:val="006C0D2A"/>
    <w:rsid w:val="006C0E4A"/>
    <w:rsid w:val="006C128D"/>
    <w:rsid w:val="006C1D36"/>
    <w:rsid w:val="006C23BF"/>
    <w:rsid w:val="006C24AD"/>
    <w:rsid w:val="006C2633"/>
    <w:rsid w:val="006C2754"/>
    <w:rsid w:val="006C34F9"/>
    <w:rsid w:val="006C3AB9"/>
    <w:rsid w:val="006C46DA"/>
    <w:rsid w:val="006C475C"/>
    <w:rsid w:val="006C4991"/>
    <w:rsid w:val="006D0F05"/>
    <w:rsid w:val="006D0F16"/>
    <w:rsid w:val="006D12E7"/>
    <w:rsid w:val="006D1366"/>
    <w:rsid w:val="006D1967"/>
    <w:rsid w:val="006D1F2B"/>
    <w:rsid w:val="006D228A"/>
    <w:rsid w:val="006D2A3F"/>
    <w:rsid w:val="006D2FBC"/>
    <w:rsid w:val="006D33FB"/>
    <w:rsid w:val="006D4D42"/>
    <w:rsid w:val="006D519A"/>
    <w:rsid w:val="006D5972"/>
    <w:rsid w:val="006D5BD1"/>
    <w:rsid w:val="006D5CAD"/>
    <w:rsid w:val="006D5EDF"/>
    <w:rsid w:val="006D638D"/>
    <w:rsid w:val="006D646C"/>
    <w:rsid w:val="006D6D5C"/>
    <w:rsid w:val="006D7075"/>
    <w:rsid w:val="006D72C8"/>
    <w:rsid w:val="006D7DE1"/>
    <w:rsid w:val="006E039C"/>
    <w:rsid w:val="006E057B"/>
    <w:rsid w:val="006E0A5A"/>
    <w:rsid w:val="006E1351"/>
    <w:rsid w:val="006E138B"/>
    <w:rsid w:val="006E1867"/>
    <w:rsid w:val="006E212F"/>
    <w:rsid w:val="006E252E"/>
    <w:rsid w:val="006E2965"/>
    <w:rsid w:val="006E2E68"/>
    <w:rsid w:val="006E2FCA"/>
    <w:rsid w:val="006E3003"/>
    <w:rsid w:val="006E3230"/>
    <w:rsid w:val="006E3373"/>
    <w:rsid w:val="006E3B14"/>
    <w:rsid w:val="006E490D"/>
    <w:rsid w:val="006E5504"/>
    <w:rsid w:val="006E5A74"/>
    <w:rsid w:val="006E5B0B"/>
    <w:rsid w:val="006E5C2C"/>
    <w:rsid w:val="006E5E8D"/>
    <w:rsid w:val="006E5F23"/>
    <w:rsid w:val="006E62C6"/>
    <w:rsid w:val="006E6702"/>
    <w:rsid w:val="006E67D5"/>
    <w:rsid w:val="006E69E8"/>
    <w:rsid w:val="006E6C9C"/>
    <w:rsid w:val="006E6D0F"/>
    <w:rsid w:val="006E6D14"/>
    <w:rsid w:val="006E71D1"/>
    <w:rsid w:val="006E7639"/>
    <w:rsid w:val="006E7DB5"/>
    <w:rsid w:val="006F0330"/>
    <w:rsid w:val="006F0F31"/>
    <w:rsid w:val="006F14AF"/>
    <w:rsid w:val="006F18E9"/>
    <w:rsid w:val="006F1FDC"/>
    <w:rsid w:val="006F297E"/>
    <w:rsid w:val="006F3F32"/>
    <w:rsid w:val="006F4D74"/>
    <w:rsid w:val="006F606D"/>
    <w:rsid w:val="006F60B6"/>
    <w:rsid w:val="006F632B"/>
    <w:rsid w:val="006F6B8C"/>
    <w:rsid w:val="006F6CAE"/>
    <w:rsid w:val="006F72EC"/>
    <w:rsid w:val="006F7463"/>
    <w:rsid w:val="006F7716"/>
    <w:rsid w:val="006F7717"/>
    <w:rsid w:val="00700005"/>
    <w:rsid w:val="007006BA"/>
    <w:rsid w:val="00700FD5"/>
    <w:rsid w:val="007013EF"/>
    <w:rsid w:val="00701ECA"/>
    <w:rsid w:val="00702771"/>
    <w:rsid w:val="007028C5"/>
    <w:rsid w:val="00702E36"/>
    <w:rsid w:val="00702E9E"/>
    <w:rsid w:val="00702F48"/>
    <w:rsid w:val="00703FED"/>
    <w:rsid w:val="007055BD"/>
    <w:rsid w:val="00705FEE"/>
    <w:rsid w:val="00706013"/>
    <w:rsid w:val="0070680F"/>
    <w:rsid w:val="00707C69"/>
    <w:rsid w:val="00710FD7"/>
    <w:rsid w:val="007120C2"/>
    <w:rsid w:val="00712505"/>
    <w:rsid w:val="00713246"/>
    <w:rsid w:val="00713683"/>
    <w:rsid w:val="0071464B"/>
    <w:rsid w:val="00714789"/>
    <w:rsid w:val="00714A34"/>
    <w:rsid w:val="00714CEB"/>
    <w:rsid w:val="007153DA"/>
    <w:rsid w:val="0071629D"/>
    <w:rsid w:val="00716617"/>
    <w:rsid w:val="007173CA"/>
    <w:rsid w:val="0072005A"/>
    <w:rsid w:val="00720C18"/>
    <w:rsid w:val="00720D21"/>
    <w:rsid w:val="007216AA"/>
    <w:rsid w:val="00721821"/>
    <w:rsid w:val="007219EB"/>
    <w:rsid w:val="00721AB5"/>
    <w:rsid w:val="00721CFB"/>
    <w:rsid w:val="00721DC3"/>
    <w:rsid w:val="00721DEF"/>
    <w:rsid w:val="007226A8"/>
    <w:rsid w:val="00723685"/>
    <w:rsid w:val="007236D3"/>
    <w:rsid w:val="007239CD"/>
    <w:rsid w:val="00723B81"/>
    <w:rsid w:val="00724020"/>
    <w:rsid w:val="00724A43"/>
    <w:rsid w:val="00725125"/>
    <w:rsid w:val="00725411"/>
    <w:rsid w:val="007273AC"/>
    <w:rsid w:val="00727417"/>
    <w:rsid w:val="007305A6"/>
    <w:rsid w:val="00730FF7"/>
    <w:rsid w:val="00731305"/>
    <w:rsid w:val="0073172F"/>
    <w:rsid w:val="00731AD4"/>
    <w:rsid w:val="00732B66"/>
    <w:rsid w:val="00733ED8"/>
    <w:rsid w:val="007340FA"/>
    <w:rsid w:val="007346E4"/>
    <w:rsid w:val="007354B3"/>
    <w:rsid w:val="00735B72"/>
    <w:rsid w:val="00735DE6"/>
    <w:rsid w:val="00736419"/>
    <w:rsid w:val="00737EFB"/>
    <w:rsid w:val="00737FAA"/>
    <w:rsid w:val="00740DB5"/>
    <w:rsid w:val="00740F22"/>
    <w:rsid w:val="00741CF0"/>
    <w:rsid w:val="00741F1A"/>
    <w:rsid w:val="0074200B"/>
    <w:rsid w:val="00742091"/>
    <w:rsid w:val="0074327A"/>
    <w:rsid w:val="007438FD"/>
    <w:rsid w:val="00743A2C"/>
    <w:rsid w:val="00743B42"/>
    <w:rsid w:val="00743F34"/>
    <w:rsid w:val="007447DA"/>
    <w:rsid w:val="0074502A"/>
    <w:rsid w:val="007450F8"/>
    <w:rsid w:val="0074518A"/>
    <w:rsid w:val="00745194"/>
    <w:rsid w:val="007457EE"/>
    <w:rsid w:val="00745C5D"/>
    <w:rsid w:val="007460B1"/>
    <w:rsid w:val="00746556"/>
    <w:rsid w:val="0074680F"/>
    <w:rsid w:val="0074696E"/>
    <w:rsid w:val="00746B8A"/>
    <w:rsid w:val="0075002B"/>
    <w:rsid w:val="00750135"/>
    <w:rsid w:val="0075037A"/>
    <w:rsid w:val="00750818"/>
    <w:rsid w:val="00750EC2"/>
    <w:rsid w:val="007510B9"/>
    <w:rsid w:val="007514AA"/>
    <w:rsid w:val="00751FBD"/>
    <w:rsid w:val="007521BD"/>
    <w:rsid w:val="0075268B"/>
    <w:rsid w:val="00752ADA"/>
    <w:rsid w:val="00752B28"/>
    <w:rsid w:val="0075375E"/>
    <w:rsid w:val="007537D1"/>
    <w:rsid w:val="00753AC0"/>
    <w:rsid w:val="00753B02"/>
    <w:rsid w:val="007541A9"/>
    <w:rsid w:val="00754E36"/>
    <w:rsid w:val="007551FB"/>
    <w:rsid w:val="0075599C"/>
    <w:rsid w:val="00756682"/>
    <w:rsid w:val="00756B82"/>
    <w:rsid w:val="00756D77"/>
    <w:rsid w:val="00757498"/>
    <w:rsid w:val="00757685"/>
    <w:rsid w:val="00757A08"/>
    <w:rsid w:val="00760558"/>
    <w:rsid w:val="0076090C"/>
    <w:rsid w:val="00760AA4"/>
    <w:rsid w:val="0076135D"/>
    <w:rsid w:val="00762C5A"/>
    <w:rsid w:val="00763139"/>
    <w:rsid w:val="00764718"/>
    <w:rsid w:val="007648C8"/>
    <w:rsid w:val="007654EE"/>
    <w:rsid w:val="00765518"/>
    <w:rsid w:val="007660AE"/>
    <w:rsid w:val="00766F60"/>
    <w:rsid w:val="0076769E"/>
    <w:rsid w:val="00770052"/>
    <w:rsid w:val="007700BD"/>
    <w:rsid w:val="00770514"/>
    <w:rsid w:val="00770572"/>
    <w:rsid w:val="00770F37"/>
    <w:rsid w:val="007711A0"/>
    <w:rsid w:val="00771751"/>
    <w:rsid w:val="007717E8"/>
    <w:rsid w:val="00772180"/>
    <w:rsid w:val="00772A87"/>
    <w:rsid w:val="00772D5E"/>
    <w:rsid w:val="007739CC"/>
    <w:rsid w:val="00773A7B"/>
    <w:rsid w:val="00773D37"/>
    <w:rsid w:val="0077401E"/>
    <w:rsid w:val="0077463E"/>
    <w:rsid w:val="00774862"/>
    <w:rsid w:val="007749FF"/>
    <w:rsid w:val="00774E81"/>
    <w:rsid w:val="00774F01"/>
    <w:rsid w:val="0077568C"/>
    <w:rsid w:val="00775A45"/>
    <w:rsid w:val="00776246"/>
    <w:rsid w:val="00776495"/>
    <w:rsid w:val="00776928"/>
    <w:rsid w:val="00776A9C"/>
    <w:rsid w:val="00776AED"/>
    <w:rsid w:val="00776C03"/>
    <w:rsid w:val="00776E0F"/>
    <w:rsid w:val="007774B1"/>
    <w:rsid w:val="007775D6"/>
    <w:rsid w:val="00777BE1"/>
    <w:rsid w:val="00777F2E"/>
    <w:rsid w:val="00777F56"/>
    <w:rsid w:val="00777FE3"/>
    <w:rsid w:val="007806BA"/>
    <w:rsid w:val="00780CB7"/>
    <w:rsid w:val="00780E7E"/>
    <w:rsid w:val="007810EC"/>
    <w:rsid w:val="007813A1"/>
    <w:rsid w:val="00781806"/>
    <w:rsid w:val="00782188"/>
    <w:rsid w:val="0078320D"/>
    <w:rsid w:val="007833D8"/>
    <w:rsid w:val="00783C56"/>
    <w:rsid w:val="00784499"/>
    <w:rsid w:val="007845D2"/>
    <w:rsid w:val="00784EAB"/>
    <w:rsid w:val="00785677"/>
    <w:rsid w:val="00785A4B"/>
    <w:rsid w:val="00785BCB"/>
    <w:rsid w:val="00785F42"/>
    <w:rsid w:val="00786DED"/>
    <w:rsid w:val="00786E40"/>
    <w:rsid w:val="00786F16"/>
    <w:rsid w:val="007875AD"/>
    <w:rsid w:val="00787EBD"/>
    <w:rsid w:val="00787F7D"/>
    <w:rsid w:val="007900E3"/>
    <w:rsid w:val="007904BB"/>
    <w:rsid w:val="00790EC5"/>
    <w:rsid w:val="007913DC"/>
    <w:rsid w:val="007919C1"/>
    <w:rsid w:val="00791B1E"/>
    <w:rsid w:val="00791BD7"/>
    <w:rsid w:val="0079295B"/>
    <w:rsid w:val="00792E6A"/>
    <w:rsid w:val="007931CB"/>
    <w:rsid w:val="007933AE"/>
    <w:rsid w:val="007933F7"/>
    <w:rsid w:val="0079407D"/>
    <w:rsid w:val="0079417A"/>
    <w:rsid w:val="007947D1"/>
    <w:rsid w:val="00795131"/>
    <w:rsid w:val="007952B5"/>
    <w:rsid w:val="0079589C"/>
    <w:rsid w:val="007958F4"/>
    <w:rsid w:val="0079595B"/>
    <w:rsid w:val="00795CFC"/>
    <w:rsid w:val="0079604A"/>
    <w:rsid w:val="007966BB"/>
    <w:rsid w:val="00796AB6"/>
    <w:rsid w:val="00796C5C"/>
    <w:rsid w:val="00796E20"/>
    <w:rsid w:val="0079710B"/>
    <w:rsid w:val="007978AC"/>
    <w:rsid w:val="00797936"/>
    <w:rsid w:val="00797C32"/>
    <w:rsid w:val="007A0148"/>
    <w:rsid w:val="007A0687"/>
    <w:rsid w:val="007A0CF8"/>
    <w:rsid w:val="007A11E8"/>
    <w:rsid w:val="007A1D15"/>
    <w:rsid w:val="007A26BF"/>
    <w:rsid w:val="007A36D1"/>
    <w:rsid w:val="007A3A4A"/>
    <w:rsid w:val="007A3BA7"/>
    <w:rsid w:val="007A3CBC"/>
    <w:rsid w:val="007A4455"/>
    <w:rsid w:val="007A46B5"/>
    <w:rsid w:val="007A4958"/>
    <w:rsid w:val="007A4D71"/>
    <w:rsid w:val="007A4DA8"/>
    <w:rsid w:val="007A5860"/>
    <w:rsid w:val="007A597B"/>
    <w:rsid w:val="007A6365"/>
    <w:rsid w:val="007A6962"/>
    <w:rsid w:val="007B0717"/>
    <w:rsid w:val="007B0914"/>
    <w:rsid w:val="007B0C3E"/>
    <w:rsid w:val="007B1374"/>
    <w:rsid w:val="007B18DA"/>
    <w:rsid w:val="007B23DD"/>
    <w:rsid w:val="007B32E5"/>
    <w:rsid w:val="007B3C9E"/>
    <w:rsid w:val="007B3DB9"/>
    <w:rsid w:val="007B4A32"/>
    <w:rsid w:val="007B515E"/>
    <w:rsid w:val="007B589F"/>
    <w:rsid w:val="007B5A58"/>
    <w:rsid w:val="007B5E2B"/>
    <w:rsid w:val="007B6186"/>
    <w:rsid w:val="007B6D8A"/>
    <w:rsid w:val="007B709C"/>
    <w:rsid w:val="007B73BC"/>
    <w:rsid w:val="007B742C"/>
    <w:rsid w:val="007B7491"/>
    <w:rsid w:val="007B78C5"/>
    <w:rsid w:val="007C036D"/>
    <w:rsid w:val="007C12B3"/>
    <w:rsid w:val="007C12E5"/>
    <w:rsid w:val="007C1838"/>
    <w:rsid w:val="007C18D4"/>
    <w:rsid w:val="007C19A5"/>
    <w:rsid w:val="007C19B9"/>
    <w:rsid w:val="007C1F6D"/>
    <w:rsid w:val="007C20B9"/>
    <w:rsid w:val="007C21B0"/>
    <w:rsid w:val="007C254B"/>
    <w:rsid w:val="007C2A5B"/>
    <w:rsid w:val="007C324F"/>
    <w:rsid w:val="007C3AAB"/>
    <w:rsid w:val="007C3BF0"/>
    <w:rsid w:val="007C3EC2"/>
    <w:rsid w:val="007C46C7"/>
    <w:rsid w:val="007C470C"/>
    <w:rsid w:val="007C4892"/>
    <w:rsid w:val="007C544E"/>
    <w:rsid w:val="007C557C"/>
    <w:rsid w:val="007C5DD8"/>
    <w:rsid w:val="007C625D"/>
    <w:rsid w:val="007C7301"/>
    <w:rsid w:val="007C7859"/>
    <w:rsid w:val="007C7F28"/>
    <w:rsid w:val="007D0B8D"/>
    <w:rsid w:val="007D1466"/>
    <w:rsid w:val="007D172D"/>
    <w:rsid w:val="007D1829"/>
    <w:rsid w:val="007D2293"/>
    <w:rsid w:val="007D2302"/>
    <w:rsid w:val="007D2913"/>
    <w:rsid w:val="007D2BDE"/>
    <w:rsid w:val="007D2C02"/>
    <w:rsid w:val="007D2FB6"/>
    <w:rsid w:val="007D35AE"/>
    <w:rsid w:val="007D4491"/>
    <w:rsid w:val="007D49AE"/>
    <w:rsid w:val="007D49EB"/>
    <w:rsid w:val="007D4AA7"/>
    <w:rsid w:val="007D5831"/>
    <w:rsid w:val="007D5E1C"/>
    <w:rsid w:val="007D62FE"/>
    <w:rsid w:val="007D6C9C"/>
    <w:rsid w:val="007D6EA0"/>
    <w:rsid w:val="007D6FBE"/>
    <w:rsid w:val="007E0A2C"/>
    <w:rsid w:val="007E0DE2"/>
    <w:rsid w:val="007E12EF"/>
    <w:rsid w:val="007E164C"/>
    <w:rsid w:val="007E183A"/>
    <w:rsid w:val="007E1F7D"/>
    <w:rsid w:val="007E25C1"/>
    <w:rsid w:val="007E2B4C"/>
    <w:rsid w:val="007E2BDB"/>
    <w:rsid w:val="007E373F"/>
    <w:rsid w:val="007E3A10"/>
    <w:rsid w:val="007E3B98"/>
    <w:rsid w:val="007E417A"/>
    <w:rsid w:val="007E499A"/>
    <w:rsid w:val="007E5209"/>
    <w:rsid w:val="007E5227"/>
    <w:rsid w:val="007E59E7"/>
    <w:rsid w:val="007E5C28"/>
    <w:rsid w:val="007E6078"/>
    <w:rsid w:val="007E6214"/>
    <w:rsid w:val="007E6F83"/>
    <w:rsid w:val="007E77CB"/>
    <w:rsid w:val="007E7FE4"/>
    <w:rsid w:val="007F11EB"/>
    <w:rsid w:val="007F1DA1"/>
    <w:rsid w:val="007F1EE4"/>
    <w:rsid w:val="007F2516"/>
    <w:rsid w:val="007F2606"/>
    <w:rsid w:val="007F31B6"/>
    <w:rsid w:val="007F36BB"/>
    <w:rsid w:val="007F3810"/>
    <w:rsid w:val="007F4960"/>
    <w:rsid w:val="007F4B5D"/>
    <w:rsid w:val="007F4CDA"/>
    <w:rsid w:val="007F546C"/>
    <w:rsid w:val="007F5600"/>
    <w:rsid w:val="007F578B"/>
    <w:rsid w:val="007F587D"/>
    <w:rsid w:val="007F6066"/>
    <w:rsid w:val="007F625F"/>
    <w:rsid w:val="007F665E"/>
    <w:rsid w:val="007F6862"/>
    <w:rsid w:val="007F6C33"/>
    <w:rsid w:val="007F70B9"/>
    <w:rsid w:val="00800412"/>
    <w:rsid w:val="008007F5"/>
    <w:rsid w:val="00800BBB"/>
    <w:rsid w:val="00801B45"/>
    <w:rsid w:val="00801BC9"/>
    <w:rsid w:val="008023B7"/>
    <w:rsid w:val="00803468"/>
    <w:rsid w:val="00803941"/>
    <w:rsid w:val="00803B24"/>
    <w:rsid w:val="00803BE4"/>
    <w:rsid w:val="00803F24"/>
    <w:rsid w:val="00804060"/>
    <w:rsid w:val="008041F5"/>
    <w:rsid w:val="00804A79"/>
    <w:rsid w:val="008053A2"/>
    <w:rsid w:val="0080587B"/>
    <w:rsid w:val="00805DB2"/>
    <w:rsid w:val="008060C0"/>
    <w:rsid w:val="00806329"/>
    <w:rsid w:val="00806468"/>
    <w:rsid w:val="0080663F"/>
    <w:rsid w:val="00806F74"/>
    <w:rsid w:val="0080743C"/>
    <w:rsid w:val="00807C76"/>
    <w:rsid w:val="00807D21"/>
    <w:rsid w:val="00810960"/>
    <w:rsid w:val="00810E0A"/>
    <w:rsid w:val="0081180D"/>
    <w:rsid w:val="008119CA"/>
    <w:rsid w:val="0081201C"/>
    <w:rsid w:val="008123DD"/>
    <w:rsid w:val="00812A2A"/>
    <w:rsid w:val="008130AB"/>
    <w:rsid w:val="008130C3"/>
    <w:rsid w:val="008130C4"/>
    <w:rsid w:val="0081386D"/>
    <w:rsid w:val="00813F63"/>
    <w:rsid w:val="00814058"/>
    <w:rsid w:val="0081470F"/>
    <w:rsid w:val="00815021"/>
    <w:rsid w:val="008150B3"/>
    <w:rsid w:val="00815187"/>
    <w:rsid w:val="00815208"/>
    <w:rsid w:val="008155F0"/>
    <w:rsid w:val="00815C28"/>
    <w:rsid w:val="00816276"/>
    <w:rsid w:val="00816735"/>
    <w:rsid w:val="00816B82"/>
    <w:rsid w:val="00817023"/>
    <w:rsid w:val="0081734B"/>
    <w:rsid w:val="00817838"/>
    <w:rsid w:val="00817877"/>
    <w:rsid w:val="00817878"/>
    <w:rsid w:val="00817974"/>
    <w:rsid w:val="00817D0F"/>
    <w:rsid w:val="00820141"/>
    <w:rsid w:val="00820D0D"/>
    <w:rsid w:val="00820E0C"/>
    <w:rsid w:val="00820E68"/>
    <w:rsid w:val="00821364"/>
    <w:rsid w:val="00821A37"/>
    <w:rsid w:val="00822187"/>
    <w:rsid w:val="008229DF"/>
    <w:rsid w:val="00823275"/>
    <w:rsid w:val="008234C9"/>
    <w:rsid w:val="0082366F"/>
    <w:rsid w:val="008239CD"/>
    <w:rsid w:val="00823E87"/>
    <w:rsid w:val="00824B23"/>
    <w:rsid w:val="0082504E"/>
    <w:rsid w:val="0082572C"/>
    <w:rsid w:val="00825D23"/>
    <w:rsid w:val="00826511"/>
    <w:rsid w:val="0082726B"/>
    <w:rsid w:val="00827480"/>
    <w:rsid w:val="008275FA"/>
    <w:rsid w:val="00827917"/>
    <w:rsid w:val="00827EEC"/>
    <w:rsid w:val="00830768"/>
    <w:rsid w:val="00830B02"/>
    <w:rsid w:val="00830F4E"/>
    <w:rsid w:val="008313E7"/>
    <w:rsid w:val="0083150A"/>
    <w:rsid w:val="00831789"/>
    <w:rsid w:val="00831B71"/>
    <w:rsid w:val="0083254D"/>
    <w:rsid w:val="00832A5C"/>
    <w:rsid w:val="00832B1A"/>
    <w:rsid w:val="00833285"/>
    <w:rsid w:val="008334DA"/>
    <w:rsid w:val="008338A2"/>
    <w:rsid w:val="00833B44"/>
    <w:rsid w:val="00834497"/>
    <w:rsid w:val="00834643"/>
    <w:rsid w:val="0083555E"/>
    <w:rsid w:val="00835EC8"/>
    <w:rsid w:val="00836848"/>
    <w:rsid w:val="00836B8A"/>
    <w:rsid w:val="0083759F"/>
    <w:rsid w:val="00837E5E"/>
    <w:rsid w:val="0084023B"/>
    <w:rsid w:val="0084028A"/>
    <w:rsid w:val="0084062F"/>
    <w:rsid w:val="00840826"/>
    <w:rsid w:val="00841785"/>
    <w:rsid w:val="00841AA9"/>
    <w:rsid w:val="008423DF"/>
    <w:rsid w:val="008430F7"/>
    <w:rsid w:val="008436DE"/>
    <w:rsid w:val="00843974"/>
    <w:rsid w:val="008443D8"/>
    <w:rsid w:val="00845C60"/>
    <w:rsid w:val="00845CB3"/>
    <w:rsid w:val="008460CF"/>
    <w:rsid w:val="00846B91"/>
    <w:rsid w:val="00846C25"/>
    <w:rsid w:val="00846DC5"/>
    <w:rsid w:val="008474FE"/>
    <w:rsid w:val="00847551"/>
    <w:rsid w:val="0085031C"/>
    <w:rsid w:val="00850593"/>
    <w:rsid w:val="00851016"/>
    <w:rsid w:val="00851887"/>
    <w:rsid w:val="00851B9C"/>
    <w:rsid w:val="00851D46"/>
    <w:rsid w:val="00852E8B"/>
    <w:rsid w:val="00853714"/>
    <w:rsid w:val="0085375A"/>
    <w:rsid w:val="00853965"/>
    <w:rsid w:val="00853AE5"/>
    <w:rsid w:val="00853EE4"/>
    <w:rsid w:val="00855157"/>
    <w:rsid w:val="008553BD"/>
    <w:rsid w:val="00855535"/>
    <w:rsid w:val="008561CA"/>
    <w:rsid w:val="00857987"/>
    <w:rsid w:val="00857C5A"/>
    <w:rsid w:val="00857EC5"/>
    <w:rsid w:val="00857FB7"/>
    <w:rsid w:val="00860353"/>
    <w:rsid w:val="008605D2"/>
    <w:rsid w:val="0086063C"/>
    <w:rsid w:val="00860710"/>
    <w:rsid w:val="00860BBB"/>
    <w:rsid w:val="00860E45"/>
    <w:rsid w:val="00860EC9"/>
    <w:rsid w:val="00861252"/>
    <w:rsid w:val="00861253"/>
    <w:rsid w:val="00861293"/>
    <w:rsid w:val="008612BE"/>
    <w:rsid w:val="0086177C"/>
    <w:rsid w:val="00862072"/>
    <w:rsid w:val="0086255E"/>
    <w:rsid w:val="008633F0"/>
    <w:rsid w:val="00865210"/>
    <w:rsid w:val="0086544E"/>
    <w:rsid w:val="00867328"/>
    <w:rsid w:val="00867541"/>
    <w:rsid w:val="00867D9D"/>
    <w:rsid w:val="0087014F"/>
    <w:rsid w:val="008705B7"/>
    <w:rsid w:val="00870936"/>
    <w:rsid w:val="00872667"/>
    <w:rsid w:val="008729AF"/>
    <w:rsid w:val="00872E0A"/>
    <w:rsid w:val="00872F00"/>
    <w:rsid w:val="00873034"/>
    <w:rsid w:val="00873347"/>
    <w:rsid w:val="00873594"/>
    <w:rsid w:val="00874574"/>
    <w:rsid w:val="0087464D"/>
    <w:rsid w:val="00874C74"/>
    <w:rsid w:val="0087515E"/>
    <w:rsid w:val="00875226"/>
    <w:rsid w:val="00875285"/>
    <w:rsid w:val="008757D3"/>
    <w:rsid w:val="0087693C"/>
    <w:rsid w:val="00877765"/>
    <w:rsid w:val="0088037D"/>
    <w:rsid w:val="008809FC"/>
    <w:rsid w:val="00881F28"/>
    <w:rsid w:val="00882029"/>
    <w:rsid w:val="0088226D"/>
    <w:rsid w:val="00882475"/>
    <w:rsid w:val="0088259B"/>
    <w:rsid w:val="00882785"/>
    <w:rsid w:val="00882806"/>
    <w:rsid w:val="008828F0"/>
    <w:rsid w:val="00882988"/>
    <w:rsid w:val="00883B67"/>
    <w:rsid w:val="00883E2B"/>
    <w:rsid w:val="00884170"/>
    <w:rsid w:val="00884B62"/>
    <w:rsid w:val="00884E96"/>
    <w:rsid w:val="00885089"/>
    <w:rsid w:val="0088529C"/>
    <w:rsid w:val="00885CE1"/>
    <w:rsid w:val="00886051"/>
    <w:rsid w:val="00887034"/>
    <w:rsid w:val="00887903"/>
    <w:rsid w:val="00890831"/>
    <w:rsid w:val="008917A9"/>
    <w:rsid w:val="00891AE7"/>
    <w:rsid w:val="00892553"/>
    <w:rsid w:val="0089270A"/>
    <w:rsid w:val="00892817"/>
    <w:rsid w:val="00892F7B"/>
    <w:rsid w:val="00893AF6"/>
    <w:rsid w:val="00893F20"/>
    <w:rsid w:val="00894395"/>
    <w:rsid w:val="0089460E"/>
    <w:rsid w:val="00894BC4"/>
    <w:rsid w:val="00894CA3"/>
    <w:rsid w:val="00894FC0"/>
    <w:rsid w:val="00895654"/>
    <w:rsid w:val="00895806"/>
    <w:rsid w:val="00895CF3"/>
    <w:rsid w:val="008963D6"/>
    <w:rsid w:val="00897680"/>
    <w:rsid w:val="008A0278"/>
    <w:rsid w:val="008A0593"/>
    <w:rsid w:val="008A0ACF"/>
    <w:rsid w:val="008A1137"/>
    <w:rsid w:val="008A15B7"/>
    <w:rsid w:val="008A160B"/>
    <w:rsid w:val="008A1C83"/>
    <w:rsid w:val="008A1E9D"/>
    <w:rsid w:val="008A28A8"/>
    <w:rsid w:val="008A29C9"/>
    <w:rsid w:val="008A2C0A"/>
    <w:rsid w:val="008A2CC2"/>
    <w:rsid w:val="008A3A43"/>
    <w:rsid w:val="008A4216"/>
    <w:rsid w:val="008A4F3C"/>
    <w:rsid w:val="008A523E"/>
    <w:rsid w:val="008A56DA"/>
    <w:rsid w:val="008A5912"/>
    <w:rsid w:val="008A5B32"/>
    <w:rsid w:val="008A6505"/>
    <w:rsid w:val="008A673B"/>
    <w:rsid w:val="008A6D30"/>
    <w:rsid w:val="008A6E41"/>
    <w:rsid w:val="008A71C5"/>
    <w:rsid w:val="008A78FB"/>
    <w:rsid w:val="008A7AD6"/>
    <w:rsid w:val="008B05A4"/>
    <w:rsid w:val="008B08A2"/>
    <w:rsid w:val="008B093B"/>
    <w:rsid w:val="008B1503"/>
    <w:rsid w:val="008B1C18"/>
    <w:rsid w:val="008B2029"/>
    <w:rsid w:val="008B2204"/>
    <w:rsid w:val="008B235C"/>
    <w:rsid w:val="008B28E1"/>
    <w:rsid w:val="008B2CFA"/>
    <w:rsid w:val="008B2EE4"/>
    <w:rsid w:val="008B2FD6"/>
    <w:rsid w:val="008B3821"/>
    <w:rsid w:val="008B3B5D"/>
    <w:rsid w:val="008B3D87"/>
    <w:rsid w:val="008B3E1E"/>
    <w:rsid w:val="008B428E"/>
    <w:rsid w:val="008B433D"/>
    <w:rsid w:val="008B472F"/>
    <w:rsid w:val="008B4A7B"/>
    <w:rsid w:val="008B4D35"/>
    <w:rsid w:val="008B4D3D"/>
    <w:rsid w:val="008B53DB"/>
    <w:rsid w:val="008B555D"/>
    <w:rsid w:val="008B57C7"/>
    <w:rsid w:val="008B581E"/>
    <w:rsid w:val="008B5DEA"/>
    <w:rsid w:val="008B6396"/>
    <w:rsid w:val="008B6832"/>
    <w:rsid w:val="008B6FBB"/>
    <w:rsid w:val="008B771B"/>
    <w:rsid w:val="008B7BB5"/>
    <w:rsid w:val="008B7EC6"/>
    <w:rsid w:val="008B7EFB"/>
    <w:rsid w:val="008C0257"/>
    <w:rsid w:val="008C102E"/>
    <w:rsid w:val="008C1DA6"/>
    <w:rsid w:val="008C21B1"/>
    <w:rsid w:val="008C2406"/>
    <w:rsid w:val="008C2F92"/>
    <w:rsid w:val="008C33A2"/>
    <w:rsid w:val="008C34D4"/>
    <w:rsid w:val="008C412C"/>
    <w:rsid w:val="008C4529"/>
    <w:rsid w:val="008C4E69"/>
    <w:rsid w:val="008C4E6F"/>
    <w:rsid w:val="008C545C"/>
    <w:rsid w:val="008C589D"/>
    <w:rsid w:val="008C5A2F"/>
    <w:rsid w:val="008C6532"/>
    <w:rsid w:val="008C6774"/>
    <w:rsid w:val="008C6D51"/>
    <w:rsid w:val="008C6F2C"/>
    <w:rsid w:val="008D040A"/>
    <w:rsid w:val="008D1959"/>
    <w:rsid w:val="008D1DB2"/>
    <w:rsid w:val="008D1DF7"/>
    <w:rsid w:val="008D253C"/>
    <w:rsid w:val="008D2846"/>
    <w:rsid w:val="008D31B0"/>
    <w:rsid w:val="008D3242"/>
    <w:rsid w:val="008D3D69"/>
    <w:rsid w:val="008D4236"/>
    <w:rsid w:val="008D462F"/>
    <w:rsid w:val="008D4D8D"/>
    <w:rsid w:val="008D536D"/>
    <w:rsid w:val="008D5A43"/>
    <w:rsid w:val="008D5C45"/>
    <w:rsid w:val="008D5D7E"/>
    <w:rsid w:val="008D6DCF"/>
    <w:rsid w:val="008D6E3B"/>
    <w:rsid w:val="008D7015"/>
    <w:rsid w:val="008D77CE"/>
    <w:rsid w:val="008E025B"/>
    <w:rsid w:val="008E08AD"/>
    <w:rsid w:val="008E108B"/>
    <w:rsid w:val="008E1612"/>
    <w:rsid w:val="008E1887"/>
    <w:rsid w:val="008E1AAD"/>
    <w:rsid w:val="008E1E12"/>
    <w:rsid w:val="008E2AD9"/>
    <w:rsid w:val="008E3C0B"/>
    <w:rsid w:val="008E4376"/>
    <w:rsid w:val="008E4688"/>
    <w:rsid w:val="008E4B32"/>
    <w:rsid w:val="008E52F4"/>
    <w:rsid w:val="008E539E"/>
    <w:rsid w:val="008E5429"/>
    <w:rsid w:val="008E6E13"/>
    <w:rsid w:val="008E7972"/>
    <w:rsid w:val="008E7A0A"/>
    <w:rsid w:val="008E7B49"/>
    <w:rsid w:val="008F0220"/>
    <w:rsid w:val="008F147E"/>
    <w:rsid w:val="008F1610"/>
    <w:rsid w:val="008F1622"/>
    <w:rsid w:val="008F1B44"/>
    <w:rsid w:val="008F2261"/>
    <w:rsid w:val="008F3ACE"/>
    <w:rsid w:val="008F52BB"/>
    <w:rsid w:val="008F59F6"/>
    <w:rsid w:val="008F6436"/>
    <w:rsid w:val="008F6917"/>
    <w:rsid w:val="008F6DA5"/>
    <w:rsid w:val="008F764B"/>
    <w:rsid w:val="009002AB"/>
    <w:rsid w:val="00900719"/>
    <w:rsid w:val="00900920"/>
    <w:rsid w:val="009009EB"/>
    <w:rsid w:val="009015D5"/>
    <w:rsid w:val="009017AC"/>
    <w:rsid w:val="009019DA"/>
    <w:rsid w:val="0090270F"/>
    <w:rsid w:val="00902A9A"/>
    <w:rsid w:val="00904293"/>
    <w:rsid w:val="00904699"/>
    <w:rsid w:val="00904958"/>
    <w:rsid w:val="00904A1C"/>
    <w:rsid w:val="00905030"/>
    <w:rsid w:val="009052E1"/>
    <w:rsid w:val="0090553A"/>
    <w:rsid w:val="0090558A"/>
    <w:rsid w:val="0090597B"/>
    <w:rsid w:val="00905A57"/>
    <w:rsid w:val="0090610F"/>
    <w:rsid w:val="00906490"/>
    <w:rsid w:val="009065FE"/>
    <w:rsid w:val="0090684B"/>
    <w:rsid w:val="009071C2"/>
    <w:rsid w:val="00907455"/>
    <w:rsid w:val="0090778D"/>
    <w:rsid w:val="00910076"/>
    <w:rsid w:val="009102BC"/>
    <w:rsid w:val="009111B2"/>
    <w:rsid w:val="00911553"/>
    <w:rsid w:val="0091184E"/>
    <w:rsid w:val="00911D7A"/>
    <w:rsid w:val="009120F8"/>
    <w:rsid w:val="00912AA6"/>
    <w:rsid w:val="00913517"/>
    <w:rsid w:val="00913772"/>
    <w:rsid w:val="009145C3"/>
    <w:rsid w:val="00915135"/>
    <w:rsid w:val="009151F5"/>
    <w:rsid w:val="0091521D"/>
    <w:rsid w:val="0091529C"/>
    <w:rsid w:val="00915A4D"/>
    <w:rsid w:val="00915C7D"/>
    <w:rsid w:val="00915F25"/>
    <w:rsid w:val="00916075"/>
    <w:rsid w:val="00916595"/>
    <w:rsid w:val="00916ED0"/>
    <w:rsid w:val="0091768A"/>
    <w:rsid w:val="00917715"/>
    <w:rsid w:val="0092007C"/>
    <w:rsid w:val="00920E9E"/>
    <w:rsid w:val="009212B8"/>
    <w:rsid w:val="009215DB"/>
    <w:rsid w:val="00922157"/>
    <w:rsid w:val="00922189"/>
    <w:rsid w:val="0092228D"/>
    <w:rsid w:val="00922E32"/>
    <w:rsid w:val="00923930"/>
    <w:rsid w:val="00924AE1"/>
    <w:rsid w:val="00924B90"/>
    <w:rsid w:val="00924E29"/>
    <w:rsid w:val="009254FF"/>
    <w:rsid w:val="009257ED"/>
    <w:rsid w:val="009258ED"/>
    <w:rsid w:val="00925A19"/>
    <w:rsid w:val="00925CD1"/>
    <w:rsid w:val="009265A4"/>
    <w:rsid w:val="009269B1"/>
    <w:rsid w:val="0092724D"/>
    <w:rsid w:val="009272B3"/>
    <w:rsid w:val="00927A6A"/>
    <w:rsid w:val="00930729"/>
    <w:rsid w:val="0093140B"/>
    <w:rsid w:val="009315BE"/>
    <w:rsid w:val="00931E40"/>
    <w:rsid w:val="00931FD8"/>
    <w:rsid w:val="00932328"/>
    <w:rsid w:val="00932C6A"/>
    <w:rsid w:val="00933076"/>
    <w:rsid w:val="0093338F"/>
    <w:rsid w:val="00933B49"/>
    <w:rsid w:val="00933BE1"/>
    <w:rsid w:val="00933F31"/>
    <w:rsid w:val="00935183"/>
    <w:rsid w:val="00935530"/>
    <w:rsid w:val="0093560D"/>
    <w:rsid w:val="009360E9"/>
    <w:rsid w:val="009362B7"/>
    <w:rsid w:val="00937B31"/>
    <w:rsid w:val="00937BD9"/>
    <w:rsid w:val="0094087F"/>
    <w:rsid w:val="009410A6"/>
    <w:rsid w:val="0094137E"/>
    <w:rsid w:val="00941869"/>
    <w:rsid w:val="00942155"/>
    <w:rsid w:val="0094257B"/>
    <w:rsid w:val="00943A82"/>
    <w:rsid w:val="0094476C"/>
    <w:rsid w:val="00944921"/>
    <w:rsid w:val="00944986"/>
    <w:rsid w:val="0094514D"/>
    <w:rsid w:val="009451D8"/>
    <w:rsid w:val="00945398"/>
    <w:rsid w:val="0094552F"/>
    <w:rsid w:val="00946D01"/>
    <w:rsid w:val="009470D9"/>
    <w:rsid w:val="00947339"/>
    <w:rsid w:val="009473A8"/>
    <w:rsid w:val="00947C73"/>
    <w:rsid w:val="009508C5"/>
    <w:rsid w:val="00950E2C"/>
    <w:rsid w:val="00951D50"/>
    <w:rsid w:val="009525EB"/>
    <w:rsid w:val="00952A2E"/>
    <w:rsid w:val="00952A7D"/>
    <w:rsid w:val="009531B3"/>
    <w:rsid w:val="009545E4"/>
    <w:rsid w:val="0095470B"/>
    <w:rsid w:val="00954874"/>
    <w:rsid w:val="00955742"/>
    <w:rsid w:val="0095615A"/>
    <w:rsid w:val="0095618A"/>
    <w:rsid w:val="00957115"/>
    <w:rsid w:val="0095729D"/>
    <w:rsid w:val="009575F2"/>
    <w:rsid w:val="009606B0"/>
    <w:rsid w:val="00960B7B"/>
    <w:rsid w:val="009611B9"/>
    <w:rsid w:val="00961400"/>
    <w:rsid w:val="0096356A"/>
    <w:rsid w:val="00963646"/>
    <w:rsid w:val="00964938"/>
    <w:rsid w:val="00964D0F"/>
    <w:rsid w:val="00964D5F"/>
    <w:rsid w:val="00965288"/>
    <w:rsid w:val="009660C5"/>
    <w:rsid w:val="0096632D"/>
    <w:rsid w:val="009667C5"/>
    <w:rsid w:val="00967124"/>
    <w:rsid w:val="00967C5F"/>
    <w:rsid w:val="00970261"/>
    <w:rsid w:val="009707B2"/>
    <w:rsid w:val="00970E14"/>
    <w:rsid w:val="009712F2"/>
    <w:rsid w:val="00971829"/>
    <w:rsid w:val="009718C7"/>
    <w:rsid w:val="00972049"/>
    <w:rsid w:val="009725B2"/>
    <w:rsid w:val="00972886"/>
    <w:rsid w:val="00973788"/>
    <w:rsid w:val="0097408B"/>
    <w:rsid w:val="00974292"/>
    <w:rsid w:val="0097450F"/>
    <w:rsid w:val="00974B09"/>
    <w:rsid w:val="0097559F"/>
    <w:rsid w:val="009761EA"/>
    <w:rsid w:val="00977005"/>
    <w:rsid w:val="009775A3"/>
    <w:rsid w:val="0097761E"/>
    <w:rsid w:val="00977715"/>
    <w:rsid w:val="00977C43"/>
    <w:rsid w:val="0098009B"/>
    <w:rsid w:val="0098024B"/>
    <w:rsid w:val="009808B8"/>
    <w:rsid w:val="00980E08"/>
    <w:rsid w:val="0098121C"/>
    <w:rsid w:val="00981E5C"/>
    <w:rsid w:val="00982454"/>
    <w:rsid w:val="009825CD"/>
    <w:rsid w:val="00982729"/>
    <w:rsid w:val="00982CF0"/>
    <w:rsid w:val="00982E54"/>
    <w:rsid w:val="009835E2"/>
    <w:rsid w:val="00983B6D"/>
    <w:rsid w:val="0098464D"/>
    <w:rsid w:val="009850E4"/>
    <w:rsid w:val="0098531F"/>
    <w:rsid w:val="009853E1"/>
    <w:rsid w:val="009858E8"/>
    <w:rsid w:val="0098636B"/>
    <w:rsid w:val="009865B2"/>
    <w:rsid w:val="009866B2"/>
    <w:rsid w:val="009869BF"/>
    <w:rsid w:val="00986E6B"/>
    <w:rsid w:val="00987182"/>
    <w:rsid w:val="00987FFA"/>
    <w:rsid w:val="00990032"/>
    <w:rsid w:val="0099060C"/>
    <w:rsid w:val="00990B19"/>
    <w:rsid w:val="0099145C"/>
    <w:rsid w:val="0099153B"/>
    <w:rsid w:val="00991769"/>
    <w:rsid w:val="00991BF1"/>
    <w:rsid w:val="00991C76"/>
    <w:rsid w:val="00991FE6"/>
    <w:rsid w:val="009921E3"/>
    <w:rsid w:val="0099220D"/>
    <w:rsid w:val="0099232C"/>
    <w:rsid w:val="00992AC1"/>
    <w:rsid w:val="00992E6F"/>
    <w:rsid w:val="00993D4F"/>
    <w:rsid w:val="00994386"/>
    <w:rsid w:val="009947A0"/>
    <w:rsid w:val="00994BCD"/>
    <w:rsid w:val="00994C4F"/>
    <w:rsid w:val="009967B7"/>
    <w:rsid w:val="00997C35"/>
    <w:rsid w:val="00997FA0"/>
    <w:rsid w:val="009A0193"/>
    <w:rsid w:val="009A030E"/>
    <w:rsid w:val="009A0EFC"/>
    <w:rsid w:val="009A13D8"/>
    <w:rsid w:val="009A1403"/>
    <w:rsid w:val="009A150E"/>
    <w:rsid w:val="009A233A"/>
    <w:rsid w:val="009A26F2"/>
    <w:rsid w:val="009A279E"/>
    <w:rsid w:val="009A3015"/>
    <w:rsid w:val="009A3490"/>
    <w:rsid w:val="009A3549"/>
    <w:rsid w:val="009A3560"/>
    <w:rsid w:val="009A4619"/>
    <w:rsid w:val="009A4953"/>
    <w:rsid w:val="009A4B62"/>
    <w:rsid w:val="009A549D"/>
    <w:rsid w:val="009A55DB"/>
    <w:rsid w:val="009A5617"/>
    <w:rsid w:val="009A615B"/>
    <w:rsid w:val="009A633B"/>
    <w:rsid w:val="009A6CC4"/>
    <w:rsid w:val="009A76B3"/>
    <w:rsid w:val="009A7988"/>
    <w:rsid w:val="009B02A6"/>
    <w:rsid w:val="009B06BC"/>
    <w:rsid w:val="009B0A6F"/>
    <w:rsid w:val="009B0A94"/>
    <w:rsid w:val="009B187A"/>
    <w:rsid w:val="009B2691"/>
    <w:rsid w:val="009B2AE8"/>
    <w:rsid w:val="009B31E8"/>
    <w:rsid w:val="009B334A"/>
    <w:rsid w:val="009B396D"/>
    <w:rsid w:val="009B3D96"/>
    <w:rsid w:val="009B496F"/>
    <w:rsid w:val="009B49E3"/>
    <w:rsid w:val="009B4C34"/>
    <w:rsid w:val="009B4DBD"/>
    <w:rsid w:val="009B5125"/>
    <w:rsid w:val="009B5161"/>
    <w:rsid w:val="009B51B3"/>
    <w:rsid w:val="009B534A"/>
    <w:rsid w:val="009B5622"/>
    <w:rsid w:val="009B59D3"/>
    <w:rsid w:val="009B59E9"/>
    <w:rsid w:val="009B6885"/>
    <w:rsid w:val="009B6BD9"/>
    <w:rsid w:val="009B6ED0"/>
    <w:rsid w:val="009B70AA"/>
    <w:rsid w:val="009B76EA"/>
    <w:rsid w:val="009B7B12"/>
    <w:rsid w:val="009B7B60"/>
    <w:rsid w:val="009C20AF"/>
    <w:rsid w:val="009C3492"/>
    <w:rsid w:val="009C369E"/>
    <w:rsid w:val="009C3858"/>
    <w:rsid w:val="009C4364"/>
    <w:rsid w:val="009C4836"/>
    <w:rsid w:val="009C483D"/>
    <w:rsid w:val="009C4D4B"/>
    <w:rsid w:val="009C519A"/>
    <w:rsid w:val="009C5C53"/>
    <w:rsid w:val="009C5DBB"/>
    <w:rsid w:val="009C5E77"/>
    <w:rsid w:val="009C6222"/>
    <w:rsid w:val="009C63D4"/>
    <w:rsid w:val="009C778F"/>
    <w:rsid w:val="009C78D3"/>
    <w:rsid w:val="009C7A7E"/>
    <w:rsid w:val="009C7D2F"/>
    <w:rsid w:val="009C7D94"/>
    <w:rsid w:val="009D000C"/>
    <w:rsid w:val="009D02E8"/>
    <w:rsid w:val="009D05E3"/>
    <w:rsid w:val="009D0959"/>
    <w:rsid w:val="009D2424"/>
    <w:rsid w:val="009D272E"/>
    <w:rsid w:val="009D29AC"/>
    <w:rsid w:val="009D36AA"/>
    <w:rsid w:val="009D3D15"/>
    <w:rsid w:val="009D43AB"/>
    <w:rsid w:val="009D4C2A"/>
    <w:rsid w:val="009D4D53"/>
    <w:rsid w:val="009D4D6A"/>
    <w:rsid w:val="009D51D0"/>
    <w:rsid w:val="009D52BE"/>
    <w:rsid w:val="009D5712"/>
    <w:rsid w:val="009D5EE2"/>
    <w:rsid w:val="009D62D9"/>
    <w:rsid w:val="009D6D03"/>
    <w:rsid w:val="009D70A4"/>
    <w:rsid w:val="009D7A52"/>
    <w:rsid w:val="009D7B14"/>
    <w:rsid w:val="009E01C9"/>
    <w:rsid w:val="009E081C"/>
    <w:rsid w:val="009E08D1"/>
    <w:rsid w:val="009E12A4"/>
    <w:rsid w:val="009E1410"/>
    <w:rsid w:val="009E1B95"/>
    <w:rsid w:val="009E1D26"/>
    <w:rsid w:val="009E1E85"/>
    <w:rsid w:val="009E2214"/>
    <w:rsid w:val="009E23C7"/>
    <w:rsid w:val="009E2437"/>
    <w:rsid w:val="009E2E65"/>
    <w:rsid w:val="009E354E"/>
    <w:rsid w:val="009E3584"/>
    <w:rsid w:val="009E4845"/>
    <w:rsid w:val="009E496F"/>
    <w:rsid w:val="009E4B0D"/>
    <w:rsid w:val="009E5250"/>
    <w:rsid w:val="009E6CB0"/>
    <w:rsid w:val="009E6D14"/>
    <w:rsid w:val="009E6E8D"/>
    <w:rsid w:val="009E6F97"/>
    <w:rsid w:val="009E7A69"/>
    <w:rsid w:val="009E7F92"/>
    <w:rsid w:val="009F01FC"/>
    <w:rsid w:val="009F02A3"/>
    <w:rsid w:val="009F0361"/>
    <w:rsid w:val="009F0558"/>
    <w:rsid w:val="009F0EBF"/>
    <w:rsid w:val="009F145E"/>
    <w:rsid w:val="009F1CA0"/>
    <w:rsid w:val="009F2479"/>
    <w:rsid w:val="009F288D"/>
    <w:rsid w:val="009F2959"/>
    <w:rsid w:val="009F2B97"/>
    <w:rsid w:val="009F2F27"/>
    <w:rsid w:val="009F34AA"/>
    <w:rsid w:val="009F3ED7"/>
    <w:rsid w:val="009F44E4"/>
    <w:rsid w:val="009F45DB"/>
    <w:rsid w:val="009F4807"/>
    <w:rsid w:val="009F48D5"/>
    <w:rsid w:val="009F4E93"/>
    <w:rsid w:val="009F520B"/>
    <w:rsid w:val="009F55DD"/>
    <w:rsid w:val="009F5B26"/>
    <w:rsid w:val="009F5C15"/>
    <w:rsid w:val="009F6BCB"/>
    <w:rsid w:val="009F7116"/>
    <w:rsid w:val="009F73D0"/>
    <w:rsid w:val="009F7776"/>
    <w:rsid w:val="009F7B78"/>
    <w:rsid w:val="00A0057A"/>
    <w:rsid w:val="00A00B62"/>
    <w:rsid w:val="00A01005"/>
    <w:rsid w:val="00A01184"/>
    <w:rsid w:val="00A012D9"/>
    <w:rsid w:val="00A02348"/>
    <w:rsid w:val="00A026FB"/>
    <w:rsid w:val="00A02FA1"/>
    <w:rsid w:val="00A02FA7"/>
    <w:rsid w:val="00A03169"/>
    <w:rsid w:val="00A04CCE"/>
    <w:rsid w:val="00A04D0C"/>
    <w:rsid w:val="00A04F6F"/>
    <w:rsid w:val="00A0547F"/>
    <w:rsid w:val="00A05ADD"/>
    <w:rsid w:val="00A05EEE"/>
    <w:rsid w:val="00A06530"/>
    <w:rsid w:val="00A07421"/>
    <w:rsid w:val="00A0745A"/>
    <w:rsid w:val="00A0776B"/>
    <w:rsid w:val="00A07E1D"/>
    <w:rsid w:val="00A10C09"/>
    <w:rsid w:val="00A10FB9"/>
    <w:rsid w:val="00A11421"/>
    <w:rsid w:val="00A119DF"/>
    <w:rsid w:val="00A11D23"/>
    <w:rsid w:val="00A11FD8"/>
    <w:rsid w:val="00A12290"/>
    <w:rsid w:val="00A124EB"/>
    <w:rsid w:val="00A12DF5"/>
    <w:rsid w:val="00A1308D"/>
    <w:rsid w:val="00A13720"/>
    <w:rsid w:val="00A1389F"/>
    <w:rsid w:val="00A13CC8"/>
    <w:rsid w:val="00A13CD7"/>
    <w:rsid w:val="00A15182"/>
    <w:rsid w:val="00A157B1"/>
    <w:rsid w:val="00A159F7"/>
    <w:rsid w:val="00A16038"/>
    <w:rsid w:val="00A16460"/>
    <w:rsid w:val="00A16C2A"/>
    <w:rsid w:val="00A17E5E"/>
    <w:rsid w:val="00A20329"/>
    <w:rsid w:val="00A207EA"/>
    <w:rsid w:val="00A21CD9"/>
    <w:rsid w:val="00A21CE9"/>
    <w:rsid w:val="00A21DC5"/>
    <w:rsid w:val="00A22229"/>
    <w:rsid w:val="00A22394"/>
    <w:rsid w:val="00A2252C"/>
    <w:rsid w:val="00A227D3"/>
    <w:rsid w:val="00A22BDF"/>
    <w:rsid w:val="00A24060"/>
    <w:rsid w:val="00A241B8"/>
    <w:rsid w:val="00A24442"/>
    <w:rsid w:val="00A24490"/>
    <w:rsid w:val="00A248E7"/>
    <w:rsid w:val="00A252EF"/>
    <w:rsid w:val="00A25A8D"/>
    <w:rsid w:val="00A25C86"/>
    <w:rsid w:val="00A26D49"/>
    <w:rsid w:val="00A27994"/>
    <w:rsid w:val="00A304C4"/>
    <w:rsid w:val="00A31000"/>
    <w:rsid w:val="00A3120C"/>
    <w:rsid w:val="00A315DA"/>
    <w:rsid w:val="00A3171E"/>
    <w:rsid w:val="00A3243C"/>
    <w:rsid w:val="00A32577"/>
    <w:rsid w:val="00A325F3"/>
    <w:rsid w:val="00A32834"/>
    <w:rsid w:val="00A3294B"/>
    <w:rsid w:val="00A330BB"/>
    <w:rsid w:val="00A332BB"/>
    <w:rsid w:val="00A334B6"/>
    <w:rsid w:val="00A33A0B"/>
    <w:rsid w:val="00A33C5F"/>
    <w:rsid w:val="00A348C2"/>
    <w:rsid w:val="00A34BA7"/>
    <w:rsid w:val="00A34BCB"/>
    <w:rsid w:val="00A34CB2"/>
    <w:rsid w:val="00A35159"/>
    <w:rsid w:val="00A3580F"/>
    <w:rsid w:val="00A35D64"/>
    <w:rsid w:val="00A369CA"/>
    <w:rsid w:val="00A36E16"/>
    <w:rsid w:val="00A36E56"/>
    <w:rsid w:val="00A37118"/>
    <w:rsid w:val="00A403DE"/>
    <w:rsid w:val="00A40661"/>
    <w:rsid w:val="00A42AB0"/>
    <w:rsid w:val="00A42EFC"/>
    <w:rsid w:val="00A43156"/>
    <w:rsid w:val="00A4395B"/>
    <w:rsid w:val="00A44882"/>
    <w:rsid w:val="00A44CD1"/>
    <w:rsid w:val="00A44EB5"/>
    <w:rsid w:val="00A45125"/>
    <w:rsid w:val="00A45485"/>
    <w:rsid w:val="00A45941"/>
    <w:rsid w:val="00A461AF"/>
    <w:rsid w:val="00A47D6E"/>
    <w:rsid w:val="00A47E15"/>
    <w:rsid w:val="00A509CE"/>
    <w:rsid w:val="00A50CDE"/>
    <w:rsid w:val="00A514C2"/>
    <w:rsid w:val="00A5171C"/>
    <w:rsid w:val="00A51736"/>
    <w:rsid w:val="00A51847"/>
    <w:rsid w:val="00A5189B"/>
    <w:rsid w:val="00A520BD"/>
    <w:rsid w:val="00A52496"/>
    <w:rsid w:val="00A5298A"/>
    <w:rsid w:val="00A52EC1"/>
    <w:rsid w:val="00A5334E"/>
    <w:rsid w:val="00A5335C"/>
    <w:rsid w:val="00A534DF"/>
    <w:rsid w:val="00A535D4"/>
    <w:rsid w:val="00A54715"/>
    <w:rsid w:val="00A54AAF"/>
    <w:rsid w:val="00A54C55"/>
    <w:rsid w:val="00A54C71"/>
    <w:rsid w:val="00A55130"/>
    <w:rsid w:val="00A556FC"/>
    <w:rsid w:val="00A559E4"/>
    <w:rsid w:val="00A566DA"/>
    <w:rsid w:val="00A56A38"/>
    <w:rsid w:val="00A56D9B"/>
    <w:rsid w:val="00A56F90"/>
    <w:rsid w:val="00A6061C"/>
    <w:rsid w:val="00A60EBB"/>
    <w:rsid w:val="00A61136"/>
    <w:rsid w:val="00A6125B"/>
    <w:rsid w:val="00A61DF2"/>
    <w:rsid w:val="00A624C7"/>
    <w:rsid w:val="00A6275C"/>
    <w:rsid w:val="00A62D44"/>
    <w:rsid w:val="00A62E1E"/>
    <w:rsid w:val="00A630A4"/>
    <w:rsid w:val="00A632BD"/>
    <w:rsid w:val="00A63405"/>
    <w:rsid w:val="00A635BD"/>
    <w:rsid w:val="00A6360B"/>
    <w:rsid w:val="00A63AA3"/>
    <w:rsid w:val="00A63FAC"/>
    <w:rsid w:val="00A6424D"/>
    <w:rsid w:val="00A656D0"/>
    <w:rsid w:val="00A669EC"/>
    <w:rsid w:val="00A67263"/>
    <w:rsid w:val="00A67730"/>
    <w:rsid w:val="00A67DC9"/>
    <w:rsid w:val="00A67F7F"/>
    <w:rsid w:val="00A70B26"/>
    <w:rsid w:val="00A70DAB"/>
    <w:rsid w:val="00A70F28"/>
    <w:rsid w:val="00A7161C"/>
    <w:rsid w:val="00A71981"/>
    <w:rsid w:val="00A71B89"/>
    <w:rsid w:val="00A72A4E"/>
    <w:rsid w:val="00A72BE2"/>
    <w:rsid w:val="00A72C9D"/>
    <w:rsid w:val="00A73638"/>
    <w:rsid w:val="00A73FE9"/>
    <w:rsid w:val="00A74291"/>
    <w:rsid w:val="00A745C4"/>
    <w:rsid w:val="00A75770"/>
    <w:rsid w:val="00A75A27"/>
    <w:rsid w:val="00A765FF"/>
    <w:rsid w:val="00A76A20"/>
    <w:rsid w:val="00A76D1F"/>
    <w:rsid w:val="00A77100"/>
    <w:rsid w:val="00A77843"/>
    <w:rsid w:val="00A77883"/>
    <w:rsid w:val="00A77AA3"/>
    <w:rsid w:val="00A800F0"/>
    <w:rsid w:val="00A806EA"/>
    <w:rsid w:val="00A80B2D"/>
    <w:rsid w:val="00A80B66"/>
    <w:rsid w:val="00A81018"/>
    <w:rsid w:val="00A817D9"/>
    <w:rsid w:val="00A81D1D"/>
    <w:rsid w:val="00A82041"/>
    <w:rsid w:val="00A8236D"/>
    <w:rsid w:val="00A82666"/>
    <w:rsid w:val="00A838C9"/>
    <w:rsid w:val="00A8391A"/>
    <w:rsid w:val="00A83B20"/>
    <w:rsid w:val="00A84029"/>
    <w:rsid w:val="00A841F7"/>
    <w:rsid w:val="00A85075"/>
    <w:rsid w:val="00A854EB"/>
    <w:rsid w:val="00A855EE"/>
    <w:rsid w:val="00A8571A"/>
    <w:rsid w:val="00A86FE2"/>
    <w:rsid w:val="00A872E5"/>
    <w:rsid w:val="00A87B12"/>
    <w:rsid w:val="00A90877"/>
    <w:rsid w:val="00A91406"/>
    <w:rsid w:val="00A916CF"/>
    <w:rsid w:val="00A91C4D"/>
    <w:rsid w:val="00A9240C"/>
    <w:rsid w:val="00A92577"/>
    <w:rsid w:val="00A92A08"/>
    <w:rsid w:val="00A92C3D"/>
    <w:rsid w:val="00A92FD8"/>
    <w:rsid w:val="00A9347E"/>
    <w:rsid w:val="00A934C7"/>
    <w:rsid w:val="00A937D7"/>
    <w:rsid w:val="00A937D9"/>
    <w:rsid w:val="00A948A8"/>
    <w:rsid w:val="00A951B9"/>
    <w:rsid w:val="00A95CF1"/>
    <w:rsid w:val="00A96714"/>
    <w:rsid w:val="00A9671E"/>
    <w:rsid w:val="00A96747"/>
    <w:rsid w:val="00A96E65"/>
    <w:rsid w:val="00A96ECE"/>
    <w:rsid w:val="00A9718C"/>
    <w:rsid w:val="00A97884"/>
    <w:rsid w:val="00A97920"/>
    <w:rsid w:val="00A97AE3"/>
    <w:rsid w:val="00A97C72"/>
    <w:rsid w:val="00AA0A45"/>
    <w:rsid w:val="00AA0B2F"/>
    <w:rsid w:val="00AA0C16"/>
    <w:rsid w:val="00AA0F68"/>
    <w:rsid w:val="00AA2E0D"/>
    <w:rsid w:val="00AA310B"/>
    <w:rsid w:val="00AA4424"/>
    <w:rsid w:val="00AA4A55"/>
    <w:rsid w:val="00AA539D"/>
    <w:rsid w:val="00AA63D4"/>
    <w:rsid w:val="00AA66F5"/>
    <w:rsid w:val="00AA69C7"/>
    <w:rsid w:val="00AA6A2B"/>
    <w:rsid w:val="00AA6F03"/>
    <w:rsid w:val="00AA7491"/>
    <w:rsid w:val="00AB0056"/>
    <w:rsid w:val="00AB0299"/>
    <w:rsid w:val="00AB04B8"/>
    <w:rsid w:val="00AB06E8"/>
    <w:rsid w:val="00AB085A"/>
    <w:rsid w:val="00AB1A73"/>
    <w:rsid w:val="00AB1CD3"/>
    <w:rsid w:val="00AB2221"/>
    <w:rsid w:val="00AB2575"/>
    <w:rsid w:val="00AB27A4"/>
    <w:rsid w:val="00AB27B5"/>
    <w:rsid w:val="00AB2CC0"/>
    <w:rsid w:val="00AB352F"/>
    <w:rsid w:val="00AB3CC9"/>
    <w:rsid w:val="00AB4DD1"/>
    <w:rsid w:val="00AB4E4F"/>
    <w:rsid w:val="00AB59A6"/>
    <w:rsid w:val="00AB5B75"/>
    <w:rsid w:val="00AB66BB"/>
    <w:rsid w:val="00AB709E"/>
    <w:rsid w:val="00AB7232"/>
    <w:rsid w:val="00AB7F9B"/>
    <w:rsid w:val="00AC0CFE"/>
    <w:rsid w:val="00AC0D1A"/>
    <w:rsid w:val="00AC12F5"/>
    <w:rsid w:val="00AC19EF"/>
    <w:rsid w:val="00AC1F75"/>
    <w:rsid w:val="00AC21BE"/>
    <w:rsid w:val="00AC2572"/>
    <w:rsid w:val="00AC274B"/>
    <w:rsid w:val="00AC3152"/>
    <w:rsid w:val="00AC3498"/>
    <w:rsid w:val="00AC34FD"/>
    <w:rsid w:val="00AC4764"/>
    <w:rsid w:val="00AC481F"/>
    <w:rsid w:val="00AC4872"/>
    <w:rsid w:val="00AC58ED"/>
    <w:rsid w:val="00AC6D36"/>
    <w:rsid w:val="00AD0383"/>
    <w:rsid w:val="00AD0CBA"/>
    <w:rsid w:val="00AD15A0"/>
    <w:rsid w:val="00AD1C0A"/>
    <w:rsid w:val="00AD1F1B"/>
    <w:rsid w:val="00AD26E2"/>
    <w:rsid w:val="00AD331A"/>
    <w:rsid w:val="00AD4098"/>
    <w:rsid w:val="00AD4F3A"/>
    <w:rsid w:val="00AD57D5"/>
    <w:rsid w:val="00AD5CE5"/>
    <w:rsid w:val="00AD6242"/>
    <w:rsid w:val="00AD6359"/>
    <w:rsid w:val="00AD66FD"/>
    <w:rsid w:val="00AD7767"/>
    <w:rsid w:val="00AD784C"/>
    <w:rsid w:val="00AD7F9E"/>
    <w:rsid w:val="00AD7FE1"/>
    <w:rsid w:val="00AE0136"/>
    <w:rsid w:val="00AE0644"/>
    <w:rsid w:val="00AE0712"/>
    <w:rsid w:val="00AE0C16"/>
    <w:rsid w:val="00AE126A"/>
    <w:rsid w:val="00AE1BAE"/>
    <w:rsid w:val="00AE2444"/>
    <w:rsid w:val="00AE2EF7"/>
    <w:rsid w:val="00AE3005"/>
    <w:rsid w:val="00AE3124"/>
    <w:rsid w:val="00AE3BD5"/>
    <w:rsid w:val="00AE4A56"/>
    <w:rsid w:val="00AE59A0"/>
    <w:rsid w:val="00AE5D7E"/>
    <w:rsid w:val="00AE7145"/>
    <w:rsid w:val="00AE73A5"/>
    <w:rsid w:val="00AE73DC"/>
    <w:rsid w:val="00AE7640"/>
    <w:rsid w:val="00AE7B0E"/>
    <w:rsid w:val="00AF0C42"/>
    <w:rsid w:val="00AF0C57"/>
    <w:rsid w:val="00AF0FED"/>
    <w:rsid w:val="00AF111C"/>
    <w:rsid w:val="00AF126B"/>
    <w:rsid w:val="00AF229A"/>
    <w:rsid w:val="00AF26F3"/>
    <w:rsid w:val="00AF2AD4"/>
    <w:rsid w:val="00AF3AF0"/>
    <w:rsid w:val="00AF3E9D"/>
    <w:rsid w:val="00AF40B0"/>
    <w:rsid w:val="00AF44AE"/>
    <w:rsid w:val="00AF4666"/>
    <w:rsid w:val="00AF49DD"/>
    <w:rsid w:val="00AF4C93"/>
    <w:rsid w:val="00AF56FE"/>
    <w:rsid w:val="00AF57D6"/>
    <w:rsid w:val="00AF5A0D"/>
    <w:rsid w:val="00AF5F04"/>
    <w:rsid w:val="00AF5F0F"/>
    <w:rsid w:val="00AF6360"/>
    <w:rsid w:val="00AF6452"/>
    <w:rsid w:val="00AF653E"/>
    <w:rsid w:val="00B001DA"/>
    <w:rsid w:val="00B00672"/>
    <w:rsid w:val="00B00887"/>
    <w:rsid w:val="00B00BA3"/>
    <w:rsid w:val="00B00DE2"/>
    <w:rsid w:val="00B016DF"/>
    <w:rsid w:val="00B01749"/>
    <w:rsid w:val="00B018A1"/>
    <w:rsid w:val="00B01B4D"/>
    <w:rsid w:val="00B02C20"/>
    <w:rsid w:val="00B0355E"/>
    <w:rsid w:val="00B04135"/>
    <w:rsid w:val="00B042C6"/>
    <w:rsid w:val="00B04489"/>
    <w:rsid w:val="00B04945"/>
    <w:rsid w:val="00B04AE6"/>
    <w:rsid w:val="00B04E66"/>
    <w:rsid w:val="00B05DEA"/>
    <w:rsid w:val="00B05F92"/>
    <w:rsid w:val="00B06571"/>
    <w:rsid w:val="00B06878"/>
    <w:rsid w:val="00B068BA"/>
    <w:rsid w:val="00B06A57"/>
    <w:rsid w:val="00B06D4F"/>
    <w:rsid w:val="00B06FA7"/>
    <w:rsid w:val="00B071E0"/>
    <w:rsid w:val="00B07217"/>
    <w:rsid w:val="00B07484"/>
    <w:rsid w:val="00B07CC0"/>
    <w:rsid w:val="00B1016C"/>
    <w:rsid w:val="00B1049C"/>
    <w:rsid w:val="00B10C94"/>
    <w:rsid w:val="00B1105F"/>
    <w:rsid w:val="00B11910"/>
    <w:rsid w:val="00B11AC5"/>
    <w:rsid w:val="00B12211"/>
    <w:rsid w:val="00B12542"/>
    <w:rsid w:val="00B12F09"/>
    <w:rsid w:val="00B133B8"/>
    <w:rsid w:val="00B1372D"/>
    <w:rsid w:val="00B13851"/>
    <w:rsid w:val="00B13889"/>
    <w:rsid w:val="00B13B1C"/>
    <w:rsid w:val="00B14B5F"/>
    <w:rsid w:val="00B14D4A"/>
    <w:rsid w:val="00B159B3"/>
    <w:rsid w:val="00B15A4B"/>
    <w:rsid w:val="00B15C37"/>
    <w:rsid w:val="00B162CB"/>
    <w:rsid w:val="00B16AD4"/>
    <w:rsid w:val="00B179E9"/>
    <w:rsid w:val="00B200DB"/>
    <w:rsid w:val="00B2011E"/>
    <w:rsid w:val="00B21959"/>
    <w:rsid w:val="00B21DBA"/>
    <w:rsid w:val="00B21F90"/>
    <w:rsid w:val="00B22183"/>
    <w:rsid w:val="00B22291"/>
    <w:rsid w:val="00B225AB"/>
    <w:rsid w:val="00B22D39"/>
    <w:rsid w:val="00B2382F"/>
    <w:rsid w:val="00B2387B"/>
    <w:rsid w:val="00B23996"/>
    <w:rsid w:val="00B23F9A"/>
    <w:rsid w:val="00B2417B"/>
    <w:rsid w:val="00B246DB"/>
    <w:rsid w:val="00B2497D"/>
    <w:rsid w:val="00B24E6F"/>
    <w:rsid w:val="00B252CD"/>
    <w:rsid w:val="00B25746"/>
    <w:rsid w:val="00B25A6F"/>
    <w:rsid w:val="00B25C35"/>
    <w:rsid w:val="00B263FB"/>
    <w:rsid w:val="00B268D2"/>
    <w:rsid w:val="00B26BB4"/>
    <w:rsid w:val="00B26CB5"/>
    <w:rsid w:val="00B26E4E"/>
    <w:rsid w:val="00B274DC"/>
    <w:rsid w:val="00B2752E"/>
    <w:rsid w:val="00B307CC"/>
    <w:rsid w:val="00B30975"/>
    <w:rsid w:val="00B31F31"/>
    <w:rsid w:val="00B326B7"/>
    <w:rsid w:val="00B32927"/>
    <w:rsid w:val="00B34891"/>
    <w:rsid w:val="00B34F74"/>
    <w:rsid w:val="00B3588E"/>
    <w:rsid w:val="00B36072"/>
    <w:rsid w:val="00B362A0"/>
    <w:rsid w:val="00B36748"/>
    <w:rsid w:val="00B36F03"/>
    <w:rsid w:val="00B36F9B"/>
    <w:rsid w:val="00B37F2E"/>
    <w:rsid w:val="00B37F7E"/>
    <w:rsid w:val="00B40B30"/>
    <w:rsid w:val="00B40E3B"/>
    <w:rsid w:val="00B41447"/>
    <w:rsid w:val="00B418C4"/>
    <w:rsid w:val="00B4198F"/>
    <w:rsid w:val="00B41C89"/>
    <w:rsid w:val="00B41CD4"/>
    <w:rsid w:val="00B41F3D"/>
    <w:rsid w:val="00B42307"/>
    <w:rsid w:val="00B4274A"/>
    <w:rsid w:val="00B42BA2"/>
    <w:rsid w:val="00B42CFA"/>
    <w:rsid w:val="00B42E3F"/>
    <w:rsid w:val="00B431E8"/>
    <w:rsid w:val="00B437CF"/>
    <w:rsid w:val="00B43887"/>
    <w:rsid w:val="00B43D37"/>
    <w:rsid w:val="00B4427D"/>
    <w:rsid w:val="00B44657"/>
    <w:rsid w:val="00B447E2"/>
    <w:rsid w:val="00B44CCA"/>
    <w:rsid w:val="00B44E62"/>
    <w:rsid w:val="00B450EE"/>
    <w:rsid w:val="00B45141"/>
    <w:rsid w:val="00B45268"/>
    <w:rsid w:val="00B46301"/>
    <w:rsid w:val="00B508BD"/>
    <w:rsid w:val="00B51184"/>
    <w:rsid w:val="00B519CD"/>
    <w:rsid w:val="00B5206D"/>
    <w:rsid w:val="00B5273A"/>
    <w:rsid w:val="00B52840"/>
    <w:rsid w:val="00B5289E"/>
    <w:rsid w:val="00B52ABE"/>
    <w:rsid w:val="00B5328E"/>
    <w:rsid w:val="00B53A62"/>
    <w:rsid w:val="00B544CF"/>
    <w:rsid w:val="00B54F7A"/>
    <w:rsid w:val="00B553E9"/>
    <w:rsid w:val="00B5556C"/>
    <w:rsid w:val="00B5626C"/>
    <w:rsid w:val="00B562F7"/>
    <w:rsid w:val="00B568C6"/>
    <w:rsid w:val="00B569DA"/>
    <w:rsid w:val="00B56B5F"/>
    <w:rsid w:val="00B57329"/>
    <w:rsid w:val="00B576E1"/>
    <w:rsid w:val="00B577AA"/>
    <w:rsid w:val="00B600B2"/>
    <w:rsid w:val="00B6038B"/>
    <w:rsid w:val="00B60E61"/>
    <w:rsid w:val="00B60F8C"/>
    <w:rsid w:val="00B61115"/>
    <w:rsid w:val="00B614C4"/>
    <w:rsid w:val="00B62347"/>
    <w:rsid w:val="00B62898"/>
    <w:rsid w:val="00B62B01"/>
    <w:rsid w:val="00B62B50"/>
    <w:rsid w:val="00B62CE0"/>
    <w:rsid w:val="00B62D8D"/>
    <w:rsid w:val="00B631B1"/>
    <w:rsid w:val="00B63287"/>
    <w:rsid w:val="00B635B7"/>
    <w:rsid w:val="00B63AE8"/>
    <w:rsid w:val="00B63CCB"/>
    <w:rsid w:val="00B64DD7"/>
    <w:rsid w:val="00B65950"/>
    <w:rsid w:val="00B65A68"/>
    <w:rsid w:val="00B66304"/>
    <w:rsid w:val="00B6698F"/>
    <w:rsid w:val="00B66D83"/>
    <w:rsid w:val="00B6719C"/>
    <w:rsid w:val="00B672C0"/>
    <w:rsid w:val="00B676FD"/>
    <w:rsid w:val="00B678B6"/>
    <w:rsid w:val="00B70572"/>
    <w:rsid w:val="00B70987"/>
    <w:rsid w:val="00B70A92"/>
    <w:rsid w:val="00B70C7A"/>
    <w:rsid w:val="00B70E1F"/>
    <w:rsid w:val="00B71324"/>
    <w:rsid w:val="00B71EB0"/>
    <w:rsid w:val="00B7231F"/>
    <w:rsid w:val="00B723D7"/>
    <w:rsid w:val="00B72A97"/>
    <w:rsid w:val="00B73199"/>
    <w:rsid w:val="00B73E1A"/>
    <w:rsid w:val="00B7422F"/>
    <w:rsid w:val="00B749AE"/>
    <w:rsid w:val="00B74F73"/>
    <w:rsid w:val="00B75646"/>
    <w:rsid w:val="00B75719"/>
    <w:rsid w:val="00B75CD5"/>
    <w:rsid w:val="00B7629E"/>
    <w:rsid w:val="00B76827"/>
    <w:rsid w:val="00B76B54"/>
    <w:rsid w:val="00B775F7"/>
    <w:rsid w:val="00B778F5"/>
    <w:rsid w:val="00B77DD6"/>
    <w:rsid w:val="00B812E4"/>
    <w:rsid w:val="00B818FF"/>
    <w:rsid w:val="00B81F0E"/>
    <w:rsid w:val="00B821DE"/>
    <w:rsid w:val="00B8233D"/>
    <w:rsid w:val="00B828E8"/>
    <w:rsid w:val="00B82F72"/>
    <w:rsid w:val="00B8384C"/>
    <w:rsid w:val="00B839BC"/>
    <w:rsid w:val="00B84A31"/>
    <w:rsid w:val="00B84FFB"/>
    <w:rsid w:val="00B85A79"/>
    <w:rsid w:val="00B85F98"/>
    <w:rsid w:val="00B86983"/>
    <w:rsid w:val="00B86DAD"/>
    <w:rsid w:val="00B902B2"/>
    <w:rsid w:val="00B90729"/>
    <w:rsid w:val="00B907DA"/>
    <w:rsid w:val="00B90C38"/>
    <w:rsid w:val="00B90E90"/>
    <w:rsid w:val="00B911A8"/>
    <w:rsid w:val="00B916DB"/>
    <w:rsid w:val="00B91D99"/>
    <w:rsid w:val="00B91F52"/>
    <w:rsid w:val="00B92DD3"/>
    <w:rsid w:val="00B92FAB"/>
    <w:rsid w:val="00B93EBB"/>
    <w:rsid w:val="00B94489"/>
    <w:rsid w:val="00B94AF9"/>
    <w:rsid w:val="00B94F81"/>
    <w:rsid w:val="00B950BC"/>
    <w:rsid w:val="00B956E3"/>
    <w:rsid w:val="00B96433"/>
    <w:rsid w:val="00B96449"/>
    <w:rsid w:val="00B965E5"/>
    <w:rsid w:val="00B96C30"/>
    <w:rsid w:val="00B96FC4"/>
    <w:rsid w:val="00B9714C"/>
    <w:rsid w:val="00B97D70"/>
    <w:rsid w:val="00BA0D0F"/>
    <w:rsid w:val="00BA1547"/>
    <w:rsid w:val="00BA200E"/>
    <w:rsid w:val="00BA2207"/>
    <w:rsid w:val="00BA29AD"/>
    <w:rsid w:val="00BA3254"/>
    <w:rsid w:val="00BA33CF"/>
    <w:rsid w:val="00BA35DB"/>
    <w:rsid w:val="00BA38D1"/>
    <w:rsid w:val="00BA3F63"/>
    <w:rsid w:val="00BA3F8D"/>
    <w:rsid w:val="00BA4021"/>
    <w:rsid w:val="00BA4DCB"/>
    <w:rsid w:val="00BA51C7"/>
    <w:rsid w:val="00BA6A86"/>
    <w:rsid w:val="00BA6C49"/>
    <w:rsid w:val="00BA7312"/>
    <w:rsid w:val="00BA7714"/>
    <w:rsid w:val="00BB0041"/>
    <w:rsid w:val="00BB02AF"/>
    <w:rsid w:val="00BB0741"/>
    <w:rsid w:val="00BB0D87"/>
    <w:rsid w:val="00BB132A"/>
    <w:rsid w:val="00BB1491"/>
    <w:rsid w:val="00BB158D"/>
    <w:rsid w:val="00BB1A8C"/>
    <w:rsid w:val="00BB1C3A"/>
    <w:rsid w:val="00BB252F"/>
    <w:rsid w:val="00BB2AC6"/>
    <w:rsid w:val="00BB2EBD"/>
    <w:rsid w:val="00BB3133"/>
    <w:rsid w:val="00BB324F"/>
    <w:rsid w:val="00BB3D5E"/>
    <w:rsid w:val="00BB3F15"/>
    <w:rsid w:val="00BB43A5"/>
    <w:rsid w:val="00BB5FE1"/>
    <w:rsid w:val="00BB67D5"/>
    <w:rsid w:val="00BB6AC8"/>
    <w:rsid w:val="00BB6C23"/>
    <w:rsid w:val="00BB707B"/>
    <w:rsid w:val="00BB7606"/>
    <w:rsid w:val="00BB77EF"/>
    <w:rsid w:val="00BB7A10"/>
    <w:rsid w:val="00BB7B0C"/>
    <w:rsid w:val="00BB7B6B"/>
    <w:rsid w:val="00BB7EAD"/>
    <w:rsid w:val="00BC017B"/>
    <w:rsid w:val="00BC0471"/>
    <w:rsid w:val="00BC1362"/>
    <w:rsid w:val="00BC2028"/>
    <w:rsid w:val="00BC3FC4"/>
    <w:rsid w:val="00BC41E5"/>
    <w:rsid w:val="00BC4B92"/>
    <w:rsid w:val="00BC5335"/>
    <w:rsid w:val="00BC60BE"/>
    <w:rsid w:val="00BC637D"/>
    <w:rsid w:val="00BC6698"/>
    <w:rsid w:val="00BC6D3D"/>
    <w:rsid w:val="00BC6E85"/>
    <w:rsid w:val="00BC7041"/>
    <w:rsid w:val="00BC7263"/>
    <w:rsid w:val="00BC7468"/>
    <w:rsid w:val="00BC7792"/>
    <w:rsid w:val="00BC79BE"/>
    <w:rsid w:val="00BC7D4F"/>
    <w:rsid w:val="00BC7ED7"/>
    <w:rsid w:val="00BD004D"/>
    <w:rsid w:val="00BD031F"/>
    <w:rsid w:val="00BD112F"/>
    <w:rsid w:val="00BD2034"/>
    <w:rsid w:val="00BD2850"/>
    <w:rsid w:val="00BD2947"/>
    <w:rsid w:val="00BD394D"/>
    <w:rsid w:val="00BD4E62"/>
    <w:rsid w:val="00BD5080"/>
    <w:rsid w:val="00BD5238"/>
    <w:rsid w:val="00BD5968"/>
    <w:rsid w:val="00BD5DAD"/>
    <w:rsid w:val="00BD6B95"/>
    <w:rsid w:val="00BD6F21"/>
    <w:rsid w:val="00BD76BD"/>
    <w:rsid w:val="00BD7DCD"/>
    <w:rsid w:val="00BE03A1"/>
    <w:rsid w:val="00BE04CD"/>
    <w:rsid w:val="00BE14D8"/>
    <w:rsid w:val="00BE19E6"/>
    <w:rsid w:val="00BE1A72"/>
    <w:rsid w:val="00BE1AAB"/>
    <w:rsid w:val="00BE1D2E"/>
    <w:rsid w:val="00BE28D2"/>
    <w:rsid w:val="00BE46EF"/>
    <w:rsid w:val="00BE4A64"/>
    <w:rsid w:val="00BE4B93"/>
    <w:rsid w:val="00BE53FC"/>
    <w:rsid w:val="00BE5858"/>
    <w:rsid w:val="00BE58F7"/>
    <w:rsid w:val="00BE599F"/>
    <w:rsid w:val="00BE5E43"/>
    <w:rsid w:val="00BE606C"/>
    <w:rsid w:val="00BE6407"/>
    <w:rsid w:val="00BE6416"/>
    <w:rsid w:val="00BE6B6F"/>
    <w:rsid w:val="00BE7514"/>
    <w:rsid w:val="00BF0226"/>
    <w:rsid w:val="00BF14B3"/>
    <w:rsid w:val="00BF1D09"/>
    <w:rsid w:val="00BF1D4D"/>
    <w:rsid w:val="00BF1EF8"/>
    <w:rsid w:val="00BF22DC"/>
    <w:rsid w:val="00BF2343"/>
    <w:rsid w:val="00BF24DC"/>
    <w:rsid w:val="00BF2826"/>
    <w:rsid w:val="00BF2DC6"/>
    <w:rsid w:val="00BF2DE4"/>
    <w:rsid w:val="00BF38C4"/>
    <w:rsid w:val="00BF4EED"/>
    <w:rsid w:val="00BF557D"/>
    <w:rsid w:val="00BF581C"/>
    <w:rsid w:val="00BF6147"/>
    <w:rsid w:val="00BF66D9"/>
    <w:rsid w:val="00BF6CFC"/>
    <w:rsid w:val="00BF6EB5"/>
    <w:rsid w:val="00BF7348"/>
    <w:rsid w:val="00BF7F58"/>
    <w:rsid w:val="00BF7F97"/>
    <w:rsid w:val="00C00AEA"/>
    <w:rsid w:val="00C00EF9"/>
    <w:rsid w:val="00C00F8C"/>
    <w:rsid w:val="00C01381"/>
    <w:rsid w:val="00C01543"/>
    <w:rsid w:val="00C01923"/>
    <w:rsid w:val="00C01AB1"/>
    <w:rsid w:val="00C026A0"/>
    <w:rsid w:val="00C02B68"/>
    <w:rsid w:val="00C02D48"/>
    <w:rsid w:val="00C032B1"/>
    <w:rsid w:val="00C0377E"/>
    <w:rsid w:val="00C03AAB"/>
    <w:rsid w:val="00C03C73"/>
    <w:rsid w:val="00C03EA4"/>
    <w:rsid w:val="00C04CB3"/>
    <w:rsid w:val="00C04F42"/>
    <w:rsid w:val="00C04F43"/>
    <w:rsid w:val="00C04F7F"/>
    <w:rsid w:val="00C04FD8"/>
    <w:rsid w:val="00C0564D"/>
    <w:rsid w:val="00C06137"/>
    <w:rsid w:val="00C06929"/>
    <w:rsid w:val="00C069AE"/>
    <w:rsid w:val="00C069C6"/>
    <w:rsid w:val="00C079B8"/>
    <w:rsid w:val="00C10037"/>
    <w:rsid w:val="00C107E0"/>
    <w:rsid w:val="00C112E1"/>
    <w:rsid w:val="00C11D94"/>
    <w:rsid w:val="00C123EA"/>
    <w:rsid w:val="00C1290B"/>
    <w:rsid w:val="00C12A49"/>
    <w:rsid w:val="00C13240"/>
    <w:rsid w:val="00C133EE"/>
    <w:rsid w:val="00C149D0"/>
    <w:rsid w:val="00C162B7"/>
    <w:rsid w:val="00C16692"/>
    <w:rsid w:val="00C17C39"/>
    <w:rsid w:val="00C17CBC"/>
    <w:rsid w:val="00C17FCC"/>
    <w:rsid w:val="00C17FF4"/>
    <w:rsid w:val="00C209AF"/>
    <w:rsid w:val="00C21353"/>
    <w:rsid w:val="00C21567"/>
    <w:rsid w:val="00C21568"/>
    <w:rsid w:val="00C21796"/>
    <w:rsid w:val="00C22073"/>
    <w:rsid w:val="00C22269"/>
    <w:rsid w:val="00C23123"/>
    <w:rsid w:val="00C231A0"/>
    <w:rsid w:val="00C2339C"/>
    <w:rsid w:val="00C2409F"/>
    <w:rsid w:val="00C24818"/>
    <w:rsid w:val="00C24931"/>
    <w:rsid w:val="00C24FB4"/>
    <w:rsid w:val="00C25F53"/>
    <w:rsid w:val="00C260CD"/>
    <w:rsid w:val="00C26588"/>
    <w:rsid w:val="00C26BC1"/>
    <w:rsid w:val="00C277FC"/>
    <w:rsid w:val="00C27CD2"/>
    <w:rsid w:val="00C27DE9"/>
    <w:rsid w:val="00C3119E"/>
    <w:rsid w:val="00C31A4A"/>
    <w:rsid w:val="00C31CD5"/>
    <w:rsid w:val="00C32989"/>
    <w:rsid w:val="00C32BB3"/>
    <w:rsid w:val="00C32CD7"/>
    <w:rsid w:val="00C32DF2"/>
    <w:rsid w:val="00C32EDE"/>
    <w:rsid w:val="00C33213"/>
    <w:rsid w:val="00C33245"/>
    <w:rsid w:val="00C33388"/>
    <w:rsid w:val="00C335D0"/>
    <w:rsid w:val="00C337FC"/>
    <w:rsid w:val="00C349CD"/>
    <w:rsid w:val="00C349E8"/>
    <w:rsid w:val="00C34D4D"/>
    <w:rsid w:val="00C35484"/>
    <w:rsid w:val="00C354F9"/>
    <w:rsid w:val="00C3594C"/>
    <w:rsid w:val="00C35957"/>
    <w:rsid w:val="00C35CF1"/>
    <w:rsid w:val="00C360AC"/>
    <w:rsid w:val="00C36E5A"/>
    <w:rsid w:val="00C372D0"/>
    <w:rsid w:val="00C40781"/>
    <w:rsid w:val="00C40A1C"/>
    <w:rsid w:val="00C40ADF"/>
    <w:rsid w:val="00C40CCB"/>
    <w:rsid w:val="00C40F1A"/>
    <w:rsid w:val="00C41579"/>
    <w:rsid w:val="00C4173A"/>
    <w:rsid w:val="00C41AA9"/>
    <w:rsid w:val="00C4242C"/>
    <w:rsid w:val="00C43770"/>
    <w:rsid w:val="00C43DDE"/>
    <w:rsid w:val="00C43DE5"/>
    <w:rsid w:val="00C443B4"/>
    <w:rsid w:val="00C44455"/>
    <w:rsid w:val="00C447DA"/>
    <w:rsid w:val="00C44906"/>
    <w:rsid w:val="00C44F87"/>
    <w:rsid w:val="00C4563B"/>
    <w:rsid w:val="00C45DA3"/>
    <w:rsid w:val="00C46833"/>
    <w:rsid w:val="00C470A6"/>
    <w:rsid w:val="00C50DED"/>
    <w:rsid w:val="00C52217"/>
    <w:rsid w:val="00C52847"/>
    <w:rsid w:val="00C52B2E"/>
    <w:rsid w:val="00C53561"/>
    <w:rsid w:val="00C537F0"/>
    <w:rsid w:val="00C5455C"/>
    <w:rsid w:val="00C54BC1"/>
    <w:rsid w:val="00C54DE3"/>
    <w:rsid w:val="00C5562A"/>
    <w:rsid w:val="00C559DA"/>
    <w:rsid w:val="00C5680A"/>
    <w:rsid w:val="00C56CFB"/>
    <w:rsid w:val="00C575FF"/>
    <w:rsid w:val="00C5762E"/>
    <w:rsid w:val="00C576AD"/>
    <w:rsid w:val="00C57BEC"/>
    <w:rsid w:val="00C602FF"/>
    <w:rsid w:val="00C6041C"/>
    <w:rsid w:val="00C60622"/>
    <w:rsid w:val="00C60955"/>
    <w:rsid w:val="00C60AB9"/>
    <w:rsid w:val="00C6100E"/>
    <w:rsid w:val="00C61174"/>
    <w:rsid w:val="00C6148F"/>
    <w:rsid w:val="00C6215E"/>
    <w:rsid w:val="00C621B1"/>
    <w:rsid w:val="00C626D2"/>
    <w:rsid w:val="00C62ED9"/>
    <w:rsid w:val="00C62F7A"/>
    <w:rsid w:val="00C63516"/>
    <w:rsid w:val="00C63A5B"/>
    <w:rsid w:val="00C63B9C"/>
    <w:rsid w:val="00C63FEE"/>
    <w:rsid w:val="00C64299"/>
    <w:rsid w:val="00C643C9"/>
    <w:rsid w:val="00C6486A"/>
    <w:rsid w:val="00C655B1"/>
    <w:rsid w:val="00C65842"/>
    <w:rsid w:val="00C65890"/>
    <w:rsid w:val="00C659E3"/>
    <w:rsid w:val="00C65EAA"/>
    <w:rsid w:val="00C65F5E"/>
    <w:rsid w:val="00C6682F"/>
    <w:rsid w:val="00C66A89"/>
    <w:rsid w:val="00C66EEB"/>
    <w:rsid w:val="00C67AEB"/>
    <w:rsid w:val="00C67BF4"/>
    <w:rsid w:val="00C67CED"/>
    <w:rsid w:val="00C702F1"/>
    <w:rsid w:val="00C71C0B"/>
    <w:rsid w:val="00C71C71"/>
    <w:rsid w:val="00C7275E"/>
    <w:rsid w:val="00C73141"/>
    <w:rsid w:val="00C74B17"/>
    <w:rsid w:val="00C74C5D"/>
    <w:rsid w:val="00C74E5C"/>
    <w:rsid w:val="00C7568B"/>
    <w:rsid w:val="00C7607C"/>
    <w:rsid w:val="00C76F2C"/>
    <w:rsid w:val="00C77026"/>
    <w:rsid w:val="00C775D8"/>
    <w:rsid w:val="00C802D1"/>
    <w:rsid w:val="00C809D9"/>
    <w:rsid w:val="00C81105"/>
    <w:rsid w:val="00C81DC2"/>
    <w:rsid w:val="00C831ED"/>
    <w:rsid w:val="00C8344A"/>
    <w:rsid w:val="00C83944"/>
    <w:rsid w:val="00C8538C"/>
    <w:rsid w:val="00C85496"/>
    <w:rsid w:val="00C8550B"/>
    <w:rsid w:val="00C85AD7"/>
    <w:rsid w:val="00C863C4"/>
    <w:rsid w:val="00C87964"/>
    <w:rsid w:val="00C90576"/>
    <w:rsid w:val="00C90865"/>
    <w:rsid w:val="00C90CDF"/>
    <w:rsid w:val="00C90E47"/>
    <w:rsid w:val="00C90E4E"/>
    <w:rsid w:val="00C91712"/>
    <w:rsid w:val="00C91F6E"/>
    <w:rsid w:val="00C920EA"/>
    <w:rsid w:val="00C92C50"/>
    <w:rsid w:val="00C932C4"/>
    <w:rsid w:val="00C93C3E"/>
    <w:rsid w:val="00C94E95"/>
    <w:rsid w:val="00C95B82"/>
    <w:rsid w:val="00C962CA"/>
    <w:rsid w:val="00C963E7"/>
    <w:rsid w:val="00C96DAB"/>
    <w:rsid w:val="00CA0403"/>
    <w:rsid w:val="00CA09C4"/>
    <w:rsid w:val="00CA1192"/>
    <w:rsid w:val="00CA12E3"/>
    <w:rsid w:val="00CA1476"/>
    <w:rsid w:val="00CA1952"/>
    <w:rsid w:val="00CA2AE3"/>
    <w:rsid w:val="00CA2BB5"/>
    <w:rsid w:val="00CA305B"/>
    <w:rsid w:val="00CA351D"/>
    <w:rsid w:val="00CA3A88"/>
    <w:rsid w:val="00CA40F4"/>
    <w:rsid w:val="00CA42CC"/>
    <w:rsid w:val="00CA44B0"/>
    <w:rsid w:val="00CA48B5"/>
    <w:rsid w:val="00CA4AD1"/>
    <w:rsid w:val="00CA583D"/>
    <w:rsid w:val="00CA5E80"/>
    <w:rsid w:val="00CA5ECA"/>
    <w:rsid w:val="00CA6611"/>
    <w:rsid w:val="00CA6AE6"/>
    <w:rsid w:val="00CA6CE2"/>
    <w:rsid w:val="00CA6FF6"/>
    <w:rsid w:val="00CA7136"/>
    <w:rsid w:val="00CA782F"/>
    <w:rsid w:val="00CA7835"/>
    <w:rsid w:val="00CB0238"/>
    <w:rsid w:val="00CB0B2F"/>
    <w:rsid w:val="00CB0C64"/>
    <w:rsid w:val="00CB1389"/>
    <w:rsid w:val="00CB17F7"/>
    <w:rsid w:val="00CB187B"/>
    <w:rsid w:val="00CB259C"/>
    <w:rsid w:val="00CB2835"/>
    <w:rsid w:val="00CB2867"/>
    <w:rsid w:val="00CB2A77"/>
    <w:rsid w:val="00CB2E3E"/>
    <w:rsid w:val="00CB327F"/>
    <w:rsid w:val="00CB3285"/>
    <w:rsid w:val="00CB343D"/>
    <w:rsid w:val="00CB4500"/>
    <w:rsid w:val="00CB5DB9"/>
    <w:rsid w:val="00CB5E2D"/>
    <w:rsid w:val="00CB67E6"/>
    <w:rsid w:val="00CB6C60"/>
    <w:rsid w:val="00CB71D9"/>
    <w:rsid w:val="00CC0640"/>
    <w:rsid w:val="00CC0C72"/>
    <w:rsid w:val="00CC0FFB"/>
    <w:rsid w:val="00CC1B27"/>
    <w:rsid w:val="00CC2124"/>
    <w:rsid w:val="00CC2BFD"/>
    <w:rsid w:val="00CC3D15"/>
    <w:rsid w:val="00CC3D6A"/>
    <w:rsid w:val="00CC47D9"/>
    <w:rsid w:val="00CC4A4B"/>
    <w:rsid w:val="00CC4B34"/>
    <w:rsid w:val="00CC5068"/>
    <w:rsid w:val="00CC619E"/>
    <w:rsid w:val="00CC6486"/>
    <w:rsid w:val="00CC67A3"/>
    <w:rsid w:val="00CC78B8"/>
    <w:rsid w:val="00CC7998"/>
    <w:rsid w:val="00CC7A1D"/>
    <w:rsid w:val="00CD1744"/>
    <w:rsid w:val="00CD228A"/>
    <w:rsid w:val="00CD23DA"/>
    <w:rsid w:val="00CD2449"/>
    <w:rsid w:val="00CD2515"/>
    <w:rsid w:val="00CD279D"/>
    <w:rsid w:val="00CD2A34"/>
    <w:rsid w:val="00CD2E33"/>
    <w:rsid w:val="00CD3416"/>
    <w:rsid w:val="00CD3476"/>
    <w:rsid w:val="00CD3F0D"/>
    <w:rsid w:val="00CD47AD"/>
    <w:rsid w:val="00CD4C6B"/>
    <w:rsid w:val="00CD5758"/>
    <w:rsid w:val="00CD5F1C"/>
    <w:rsid w:val="00CD64DF"/>
    <w:rsid w:val="00CD6A1B"/>
    <w:rsid w:val="00CD74CE"/>
    <w:rsid w:val="00CE0C27"/>
    <w:rsid w:val="00CE0F03"/>
    <w:rsid w:val="00CE1003"/>
    <w:rsid w:val="00CE116F"/>
    <w:rsid w:val="00CE18F5"/>
    <w:rsid w:val="00CE1DE4"/>
    <w:rsid w:val="00CE225F"/>
    <w:rsid w:val="00CE232F"/>
    <w:rsid w:val="00CE4528"/>
    <w:rsid w:val="00CE571F"/>
    <w:rsid w:val="00CE6967"/>
    <w:rsid w:val="00CF0558"/>
    <w:rsid w:val="00CF0DD9"/>
    <w:rsid w:val="00CF0F97"/>
    <w:rsid w:val="00CF12A7"/>
    <w:rsid w:val="00CF1547"/>
    <w:rsid w:val="00CF2326"/>
    <w:rsid w:val="00CF2674"/>
    <w:rsid w:val="00CF2744"/>
    <w:rsid w:val="00CF2F50"/>
    <w:rsid w:val="00CF30B0"/>
    <w:rsid w:val="00CF30FE"/>
    <w:rsid w:val="00CF32C6"/>
    <w:rsid w:val="00CF3304"/>
    <w:rsid w:val="00CF3C83"/>
    <w:rsid w:val="00CF562B"/>
    <w:rsid w:val="00CF6198"/>
    <w:rsid w:val="00CF61C0"/>
    <w:rsid w:val="00CF621C"/>
    <w:rsid w:val="00CF6678"/>
    <w:rsid w:val="00CF6AEE"/>
    <w:rsid w:val="00CF70C3"/>
    <w:rsid w:val="00CF727D"/>
    <w:rsid w:val="00CF7360"/>
    <w:rsid w:val="00CF753D"/>
    <w:rsid w:val="00CF76A3"/>
    <w:rsid w:val="00CF7C25"/>
    <w:rsid w:val="00CF90D4"/>
    <w:rsid w:val="00D013D5"/>
    <w:rsid w:val="00D0161B"/>
    <w:rsid w:val="00D01C6F"/>
    <w:rsid w:val="00D025DD"/>
    <w:rsid w:val="00D02624"/>
    <w:rsid w:val="00D02919"/>
    <w:rsid w:val="00D02F6B"/>
    <w:rsid w:val="00D03773"/>
    <w:rsid w:val="00D04843"/>
    <w:rsid w:val="00D04AED"/>
    <w:rsid w:val="00D04C61"/>
    <w:rsid w:val="00D05B8D"/>
    <w:rsid w:val="00D05B9B"/>
    <w:rsid w:val="00D065A2"/>
    <w:rsid w:val="00D065E4"/>
    <w:rsid w:val="00D06B04"/>
    <w:rsid w:val="00D07060"/>
    <w:rsid w:val="00D07397"/>
    <w:rsid w:val="00D077E2"/>
    <w:rsid w:val="00D079AA"/>
    <w:rsid w:val="00D07A35"/>
    <w:rsid w:val="00D07F00"/>
    <w:rsid w:val="00D1038D"/>
    <w:rsid w:val="00D10AB8"/>
    <w:rsid w:val="00D10C38"/>
    <w:rsid w:val="00D11276"/>
    <w:rsid w:val="00D1130F"/>
    <w:rsid w:val="00D11682"/>
    <w:rsid w:val="00D12A00"/>
    <w:rsid w:val="00D12E46"/>
    <w:rsid w:val="00D133B5"/>
    <w:rsid w:val="00D152B9"/>
    <w:rsid w:val="00D153D4"/>
    <w:rsid w:val="00D15A67"/>
    <w:rsid w:val="00D15D37"/>
    <w:rsid w:val="00D15FA4"/>
    <w:rsid w:val="00D16438"/>
    <w:rsid w:val="00D16AAF"/>
    <w:rsid w:val="00D17B72"/>
    <w:rsid w:val="00D17FAB"/>
    <w:rsid w:val="00D2074A"/>
    <w:rsid w:val="00D20922"/>
    <w:rsid w:val="00D20FAF"/>
    <w:rsid w:val="00D2187E"/>
    <w:rsid w:val="00D21968"/>
    <w:rsid w:val="00D2228B"/>
    <w:rsid w:val="00D2241E"/>
    <w:rsid w:val="00D22C1F"/>
    <w:rsid w:val="00D22CDD"/>
    <w:rsid w:val="00D23411"/>
    <w:rsid w:val="00D2432B"/>
    <w:rsid w:val="00D24645"/>
    <w:rsid w:val="00D248B2"/>
    <w:rsid w:val="00D259A9"/>
    <w:rsid w:val="00D2688E"/>
    <w:rsid w:val="00D30D61"/>
    <w:rsid w:val="00D30E7E"/>
    <w:rsid w:val="00D316FA"/>
    <w:rsid w:val="00D3185C"/>
    <w:rsid w:val="00D3205F"/>
    <w:rsid w:val="00D32F8F"/>
    <w:rsid w:val="00D3318E"/>
    <w:rsid w:val="00D334DB"/>
    <w:rsid w:val="00D33E72"/>
    <w:rsid w:val="00D341F4"/>
    <w:rsid w:val="00D3502E"/>
    <w:rsid w:val="00D35063"/>
    <w:rsid w:val="00D353AB"/>
    <w:rsid w:val="00D35510"/>
    <w:rsid w:val="00D35BD6"/>
    <w:rsid w:val="00D36117"/>
    <w:rsid w:val="00D361B5"/>
    <w:rsid w:val="00D36EF3"/>
    <w:rsid w:val="00D371C2"/>
    <w:rsid w:val="00D378AF"/>
    <w:rsid w:val="00D3796F"/>
    <w:rsid w:val="00D37C12"/>
    <w:rsid w:val="00D37DB6"/>
    <w:rsid w:val="00D40BC6"/>
    <w:rsid w:val="00D41047"/>
    <w:rsid w:val="00D411A2"/>
    <w:rsid w:val="00D41900"/>
    <w:rsid w:val="00D41BEF"/>
    <w:rsid w:val="00D4203F"/>
    <w:rsid w:val="00D4216F"/>
    <w:rsid w:val="00D42D4D"/>
    <w:rsid w:val="00D42E4F"/>
    <w:rsid w:val="00D42F51"/>
    <w:rsid w:val="00D4352A"/>
    <w:rsid w:val="00D438B4"/>
    <w:rsid w:val="00D44478"/>
    <w:rsid w:val="00D44525"/>
    <w:rsid w:val="00D44939"/>
    <w:rsid w:val="00D44B2D"/>
    <w:rsid w:val="00D44F0F"/>
    <w:rsid w:val="00D45380"/>
    <w:rsid w:val="00D45423"/>
    <w:rsid w:val="00D4552D"/>
    <w:rsid w:val="00D456BD"/>
    <w:rsid w:val="00D45B3C"/>
    <w:rsid w:val="00D45F38"/>
    <w:rsid w:val="00D4606D"/>
    <w:rsid w:val="00D4611C"/>
    <w:rsid w:val="00D47638"/>
    <w:rsid w:val="00D47A17"/>
    <w:rsid w:val="00D500C9"/>
    <w:rsid w:val="00D50158"/>
    <w:rsid w:val="00D507C5"/>
    <w:rsid w:val="00D50B9C"/>
    <w:rsid w:val="00D517D0"/>
    <w:rsid w:val="00D51DD9"/>
    <w:rsid w:val="00D52D73"/>
    <w:rsid w:val="00D52E58"/>
    <w:rsid w:val="00D546E4"/>
    <w:rsid w:val="00D54AAD"/>
    <w:rsid w:val="00D54B04"/>
    <w:rsid w:val="00D55133"/>
    <w:rsid w:val="00D55B61"/>
    <w:rsid w:val="00D55DE1"/>
    <w:rsid w:val="00D56649"/>
    <w:rsid w:val="00D56A6B"/>
    <w:rsid w:val="00D56B20"/>
    <w:rsid w:val="00D56BBE"/>
    <w:rsid w:val="00D56E69"/>
    <w:rsid w:val="00D578B3"/>
    <w:rsid w:val="00D60375"/>
    <w:rsid w:val="00D617FF"/>
    <w:rsid w:val="00D618F4"/>
    <w:rsid w:val="00D626B8"/>
    <w:rsid w:val="00D627B5"/>
    <w:rsid w:val="00D62ABB"/>
    <w:rsid w:val="00D62D75"/>
    <w:rsid w:val="00D63003"/>
    <w:rsid w:val="00D63692"/>
    <w:rsid w:val="00D6382C"/>
    <w:rsid w:val="00D63A38"/>
    <w:rsid w:val="00D63EF0"/>
    <w:rsid w:val="00D643CD"/>
    <w:rsid w:val="00D646FF"/>
    <w:rsid w:val="00D64D87"/>
    <w:rsid w:val="00D65E26"/>
    <w:rsid w:val="00D65F97"/>
    <w:rsid w:val="00D66392"/>
    <w:rsid w:val="00D663C2"/>
    <w:rsid w:val="00D6755A"/>
    <w:rsid w:val="00D67A59"/>
    <w:rsid w:val="00D700AA"/>
    <w:rsid w:val="00D70D36"/>
    <w:rsid w:val="00D71147"/>
    <w:rsid w:val="00D714CC"/>
    <w:rsid w:val="00D718B7"/>
    <w:rsid w:val="00D71D97"/>
    <w:rsid w:val="00D71E14"/>
    <w:rsid w:val="00D72068"/>
    <w:rsid w:val="00D72F3A"/>
    <w:rsid w:val="00D72F72"/>
    <w:rsid w:val="00D73059"/>
    <w:rsid w:val="00D731BA"/>
    <w:rsid w:val="00D7351D"/>
    <w:rsid w:val="00D73663"/>
    <w:rsid w:val="00D743E1"/>
    <w:rsid w:val="00D74428"/>
    <w:rsid w:val="00D74846"/>
    <w:rsid w:val="00D75208"/>
    <w:rsid w:val="00D75B0F"/>
    <w:rsid w:val="00D75EA7"/>
    <w:rsid w:val="00D75F0A"/>
    <w:rsid w:val="00D760F4"/>
    <w:rsid w:val="00D76363"/>
    <w:rsid w:val="00D766CB"/>
    <w:rsid w:val="00D7730E"/>
    <w:rsid w:val="00D77B68"/>
    <w:rsid w:val="00D77CD4"/>
    <w:rsid w:val="00D8067A"/>
    <w:rsid w:val="00D81ADF"/>
    <w:rsid w:val="00D81F21"/>
    <w:rsid w:val="00D82233"/>
    <w:rsid w:val="00D8230E"/>
    <w:rsid w:val="00D835C9"/>
    <w:rsid w:val="00D83C80"/>
    <w:rsid w:val="00D83ECC"/>
    <w:rsid w:val="00D841ED"/>
    <w:rsid w:val="00D846E5"/>
    <w:rsid w:val="00D84D91"/>
    <w:rsid w:val="00D862EE"/>
    <w:rsid w:val="00D864F2"/>
    <w:rsid w:val="00D87161"/>
    <w:rsid w:val="00D878EE"/>
    <w:rsid w:val="00D878FE"/>
    <w:rsid w:val="00D87B06"/>
    <w:rsid w:val="00D90C0A"/>
    <w:rsid w:val="00D91038"/>
    <w:rsid w:val="00D9107D"/>
    <w:rsid w:val="00D9123E"/>
    <w:rsid w:val="00D9170C"/>
    <w:rsid w:val="00D918EF"/>
    <w:rsid w:val="00D91AFB"/>
    <w:rsid w:val="00D9277B"/>
    <w:rsid w:val="00D929A5"/>
    <w:rsid w:val="00D92F2E"/>
    <w:rsid w:val="00D93109"/>
    <w:rsid w:val="00D943F8"/>
    <w:rsid w:val="00D9471E"/>
    <w:rsid w:val="00D950F8"/>
    <w:rsid w:val="00D95470"/>
    <w:rsid w:val="00D957DB"/>
    <w:rsid w:val="00D95B9A"/>
    <w:rsid w:val="00D96282"/>
    <w:rsid w:val="00D965A5"/>
    <w:rsid w:val="00D96B55"/>
    <w:rsid w:val="00D97664"/>
    <w:rsid w:val="00D97CD9"/>
    <w:rsid w:val="00DA06AE"/>
    <w:rsid w:val="00DA06CB"/>
    <w:rsid w:val="00DA06FE"/>
    <w:rsid w:val="00DA0B1A"/>
    <w:rsid w:val="00DA0BC6"/>
    <w:rsid w:val="00DA1073"/>
    <w:rsid w:val="00DA15AB"/>
    <w:rsid w:val="00DA1B02"/>
    <w:rsid w:val="00DA1E53"/>
    <w:rsid w:val="00DA246D"/>
    <w:rsid w:val="00DA2619"/>
    <w:rsid w:val="00DA377C"/>
    <w:rsid w:val="00DA3EDB"/>
    <w:rsid w:val="00DA4026"/>
    <w:rsid w:val="00DA4239"/>
    <w:rsid w:val="00DA48F6"/>
    <w:rsid w:val="00DA5121"/>
    <w:rsid w:val="00DA65DE"/>
    <w:rsid w:val="00DA6765"/>
    <w:rsid w:val="00DA69F0"/>
    <w:rsid w:val="00DA6BCB"/>
    <w:rsid w:val="00DA6F68"/>
    <w:rsid w:val="00DA703E"/>
    <w:rsid w:val="00DA72F3"/>
    <w:rsid w:val="00DA74B0"/>
    <w:rsid w:val="00DA7778"/>
    <w:rsid w:val="00DA7874"/>
    <w:rsid w:val="00DA7DE5"/>
    <w:rsid w:val="00DB058E"/>
    <w:rsid w:val="00DB09A8"/>
    <w:rsid w:val="00DB0B61"/>
    <w:rsid w:val="00DB1474"/>
    <w:rsid w:val="00DB1FDF"/>
    <w:rsid w:val="00DB2034"/>
    <w:rsid w:val="00DB265F"/>
    <w:rsid w:val="00DB287B"/>
    <w:rsid w:val="00DB2962"/>
    <w:rsid w:val="00DB314E"/>
    <w:rsid w:val="00DB3573"/>
    <w:rsid w:val="00DB365F"/>
    <w:rsid w:val="00DB3A94"/>
    <w:rsid w:val="00DB3FC4"/>
    <w:rsid w:val="00DB43AE"/>
    <w:rsid w:val="00DB4A91"/>
    <w:rsid w:val="00DB5172"/>
    <w:rsid w:val="00DB52FB"/>
    <w:rsid w:val="00DB55E7"/>
    <w:rsid w:val="00DB6671"/>
    <w:rsid w:val="00DB695F"/>
    <w:rsid w:val="00DB6F57"/>
    <w:rsid w:val="00DB766D"/>
    <w:rsid w:val="00DB7F80"/>
    <w:rsid w:val="00DC00B9"/>
    <w:rsid w:val="00DC013B"/>
    <w:rsid w:val="00DC034A"/>
    <w:rsid w:val="00DC0399"/>
    <w:rsid w:val="00DC0771"/>
    <w:rsid w:val="00DC090B"/>
    <w:rsid w:val="00DC1358"/>
    <w:rsid w:val="00DC1679"/>
    <w:rsid w:val="00DC1C2C"/>
    <w:rsid w:val="00DC219B"/>
    <w:rsid w:val="00DC281D"/>
    <w:rsid w:val="00DC2B75"/>
    <w:rsid w:val="00DC2CF1"/>
    <w:rsid w:val="00DC3A7C"/>
    <w:rsid w:val="00DC3D8E"/>
    <w:rsid w:val="00DC49B7"/>
    <w:rsid w:val="00DC4FCF"/>
    <w:rsid w:val="00DC5051"/>
    <w:rsid w:val="00DC50E0"/>
    <w:rsid w:val="00DC6386"/>
    <w:rsid w:val="00DC646B"/>
    <w:rsid w:val="00DC668D"/>
    <w:rsid w:val="00DC6C6A"/>
    <w:rsid w:val="00DC7574"/>
    <w:rsid w:val="00DC7B4F"/>
    <w:rsid w:val="00DC7D64"/>
    <w:rsid w:val="00DD0669"/>
    <w:rsid w:val="00DD08F5"/>
    <w:rsid w:val="00DD1130"/>
    <w:rsid w:val="00DD156D"/>
    <w:rsid w:val="00DD1619"/>
    <w:rsid w:val="00DD1951"/>
    <w:rsid w:val="00DD19BD"/>
    <w:rsid w:val="00DD2EA5"/>
    <w:rsid w:val="00DD2F36"/>
    <w:rsid w:val="00DD3B9A"/>
    <w:rsid w:val="00DD413B"/>
    <w:rsid w:val="00DD487D"/>
    <w:rsid w:val="00DD4AA7"/>
    <w:rsid w:val="00DD4E83"/>
    <w:rsid w:val="00DD4ECE"/>
    <w:rsid w:val="00DD50EC"/>
    <w:rsid w:val="00DD5F56"/>
    <w:rsid w:val="00DD6628"/>
    <w:rsid w:val="00DD6945"/>
    <w:rsid w:val="00DD709A"/>
    <w:rsid w:val="00DD72A4"/>
    <w:rsid w:val="00DE10AB"/>
    <w:rsid w:val="00DE1138"/>
    <w:rsid w:val="00DE1203"/>
    <w:rsid w:val="00DE1340"/>
    <w:rsid w:val="00DE1587"/>
    <w:rsid w:val="00DE164E"/>
    <w:rsid w:val="00DE20A3"/>
    <w:rsid w:val="00DE2D04"/>
    <w:rsid w:val="00DE3239"/>
    <w:rsid w:val="00DE3250"/>
    <w:rsid w:val="00DE40F5"/>
    <w:rsid w:val="00DE49A2"/>
    <w:rsid w:val="00DE5F87"/>
    <w:rsid w:val="00DE6028"/>
    <w:rsid w:val="00DE6B3A"/>
    <w:rsid w:val="00DE6C85"/>
    <w:rsid w:val="00DE73B1"/>
    <w:rsid w:val="00DE76BC"/>
    <w:rsid w:val="00DE78A3"/>
    <w:rsid w:val="00DF0F8B"/>
    <w:rsid w:val="00DF141A"/>
    <w:rsid w:val="00DF1949"/>
    <w:rsid w:val="00DF1A71"/>
    <w:rsid w:val="00DF223D"/>
    <w:rsid w:val="00DF23BC"/>
    <w:rsid w:val="00DF24A7"/>
    <w:rsid w:val="00DF2C6E"/>
    <w:rsid w:val="00DF3D51"/>
    <w:rsid w:val="00DF3F9A"/>
    <w:rsid w:val="00DF4038"/>
    <w:rsid w:val="00DF4327"/>
    <w:rsid w:val="00DF4797"/>
    <w:rsid w:val="00DF50FC"/>
    <w:rsid w:val="00DF5163"/>
    <w:rsid w:val="00DF5547"/>
    <w:rsid w:val="00DF614E"/>
    <w:rsid w:val="00DF68AC"/>
    <w:rsid w:val="00DF68C7"/>
    <w:rsid w:val="00DF6B76"/>
    <w:rsid w:val="00DF731A"/>
    <w:rsid w:val="00DF73A5"/>
    <w:rsid w:val="00DF76D7"/>
    <w:rsid w:val="00E008DC"/>
    <w:rsid w:val="00E011E8"/>
    <w:rsid w:val="00E01351"/>
    <w:rsid w:val="00E01ABC"/>
    <w:rsid w:val="00E021F9"/>
    <w:rsid w:val="00E02C5A"/>
    <w:rsid w:val="00E02E18"/>
    <w:rsid w:val="00E03B4A"/>
    <w:rsid w:val="00E03BC2"/>
    <w:rsid w:val="00E0400A"/>
    <w:rsid w:val="00E04F95"/>
    <w:rsid w:val="00E059BB"/>
    <w:rsid w:val="00E05FF4"/>
    <w:rsid w:val="00E0641F"/>
    <w:rsid w:val="00E06589"/>
    <w:rsid w:val="00E06B75"/>
    <w:rsid w:val="00E06E92"/>
    <w:rsid w:val="00E1021D"/>
    <w:rsid w:val="00E10471"/>
    <w:rsid w:val="00E10B08"/>
    <w:rsid w:val="00E10D93"/>
    <w:rsid w:val="00E11332"/>
    <w:rsid w:val="00E11352"/>
    <w:rsid w:val="00E11378"/>
    <w:rsid w:val="00E1166C"/>
    <w:rsid w:val="00E11CC7"/>
    <w:rsid w:val="00E122BD"/>
    <w:rsid w:val="00E12A11"/>
    <w:rsid w:val="00E12BD2"/>
    <w:rsid w:val="00E1349E"/>
    <w:rsid w:val="00E1425E"/>
    <w:rsid w:val="00E143C6"/>
    <w:rsid w:val="00E145DF"/>
    <w:rsid w:val="00E1472E"/>
    <w:rsid w:val="00E147F1"/>
    <w:rsid w:val="00E15437"/>
    <w:rsid w:val="00E156F7"/>
    <w:rsid w:val="00E167C5"/>
    <w:rsid w:val="00E167F3"/>
    <w:rsid w:val="00E16C04"/>
    <w:rsid w:val="00E16C76"/>
    <w:rsid w:val="00E16EAC"/>
    <w:rsid w:val="00E170DC"/>
    <w:rsid w:val="00E17546"/>
    <w:rsid w:val="00E2096C"/>
    <w:rsid w:val="00E20A4D"/>
    <w:rsid w:val="00E210B5"/>
    <w:rsid w:val="00E215B0"/>
    <w:rsid w:val="00E21987"/>
    <w:rsid w:val="00E21CA9"/>
    <w:rsid w:val="00E224C9"/>
    <w:rsid w:val="00E232D1"/>
    <w:rsid w:val="00E23F5E"/>
    <w:rsid w:val="00E24100"/>
    <w:rsid w:val="00E2495C"/>
    <w:rsid w:val="00E24A5A"/>
    <w:rsid w:val="00E258DD"/>
    <w:rsid w:val="00E25BF2"/>
    <w:rsid w:val="00E25DB6"/>
    <w:rsid w:val="00E25FB1"/>
    <w:rsid w:val="00E261B3"/>
    <w:rsid w:val="00E265AE"/>
    <w:rsid w:val="00E266DE"/>
    <w:rsid w:val="00E26818"/>
    <w:rsid w:val="00E27FFC"/>
    <w:rsid w:val="00E304B2"/>
    <w:rsid w:val="00E30B15"/>
    <w:rsid w:val="00E31700"/>
    <w:rsid w:val="00E323AA"/>
    <w:rsid w:val="00E33237"/>
    <w:rsid w:val="00E34C19"/>
    <w:rsid w:val="00E351A0"/>
    <w:rsid w:val="00E351A9"/>
    <w:rsid w:val="00E3568A"/>
    <w:rsid w:val="00E358C7"/>
    <w:rsid w:val="00E36714"/>
    <w:rsid w:val="00E36B7F"/>
    <w:rsid w:val="00E40181"/>
    <w:rsid w:val="00E40236"/>
    <w:rsid w:val="00E407D8"/>
    <w:rsid w:val="00E4084B"/>
    <w:rsid w:val="00E41040"/>
    <w:rsid w:val="00E41F09"/>
    <w:rsid w:val="00E42159"/>
    <w:rsid w:val="00E425BC"/>
    <w:rsid w:val="00E43058"/>
    <w:rsid w:val="00E43851"/>
    <w:rsid w:val="00E439DF"/>
    <w:rsid w:val="00E4453C"/>
    <w:rsid w:val="00E44ADF"/>
    <w:rsid w:val="00E44C3F"/>
    <w:rsid w:val="00E4560C"/>
    <w:rsid w:val="00E4567A"/>
    <w:rsid w:val="00E45ADC"/>
    <w:rsid w:val="00E465A5"/>
    <w:rsid w:val="00E468A3"/>
    <w:rsid w:val="00E477BC"/>
    <w:rsid w:val="00E47927"/>
    <w:rsid w:val="00E47D04"/>
    <w:rsid w:val="00E500E2"/>
    <w:rsid w:val="00E505A5"/>
    <w:rsid w:val="00E507EF"/>
    <w:rsid w:val="00E50C83"/>
    <w:rsid w:val="00E50F87"/>
    <w:rsid w:val="00E51625"/>
    <w:rsid w:val="00E52522"/>
    <w:rsid w:val="00E53950"/>
    <w:rsid w:val="00E54950"/>
    <w:rsid w:val="00E54F77"/>
    <w:rsid w:val="00E550B7"/>
    <w:rsid w:val="00E555DF"/>
    <w:rsid w:val="00E559CC"/>
    <w:rsid w:val="00E55D4C"/>
    <w:rsid w:val="00E55FB3"/>
    <w:rsid w:val="00E560ED"/>
    <w:rsid w:val="00E56A01"/>
    <w:rsid w:val="00E57448"/>
    <w:rsid w:val="00E57661"/>
    <w:rsid w:val="00E57A93"/>
    <w:rsid w:val="00E603FC"/>
    <w:rsid w:val="00E60994"/>
    <w:rsid w:val="00E60C3C"/>
    <w:rsid w:val="00E610B2"/>
    <w:rsid w:val="00E61789"/>
    <w:rsid w:val="00E61F97"/>
    <w:rsid w:val="00E62868"/>
    <w:rsid w:val="00E629A1"/>
    <w:rsid w:val="00E633D8"/>
    <w:rsid w:val="00E63627"/>
    <w:rsid w:val="00E64492"/>
    <w:rsid w:val="00E6557A"/>
    <w:rsid w:val="00E65C64"/>
    <w:rsid w:val="00E66031"/>
    <w:rsid w:val="00E67594"/>
    <w:rsid w:val="00E675FC"/>
    <w:rsid w:val="00E6775E"/>
    <w:rsid w:val="00E6794C"/>
    <w:rsid w:val="00E67D3F"/>
    <w:rsid w:val="00E67E47"/>
    <w:rsid w:val="00E70052"/>
    <w:rsid w:val="00E70A09"/>
    <w:rsid w:val="00E70D77"/>
    <w:rsid w:val="00E70EB4"/>
    <w:rsid w:val="00E71561"/>
    <w:rsid w:val="00E71591"/>
    <w:rsid w:val="00E717DC"/>
    <w:rsid w:val="00E71959"/>
    <w:rsid w:val="00E71CEB"/>
    <w:rsid w:val="00E72063"/>
    <w:rsid w:val="00E720B4"/>
    <w:rsid w:val="00E73218"/>
    <w:rsid w:val="00E741FC"/>
    <w:rsid w:val="00E746C1"/>
    <w:rsid w:val="00E7474F"/>
    <w:rsid w:val="00E74D68"/>
    <w:rsid w:val="00E74DB6"/>
    <w:rsid w:val="00E75688"/>
    <w:rsid w:val="00E75AD1"/>
    <w:rsid w:val="00E75C95"/>
    <w:rsid w:val="00E76320"/>
    <w:rsid w:val="00E764D5"/>
    <w:rsid w:val="00E77763"/>
    <w:rsid w:val="00E77811"/>
    <w:rsid w:val="00E77EA9"/>
    <w:rsid w:val="00E800A7"/>
    <w:rsid w:val="00E8084C"/>
    <w:rsid w:val="00E80DC4"/>
    <w:rsid w:val="00E80DE3"/>
    <w:rsid w:val="00E80E91"/>
    <w:rsid w:val="00E80ED4"/>
    <w:rsid w:val="00E81484"/>
    <w:rsid w:val="00E81869"/>
    <w:rsid w:val="00E81E11"/>
    <w:rsid w:val="00E824FB"/>
    <w:rsid w:val="00E82787"/>
    <w:rsid w:val="00E82C55"/>
    <w:rsid w:val="00E83A1A"/>
    <w:rsid w:val="00E84C22"/>
    <w:rsid w:val="00E84D56"/>
    <w:rsid w:val="00E85911"/>
    <w:rsid w:val="00E87243"/>
    <w:rsid w:val="00E8787E"/>
    <w:rsid w:val="00E87883"/>
    <w:rsid w:val="00E900C9"/>
    <w:rsid w:val="00E905FA"/>
    <w:rsid w:val="00E907B3"/>
    <w:rsid w:val="00E9099F"/>
    <w:rsid w:val="00E90C2A"/>
    <w:rsid w:val="00E915DF"/>
    <w:rsid w:val="00E9294B"/>
    <w:rsid w:val="00E929E4"/>
    <w:rsid w:val="00E92AC3"/>
    <w:rsid w:val="00E9373B"/>
    <w:rsid w:val="00E93D06"/>
    <w:rsid w:val="00E93E9E"/>
    <w:rsid w:val="00E941EF"/>
    <w:rsid w:val="00E948B1"/>
    <w:rsid w:val="00E94D8D"/>
    <w:rsid w:val="00E956DF"/>
    <w:rsid w:val="00E9685B"/>
    <w:rsid w:val="00E97BF0"/>
    <w:rsid w:val="00EA02AC"/>
    <w:rsid w:val="00EA18DD"/>
    <w:rsid w:val="00EA1AD1"/>
    <w:rsid w:val="00EA2371"/>
    <w:rsid w:val="00EA2F6A"/>
    <w:rsid w:val="00EA344B"/>
    <w:rsid w:val="00EA3842"/>
    <w:rsid w:val="00EA3862"/>
    <w:rsid w:val="00EA4112"/>
    <w:rsid w:val="00EA4704"/>
    <w:rsid w:val="00EA4B89"/>
    <w:rsid w:val="00EA4EFC"/>
    <w:rsid w:val="00EA5DB2"/>
    <w:rsid w:val="00EA5E44"/>
    <w:rsid w:val="00EA626B"/>
    <w:rsid w:val="00EA632C"/>
    <w:rsid w:val="00EA6862"/>
    <w:rsid w:val="00EA6E37"/>
    <w:rsid w:val="00EA6E63"/>
    <w:rsid w:val="00EA737B"/>
    <w:rsid w:val="00EA7711"/>
    <w:rsid w:val="00EB00E0"/>
    <w:rsid w:val="00EB05D5"/>
    <w:rsid w:val="00EB272E"/>
    <w:rsid w:val="00EB4C60"/>
    <w:rsid w:val="00EB4F29"/>
    <w:rsid w:val="00EB4FEE"/>
    <w:rsid w:val="00EB521D"/>
    <w:rsid w:val="00EB54F0"/>
    <w:rsid w:val="00EB58DB"/>
    <w:rsid w:val="00EB6411"/>
    <w:rsid w:val="00EB7D86"/>
    <w:rsid w:val="00EC028A"/>
    <w:rsid w:val="00EC059F"/>
    <w:rsid w:val="00EC0D76"/>
    <w:rsid w:val="00EC0DC1"/>
    <w:rsid w:val="00EC0E13"/>
    <w:rsid w:val="00EC1386"/>
    <w:rsid w:val="00EC1F24"/>
    <w:rsid w:val="00EC20FF"/>
    <w:rsid w:val="00EC22F6"/>
    <w:rsid w:val="00EC2FC6"/>
    <w:rsid w:val="00EC3527"/>
    <w:rsid w:val="00EC3A56"/>
    <w:rsid w:val="00EC3CBB"/>
    <w:rsid w:val="00EC4E16"/>
    <w:rsid w:val="00EC5808"/>
    <w:rsid w:val="00EC5ADB"/>
    <w:rsid w:val="00EC5E36"/>
    <w:rsid w:val="00EC6F1A"/>
    <w:rsid w:val="00EC7203"/>
    <w:rsid w:val="00ED01C0"/>
    <w:rsid w:val="00ED050A"/>
    <w:rsid w:val="00ED09E1"/>
    <w:rsid w:val="00ED0BA0"/>
    <w:rsid w:val="00ED0FA6"/>
    <w:rsid w:val="00ED1C04"/>
    <w:rsid w:val="00ED34B8"/>
    <w:rsid w:val="00ED350A"/>
    <w:rsid w:val="00ED3FAB"/>
    <w:rsid w:val="00ED4736"/>
    <w:rsid w:val="00ED52D1"/>
    <w:rsid w:val="00ED5305"/>
    <w:rsid w:val="00ED5B9B"/>
    <w:rsid w:val="00ED5F93"/>
    <w:rsid w:val="00ED5FA9"/>
    <w:rsid w:val="00ED62D6"/>
    <w:rsid w:val="00ED65E9"/>
    <w:rsid w:val="00ED6624"/>
    <w:rsid w:val="00ED6BAD"/>
    <w:rsid w:val="00ED6D9D"/>
    <w:rsid w:val="00ED7447"/>
    <w:rsid w:val="00ED753E"/>
    <w:rsid w:val="00ED7D69"/>
    <w:rsid w:val="00ED7E5A"/>
    <w:rsid w:val="00EE00D6"/>
    <w:rsid w:val="00EE03C6"/>
    <w:rsid w:val="00EE095D"/>
    <w:rsid w:val="00EE11E7"/>
    <w:rsid w:val="00EE124D"/>
    <w:rsid w:val="00EE1488"/>
    <w:rsid w:val="00EE1730"/>
    <w:rsid w:val="00EE19EE"/>
    <w:rsid w:val="00EE1CEE"/>
    <w:rsid w:val="00EE24A1"/>
    <w:rsid w:val="00EE29AD"/>
    <w:rsid w:val="00EE2B0E"/>
    <w:rsid w:val="00EE3E24"/>
    <w:rsid w:val="00EE4D5D"/>
    <w:rsid w:val="00EE5131"/>
    <w:rsid w:val="00EE546A"/>
    <w:rsid w:val="00EE6601"/>
    <w:rsid w:val="00EF0148"/>
    <w:rsid w:val="00EF0841"/>
    <w:rsid w:val="00EF0AA8"/>
    <w:rsid w:val="00EF109B"/>
    <w:rsid w:val="00EF1832"/>
    <w:rsid w:val="00EF201C"/>
    <w:rsid w:val="00EF256E"/>
    <w:rsid w:val="00EF2967"/>
    <w:rsid w:val="00EF2BDF"/>
    <w:rsid w:val="00EF2C72"/>
    <w:rsid w:val="00EF36AF"/>
    <w:rsid w:val="00EF3839"/>
    <w:rsid w:val="00EF390A"/>
    <w:rsid w:val="00EF3D29"/>
    <w:rsid w:val="00EF4205"/>
    <w:rsid w:val="00EF4854"/>
    <w:rsid w:val="00EF4970"/>
    <w:rsid w:val="00EF4DA8"/>
    <w:rsid w:val="00EF50F4"/>
    <w:rsid w:val="00EF59A3"/>
    <w:rsid w:val="00EF60F9"/>
    <w:rsid w:val="00EF645B"/>
    <w:rsid w:val="00EF6675"/>
    <w:rsid w:val="00EF66AD"/>
    <w:rsid w:val="00EF68B6"/>
    <w:rsid w:val="00EF6A09"/>
    <w:rsid w:val="00EF6D6E"/>
    <w:rsid w:val="00EF6DBE"/>
    <w:rsid w:val="00EF77E4"/>
    <w:rsid w:val="00EF7832"/>
    <w:rsid w:val="00F0063D"/>
    <w:rsid w:val="00F00C23"/>
    <w:rsid w:val="00F00CCA"/>
    <w:rsid w:val="00F00F53"/>
    <w:rsid w:val="00F00F9C"/>
    <w:rsid w:val="00F01E5F"/>
    <w:rsid w:val="00F024F3"/>
    <w:rsid w:val="00F02ABA"/>
    <w:rsid w:val="00F03717"/>
    <w:rsid w:val="00F03811"/>
    <w:rsid w:val="00F0399B"/>
    <w:rsid w:val="00F03D51"/>
    <w:rsid w:val="00F03F86"/>
    <w:rsid w:val="00F04186"/>
    <w:rsid w:val="00F0437A"/>
    <w:rsid w:val="00F06440"/>
    <w:rsid w:val="00F06659"/>
    <w:rsid w:val="00F0696D"/>
    <w:rsid w:val="00F0716B"/>
    <w:rsid w:val="00F0756A"/>
    <w:rsid w:val="00F07CC9"/>
    <w:rsid w:val="00F101B8"/>
    <w:rsid w:val="00F10777"/>
    <w:rsid w:val="00F10C1F"/>
    <w:rsid w:val="00F10C7D"/>
    <w:rsid w:val="00F11037"/>
    <w:rsid w:val="00F114C1"/>
    <w:rsid w:val="00F12D0E"/>
    <w:rsid w:val="00F13593"/>
    <w:rsid w:val="00F13E93"/>
    <w:rsid w:val="00F1436D"/>
    <w:rsid w:val="00F14446"/>
    <w:rsid w:val="00F145E7"/>
    <w:rsid w:val="00F14B5D"/>
    <w:rsid w:val="00F160C3"/>
    <w:rsid w:val="00F16666"/>
    <w:rsid w:val="00F16F1B"/>
    <w:rsid w:val="00F16F8D"/>
    <w:rsid w:val="00F1798E"/>
    <w:rsid w:val="00F17A68"/>
    <w:rsid w:val="00F2094E"/>
    <w:rsid w:val="00F20E5C"/>
    <w:rsid w:val="00F219F6"/>
    <w:rsid w:val="00F21A53"/>
    <w:rsid w:val="00F21D7D"/>
    <w:rsid w:val="00F21DA8"/>
    <w:rsid w:val="00F2252E"/>
    <w:rsid w:val="00F22943"/>
    <w:rsid w:val="00F23400"/>
    <w:rsid w:val="00F23A94"/>
    <w:rsid w:val="00F24373"/>
    <w:rsid w:val="00F249DE"/>
    <w:rsid w:val="00F250A9"/>
    <w:rsid w:val="00F250EA"/>
    <w:rsid w:val="00F25719"/>
    <w:rsid w:val="00F260D7"/>
    <w:rsid w:val="00F267AF"/>
    <w:rsid w:val="00F26A61"/>
    <w:rsid w:val="00F26BF7"/>
    <w:rsid w:val="00F279C2"/>
    <w:rsid w:val="00F3012C"/>
    <w:rsid w:val="00F30594"/>
    <w:rsid w:val="00F305C8"/>
    <w:rsid w:val="00F30654"/>
    <w:rsid w:val="00F30F88"/>
    <w:rsid w:val="00F30FF4"/>
    <w:rsid w:val="00F3122E"/>
    <w:rsid w:val="00F31695"/>
    <w:rsid w:val="00F32368"/>
    <w:rsid w:val="00F32ECA"/>
    <w:rsid w:val="00F32FF1"/>
    <w:rsid w:val="00F331AD"/>
    <w:rsid w:val="00F3403F"/>
    <w:rsid w:val="00F35086"/>
    <w:rsid w:val="00F35287"/>
    <w:rsid w:val="00F354B3"/>
    <w:rsid w:val="00F35DB6"/>
    <w:rsid w:val="00F3614E"/>
    <w:rsid w:val="00F401AA"/>
    <w:rsid w:val="00F401D7"/>
    <w:rsid w:val="00F4032F"/>
    <w:rsid w:val="00F40819"/>
    <w:rsid w:val="00F40A70"/>
    <w:rsid w:val="00F40DFB"/>
    <w:rsid w:val="00F428AE"/>
    <w:rsid w:val="00F42C15"/>
    <w:rsid w:val="00F42E2C"/>
    <w:rsid w:val="00F4303B"/>
    <w:rsid w:val="00F43110"/>
    <w:rsid w:val="00F433DC"/>
    <w:rsid w:val="00F437B2"/>
    <w:rsid w:val="00F43A37"/>
    <w:rsid w:val="00F43C40"/>
    <w:rsid w:val="00F449A8"/>
    <w:rsid w:val="00F44AF8"/>
    <w:rsid w:val="00F4506D"/>
    <w:rsid w:val="00F453CF"/>
    <w:rsid w:val="00F4542A"/>
    <w:rsid w:val="00F454FE"/>
    <w:rsid w:val="00F455EA"/>
    <w:rsid w:val="00F45647"/>
    <w:rsid w:val="00F45ABD"/>
    <w:rsid w:val="00F45F42"/>
    <w:rsid w:val="00F4641B"/>
    <w:rsid w:val="00F46A39"/>
    <w:rsid w:val="00F46CAD"/>
    <w:rsid w:val="00F46EB8"/>
    <w:rsid w:val="00F47C02"/>
    <w:rsid w:val="00F501AB"/>
    <w:rsid w:val="00F502C5"/>
    <w:rsid w:val="00F50CD1"/>
    <w:rsid w:val="00F5104D"/>
    <w:rsid w:val="00F511E4"/>
    <w:rsid w:val="00F513E5"/>
    <w:rsid w:val="00F51C2B"/>
    <w:rsid w:val="00F51EA4"/>
    <w:rsid w:val="00F51F29"/>
    <w:rsid w:val="00F529E5"/>
    <w:rsid w:val="00F52CDD"/>
    <w:rsid w:val="00F52D09"/>
    <w:rsid w:val="00F52E08"/>
    <w:rsid w:val="00F53A66"/>
    <w:rsid w:val="00F53AE8"/>
    <w:rsid w:val="00F5462D"/>
    <w:rsid w:val="00F5477C"/>
    <w:rsid w:val="00F55399"/>
    <w:rsid w:val="00F55B21"/>
    <w:rsid w:val="00F55EE2"/>
    <w:rsid w:val="00F5665F"/>
    <w:rsid w:val="00F5668E"/>
    <w:rsid w:val="00F56CD9"/>
    <w:rsid w:val="00F56DEE"/>
    <w:rsid w:val="00F56EF6"/>
    <w:rsid w:val="00F5704C"/>
    <w:rsid w:val="00F5705B"/>
    <w:rsid w:val="00F5CE44"/>
    <w:rsid w:val="00F60082"/>
    <w:rsid w:val="00F60187"/>
    <w:rsid w:val="00F60D95"/>
    <w:rsid w:val="00F60E15"/>
    <w:rsid w:val="00F611A6"/>
    <w:rsid w:val="00F61A9F"/>
    <w:rsid w:val="00F61B5F"/>
    <w:rsid w:val="00F620ED"/>
    <w:rsid w:val="00F62660"/>
    <w:rsid w:val="00F63720"/>
    <w:rsid w:val="00F63BAF"/>
    <w:rsid w:val="00F63CBB"/>
    <w:rsid w:val="00F642D8"/>
    <w:rsid w:val="00F64696"/>
    <w:rsid w:val="00F6506A"/>
    <w:rsid w:val="00F65AA9"/>
    <w:rsid w:val="00F65D76"/>
    <w:rsid w:val="00F66244"/>
    <w:rsid w:val="00F66378"/>
    <w:rsid w:val="00F66772"/>
    <w:rsid w:val="00F6695A"/>
    <w:rsid w:val="00F672ED"/>
    <w:rsid w:val="00F6768F"/>
    <w:rsid w:val="00F67A43"/>
    <w:rsid w:val="00F70C06"/>
    <w:rsid w:val="00F718FD"/>
    <w:rsid w:val="00F72C2C"/>
    <w:rsid w:val="00F72DCA"/>
    <w:rsid w:val="00F736EF"/>
    <w:rsid w:val="00F73A7A"/>
    <w:rsid w:val="00F73B3D"/>
    <w:rsid w:val="00F741F2"/>
    <w:rsid w:val="00F74DD6"/>
    <w:rsid w:val="00F74F61"/>
    <w:rsid w:val="00F76851"/>
    <w:rsid w:val="00F76CAB"/>
    <w:rsid w:val="00F772C6"/>
    <w:rsid w:val="00F77A5B"/>
    <w:rsid w:val="00F80836"/>
    <w:rsid w:val="00F809D4"/>
    <w:rsid w:val="00F80A56"/>
    <w:rsid w:val="00F80E74"/>
    <w:rsid w:val="00F815B5"/>
    <w:rsid w:val="00F8306A"/>
    <w:rsid w:val="00F840E6"/>
    <w:rsid w:val="00F84E6B"/>
    <w:rsid w:val="00F85195"/>
    <w:rsid w:val="00F8547C"/>
    <w:rsid w:val="00F85F74"/>
    <w:rsid w:val="00F860EE"/>
    <w:rsid w:val="00F868E3"/>
    <w:rsid w:val="00F86FCE"/>
    <w:rsid w:val="00F8799A"/>
    <w:rsid w:val="00F87C79"/>
    <w:rsid w:val="00F87F1C"/>
    <w:rsid w:val="00F905E1"/>
    <w:rsid w:val="00F90892"/>
    <w:rsid w:val="00F914EE"/>
    <w:rsid w:val="00F92107"/>
    <w:rsid w:val="00F923A0"/>
    <w:rsid w:val="00F9269F"/>
    <w:rsid w:val="00F926FD"/>
    <w:rsid w:val="00F9284A"/>
    <w:rsid w:val="00F938BA"/>
    <w:rsid w:val="00F95214"/>
    <w:rsid w:val="00F96708"/>
    <w:rsid w:val="00F9722F"/>
    <w:rsid w:val="00F97697"/>
    <w:rsid w:val="00F97919"/>
    <w:rsid w:val="00FA02DC"/>
    <w:rsid w:val="00FA091C"/>
    <w:rsid w:val="00FA277F"/>
    <w:rsid w:val="00FA282D"/>
    <w:rsid w:val="00FA2C46"/>
    <w:rsid w:val="00FA3448"/>
    <w:rsid w:val="00FA3525"/>
    <w:rsid w:val="00FA3924"/>
    <w:rsid w:val="00FA394A"/>
    <w:rsid w:val="00FA3E60"/>
    <w:rsid w:val="00FA496C"/>
    <w:rsid w:val="00FA4B86"/>
    <w:rsid w:val="00FA5028"/>
    <w:rsid w:val="00FA5A53"/>
    <w:rsid w:val="00FA6F2D"/>
    <w:rsid w:val="00FA75CE"/>
    <w:rsid w:val="00FA793F"/>
    <w:rsid w:val="00FA7CE8"/>
    <w:rsid w:val="00FB01BD"/>
    <w:rsid w:val="00FB0BDF"/>
    <w:rsid w:val="00FB14E9"/>
    <w:rsid w:val="00FB1C5E"/>
    <w:rsid w:val="00FB1DE1"/>
    <w:rsid w:val="00FB29E8"/>
    <w:rsid w:val="00FB2F05"/>
    <w:rsid w:val="00FB314C"/>
    <w:rsid w:val="00FB324A"/>
    <w:rsid w:val="00FB338B"/>
    <w:rsid w:val="00FB3501"/>
    <w:rsid w:val="00FB3B2D"/>
    <w:rsid w:val="00FB403B"/>
    <w:rsid w:val="00FB4769"/>
    <w:rsid w:val="00FB4BBE"/>
    <w:rsid w:val="00FB4CDA"/>
    <w:rsid w:val="00FB59B7"/>
    <w:rsid w:val="00FB5C14"/>
    <w:rsid w:val="00FB60D6"/>
    <w:rsid w:val="00FB6481"/>
    <w:rsid w:val="00FB6D36"/>
    <w:rsid w:val="00FB7DDF"/>
    <w:rsid w:val="00FC00BF"/>
    <w:rsid w:val="00FC077A"/>
    <w:rsid w:val="00FC0965"/>
    <w:rsid w:val="00FC0DA0"/>
    <w:rsid w:val="00FC0F5F"/>
    <w:rsid w:val="00FC0F81"/>
    <w:rsid w:val="00FC189B"/>
    <w:rsid w:val="00FC252F"/>
    <w:rsid w:val="00FC3205"/>
    <w:rsid w:val="00FC38F4"/>
    <w:rsid w:val="00FC395C"/>
    <w:rsid w:val="00FC3AEB"/>
    <w:rsid w:val="00FC4AFA"/>
    <w:rsid w:val="00FC4DDD"/>
    <w:rsid w:val="00FC5D1A"/>
    <w:rsid w:val="00FC5E8E"/>
    <w:rsid w:val="00FC5EE2"/>
    <w:rsid w:val="00FC6AD9"/>
    <w:rsid w:val="00FC7840"/>
    <w:rsid w:val="00FD07D0"/>
    <w:rsid w:val="00FD10C8"/>
    <w:rsid w:val="00FD1502"/>
    <w:rsid w:val="00FD16CD"/>
    <w:rsid w:val="00FD1CD2"/>
    <w:rsid w:val="00FD269D"/>
    <w:rsid w:val="00FD36EC"/>
    <w:rsid w:val="00FD3766"/>
    <w:rsid w:val="00FD40AD"/>
    <w:rsid w:val="00FD440C"/>
    <w:rsid w:val="00FD47C4"/>
    <w:rsid w:val="00FD494E"/>
    <w:rsid w:val="00FD4DAB"/>
    <w:rsid w:val="00FD4FEC"/>
    <w:rsid w:val="00FD552A"/>
    <w:rsid w:val="00FD55AD"/>
    <w:rsid w:val="00FD56FE"/>
    <w:rsid w:val="00FD6336"/>
    <w:rsid w:val="00FD65F3"/>
    <w:rsid w:val="00FD6686"/>
    <w:rsid w:val="00FD6BEE"/>
    <w:rsid w:val="00FD7CB5"/>
    <w:rsid w:val="00FE0976"/>
    <w:rsid w:val="00FE2D3A"/>
    <w:rsid w:val="00FE2DCF"/>
    <w:rsid w:val="00FE2E3C"/>
    <w:rsid w:val="00FE30FA"/>
    <w:rsid w:val="00FE399F"/>
    <w:rsid w:val="00FE3A7E"/>
    <w:rsid w:val="00FE3FA7"/>
    <w:rsid w:val="00FE3FDF"/>
    <w:rsid w:val="00FE40E5"/>
    <w:rsid w:val="00FE4A9D"/>
    <w:rsid w:val="00FE4B9B"/>
    <w:rsid w:val="00FE506D"/>
    <w:rsid w:val="00FE5C15"/>
    <w:rsid w:val="00FE64F0"/>
    <w:rsid w:val="00FE65BF"/>
    <w:rsid w:val="00FE6601"/>
    <w:rsid w:val="00FE68AC"/>
    <w:rsid w:val="00FE797F"/>
    <w:rsid w:val="00FE7D9A"/>
    <w:rsid w:val="00FF0AB8"/>
    <w:rsid w:val="00FF1782"/>
    <w:rsid w:val="00FF1A81"/>
    <w:rsid w:val="00FF2302"/>
    <w:rsid w:val="00FF2A4E"/>
    <w:rsid w:val="00FF2DFF"/>
    <w:rsid w:val="00FF2FCE"/>
    <w:rsid w:val="00FF354C"/>
    <w:rsid w:val="00FF3DA0"/>
    <w:rsid w:val="00FF47AC"/>
    <w:rsid w:val="00FF4F7D"/>
    <w:rsid w:val="00FF53D3"/>
    <w:rsid w:val="00FF57C7"/>
    <w:rsid w:val="00FF59F0"/>
    <w:rsid w:val="00FF651C"/>
    <w:rsid w:val="00FF6D9D"/>
    <w:rsid w:val="00FF6E78"/>
    <w:rsid w:val="00FF7DD5"/>
    <w:rsid w:val="00FF7EBF"/>
    <w:rsid w:val="00FF7F4F"/>
    <w:rsid w:val="01264E55"/>
    <w:rsid w:val="012D113B"/>
    <w:rsid w:val="018D02B7"/>
    <w:rsid w:val="01A41832"/>
    <w:rsid w:val="01A44B03"/>
    <w:rsid w:val="01F417D9"/>
    <w:rsid w:val="01FCA512"/>
    <w:rsid w:val="02089072"/>
    <w:rsid w:val="021B2ACE"/>
    <w:rsid w:val="027DB196"/>
    <w:rsid w:val="02B4FE96"/>
    <w:rsid w:val="032CEFEA"/>
    <w:rsid w:val="03FE2704"/>
    <w:rsid w:val="043A4C47"/>
    <w:rsid w:val="04965D5E"/>
    <w:rsid w:val="04AC123D"/>
    <w:rsid w:val="05212F2E"/>
    <w:rsid w:val="057731E9"/>
    <w:rsid w:val="05975032"/>
    <w:rsid w:val="0599C791"/>
    <w:rsid w:val="0602BDFB"/>
    <w:rsid w:val="073BF0E6"/>
    <w:rsid w:val="07B4150B"/>
    <w:rsid w:val="085E6B90"/>
    <w:rsid w:val="08D7F435"/>
    <w:rsid w:val="08F01F5B"/>
    <w:rsid w:val="090604AD"/>
    <w:rsid w:val="094CFA55"/>
    <w:rsid w:val="097C4273"/>
    <w:rsid w:val="09E7B422"/>
    <w:rsid w:val="09FFCD43"/>
    <w:rsid w:val="0A23A5EB"/>
    <w:rsid w:val="0A39FA95"/>
    <w:rsid w:val="0A995271"/>
    <w:rsid w:val="0A9CF8BD"/>
    <w:rsid w:val="0AC05CF5"/>
    <w:rsid w:val="0B23F143"/>
    <w:rsid w:val="0BCF2F57"/>
    <w:rsid w:val="0BD105D9"/>
    <w:rsid w:val="0BE26487"/>
    <w:rsid w:val="0C0D05F8"/>
    <w:rsid w:val="0C949307"/>
    <w:rsid w:val="0DE294FB"/>
    <w:rsid w:val="0E0C8F63"/>
    <w:rsid w:val="0E16039E"/>
    <w:rsid w:val="0E58B5FF"/>
    <w:rsid w:val="0F0C64BF"/>
    <w:rsid w:val="0F9B5E51"/>
    <w:rsid w:val="0FA9367D"/>
    <w:rsid w:val="0FD1C56D"/>
    <w:rsid w:val="1021A698"/>
    <w:rsid w:val="10563815"/>
    <w:rsid w:val="10F344B5"/>
    <w:rsid w:val="1110B449"/>
    <w:rsid w:val="116347D5"/>
    <w:rsid w:val="1168B920"/>
    <w:rsid w:val="118A309E"/>
    <w:rsid w:val="11C6BC0E"/>
    <w:rsid w:val="11E3F8D1"/>
    <w:rsid w:val="11EA6A24"/>
    <w:rsid w:val="121BE50E"/>
    <w:rsid w:val="1222543A"/>
    <w:rsid w:val="126B42E0"/>
    <w:rsid w:val="1276D0AB"/>
    <w:rsid w:val="12A7C4E6"/>
    <w:rsid w:val="12E21FAE"/>
    <w:rsid w:val="13229644"/>
    <w:rsid w:val="1329C3C2"/>
    <w:rsid w:val="133A8FB1"/>
    <w:rsid w:val="135E5E8A"/>
    <w:rsid w:val="1391C23B"/>
    <w:rsid w:val="13B8598E"/>
    <w:rsid w:val="13C585DB"/>
    <w:rsid w:val="13FB1FFC"/>
    <w:rsid w:val="142DCB89"/>
    <w:rsid w:val="14626A36"/>
    <w:rsid w:val="1564EA9E"/>
    <w:rsid w:val="15BCE966"/>
    <w:rsid w:val="16387778"/>
    <w:rsid w:val="16C7A64E"/>
    <w:rsid w:val="171B3AFB"/>
    <w:rsid w:val="174761B8"/>
    <w:rsid w:val="1784D8A4"/>
    <w:rsid w:val="17AB918E"/>
    <w:rsid w:val="18627CEE"/>
    <w:rsid w:val="18AEFBC1"/>
    <w:rsid w:val="1912863D"/>
    <w:rsid w:val="1936E0A5"/>
    <w:rsid w:val="19558DF7"/>
    <w:rsid w:val="195AAF7E"/>
    <w:rsid w:val="19A7800D"/>
    <w:rsid w:val="19B4C96D"/>
    <w:rsid w:val="19EC2540"/>
    <w:rsid w:val="19F7229A"/>
    <w:rsid w:val="1A5A0EBB"/>
    <w:rsid w:val="1A9256E4"/>
    <w:rsid w:val="1ACF1620"/>
    <w:rsid w:val="1AD2F7F5"/>
    <w:rsid w:val="1AE3BA07"/>
    <w:rsid w:val="1B10B789"/>
    <w:rsid w:val="1B55AE78"/>
    <w:rsid w:val="1B826BA9"/>
    <w:rsid w:val="1BAB879E"/>
    <w:rsid w:val="1BB8FE43"/>
    <w:rsid w:val="1BC3BB9C"/>
    <w:rsid w:val="1BE1BBD2"/>
    <w:rsid w:val="1C1DB03C"/>
    <w:rsid w:val="1C43288F"/>
    <w:rsid w:val="1C79F22C"/>
    <w:rsid w:val="1CCD166D"/>
    <w:rsid w:val="1CEEE3DB"/>
    <w:rsid w:val="1E80B2AC"/>
    <w:rsid w:val="1EE3C92B"/>
    <w:rsid w:val="1EE6FBEA"/>
    <w:rsid w:val="1EF0078D"/>
    <w:rsid w:val="1F0AE304"/>
    <w:rsid w:val="1F177FAA"/>
    <w:rsid w:val="1F26DAC7"/>
    <w:rsid w:val="1F3FEAF7"/>
    <w:rsid w:val="1F647CA3"/>
    <w:rsid w:val="1FEAC432"/>
    <w:rsid w:val="1FF08DE1"/>
    <w:rsid w:val="1FFEC190"/>
    <w:rsid w:val="20415B9A"/>
    <w:rsid w:val="2082E7CE"/>
    <w:rsid w:val="20C65567"/>
    <w:rsid w:val="20C66E66"/>
    <w:rsid w:val="210DEBA4"/>
    <w:rsid w:val="2113351B"/>
    <w:rsid w:val="21748B6F"/>
    <w:rsid w:val="21D6C6DC"/>
    <w:rsid w:val="22041BDE"/>
    <w:rsid w:val="225B0216"/>
    <w:rsid w:val="22C25C51"/>
    <w:rsid w:val="2334197A"/>
    <w:rsid w:val="23622F81"/>
    <w:rsid w:val="2384CD0C"/>
    <w:rsid w:val="239C5450"/>
    <w:rsid w:val="23A67804"/>
    <w:rsid w:val="23B6E20A"/>
    <w:rsid w:val="23FD5EB1"/>
    <w:rsid w:val="246F2051"/>
    <w:rsid w:val="2478645C"/>
    <w:rsid w:val="24A561DE"/>
    <w:rsid w:val="25510D2F"/>
    <w:rsid w:val="257BCE8F"/>
    <w:rsid w:val="257E0535"/>
    <w:rsid w:val="25A74B63"/>
    <w:rsid w:val="25BB900B"/>
    <w:rsid w:val="263E8F5B"/>
    <w:rsid w:val="268211AF"/>
    <w:rsid w:val="26A3079B"/>
    <w:rsid w:val="273FB500"/>
    <w:rsid w:val="27503D0B"/>
    <w:rsid w:val="27701860"/>
    <w:rsid w:val="278C3175"/>
    <w:rsid w:val="27A19F9F"/>
    <w:rsid w:val="27D079F8"/>
    <w:rsid w:val="28590FA6"/>
    <w:rsid w:val="28D6F86E"/>
    <w:rsid w:val="29198BE4"/>
    <w:rsid w:val="2960420C"/>
    <w:rsid w:val="29609490"/>
    <w:rsid w:val="298B80AC"/>
    <w:rsid w:val="299DC993"/>
    <w:rsid w:val="29AA50DC"/>
    <w:rsid w:val="2A394CE1"/>
    <w:rsid w:val="2A677BB1"/>
    <w:rsid w:val="2AA513BE"/>
    <w:rsid w:val="2B01F993"/>
    <w:rsid w:val="2C423562"/>
    <w:rsid w:val="2C74DBDC"/>
    <w:rsid w:val="2C76496F"/>
    <w:rsid w:val="2C877E0D"/>
    <w:rsid w:val="2CE99076"/>
    <w:rsid w:val="2CF0ABA5"/>
    <w:rsid w:val="2CFA173A"/>
    <w:rsid w:val="2D476E7A"/>
    <w:rsid w:val="2D4784E8"/>
    <w:rsid w:val="2D5DBE4C"/>
    <w:rsid w:val="2D72D65B"/>
    <w:rsid w:val="2D78133E"/>
    <w:rsid w:val="2E0FF6D5"/>
    <w:rsid w:val="2E1272FC"/>
    <w:rsid w:val="2E76074A"/>
    <w:rsid w:val="2EBACB68"/>
    <w:rsid w:val="2EE2D410"/>
    <w:rsid w:val="2EE8DFAD"/>
    <w:rsid w:val="2F008717"/>
    <w:rsid w:val="2F17EE95"/>
    <w:rsid w:val="2F3A2210"/>
    <w:rsid w:val="2F799068"/>
    <w:rsid w:val="2F8EC159"/>
    <w:rsid w:val="2FCEF8E0"/>
    <w:rsid w:val="2FD36C81"/>
    <w:rsid w:val="2FDBA2D1"/>
    <w:rsid w:val="30011ACD"/>
    <w:rsid w:val="301E175A"/>
    <w:rsid w:val="3051087A"/>
    <w:rsid w:val="30ECAF10"/>
    <w:rsid w:val="30ED77F1"/>
    <w:rsid w:val="311A7573"/>
    <w:rsid w:val="31534861"/>
    <w:rsid w:val="31961479"/>
    <w:rsid w:val="31C0BC79"/>
    <w:rsid w:val="31EA26F9"/>
    <w:rsid w:val="321188D4"/>
    <w:rsid w:val="321A0AD5"/>
    <w:rsid w:val="32859735"/>
    <w:rsid w:val="3292FB21"/>
    <w:rsid w:val="32CB4FB8"/>
    <w:rsid w:val="335BACF7"/>
    <w:rsid w:val="33AEEACA"/>
    <w:rsid w:val="341C35FA"/>
    <w:rsid w:val="34458D8D"/>
    <w:rsid w:val="34822F52"/>
    <w:rsid w:val="3485A9D7"/>
    <w:rsid w:val="34B50A9F"/>
    <w:rsid w:val="34CF489A"/>
    <w:rsid w:val="352DCCF9"/>
    <w:rsid w:val="35335C4B"/>
    <w:rsid w:val="3549A8E1"/>
    <w:rsid w:val="3556F1EA"/>
    <w:rsid w:val="3564DB9B"/>
    <w:rsid w:val="3565FF54"/>
    <w:rsid w:val="35D97622"/>
    <w:rsid w:val="3638B813"/>
    <w:rsid w:val="364C0FD6"/>
    <w:rsid w:val="36B762FB"/>
    <w:rsid w:val="36D01351"/>
    <w:rsid w:val="36DACAC0"/>
    <w:rsid w:val="36E77AF8"/>
    <w:rsid w:val="370A6F95"/>
    <w:rsid w:val="3710188D"/>
    <w:rsid w:val="37379FE8"/>
    <w:rsid w:val="376CA0E9"/>
    <w:rsid w:val="377A1F78"/>
    <w:rsid w:val="380E0C99"/>
    <w:rsid w:val="38F53AFB"/>
    <w:rsid w:val="39318C98"/>
    <w:rsid w:val="393CD68C"/>
    <w:rsid w:val="3986D1E3"/>
    <w:rsid w:val="398A8D7F"/>
    <w:rsid w:val="398BC34E"/>
    <w:rsid w:val="39F2B320"/>
    <w:rsid w:val="3A4C1F9E"/>
    <w:rsid w:val="3AD17879"/>
    <w:rsid w:val="3AFDA795"/>
    <w:rsid w:val="3B001EF4"/>
    <w:rsid w:val="3B2ECEF8"/>
    <w:rsid w:val="3B646463"/>
    <w:rsid w:val="3B838DCE"/>
    <w:rsid w:val="3B9161E5"/>
    <w:rsid w:val="3BBE5F67"/>
    <w:rsid w:val="3C0111C8"/>
    <w:rsid w:val="3C6FAF68"/>
    <w:rsid w:val="3C94CC18"/>
    <w:rsid w:val="3CA0F019"/>
    <w:rsid w:val="3CD99036"/>
    <w:rsid w:val="3D712D16"/>
    <w:rsid w:val="3E35D00E"/>
    <w:rsid w:val="3E4DEE19"/>
    <w:rsid w:val="3E62CD90"/>
    <w:rsid w:val="3EA42EE4"/>
    <w:rsid w:val="3EF59B82"/>
    <w:rsid w:val="3F16CF55"/>
    <w:rsid w:val="3F1D6C03"/>
    <w:rsid w:val="3F3170E8"/>
    <w:rsid w:val="3F4E0B85"/>
    <w:rsid w:val="3F59E0F1"/>
    <w:rsid w:val="3F8D812C"/>
    <w:rsid w:val="3FC1064D"/>
    <w:rsid w:val="40013C05"/>
    <w:rsid w:val="407832A8"/>
    <w:rsid w:val="40DD6C90"/>
    <w:rsid w:val="40F742E7"/>
    <w:rsid w:val="413A7530"/>
    <w:rsid w:val="413EEF78"/>
    <w:rsid w:val="4165A6F1"/>
    <w:rsid w:val="417374DE"/>
    <w:rsid w:val="418A9252"/>
    <w:rsid w:val="41A2B6EE"/>
    <w:rsid w:val="42086FD5"/>
    <w:rsid w:val="42372208"/>
    <w:rsid w:val="42421D94"/>
    <w:rsid w:val="42642C3D"/>
    <w:rsid w:val="42660015"/>
    <w:rsid w:val="42896257"/>
    <w:rsid w:val="42F0A1A8"/>
    <w:rsid w:val="4340CFCD"/>
    <w:rsid w:val="436AF98B"/>
    <w:rsid w:val="437C8DD2"/>
    <w:rsid w:val="43C7AD5A"/>
    <w:rsid w:val="43F19686"/>
    <w:rsid w:val="44430B10"/>
    <w:rsid w:val="4448F8E2"/>
    <w:rsid w:val="444E1FC4"/>
    <w:rsid w:val="4452C7B2"/>
    <w:rsid w:val="44A37659"/>
    <w:rsid w:val="44B32FAB"/>
    <w:rsid w:val="450C2F65"/>
    <w:rsid w:val="455631E5"/>
    <w:rsid w:val="45841359"/>
    <w:rsid w:val="4598337C"/>
    <w:rsid w:val="45DE7448"/>
    <w:rsid w:val="462C9E96"/>
    <w:rsid w:val="47BEC12A"/>
    <w:rsid w:val="47E4AF9B"/>
    <w:rsid w:val="47F3EF16"/>
    <w:rsid w:val="484EE6F9"/>
    <w:rsid w:val="4850AF43"/>
    <w:rsid w:val="48B7F423"/>
    <w:rsid w:val="4980B158"/>
    <w:rsid w:val="49B402C8"/>
    <w:rsid w:val="4A3E596A"/>
    <w:rsid w:val="4A641CBB"/>
    <w:rsid w:val="4A715044"/>
    <w:rsid w:val="4AA7BB7A"/>
    <w:rsid w:val="4BA4D33A"/>
    <w:rsid w:val="4C3430FC"/>
    <w:rsid w:val="4C78EB4B"/>
    <w:rsid w:val="4CA67DE7"/>
    <w:rsid w:val="4CAB9F63"/>
    <w:rsid w:val="4CC36124"/>
    <w:rsid w:val="4CEAA695"/>
    <w:rsid w:val="4E0FF643"/>
    <w:rsid w:val="4E11AEB1"/>
    <w:rsid w:val="4E1797B2"/>
    <w:rsid w:val="4E17CA83"/>
    <w:rsid w:val="4E21036D"/>
    <w:rsid w:val="4E3F9B04"/>
    <w:rsid w:val="4EAAF2C7"/>
    <w:rsid w:val="4EEFE9B6"/>
    <w:rsid w:val="4EF0BBD8"/>
    <w:rsid w:val="4F1AB9B2"/>
    <w:rsid w:val="4F46D249"/>
    <w:rsid w:val="4FAA30BB"/>
    <w:rsid w:val="4FB24B9D"/>
    <w:rsid w:val="4FD39E4B"/>
    <w:rsid w:val="5084B33D"/>
    <w:rsid w:val="5092451D"/>
    <w:rsid w:val="50D1ED5A"/>
    <w:rsid w:val="510F18A4"/>
    <w:rsid w:val="523FE0EB"/>
    <w:rsid w:val="529E8A02"/>
    <w:rsid w:val="52A8B678"/>
    <w:rsid w:val="52CC6B76"/>
    <w:rsid w:val="52E13C63"/>
    <w:rsid w:val="52F44A44"/>
    <w:rsid w:val="5347F931"/>
    <w:rsid w:val="53B21D8B"/>
    <w:rsid w:val="547AA1EE"/>
    <w:rsid w:val="5486C109"/>
    <w:rsid w:val="54EE9820"/>
    <w:rsid w:val="54F596C9"/>
    <w:rsid w:val="54FF596C"/>
    <w:rsid w:val="5549F844"/>
    <w:rsid w:val="5553A45E"/>
    <w:rsid w:val="55639EDB"/>
    <w:rsid w:val="5578D5C1"/>
    <w:rsid w:val="55F88845"/>
    <w:rsid w:val="561775EA"/>
    <w:rsid w:val="5628EA5E"/>
    <w:rsid w:val="564546D5"/>
    <w:rsid w:val="570100D1"/>
    <w:rsid w:val="5777BCA1"/>
    <w:rsid w:val="57CB959F"/>
    <w:rsid w:val="57CC58CE"/>
    <w:rsid w:val="57DC34E1"/>
    <w:rsid w:val="57E1A8AA"/>
    <w:rsid w:val="57F4611F"/>
    <w:rsid w:val="5820D277"/>
    <w:rsid w:val="58485274"/>
    <w:rsid w:val="586B9688"/>
    <w:rsid w:val="589BBEE8"/>
    <w:rsid w:val="58D77878"/>
    <w:rsid w:val="58FE86EB"/>
    <w:rsid w:val="59084F0E"/>
    <w:rsid w:val="590F71EF"/>
    <w:rsid w:val="59D88C0B"/>
    <w:rsid w:val="59F5C8CE"/>
    <w:rsid w:val="5A0959BF"/>
    <w:rsid w:val="5B21B479"/>
    <w:rsid w:val="5B287511"/>
    <w:rsid w:val="5BC3B86A"/>
    <w:rsid w:val="5C326902"/>
    <w:rsid w:val="5C3921A1"/>
    <w:rsid w:val="5C3A79BF"/>
    <w:rsid w:val="5C61AAC5"/>
    <w:rsid w:val="5C71849F"/>
    <w:rsid w:val="5C83A29F"/>
    <w:rsid w:val="5CDCA386"/>
    <w:rsid w:val="5CE91E26"/>
    <w:rsid w:val="5D3883DD"/>
    <w:rsid w:val="5D39C6B3"/>
    <w:rsid w:val="5D4055C8"/>
    <w:rsid w:val="5D761954"/>
    <w:rsid w:val="5D7BC84A"/>
    <w:rsid w:val="5D7D7ACC"/>
    <w:rsid w:val="5DC271BB"/>
    <w:rsid w:val="5E433805"/>
    <w:rsid w:val="5E61FA01"/>
    <w:rsid w:val="5E9C3A11"/>
    <w:rsid w:val="5EE377EC"/>
    <w:rsid w:val="5FCA7A6A"/>
    <w:rsid w:val="5FDB0CB3"/>
    <w:rsid w:val="60220C9C"/>
    <w:rsid w:val="6049E1AD"/>
    <w:rsid w:val="60B2D194"/>
    <w:rsid w:val="60F63E89"/>
    <w:rsid w:val="61444756"/>
    <w:rsid w:val="6187E615"/>
    <w:rsid w:val="61AB46DC"/>
    <w:rsid w:val="61CF1926"/>
    <w:rsid w:val="61F8F7F7"/>
    <w:rsid w:val="6203A180"/>
    <w:rsid w:val="624923BE"/>
    <w:rsid w:val="625E01FE"/>
    <w:rsid w:val="627CE55B"/>
    <w:rsid w:val="62B478F9"/>
    <w:rsid w:val="62F0EDE7"/>
    <w:rsid w:val="631E1E3A"/>
    <w:rsid w:val="634CB2BD"/>
    <w:rsid w:val="63C3D0BA"/>
    <w:rsid w:val="63D2923B"/>
    <w:rsid w:val="640A4021"/>
    <w:rsid w:val="644958EE"/>
    <w:rsid w:val="644A51F0"/>
    <w:rsid w:val="6461FF03"/>
    <w:rsid w:val="646B8D83"/>
    <w:rsid w:val="646FB9C2"/>
    <w:rsid w:val="6479F870"/>
    <w:rsid w:val="649A9F20"/>
    <w:rsid w:val="64B4B0B1"/>
    <w:rsid w:val="64C014BE"/>
    <w:rsid w:val="65062ACC"/>
    <w:rsid w:val="65619465"/>
    <w:rsid w:val="6566EDA3"/>
    <w:rsid w:val="659562CD"/>
    <w:rsid w:val="65C50C19"/>
    <w:rsid w:val="660B55D6"/>
    <w:rsid w:val="663CFB46"/>
    <w:rsid w:val="674AE2B5"/>
    <w:rsid w:val="676E46ED"/>
    <w:rsid w:val="67D1DB3B"/>
    <w:rsid w:val="68148D9C"/>
    <w:rsid w:val="682BEEC6"/>
    <w:rsid w:val="684B8A61"/>
    <w:rsid w:val="685BE804"/>
    <w:rsid w:val="687B4A6A"/>
    <w:rsid w:val="690BC0E7"/>
    <w:rsid w:val="693776C2"/>
    <w:rsid w:val="6962B27B"/>
    <w:rsid w:val="69C0B634"/>
    <w:rsid w:val="69DEF38F"/>
    <w:rsid w:val="69E6DC9C"/>
    <w:rsid w:val="6A2217C5"/>
    <w:rsid w:val="6A764964"/>
    <w:rsid w:val="6A907EF3"/>
    <w:rsid w:val="6AC3ED96"/>
    <w:rsid w:val="6B091756"/>
    <w:rsid w:val="6B75DEC6"/>
    <w:rsid w:val="6C44994D"/>
    <w:rsid w:val="6D3D9A5F"/>
    <w:rsid w:val="6D4FB5AA"/>
    <w:rsid w:val="6D74312B"/>
    <w:rsid w:val="6DA2E4A1"/>
    <w:rsid w:val="6DB632C2"/>
    <w:rsid w:val="6EBABE9C"/>
    <w:rsid w:val="6EBFA047"/>
    <w:rsid w:val="6ED03E32"/>
    <w:rsid w:val="6ED19662"/>
    <w:rsid w:val="6EE5D1D2"/>
    <w:rsid w:val="6EFF44AE"/>
    <w:rsid w:val="6F269425"/>
    <w:rsid w:val="6F47FEDE"/>
    <w:rsid w:val="6F5C6832"/>
    <w:rsid w:val="6F8D9247"/>
    <w:rsid w:val="6FB7DA27"/>
    <w:rsid w:val="6FC75193"/>
    <w:rsid w:val="6FD0803C"/>
    <w:rsid w:val="6FD28936"/>
    <w:rsid w:val="6FE879A9"/>
    <w:rsid w:val="7015772B"/>
    <w:rsid w:val="70664386"/>
    <w:rsid w:val="70E67B74"/>
    <w:rsid w:val="71060604"/>
    <w:rsid w:val="71269C1D"/>
    <w:rsid w:val="712B7263"/>
    <w:rsid w:val="7169ADB9"/>
    <w:rsid w:val="71740B52"/>
    <w:rsid w:val="7191B10B"/>
    <w:rsid w:val="719EE848"/>
    <w:rsid w:val="71B3E5A0"/>
    <w:rsid w:val="71C2508D"/>
    <w:rsid w:val="7233E61E"/>
    <w:rsid w:val="72821C01"/>
    <w:rsid w:val="72B3B572"/>
    <w:rsid w:val="72B963EE"/>
    <w:rsid w:val="73020A9C"/>
    <w:rsid w:val="7355C303"/>
    <w:rsid w:val="735B2A7C"/>
    <w:rsid w:val="737F3AA8"/>
    <w:rsid w:val="73CA7D23"/>
    <w:rsid w:val="73E9CBA3"/>
    <w:rsid w:val="74723574"/>
    <w:rsid w:val="7483C366"/>
    <w:rsid w:val="74A5F7FB"/>
    <w:rsid w:val="74C9C796"/>
    <w:rsid w:val="74EAEEEA"/>
    <w:rsid w:val="75620A3D"/>
    <w:rsid w:val="759361FA"/>
    <w:rsid w:val="759D936F"/>
    <w:rsid w:val="75B5E317"/>
    <w:rsid w:val="75C3A287"/>
    <w:rsid w:val="75F0A009"/>
    <w:rsid w:val="76710BBA"/>
    <w:rsid w:val="76784959"/>
    <w:rsid w:val="769075EE"/>
    <w:rsid w:val="769A0F38"/>
    <w:rsid w:val="76A970BC"/>
    <w:rsid w:val="76C5A560"/>
    <w:rsid w:val="76DBDDFE"/>
    <w:rsid w:val="77023737"/>
    <w:rsid w:val="770E51A7"/>
    <w:rsid w:val="771B4164"/>
    <w:rsid w:val="775A6137"/>
    <w:rsid w:val="77BD4F59"/>
    <w:rsid w:val="77BEA181"/>
    <w:rsid w:val="77C380AF"/>
    <w:rsid w:val="77D8D710"/>
    <w:rsid w:val="77E9E2DC"/>
    <w:rsid w:val="77F26DF6"/>
    <w:rsid w:val="784EF814"/>
    <w:rsid w:val="787502CC"/>
    <w:rsid w:val="787F1DBF"/>
    <w:rsid w:val="788FE7B0"/>
    <w:rsid w:val="7891BF6E"/>
    <w:rsid w:val="78CB9A34"/>
    <w:rsid w:val="79040204"/>
    <w:rsid w:val="7946D8BA"/>
    <w:rsid w:val="794E190E"/>
    <w:rsid w:val="79E61C97"/>
    <w:rsid w:val="7ACCA63F"/>
    <w:rsid w:val="7AE53E60"/>
    <w:rsid w:val="7B669223"/>
    <w:rsid w:val="7B7374A8"/>
    <w:rsid w:val="7B81B825"/>
    <w:rsid w:val="7B9BF1D1"/>
    <w:rsid w:val="7BEDD4EF"/>
    <w:rsid w:val="7C393CFF"/>
    <w:rsid w:val="7C4593D1"/>
    <w:rsid w:val="7C9E06FB"/>
    <w:rsid w:val="7D21BC0F"/>
    <w:rsid w:val="7D455B5B"/>
    <w:rsid w:val="7D54A09F"/>
    <w:rsid w:val="7DBC17D4"/>
    <w:rsid w:val="7DC11F13"/>
    <w:rsid w:val="7E359429"/>
    <w:rsid w:val="7E798B21"/>
    <w:rsid w:val="7EB4E5CC"/>
    <w:rsid w:val="7ED92DF6"/>
    <w:rsid w:val="7F186369"/>
    <w:rsid w:val="7F4134AC"/>
    <w:rsid w:val="7FD3AD08"/>
    <w:rsid w:val="7FEB21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B14B5F"/>
    <w:pPr>
      <w:spacing w:after="300"/>
    </w:pPr>
    <w:rPr>
      <w:rFonts w:ascii="Arial" w:hAnsi="Arial" w:cs="Arial"/>
      <w:color w:val="201547"/>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37339"/>
    <w:pPr>
      <w:numPr>
        <w:numId w:val="3"/>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15"/>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normaltextrun">
    <w:name w:val="normaltextrun"/>
    <w:basedOn w:val="DefaultParagraphFont"/>
    <w:rsid w:val="00B21959"/>
  </w:style>
  <w:style w:type="paragraph" w:customStyle="1" w:styleId="DHHSbody">
    <w:name w:val="DHHS body"/>
    <w:link w:val="DHHSbodyChar"/>
    <w:qFormat/>
    <w:rsid w:val="008A523E"/>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8A523E"/>
    <w:rPr>
      <w:rFonts w:ascii="Arial" w:eastAsia="Times" w:hAnsi="Arial"/>
      <w:lang w:eastAsia="en-US"/>
    </w:rPr>
  </w:style>
  <w:style w:type="paragraph" w:styleId="ListParagraph">
    <w:name w:val="List Paragraph"/>
    <w:basedOn w:val="Normal"/>
    <w:link w:val="ListParagraphChar"/>
    <w:uiPriority w:val="34"/>
    <w:qFormat/>
    <w:rsid w:val="00B73199"/>
    <w:pPr>
      <w:ind w:left="720"/>
      <w:contextualSpacing/>
    </w:pPr>
  </w:style>
  <w:style w:type="character" w:customStyle="1" w:styleId="ListParagraphChar">
    <w:name w:val="List Paragraph Char"/>
    <w:basedOn w:val="DefaultParagraphFont"/>
    <w:link w:val="ListParagraph"/>
    <w:uiPriority w:val="34"/>
    <w:rsid w:val="00451857"/>
    <w:rPr>
      <w:rFonts w:ascii="Arial" w:hAnsi="Arial"/>
      <w:sz w:val="21"/>
      <w:lang w:eastAsia="en-US"/>
    </w:rPr>
  </w:style>
  <w:style w:type="character" w:styleId="Mention">
    <w:name w:val="Mention"/>
    <w:basedOn w:val="DefaultParagraphFont"/>
    <w:uiPriority w:val="99"/>
    <w:unhideWhenUsed/>
    <w:rsid w:val="00B2011E"/>
    <w:rPr>
      <w:color w:val="2B579A"/>
      <w:shd w:val="clear" w:color="auto" w:fill="E1DFDD"/>
    </w:rPr>
  </w:style>
  <w:style w:type="character" w:customStyle="1" w:styleId="HeaderChar">
    <w:name w:val="Header Char"/>
    <w:basedOn w:val="DefaultParagraphFont"/>
    <w:link w:val="Header"/>
    <w:uiPriority w:val="99"/>
    <w:rsid w:val="00F42C15"/>
    <w:rPr>
      <w:rFonts w:ascii="Arial" w:hAnsi="Arial" w:cs="Arial"/>
      <w:color w:val="201547"/>
      <w:szCs w:val="18"/>
      <w:lang w:eastAsia="en-US"/>
    </w:rPr>
  </w:style>
  <w:style w:type="paragraph" w:customStyle="1" w:styleId="paragraph">
    <w:name w:val="paragraph"/>
    <w:basedOn w:val="Normal"/>
    <w:rsid w:val="00B06D4F"/>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B06D4F"/>
  </w:style>
  <w:style w:type="paragraph" w:styleId="TOCHeading">
    <w:name w:val="TOC Heading"/>
    <w:basedOn w:val="Heading1"/>
    <w:next w:val="Normal"/>
    <w:uiPriority w:val="39"/>
    <w:unhideWhenUsed/>
    <w:qFormat/>
    <w:rsid w:val="00B200DB"/>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99"/>
    <w:rsid w:val="008729AF"/>
    <w:rPr>
      <w:rFonts w:ascii="Arial" w:hAnsi="Arial" w:cs="Arial"/>
      <w:szCs w:val="18"/>
      <w:lang w:eastAsia="en-US"/>
    </w:rPr>
  </w:style>
  <w:style w:type="paragraph" w:styleId="NormalWeb">
    <w:name w:val="Normal (Web)"/>
    <w:basedOn w:val="Normal"/>
    <w:uiPriority w:val="99"/>
    <w:semiHidden/>
    <w:unhideWhenUsed/>
    <w:rsid w:val="005E28A3"/>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771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7230355">
      <w:bodyDiv w:val="1"/>
      <w:marLeft w:val="0"/>
      <w:marRight w:val="0"/>
      <w:marTop w:val="0"/>
      <w:marBottom w:val="0"/>
      <w:divBdr>
        <w:top w:val="none" w:sz="0" w:space="0" w:color="auto"/>
        <w:left w:val="none" w:sz="0" w:space="0" w:color="auto"/>
        <w:bottom w:val="none" w:sz="0" w:space="0" w:color="auto"/>
        <w:right w:val="none" w:sz="0" w:space="0" w:color="auto"/>
      </w:divBdr>
      <w:divsChild>
        <w:div w:id="512573758">
          <w:marLeft w:val="0"/>
          <w:marRight w:val="0"/>
          <w:marTop w:val="0"/>
          <w:marBottom w:val="0"/>
          <w:divBdr>
            <w:top w:val="none" w:sz="0" w:space="0" w:color="auto"/>
            <w:left w:val="none" w:sz="0" w:space="0" w:color="auto"/>
            <w:bottom w:val="none" w:sz="0" w:space="0" w:color="auto"/>
            <w:right w:val="none" w:sz="0" w:space="0" w:color="auto"/>
          </w:divBdr>
        </w:div>
      </w:divsChild>
    </w:div>
    <w:div w:id="27617665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06212219">
      <w:bodyDiv w:val="1"/>
      <w:marLeft w:val="0"/>
      <w:marRight w:val="0"/>
      <w:marTop w:val="0"/>
      <w:marBottom w:val="0"/>
      <w:divBdr>
        <w:top w:val="none" w:sz="0" w:space="0" w:color="auto"/>
        <w:left w:val="none" w:sz="0" w:space="0" w:color="auto"/>
        <w:bottom w:val="none" w:sz="0" w:space="0" w:color="auto"/>
        <w:right w:val="none" w:sz="0" w:space="0" w:color="auto"/>
      </w:divBdr>
    </w:div>
    <w:div w:id="596182939">
      <w:bodyDiv w:val="1"/>
      <w:marLeft w:val="0"/>
      <w:marRight w:val="0"/>
      <w:marTop w:val="0"/>
      <w:marBottom w:val="0"/>
      <w:divBdr>
        <w:top w:val="none" w:sz="0" w:space="0" w:color="auto"/>
        <w:left w:val="none" w:sz="0" w:space="0" w:color="auto"/>
        <w:bottom w:val="none" w:sz="0" w:space="0" w:color="auto"/>
        <w:right w:val="none" w:sz="0" w:space="0" w:color="auto"/>
      </w:divBdr>
      <w:divsChild>
        <w:div w:id="222764345">
          <w:marLeft w:val="0"/>
          <w:marRight w:val="0"/>
          <w:marTop w:val="0"/>
          <w:marBottom w:val="0"/>
          <w:divBdr>
            <w:top w:val="none" w:sz="0" w:space="0" w:color="auto"/>
            <w:left w:val="none" w:sz="0" w:space="0" w:color="auto"/>
            <w:bottom w:val="none" w:sz="0" w:space="0" w:color="auto"/>
            <w:right w:val="none" w:sz="0" w:space="0" w:color="auto"/>
          </w:divBdr>
        </w:div>
        <w:div w:id="1070156442">
          <w:marLeft w:val="0"/>
          <w:marRight w:val="0"/>
          <w:marTop w:val="0"/>
          <w:marBottom w:val="0"/>
          <w:divBdr>
            <w:top w:val="none" w:sz="0" w:space="0" w:color="auto"/>
            <w:left w:val="none" w:sz="0" w:space="0" w:color="auto"/>
            <w:bottom w:val="none" w:sz="0" w:space="0" w:color="auto"/>
            <w:right w:val="none" w:sz="0" w:space="0" w:color="auto"/>
          </w:divBdr>
        </w:div>
      </w:divsChild>
    </w:div>
    <w:div w:id="6054275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3">
          <w:marLeft w:val="274"/>
          <w:marRight w:val="0"/>
          <w:marTop w:val="0"/>
          <w:marBottom w:val="0"/>
          <w:divBdr>
            <w:top w:val="none" w:sz="0" w:space="0" w:color="auto"/>
            <w:left w:val="none" w:sz="0" w:space="0" w:color="auto"/>
            <w:bottom w:val="none" w:sz="0" w:space="0" w:color="auto"/>
            <w:right w:val="none" w:sz="0" w:space="0" w:color="auto"/>
          </w:divBdr>
        </w:div>
        <w:div w:id="77101019">
          <w:marLeft w:val="274"/>
          <w:marRight w:val="0"/>
          <w:marTop w:val="0"/>
          <w:marBottom w:val="0"/>
          <w:divBdr>
            <w:top w:val="none" w:sz="0" w:space="0" w:color="auto"/>
            <w:left w:val="none" w:sz="0" w:space="0" w:color="auto"/>
            <w:bottom w:val="none" w:sz="0" w:space="0" w:color="auto"/>
            <w:right w:val="none" w:sz="0" w:space="0" w:color="auto"/>
          </w:divBdr>
        </w:div>
        <w:div w:id="79570223">
          <w:marLeft w:val="274"/>
          <w:marRight w:val="0"/>
          <w:marTop w:val="0"/>
          <w:marBottom w:val="0"/>
          <w:divBdr>
            <w:top w:val="none" w:sz="0" w:space="0" w:color="auto"/>
            <w:left w:val="none" w:sz="0" w:space="0" w:color="auto"/>
            <w:bottom w:val="none" w:sz="0" w:space="0" w:color="auto"/>
            <w:right w:val="none" w:sz="0" w:space="0" w:color="auto"/>
          </w:divBdr>
        </w:div>
        <w:div w:id="471867760">
          <w:marLeft w:val="274"/>
          <w:marRight w:val="0"/>
          <w:marTop w:val="0"/>
          <w:marBottom w:val="0"/>
          <w:divBdr>
            <w:top w:val="none" w:sz="0" w:space="0" w:color="auto"/>
            <w:left w:val="none" w:sz="0" w:space="0" w:color="auto"/>
            <w:bottom w:val="none" w:sz="0" w:space="0" w:color="auto"/>
            <w:right w:val="none" w:sz="0" w:space="0" w:color="auto"/>
          </w:divBdr>
        </w:div>
        <w:div w:id="512033566">
          <w:marLeft w:val="274"/>
          <w:marRight w:val="0"/>
          <w:marTop w:val="0"/>
          <w:marBottom w:val="0"/>
          <w:divBdr>
            <w:top w:val="none" w:sz="0" w:space="0" w:color="auto"/>
            <w:left w:val="none" w:sz="0" w:space="0" w:color="auto"/>
            <w:bottom w:val="none" w:sz="0" w:space="0" w:color="auto"/>
            <w:right w:val="none" w:sz="0" w:space="0" w:color="auto"/>
          </w:divBdr>
        </w:div>
        <w:div w:id="729960799">
          <w:marLeft w:val="274"/>
          <w:marRight w:val="0"/>
          <w:marTop w:val="0"/>
          <w:marBottom w:val="0"/>
          <w:divBdr>
            <w:top w:val="none" w:sz="0" w:space="0" w:color="auto"/>
            <w:left w:val="none" w:sz="0" w:space="0" w:color="auto"/>
            <w:bottom w:val="none" w:sz="0" w:space="0" w:color="auto"/>
            <w:right w:val="none" w:sz="0" w:space="0" w:color="auto"/>
          </w:divBdr>
        </w:div>
        <w:div w:id="731267785">
          <w:marLeft w:val="274"/>
          <w:marRight w:val="0"/>
          <w:marTop w:val="0"/>
          <w:marBottom w:val="0"/>
          <w:divBdr>
            <w:top w:val="none" w:sz="0" w:space="0" w:color="auto"/>
            <w:left w:val="none" w:sz="0" w:space="0" w:color="auto"/>
            <w:bottom w:val="none" w:sz="0" w:space="0" w:color="auto"/>
            <w:right w:val="none" w:sz="0" w:space="0" w:color="auto"/>
          </w:divBdr>
        </w:div>
        <w:div w:id="1392774069">
          <w:marLeft w:val="274"/>
          <w:marRight w:val="0"/>
          <w:marTop w:val="0"/>
          <w:marBottom w:val="0"/>
          <w:divBdr>
            <w:top w:val="none" w:sz="0" w:space="0" w:color="auto"/>
            <w:left w:val="none" w:sz="0" w:space="0" w:color="auto"/>
            <w:bottom w:val="none" w:sz="0" w:space="0" w:color="auto"/>
            <w:right w:val="none" w:sz="0" w:space="0" w:color="auto"/>
          </w:divBdr>
        </w:div>
        <w:div w:id="1526094353">
          <w:marLeft w:val="274"/>
          <w:marRight w:val="0"/>
          <w:marTop w:val="0"/>
          <w:marBottom w:val="0"/>
          <w:divBdr>
            <w:top w:val="none" w:sz="0" w:space="0" w:color="auto"/>
            <w:left w:val="none" w:sz="0" w:space="0" w:color="auto"/>
            <w:bottom w:val="none" w:sz="0" w:space="0" w:color="auto"/>
            <w:right w:val="none" w:sz="0" w:space="0" w:color="auto"/>
          </w:divBdr>
        </w:div>
        <w:div w:id="1924215869">
          <w:marLeft w:val="274"/>
          <w:marRight w:val="0"/>
          <w:marTop w:val="0"/>
          <w:marBottom w:val="0"/>
          <w:divBdr>
            <w:top w:val="none" w:sz="0" w:space="0" w:color="auto"/>
            <w:left w:val="none" w:sz="0" w:space="0" w:color="auto"/>
            <w:bottom w:val="none" w:sz="0" w:space="0" w:color="auto"/>
            <w:right w:val="none" w:sz="0" w:space="0" w:color="auto"/>
          </w:divBdr>
        </w:div>
        <w:div w:id="1928462779">
          <w:marLeft w:val="274"/>
          <w:marRight w:val="0"/>
          <w:marTop w:val="0"/>
          <w:marBottom w:val="40"/>
          <w:divBdr>
            <w:top w:val="none" w:sz="0" w:space="0" w:color="auto"/>
            <w:left w:val="none" w:sz="0" w:space="0" w:color="auto"/>
            <w:bottom w:val="none" w:sz="0" w:space="0" w:color="auto"/>
            <w:right w:val="none" w:sz="0" w:space="0" w:color="auto"/>
          </w:divBdr>
        </w:div>
        <w:div w:id="2028360959">
          <w:marLeft w:val="274"/>
          <w:marRight w:val="0"/>
          <w:marTop w:val="0"/>
          <w:marBottom w:val="0"/>
          <w:divBdr>
            <w:top w:val="none" w:sz="0" w:space="0" w:color="auto"/>
            <w:left w:val="none" w:sz="0" w:space="0" w:color="auto"/>
            <w:bottom w:val="none" w:sz="0" w:space="0" w:color="auto"/>
            <w:right w:val="none" w:sz="0" w:space="0" w:color="auto"/>
          </w:divBdr>
        </w:div>
      </w:divsChild>
    </w:div>
    <w:div w:id="650792085">
      <w:bodyDiv w:val="1"/>
      <w:marLeft w:val="0"/>
      <w:marRight w:val="0"/>
      <w:marTop w:val="0"/>
      <w:marBottom w:val="0"/>
      <w:divBdr>
        <w:top w:val="none" w:sz="0" w:space="0" w:color="auto"/>
        <w:left w:val="none" w:sz="0" w:space="0" w:color="auto"/>
        <w:bottom w:val="none" w:sz="0" w:space="0" w:color="auto"/>
        <w:right w:val="none" w:sz="0" w:space="0" w:color="auto"/>
      </w:divBdr>
    </w:div>
    <w:div w:id="812062441">
      <w:bodyDiv w:val="1"/>
      <w:marLeft w:val="0"/>
      <w:marRight w:val="0"/>
      <w:marTop w:val="0"/>
      <w:marBottom w:val="0"/>
      <w:divBdr>
        <w:top w:val="none" w:sz="0" w:space="0" w:color="auto"/>
        <w:left w:val="none" w:sz="0" w:space="0" w:color="auto"/>
        <w:bottom w:val="none" w:sz="0" w:space="0" w:color="auto"/>
        <w:right w:val="none" w:sz="0" w:space="0" w:color="auto"/>
      </w:divBdr>
      <w:divsChild>
        <w:div w:id="1592548897">
          <w:marLeft w:val="331"/>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7812470">
      <w:bodyDiv w:val="1"/>
      <w:marLeft w:val="0"/>
      <w:marRight w:val="0"/>
      <w:marTop w:val="0"/>
      <w:marBottom w:val="0"/>
      <w:divBdr>
        <w:top w:val="none" w:sz="0" w:space="0" w:color="auto"/>
        <w:left w:val="none" w:sz="0" w:space="0" w:color="auto"/>
        <w:bottom w:val="none" w:sz="0" w:space="0" w:color="auto"/>
        <w:right w:val="none" w:sz="0" w:space="0" w:color="auto"/>
      </w:divBdr>
      <w:divsChild>
        <w:div w:id="197015070">
          <w:marLeft w:val="0"/>
          <w:marRight w:val="0"/>
          <w:marTop w:val="0"/>
          <w:marBottom w:val="0"/>
          <w:divBdr>
            <w:top w:val="none" w:sz="0" w:space="0" w:color="auto"/>
            <w:left w:val="none" w:sz="0" w:space="0" w:color="auto"/>
            <w:bottom w:val="none" w:sz="0" w:space="0" w:color="auto"/>
            <w:right w:val="none" w:sz="0" w:space="0" w:color="auto"/>
          </w:divBdr>
        </w:div>
        <w:div w:id="206257404">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9572604">
      <w:bodyDiv w:val="1"/>
      <w:marLeft w:val="0"/>
      <w:marRight w:val="0"/>
      <w:marTop w:val="0"/>
      <w:marBottom w:val="0"/>
      <w:divBdr>
        <w:top w:val="none" w:sz="0" w:space="0" w:color="auto"/>
        <w:left w:val="none" w:sz="0" w:space="0" w:color="auto"/>
        <w:bottom w:val="none" w:sz="0" w:space="0" w:color="auto"/>
        <w:right w:val="none" w:sz="0" w:space="0" w:color="auto"/>
      </w:divBdr>
    </w:div>
    <w:div w:id="1054423348">
      <w:bodyDiv w:val="1"/>
      <w:marLeft w:val="0"/>
      <w:marRight w:val="0"/>
      <w:marTop w:val="0"/>
      <w:marBottom w:val="0"/>
      <w:divBdr>
        <w:top w:val="none" w:sz="0" w:space="0" w:color="auto"/>
        <w:left w:val="none" w:sz="0" w:space="0" w:color="auto"/>
        <w:bottom w:val="none" w:sz="0" w:space="0" w:color="auto"/>
        <w:right w:val="none" w:sz="0" w:space="0" w:color="auto"/>
      </w:divBdr>
      <w:divsChild>
        <w:div w:id="66346552">
          <w:marLeft w:val="0"/>
          <w:marRight w:val="0"/>
          <w:marTop w:val="0"/>
          <w:marBottom w:val="0"/>
          <w:divBdr>
            <w:top w:val="none" w:sz="0" w:space="0" w:color="auto"/>
            <w:left w:val="none" w:sz="0" w:space="0" w:color="auto"/>
            <w:bottom w:val="none" w:sz="0" w:space="0" w:color="auto"/>
            <w:right w:val="none" w:sz="0" w:space="0" w:color="auto"/>
          </w:divBdr>
        </w:div>
      </w:divsChild>
    </w:div>
    <w:div w:id="1082333253">
      <w:bodyDiv w:val="1"/>
      <w:marLeft w:val="0"/>
      <w:marRight w:val="0"/>
      <w:marTop w:val="0"/>
      <w:marBottom w:val="0"/>
      <w:divBdr>
        <w:top w:val="none" w:sz="0" w:space="0" w:color="auto"/>
        <w:left w:val="none" w:sz="0" w:space="0" w:color="auto"/>
        <w:bottom w:val="none" w:sz="0" w:space="0" w:color="auto"/>
        <w:right w:val="none" w:sz="0" w:space="0" w:color="auto"/>
      </w:divBdr>
      <w:divsChild>
        <w:div w:id="103967633">
          <w:marLeft w:val="0"/>
          <w:marRight w:val="0"/>
          <w:marTop w:val="0"/>
          <w:marBottom w:val="0"/>
          <w:divBdr>
            <w:top w:val="none" w:sz="0" w:space="0" w:color="auto"/>
            <w:left w:val="none" w:sz="0" w:space="0" w:color="auto"/>
            <w:bottom w:val="none" w:sz="0" w:space="0" w:color="auto"/>
            <w:right w:val="none" w:sz="0" w:space="0" w:color="auto"/>
          </w:divBdr>
        </w:div>
      </w:divsChild>
    </w:div>
    <w:div w:id="1170217245">
      <w:bodyDiv w:val="1"/>
      <w:marLeft w:val="0"/>
      <w:marRight w:val="0"/>
      <w:marTop w:val="0"/>
      <w:marBottom w:val="0"/>
      <w:divBdr>
        <w:top w:val="none" w:sz="0" w:space="0" w:color="auto"/>
        <w:left w:val="none" w:sz="0" w:space="0" w:color="auto"/>
        <w:bottom w:val="none" w:sz="0" w:space="0" w:color="auto"/>
        <w:right w:val="none" w:sz="0" w:space="0" w:color="auto"/>
      </w:divBdr>
    </w:div>
    <w:div w:id="1302611486">
      <w:bodyDiv w:val="1"/>
      <w:marLeft w:val="0"/>
      <w:marRight w:val="0"/>
      <w:marTop w:val="0"/>
      <w:marBottom w:val="0"/>
      <w:divBdr>
        <w:top w:val="none" w:sz="0" w:space="0" w:color="auto"/>
        <w:left w:val="none" w:sz="0" w:space="0" w:color="auto"/>
        <w:bottom w:val="none" w:sz="0" w:space="0" w:color="auto"/>
        <w:right w:val="none" w:sz="0" w:space="0" w:color="auto"/>
      </w:divBdr>
      <w:divsChild>
        <w:div w:id="140661640">
          <w:marLeft w:val="0"/>
          <w:marRight w:val="0"/>
          <w:marTop w:val="0"/>
          <w:marBottom w:val="0"/>
          <w:divBdr>
            <w:top w:val="none" w:sz="0" w:space="0" w:color="auto"/>
            <w:left w:val="none" w:sz="0" w:space="0" w:color="auto"/>
            <w:bottom w:val="none" w:sz="0" w:space="0" w:color="auto"/>
            <w:right w:val="none" w:sz="0" w:space="0" w:color="auto"/>
          </w:divBdr>
          <w:divsChild>
            <w:div w:id="29502601">
              <w:marLeft w:val="0"/>
              <w:marRight w:val="0"/>
              <w:marTop w:val="0"/>
              <w:marBottom w:val="0"/>
              <w:divBdr>
                <w:top w:val="none" w:sz="0" w:space="0" w:color="auto"/>
                <w:left w:val="none" w:sz="0" w:space="0" w:color="auto"/>
                <w:bottom w:val="none" w:sz="0" w:space="0" w:color="auto"/>
                <w:right w:val="none" w:sz="0" w:space="0" w:color="auto"/>
              </w:divBdr>
            </w:div>
            <w:div w:id="998115361">
              <w:marLeft w:val="0"/>
              <w:marRight w:val="0"/>
              <w:marTop w:val="0"/>
              <w:marBottom w:val="0"/>
              <w:divBdr>
                <w:top w:val="none" w:sz="0" w:space="0" w:color="auto"/>
                <w:left w:val="none" w:sz="0" w:space="0" w:color="auto"/>
                <w:bottom w:val="none" w:sz="0" w:space="0" w:color="auto"/>
                <w:right w:val="none" w:sz="0" w:space="0" w:color="auto"/>
              </w:divBdr>
            </w:div>
            <w:div w:id="1087113583">
              <w:marLeft w:val="0"/>
              <w:marRight w:val="0"/>
              <w:marTop w:val="0"/>
              <w:marBottom w:val="0"/>
              <w:divBdr>
                <w:top w:val="none" w:sz="0" w:space="0" w:color="auto"/>
                <w:left w:val="none" w:sz="0" w:space="0" w:color="auto"/>
                <w:bottom w:val="none" w:sz="0" w:space="0" w:color="auto"/>
                <w:right w:val="none" w:sz="0" w:space="0" w:color="auto"/>
              </w:divBdr>
            </w:div>
            <w:div w:id="1685588273">
              <w:marLeft w:val="0"/>
              <w:marRight w:val="0"/>
              <w:marTop w:val="0"/>
              <w:marBottom w:val="0"/>
              <w:divBdr>
                <w:top w:val="none" w:sz="0" w:space="0" w:color="auto"/>
                <w:left w:val="none" w:sz="0" w:space="0" w:color="auto"/>
                <w:bottom w:val="none" w:sz="0" w:space="0" w:color="auto"/>
                <w:right w:val="none" w:sz="0" w:space="0" w:color="auto"/>
              </w:divBdr>
            </w:div>
          </w:divsChild>
        </w:div>
        <w:div w:id="1187645573">
          <w:marLeft w:val="0"/>
          <w:marRight w:val="0"/>
          <w:marTop w:val="0"/>
          <w:marBottom w:val="0"/>
          <w:divBdr>
            <w:top w:val="none" w:sz="0" w:space="0" w:color="auto"/>
            <w:left w:val="none" w:sz="0" w:space="0" w:color="auto"/>
            <w:bottom w:val="none" w:sz="0" w:space="0" w:color="auto"/>
            <w:right w:val="none" w:sz="0" w:space="0" w:color="auto"/>
          </w:divBdr>
          <w:divsChild>
            <w:div w:id="195313013">
              <w:marLeft w:val="0"/>
              <w:marRight w:val="0"/>
              <w:marTop w:val="0"/>
              <w:marBottom w:val="0"/>
              <w:divBdr>
                <w:top w:val="none" w:sz="0" w:space="0" w:color="auto"/>
                <w:left w:val="none" w:sz="0" w:space="0" w:color="auto"/>
                <w:bottom w:val="none" w:sz="0" w:space="0" w:color="auto"/>
                <w:right w:val="none" w:sz="0" w:space="0" w:color="auto"/>
              </w:divBdr>
            </w:div>
            <w:div w:id="1886064141">
              <w:marLeft w:val="0"/>
              <w:marRight w:val="0"/>
              <w:marTop w:val="0"/>
              <w:marBottom w:val="0"/>
              <w:divBdr>
                <w:top w:val="none" w:sz="0" w:space="0" w:color="auto"/>
                <w:left w:val="none" w:sz="0" w:space="0" w:color="auto"/>
                <w:bottom w:val="none" w:sz="0" w:space="0" w:color="auto"/>
                <w:right w:val="none" w:sz="0" w:space="0" w:color="auto"/>
              </w:divBdr>
            </w:div>
          </w:divsChild>
        </w:div>
        <w:div w:id="1332413030">
          <w:marLeft w:val="0"/>
          <w:marRight w:val="0"/>
          <w:marTop w:val="0"/>
          <w:marBottom w:val="0"/>
          <w:divBdr>
            <w:top w:val="none" w:sz="0" w:space="0" w:color="auto"/>
            <w:left w:val="none" w:sz="0" w:space="0" w:color="auto"/>
            <w:bottom w:val="none" w:sz="0" w:space="0" w:color="auto"/>
            <w:right w:val="none" w:sz="0" w:space="0" w:color="auto"/>
          </w:divBdr>
          <w:divsChild>
            <w:div w:id="80759260">
              <w:marLeft w:val="0"/>
              <w:marRight w:val="0"/>
              <w:marTop w:val="0"/>
              <w:marBottom w:val="0"/>
              <w:divBdr>
                <w:top w:val="none" w:sz="0" w:space="0" w:color="auto"/>
                <w:left w:val="none" w:sz="0" w:space="0" w:color="auto"/>
                <w:bottom w:val="none" w:sz="0" w:space="0" w:color="auto"/>
                <w:right w:val="none" w:sz="0" w:space="0" w:color="auto"/>
              </w:divBdr>
            </w:div>
            <w:div w:id="215819459">
              <w:marLeft w:val="0"/>
              <w:marRight w:val="0"/>
              <w:marTop w:val="0"/>
              <w:marBottom w:val="0"/>
              <w:divBdr>
                <w:top w:val="none" w:sz="0" w:space="0" w:color="auto"/>
                <w:left w:val="none" w:sz="0" w:space="0" w:color="auto"/>
                <w:bottom w:val="none" w:sz="0" w:space="0" w:color="auto"/>
                <w:right w:val="none" w:sz="0" w:space="0" w:color="auto"/>
              </w:divBdr>
            </w:div>
            <w:div w:id="411853335">
              <w:marLeft w:val="0"/>
              <w:marRight w:val="0"/>
              <w:marTop w:val="0"/>
              <w:marBottom w:val="0"/>
              <w:divBdr>
                <w:top w:val="none" w:sz="0" w:space="0" w:color="auto"/>
                <w:left w:val="none" w:sz="0" w:space="0" w:color="auto"/>
                <w:bottom w:val="none" w:sz="0" w:space="0" w:color="auto"/>
                <w:right w:val="none" w:sz="0" w:space="0" w:color="auto"/>
              </w:divBdr>
            </w:div>
            <w:div w:id="1085761643">
              <w:marLeft w:val="0"/>
              <w:marRight w:val="0"/>
              <w:marTop w:val="0"/>
              <w:marBottom w:val="0"/>
              <w:divBdr>
                <w:top w:val="none" w:sz="0" w:space="0" w:color="auto"/>
                <w:left w:val="none" w:sz="0" w:space="0" w:color="auto"/>
                <w:bottom w:val="none" w:sz="0" w:space="0" w:color="auto"/>
                <w:right w:val="none" w:sz="0" w:space="0" w:color="auto"/>
              </w:divBdr>
            </w:div>
            <w:div w:id="20741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9900072">
      <w:bodyDiv w:val="1"/>
      <w:marLeft w:val="0"/>
      <w:marRight w:val="0"/>
      <w:marTop w:val="0"/>
      <w:marBottom w:val="0"/>
      <w:divBdr>
        <w:top w:val="none" w:sz="0" w:space="0" w:color="auto"/>
        <w:left w:val="none" w:sz="0" w:space="0" w:color="auto"/>
        <w:bottom w:val="none" w:sz="0" w:space="0" w:color="auto"/>
        <w:right w:val="none" w:sz="0" w:space="0" w:color="auto"/>
      </w:divBdr>
    </w:div>
    <w:div w:id="1582716675">
      <w:bodyDiv w:val="1"/>
      <w:marLeft w:val="0"/>
      <w:marRight w:val="0"/>
      <w:marTop w:val="0"/>
      <w:marBottom w:val="0"/>
      <w:divBdr>
        <w:top w:val="none" w:sz="0" w:space="0" w:color="auto"/>
        <w:left w:val="none" w:sz="0" w:space="0" w:color="auto"/>
        <w:bottom w:val="none" w:sz="0" w:space="0" w:color="auto"/>
        <w:right w:val="none" w:sz="0" w:space="0" w:color="auto"/>
      </w:divBdr>
    </w:div>
    <w:div w:id="158565064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5712643">
      <w:bodyDiv w:val="1"/>
      <w:marLeft w:val="0"/>
      <w:marRight w:val="0"/>
      <w:marTop w:val="0"/>
      <w:marBottom w:val="0"/>
      <w:divBdr>
        <w:top w:val="none" w:sz="0" w:space="0" w:color="auto"/>
        <w:left w:val="none" w:sz="0" w:space="0" w:color="auto"/>
        <w:bottom w:val="none" w:sz="0" w:space="0" w:color="auto"/>
        <w:right w:val="none" w:sz="0" w:space="0" w:color="auto"/>
      </w:divBdr>
      <w:divsChild>
        <w:div w:id="146538713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4632473">
      <w:bodyDiv w:val="1"/>
      <w:marLeft w:val="0"/>
      <w:marRight w:val="0"/>
      <w:marTop w:val="0"/>
      <w:marBottom w:val="0"/>
      <w:divBdr>
        <w:top w:val="none" w:sz="0" w:space="0" w:color="auto"/>
        <w:left w:val="none" w:sz="0" w:space="0" w:color="auto"/>
        <w:bottom w:val="none" w:sz="0" w:space="0" w:color="auto"/>
        <w:right w:val="none" w:sz="0" w:space="0" w:color="auto"/>
      </w:divBdr>
    </w:div>
    <w:div w:id="1923223245">
      <w:bodyDiv w:val="1"/>
      <w:marLeft w:val="0"/>
      <w:marRight w:val="0"/>
      <w:marTop w:val="0"/>
      <w:marBottom w:val="0"/>
      <w:divBdr>
        <w:top w:val="none" w:sz="0" w:space="0" w:color="auto"/>
        <w:left w:val="none" w:sz="0" w:space="0" w:color="auto"/>
        <w:bottom w:val="none" w:sz="0" w:space="0" w:color="auto"/>
        <w:right w:val="none" w:sz="0" w:space="0" w:color="auto"/>
      </w:divBdr>
      <w:divsChild>
        <w:div w:id="2069838882">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9700651">
      <w:bodyDiv w:val="1"/>
      <w:marLeft w:val="0"/>
      <w:marRight w:val="0"/>
      <w:marTop w:val="0"/>
      <w:marBottom w:val="0"/>
      <w:divBdr>
        <w:top w:val="none" w:sz="0" w:space="0" w:color="auto"/>
        <w:left w:val="none" w:sz="0" w:space="0" w:color="auto"/>
        <w:bottom w:val="none" w:sz="0" w:space="0" w:color="auto"/>
        <w:right w:val="none" w:sz="0" w:space="0" w:color="auto"/>
      </w:divBdr>
      <w:divsChild>
        <w:div w:id="1273516306">
          <w:marLeft w:val="0"/>
          <w:marRight w:val="0"/>
          <w:marTop w:val="0"/>
          <w:marBottom w:val="0"/>
          <w:divBdr>
            <w:top w:val="none" w:sz="0" w:space="0" w:color="auto"/>
            <w:left w:val="none" w:sz="0" w:space="0" w:color="auto"/>
            <w:bottom w:val="none" w:sz="0" w:space="0" w:color="auto"/>
            <w:right w:val="none" w:sz="0" w:space="0" w:color="auto"/>
          </w:divBdr>
        </w:div>
        <w:div w:id="1380326102">
          <w:marLeft w:val="0"/>
          <w:marRight w:val="0"/>
          <w:marTop w:val="0"/>
          <w:marBottom w:val="0"/>
          <w:divBdr>
            <w:top w:val="none" w:sz="0" w:space="0" w:color="auto"/>
            <w:left w:val="none" w:sz="0" w:space="0" w:color="auto"/>
            <w:bottom w:val="none" w:sz="0" w:space="0" w:color="auto"/>
            <w:right w:val="none" w:sz="0" w:space="0" w:color="auto"/>
          </w:divBdr>
        </w:div>
        <w:div w:id="1909339676">
          <w:marLeft w:val="0"/>
          <w:marRight w:val="0"/>
          <w:marTop w:val="0"/>
          <w:marBottom w:val="0"/>
          <w:divBdr>
            <w:top w:val="none" w:sz="0" w:space="0" w:color="auto"/>
            <w:left w:val="none" w:sz="0" w:space="0" w:color="auto"/>
            <w:bottom w:val="none" w:sz="0" w:space="0" w:color="auto"/>
            <w:right w:val="none" w:sz="0" w:space="0" w:color="auto"/>
          </w:divBdr>
          <w:divsChild>
            <w:div w:id="109784238">
              <w:marLeft w:val="0"/>
              <w:marRight w:val="0"/>
              <w:marTop w:val="0"/>
              <w:marBottom w:val="0"/>
              <w:divBdr>
                <w:top w:val="none" w:sz="0" w:space="0" w:color="auto"/>
                <w:left w:val="none" w:sz="0" w:space="0" w:color="auto"/>
                <w:bottom w:val="none" w:sz="0" w:space="0" w:color="auto"/>
                <w:right w:val="none" w:sz="0" w:space="0" w:color="auto"/>
              </w:divBdr>
            </w:div>
            <w:div w:id="490801818">
              <w:marLeft w:val="0"/>
              <w:marRight w:val="0"/>
              <w:marTop w:val="0"/>
              <w:marBottom w:val="0"/>
              <w:divBdr>
                <w:top w:val="none" w:sz="0" w:space="0" w:color="auto"/>
                <w:left w:val="none" w:sz="0" w:space="0" w:color="auto"/>
                <w:bottom w:val="none" w:sz="0" w:space="0" w:color="auto"/>
                <w:right w:val="none" w:sz="0" w:space="0" w:color="auto"/>
              </w:divBdr>
            </w:div>
            <w:div w:id="1460563388">
              <w:marLeft w:val="0"/>
              <w:marRight w:val="0"/>
              <w:marTop w:val="0"/>
              <w:marBottom w:val="0"/>
              <w:divBdr>
                <w:top w:val="none" w:sz="0" w:space="0" w:color="auto"/>
                <w:left w:val="none" w:sz="0" w:space="0" w:color="auto"/>
                <w:bottom w:val="none" w:sz="0" w:space="0" w:color="auto"/>
                <w:right w:val="none" w:sz="0" w:space="0" w:color="auto"/>
              </w:divBdr>
            </w:div>
            <w:div w:id="16479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ttps://providers.dhhs.vic.gov.au/victorian-and-aboriginal-family-preservation-and-reunification-respons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safeguarding@dffh.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QSO@dhhs.vic.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Elizabeth Tunnecliff (Health)</DisplayName>
        <AccountId>14</AccountId>
        <AccountType/>
      </UserInfo>
      <UserInfo>
        <DisplayName>Sarah A Green (DFFH)</DisplayName>
        <AccountId>29</AccountId>
        <AccountType/>
      </UserInfo>
      <UserInfo>
        <DisplayName>Zoe Lang (DFFH)</DisplayName>
        <AccountId>12</AccountId>
        <AccountType/>
      </UserInfo>
      <UserInfo>
        <DisplayName>Abigail Wise (DFFH)</DisplayName>
        <AccountId>34</AccountId>
        <AccountType/>
      </UserInfo>
      <UserInfo>
        <DisplayName>Sap Chattopadhyay (DFFH)</DisplayName>
        <AccountId>27</AccountId>
        <AccountType/>
      </UserInfo>
      <UserInfo>
        <DisplayName>Cyndi Grant (DFFH)</DisplayName>
        <AccountId>26</AccountId>
        <AccountType/>
      </UserInfo>
      <UserInfo>
        <DisplayName>Chantelle Clarke (DFFH)</DisplayName>
        <AccountId>28</AccountId>
        <AccountType/>
      </UserInfo>
      <UserInfo>
        <DisplayName>Sandra J Wakeham (DFFH)</DisplayName>
        <AccountId>13</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DB90C-DA58-40A3-8E86-E19133EB2BC6}"/>
</file>

<file path=customXml/itemProps2.xml><?xml version="1.0" encoding="utf-8"?>
<ds:datastoreItem xmlns:ds="http://schemas.openxmlformats.org/officeDocument/2006/customXml" ds:itemID="{82F82472-4E36-4E37-9013-837F30218B02}">
  <ds:schemaRefs>
    <ds:schemaRef ds:uri="http://schemas.openxmlformats.org/officeDocument/2006/bibliography"/>
  </ds:schemaRefs>
</ds:datastoreItem>
</file>

<file path=customXml/itemProps3.xml><?xml version="1.0" encoding="utf-8"?>
<ds:datastoreItem xmlns:ds="http://schemas.openxmlformats.org/officeDocument/2006/customXml" ds:itemID="{E2A854A3-DF91-487B-9471-620ADBD929C7}">
  <ds:schemaRefs>
    <ds:schemaRef ds:uri="http://schemas.openxmlformats.org/package/2006/metadata/core-properties"/>
    <ds:schemaRef ds:uri="689964ec-e939-4341-a3ff-2a40e91928f6"/>
    <ds:schemaRef ds:uri="http://schemas.microsoft.com/office/2006/documentManagement/types"/>
    <ds:schemaRef ds:uri="http://schemas.microsoft.com/office/infopath/2007/PartnerControls"/>
    <ds:schemaRef ds:uri="a8b31afa-417e-4da9-875e-8e3e59b2866e"/>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AF4F1ED-FE63-498C-BA13-3211F5969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4696</Words>
  <Characters>28504</Characters>
  <Application>Microsoft Office Word</Application>
  <DocSecurity>2</DocSecurity>
  <Lines>237</Lines>
  <Paragraphs>66</Paragraphs>
  <ScaleCrop>false</ScaleCrop>
  <HeadingPairs>
    <vt:vector size="2" baseType="variant">
      <vt:variant>
        <vt:lpstr>Title</vt:lpstr>
      </vt:variant>
      <vt:variant>
        <vt:i4>1</vt:i4>
      </vt:variant>
    </vt:vector>
  </HeadingPairs>
  <TitlesOfParts>
    <vt:vector size="1" baseType="lpstr">
      <vt:lpstr>FAQs - Victorian and Aboriginal Preservation and Reunification Response</vt:lpstr>
    </vt:vector>
  </TitlesOfParts>
  <Manager/>
  <Company/>
  <LinksUpToDate>false</LinksUpToDate>
  <CharactersWithSpaces>33134</CharactersWithSpaces>
  <SharedDoc>false</SharedDoc>
  <HLinks>
    <vt:vector size="210" baseType="variant">
      <vt:variant>
        <vt:i4>851973</vt:i4>
      </vt:variant>
      <vt:variant>
        <vt:i4>204</vt:i4>
      </vt:variant>
      <vt:variant>
        <vt:i4>0</vt:i4>
      </vt:variant>
      <vt:variant>
        <vt:i4>5</vt:i4>
      </vt:variant>
      <vt:variant>
        <vt:lpwstr>mailto:https://providers.dhhs.vic.gov.au/victorian-and-aboriginal-family-preservation-and-reunification-response</vt:lpwstr>
      </vt:variant>
      <vt:variant>
        <vt:lpwstr/>
      </vt:variant>
      <vt:variant>
        <vt:i4>4063303</vt:i4>
      </vt:variant>
      <vt:variant>
        <vt:i4>201</vt:i4>
      </vt:variant>
      <vt:variant>
        <vt:i4>0</vt:i4>
      </vt:variant>
      <vt:variant>
        <vt:i4>5</vt:i4>
      </vt:variant>
      <vt:variant>
        <vt:lpwstr>mailto:child.safeguarding@dffh.vic.gov.au</vt:lpwstr>
      </vt:variant>
      <vt:variant>
        <vt:lpwstr/>
      </vt:variant>
      <vt:variant>
        <vt:i4>5111924</vt:i4>
      </vt:variant>
      <vt:variant>
        <vt:i4>198</vt:i4>
      </vt:variant>
      <vt:variant>
        <vt:i4>0</vt:i4>
      </vt:variant>
      <vt:variant>
        <vt:i4>5</vt:i4>
      </vt:variant>
      <vt:variant>
        <vt:lpwstr>mailto:CSQSO@dhhs.vic.gov.au</vt:lpwstr>
      </vt:variant>
      <vt:variant>
        <vt:lpwstr/>
      </vt:variant>
      <vt:variant>
        <vt:i4>1835070</vt:i4>
      </vt:variant>
      <vt:variant>
        <vt:i4>191</vt:i4>
      </vt:variant>
      <vt:variant>
        <vt:i4>0</vt:i4>
      </vt:variant>
      <vt:variant>
        <vt:i4>5</vt:i4>
      </vt:variant>
      <vt:variant>
        <vt:lpwstr/>
      </vt:variant>
      <vt:variant>
        <vt:lpwstr>_Toc76108409</vt:lpwstr>
      </vt:variant>
      <vt:variant>
        <vt:i4>1900606</vt:i4>
      </vt:variant>
      <vt:variant>
        <vt:i4>185</vt:i4>
      </vt:variant>
      <vt:variant>
        <vt:i4>0</vt:i4>
      </vt:variant>
      <vt:variant>
        <vt:i4>5</vt:i4>
      </vt:variant>
      <vt:variant>
        <vt:lpwstr/>
      </vt:variant>
      <vt:variant>
        <vt:lpwstr>_Toc76108408</vt:lpwstr>
      </vt:variant>
      <vt:variant>
        <vt:i4>1179710</vt:i4>
      </vt:variant>
      <vt:variant>
        <vt:i4>179</vt:i4>
      </vt:variant>
      <vt:variant>
        <vt:i4>0</vt:i4>
      </vt:variant>
      <vt:variant>
        <vt:i4>5</vt:i4>
      </vt:variant>
      <vt:variant>
        <vt:lpwstr/>
      </vt:variant>
      <vt:variant>
        <vt:lpwstr>_Toc76108407</vt:lpwstr>
      </vt:variant>
      <vt:variant>
        <vt:i4>1245246</vt:i4>
      </vt:variant>
      <vt:variant>
        <vt:i4>173</vt:i4>
      </vt:variant>
      <vt:variant>
        <vt:i4>0</vt:i4>
      </vt:variant>
      <vt:variant>
        <vt:i4>5</vt:i4>
      </vt:variant>
      <vt:variant>
        <vt:lpwstr/>
      </vt:variant>
      <vt:variant>
        <vt:lpwstr>_Toc76108406</vt:lpwstr>
      </vt:variant>
      <vt:variant>
        <vt:i4>1048638</vt:i4>
      </vt:variant>
      <vt:variant>
        <vt:i4>167</vt:i4>
      </vt:variant>
      <vt:variant>
        <vt:i4>0</vt:i4>
      </vt:variant>
      <vt:variant>
        <vt:i4>5</vt:i4>
      </vt:variant>
      <vt:variant>
        <vt:lpwstr/>
      </vt:variant>
      <vt:variant>
        <vt:lpwstr>_Toc76108405</vt:lpwstr>
      </vt:variant>
      <vt:variant>
        <vt:i4>1114174</vt:i4>
      </vt:variant>
      <vt:variant>
        <vt:i4>161</vt:i4>
      </vt:variant>
      <vt:variant>
        <vt:i4>0</vt:i4>
      </vt:variant>
      <vt:variant>
        <vt:i4>5</vt:i4>
      </vt:variant>
      <vt:variant>
        <vt:lpwstr/>
      </vt:variant>
      <vt:variant>
        <vt:lpwstr>_Toc76108404</vt:lpwstr>
      </vt:variant>
      <vt:variant>
        <vt:i4>1441854</vt:i4>
      </vt:variant>
      <vt:variant>
        <vt:i4>155</vt:i4>
      </vt:variant>
      <vt:variant>
        <vt:i4>0</vt:i4>
      </vt:variant>
      <vt:variant>
        <vt:i4>5</vt:i4>
      </vt:variant>
      <vt:variant>
        <vt:lpwstr/>
      </vt:variant>
      <vt:variant>
        <vt:lpwstr>_Toc76108403</vt:lpwstr>
      </vt:variant>
      <vt:variant>
        <vt:i4>1507390</vt:i4>
      </vt:variant>
      <vt:variant>
        <vt:i4>149</vt:i4>
      </vt:variant>
      <vt:variant>
        <vt:i4>0</vt:i4>
      </vt:variant>
      <vt:variant>
        <vt:i4>5</vt:i4>
      </vt:variant>
      <vt:variant>
        <vt:lpwstr/>
      </vt:variant>
      <vt:variant>
        <vt:lpwstr>_Toc76108402</vt:lpwstr>
      </vt:variant>
      <vt:variant>
        <vt:i4>1310782</vt:i4>
      </vt:variant>
      <vt:variant>
        <vt:i4>143</vt:i4>
      </vt:variant>
      <vt:variant>
        <vt:i4>0</vt:i4>
      </vt:variant>
      <vt:variant>
        <vt:i4>5</vt:i4>
      </vt:variant>
      <vt:variant>
        <vt:lpwstr/>
      </vt:variant>
      <vt:variant>
        <vt:lpwstr>_Toc76108401</vt:lpwstr>
      </vt:variant>
      <vt:variant>
        <vt:i4>1376318</vt:i4>
      </vt:variant>
      <vt:variant>
        <vt:i4>137</vt:i4>
      </vt:variant>
      <vt:variant>
        <vt:i4>0</vt:i4>
      </vt:variant>
      <vt:variant>
        <vt:i4>5</vt:i4>
      </vt:variant>
      <vt:variant>
        <vt:lpwstr/>
      </vt:variant>
      <vt:variant>
        <vt:lpwstr>_Toc76108400</vt:lpwstr>
      </vt:variant>
      <vt:variant>
        <vt:i4>1769527</vt:i4>
      </vt:variant>
      <vt:variant>
        <vt:i4>131</vt:i4>
      </vt:variant>
      <vt:variant>
        <vt:i4>0</vt:i4>
      </vt:variant>
      <vt:variant>
        <vt:i4>5</vt:i4>
      </vt:variant>
      <vt:variant>
        <vt:lpwstr/>
      </vt:variant>
      <vt:variant>
        <vt:lpwstr>_Toc76108399</vt:lpwstr>
      </vt:variant>
      <vt:variant>
        <vt:i4>1703991</vt:i4>
      </vt:variant>
      <vt:variant>
        <vt:i4>125</vt:i4>
      </vt:variant>
      <vt:variant>
        <vt:i4>0</vt:i4>
      </vt:variant>
      <vt:variant>
        <vt:i4>5</vt:i4>
      </vt:variant>
      <vt:variant>
        <vt:lpwstr/>
      </vt:variant>
      <vt:variant>
        <vt:lpwstr>_Toc76108398</vt:lpwstr>
      </vt:variant>
      <vt:variant>
        <vt:i4>1376311</vt:i4>
      </vt:variant>
      <vt:variant>
        <vt:i4>119</vt:i4>
      </vt:variant>
      <vt:variant>
        <vt:i4>0</vt:i4>
      </vt:variant>
      <vt:variant>
        <vt:i4>5</vt:i4>
      </vt:variant>
      <vt:variant>
        <vt:lpwstr/>
      </vt:variant>
      <vt:variant>
        <vt:lpwstr>_Toc76108397</vt:lpwstr>
      </vt:variant>
      <vt:variant>
        <vt:i4>1310775</vt:i4>
      </vt:variant>
      <vt:variant>
        <vt:i4>113</vt:i4>
      </vt:variant>
      <vt:variant>
        <vt:i4>0</vt:i4>
      </vt:variant>
      <vt:variant>
        <vt:i4>5</vt:i4>
      </vt:variant>
      <vt:variant>
        <vt:lpwstr/>
      </vt:variant>
      <vt:variant>
        <vt:lpwstr>_Toc76108396</vt:lpwstr>
      </vt:variant>
      <vt:variant>
        <vt:i4>1507383</vt:i4>
      </vt:variant>
      <vt:variant>
        <vt:i4>107</vt:i4>
      </vt:variant>
      <vt:variant>
        <vt:i4>0</vt:i4>
      </vt:variant>
      <vt:variant>
        <vt:i4>5</vt:i4>
      </vt:variant>
      <vt:variant>
        <vt:lpwstr/>
      </vt:variant>
      <vt:variant>
        <vt:lpwstr>_Toc76108395</vt:lpwstr>
      </vt:variant>
      <vt:variant>
        <vt:i4>1441847</vt:i4>
      </vt:variant>
      <vt:variant>
        <vt:i4>101</vt:i4>
      </vt:variant>
      <vt:variant>
        <vt:i4>0</vt:i4>
      </vt:variant>
      <vt:variant>
        <vt:i4>5</vt:i4>
      </vt:variant>
      <vt:variant>
        <vt:lpwstr/>
      </vt:variant>
      <vt:variant>
        <vt:lpwstr>_Toc76108394</vt:lpwstr>
      </vt:variant>
      <vt:variant>
        <vt:i4>1114167</vt:i4>
      </vt:variant>
      <vt:variant>
        <vt:i4>95</vt:i4>
      </vt:variant>
      <vt:variant>
        <vt:i4>0</vt:i4>
      </vt:variant>
      <vt:variant>
        <vt:i4>5</vt:i4>
      </vt:variant>
      <vt:variant>
        <vt:lpwstr/>
      </vt:variant>
      <vt:variant>
        <vt:lpwstr>_Toc76108393</vt:lpwstr>
      </vt:variant>
      <vt:variant>
        <vt:i4>1048631</vt:i4>
      </vt:variant>
      <vt:variant>
        <vt:i4>89</vt:i4>
      </vt:variant>
      <vt:variant>
        <vt:i4>0</vt:i4>
      </vt:variant>
      <vt:variant>
        <vt:i4>5</vt:i4>
      </vt:variant>
      <vt:variant>
        <vt:lpwstr/>
      </vt:variant>
      <vt:variant>
        <vt:lpwstr>_Toc76108392</vt:lpwstr>
      </vt:variant>
      <vt:variant>
        <vt:i4>1245239</vt:i4>
      </vt:variant>
      <vt:variant>
        <vt:i4>83</vt:i4>
      </vt:variant>
      <vt:variant>
        <vt:i4>0</vt:i4>
      </vt:variant>
      <vt:variant>
        <vt:i4>5</vt:i4>
      </vt:variant>
      <vt:variant>
        <vt:lpwstr/>
      </vt:variant>
      <vt:variant>
        <vt:lpwstr>_Toc76108391</vt:lpwstr>
      </vt:variant>
      <vt:variant>
        <vt:i4>1179703</vt:i4>
      </vt:variant>
      <vt:variant>
        <vt:i4>77</vt:i4>
      </vt:variant>
      <vt:variant>
        <vt:i4>0</vt:i4>
      </vt:variant>
      <vt:variant>
        <vt:i4>5</vt:i4>
      </vt:variant>
      <vt:variant>
        <vt:lpwstr/>
      </vt:variant>
      <vt:variant>
        <vt:lpwstr>_Toc76108390</vt:lpwstr>
      </vt:variant>
      <vt:variant>
        <vt:i4>1769526</vt:i4>
      </vt:variant>
      <vt:variant>
        <vt:i4>71</vt:i4>
      </vt:variant>
      <vt:variant>
        <vt:i4>0</vt:i4>
      </vt:variant>
      <vt:variant>
        <vt:i4>5</vt:i4>
      </vt:variant>
      <vt:variant>
        <vt:lpwstr/>
      </vt:variant>
      <vt:variant>
        <vt:lpwstr>_Toc76108389</vt:lpwstr>
      </vt:variant>
      <vt:variant>
        <vt:i4>1703990</vt:i4>
      </vt:variant>
      <vt:variant>
        <vt:i4>65</vt:i4>
      </vt:variant>
      <vt:variant>
        <vt:i4>0</vt:i4>
      </vt:variant>
      <vt:variant>
        <vt:i4>5</vt:i4>
      </vt:variant>
      <vt:variant>
        <vt:lpwstr/>
      </vt:variant>
      <vt:variant>
        <vt:lpwstr>_Toc76108388</vt:lpwstr>
      </vt:variant>
      <vt:variant>
        <vt:i4>1376310</vt:i4>
      </vt:variant>
      <vt:variant>
        <vt:i4>59</vt:i4>
      </vt:variant>
      <vt:variant>
        <vt:i4>0</vt:i4>
      </vt:variant>
      <vt:variant>
        <vt:i4>5</vt:i4>
      </vt:variant>
      <vt:variant>
        <vt:lpwstr/>
      </vt:variant>
      <vt:variant>
        <vt:lpwstr>_Toc76108387</vt:lpwstr>
      </vt:variant>
      <vt:variant>
        <vt:i4>1310774</vt:i4>
      </vt:variant>
      <vt:variant>
        <vt:i4>53</vt:i4>
      </vt:variant>
      <vt:variant>
        <vt:i4>0</vt:i4>
      </vt:variant>
      <vt:variant>
        <vt:i4>5</vt:i4>
      </vt:variant>
      <vt:variant>
        <vt:lpwstr/>
      </vt:variant>
      <vt:variant>
        <vt:lpwstr>_Toc76108386</vt:lpwstr>
      </vt:variant>
      <vt:variant>
        <vt:i4>1507382</vt:i4>
      </vt:variant>
      <vt:variant>
        <vt:i4>47</vt:i4>
      </vt:variant>
      <vt:variant>
        <vt:i4>0</vt:i4>
      </vt:variant>
      <vt:variant>
        <vt:i4>5</vt:i4>
      </vt:variant>
      <vt:variant>
        <vt:lpwstr/>
      </vt:variant>
      <vt:variant>
        <vt:lpwstr>_Toc76108385</vt:lpwstr>
      </vt:variant>
      <vt:variant>
        <vt:i4>1441846</vt:i4>
      </vt:variant>
      <vt:variant>
        <vt:i4>41</vt:i4>
      </vt:variant>
      <vt:variant>
        <vt:i4>0</vt:i4>
      </vt:variant>
      <vt:variant>
        <vt:i4>5</vt:i4>
      </vt:variant>
      <vt:variant>
        <vt:lpwstr/>
      </vt:variant>
      <vt:variant>
        <vt:lpwstr>_Toc76108384</vt:lpwstr>
      </vt:variant>
      <vt:variant>
        <vt:i4>1114166</vt:i4>
      </vt:variant>
      <vt:variant>
        <vt:i4>35</vt:i4>
      </vt:variant>
      <vt:variant>
        <vt:i4>0</vt:i4>
      </vt:variant>
      <vt:variant>
        <vt:i4>5</vt:i4>
      </vt:variant>
      <vt:variant>
        <vt:lpwstr/>
      </vt:variant>
      <vt:variant>
        <vt:lpwstr>_Toc76108383</vt:lpwstr>
      </vt:variant>
      <vt:variant>
        <vt:i4>1048630</vt:i4>
      </vt:variant>
      <vt:variant>
        <vt:i4>29</vt:i4>
      </vt:variant>
      <vt:variant>
        <vt:i4>0</vt:i4>
      </vt:variant>
      <vt:variant>
        <vt:i4>5</vt:i4>
      </vt:variant>
      <vt:variant>
        <vt:lpwstr/>
      </vt:variant>
      <vt:variant>
        <vt:lpwstr>_Toc76108382</vt:lpwstr>
      </vt:variant>
      <vt:variant>
        <vt:i4>1245238</vt:i4>
      </vt:variant>
      <vt:variant>
        <vt:i4>23</vt:i4>
      </vt:variant>
      <vt:variant>
        <vt:i4>0</vt:i4>
      </vt:variant>
      <vt:variant>
        <vt:i4>5</vt:i4>
      </vt:variant>
      <vt:variant>
        <vt:lpwstr/>
      </vt:variant>
      <vt:variant>
        <vt:lpwstr>_Toc76108381</vt:lpwstr>
      </vt:variant>
      <vt:variant>
        <vt:i4>1179702</vt:i4>
      </vt:variant>
      <vt:variant>
        <vt:i4>17</vt:i4>
      </vt:variant>
      <vt:variant>
        <vt:i4>0</vt:i4>
      </vt:variant>
      <vt:variant>
        <vt:i4>5</vt:i4>
      </vt:variant>
      <vt:variant>
        <vt:lpwstr/>
      </vt:variant>
      <vt:variant>
        <vt:lpwstr>_Toc76108380</vt:lpwstr>
      </vt:variant>
      <vt:variant>
        <vt:i4>1769529</vt:i4>
      </vt:variant>
      <vt:variant>
        <vt:i4>11</vt:i4>
      </vt:variant>
      <vt:variant>
        <vt:i4>0</vt:i4>
      </vt:variant>
      <vt:variant>
        <vt:i4>5</vt:i4>
      </vt:variant>
      <vt:variant>
        <vt:lpwstr/>
      </vt:variant>
      <vt:variant>
        <vt:lpwstr>_Toc76108379</vt:lpwstr>
      </vt:variant>
      <vt:variant>
        <vt:i4>1703993</vt:i4>
      </vt:variant>
      <vt:variant>
        <vt:i4>5</vt:i4>
      </vt:variant>
      <vt:variant>
        <vt:i4>0</vt:i4>
      </vt:variant>
      <vt:variant>
        <vt:i4>5</vt:i4>
      </vt:variant>
      <vt:variant>
        <vt:lpwstr/>
      </vt:variant>
      <vt:variant>
        <vt:lpwstr>_Toc76108378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Victorian and Aboriginal Preservation and Reunification Response</dc:title>
  <dc:subject>Edition 1 23 April 2021</dc:subject>
  <dc:creator/>
  <cp:keywords>phase two, expansion</cp:keywords>
  <cp:lastModifiedBy/>
  <cp:revision>1</cp:revision>
  <dcterms:created xsi:type="dcterms:W3CDTF">2021-07-12T01:27:00Z</dcterms:created>
  <dcterms:modified xsi:type="dcterms:W3CDTF">2021-07-12T01:27:00Z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MSIP_Label_43e64453-338c-4f93-8a4d-0039a0a41f2a_Enabled">
    <vt:lpwstr>true</vt:lpwstr>
  </property>
  <property fmtid="{D5CDD505-2E9C-101B-9397-08002B2CF9AE}" pid="4" name="MSIP_Label_43e64453-338c-4f93-8a4d-0039a0a41f2a_SetDate">
    <vt:lpwstr>2021-07-12T01:26:27Z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a477bf0e-8e89-42f4-88da-90e3f3daabce</vt:lpwstr>
  </property>
  <property fmtid="{D5CDD505-2E9C-101B-9397-08002B2CF9AE}" pid="9" name="MSIP_Label_43e64453-338c-4f93-8a4d-0039a0a41f2a_ContentBits">
    <vt:lpwstr>2</vt:lpwstr>
  </property>
  <property fmtid="{D5CDD505-2E9C-101B-9397-08002B2CF9AE}" pid="10" name="_MarkAsFinal">
    <vt:bool>true</vt:bool>
  </property>
</Properties>
</file>