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E40B48"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E40B48" w:rsidRPr="00E40B48" w:rsidRDefault="00910F54" w:rsidP="00E40B48">
            <w:pPr>
              <w:spacing w:after="120"/>
              <w:rPr>
                <w:rFonts w:ascii="Arial" w:hAnsi="Arial"/>
                <w:color w:val="FFFFFF"/>
                <w:sz w:val="50"/>
                <w:szCs w:val="50"/>
              </w:rPr>
            </w:pPr>
            <w:r>
              <w:rPr>
                <w:rFonts w:ascii="Arial" w:hAnsi="Arial"/>
                <w:color w:val="FFFFFF"/>
                <w:sz w:val="50"/>
                <w:szCs w:val="50"/>
              </w:rPr>
              <w:lastRenderedPageBreak/>
              <w:t>Reportable conduct scheme</w:t>
            </w:r>
            <w:r w:rsidR="00E40B48" w:rsidRPr="00E40B48">
              <w:rPr>
                <w:rFonts w:ascii="Arial" w:hAnsi="Arial"/>
                <w:color w:val="FFFFFF"/>
                <w:sz w:val="50"/>
                <w:szCs w:val="50"/>
              </w:rPr>
              <w:t xml:space="preserve"> </w:t>
            </w:r>
            <w:r w:rsidR="00D41CD6">
              <w:rPr>
                <w:rFonts w:ascii="Arial" w:hAnsi="Arial"/>
                <w:color w:val="FFFFFF"/>
                <w:sz w:val="50"/>
                <w:szCs w:val="50"/>
              </w:rPr>
              <w:t>–</w:t>
            </w:r>
            <w:r w:rsidR="0056360A">
              <w:rPr>
                <w:rFonts w:ascii="Arial" w:hAnsi="Arial"/>
                <w:color w:val="FFFFFF"/>
                <w:sz w:val="50"/>
                <w:szCs w:val="50"/>
              </w:rPr>
              <w:t xml:space="preserve"> </w:t>
            </w:r>
            <w:r w:rsidR="00D41CD6">
              <w:rPr>
                <w:rFonts w:ascii="Arial" w:hAnsi="Arial"/>
                <w:color w:val="FFFFFF"/>
                <w:sz w:val="50"/>
                <w:szCs w:val="50"/>
              </w:rPr>
              <w:t xml:space="preserve">community service organisations –  </w:t>
            </w:r>
            <w:r w:rsidR="0056360A">
              <w:rPr>
                <w:rFonts w:ascii="Arial" w:hAnsi="Arial"/>
                <w:color w:val="FFFFFF"/>
                <w:sz w:val="50"/>
                <w:szCs w:val="50"/>
              </w:rPr>
              <w:t>video t</w:t>
            </w:r>
            <w:r w:rsidR="00E40B48" w:rsidRPr="00E40B48">
              <w:rPr>
                <w:rFonts w:ascii="Arial" w:hAnsi="Arial"/>
                <w:color w:val="FFFFFF"/>
                <w:sz w:val="50"/>
                <w:szCs w:val="50"/>
              </w:rPr>
              <w:t>ranscript</w:t>
            </w:r>
          </w:p>
          <w:p w:rsidR="00AD784C" w:rsidRPr="00161AA0" w:rsidRDefault="00AD784C" w:rsidP="00E40B48">
            <w:pPr>
              <w:pStyle w:val="DHHSmainheading"/>
            </w:pPr>
            <w:r w:rsidRPr="00161AA0">
              <w:t xml:space="preserve"> </w:t>
            </w:r>
          </w:p>
        </w:tc>
      </w:tr>
      <w:tr w:rsidR="00AD784C" w:rsidTr="00357B4E">
        <w:trPr>
          <w:trHeight w:hRule="exact" w:val="1162"/>
        </w:trPr>
        <w:tc>
          <w:tcPr>
            <w:tcW w:w="8046" w:type="dxa"/>
            <w:shd w:val="clear" w:color="auto" w:fill="auto"/>
            <w:tcMar>
              <w:top w:w="170" w:type="dxa"/>
              <w:bottom w:w="510" w:type="dxa"/>
            </w:tcMar>
          </w:tcPr>
          <w:p w:rsidR="00357B4E" w:rsidRPr="00AD784C" w:rsidRDefault="0056360A" w:rsidP="00357B4E">
            <w:pPr>
              <w:pStyle w:val="DHHSmainsubheading"/>
              <w:rPr>
                <w:szCs w:val="28"/>
              </w:rPr>
            </w:pPr>
            <w:r>
              <w:rPr>
                <w:szCs w:val="28"/>
              </w:rPr>
              <w:t>Department of Health and Human Services</w:t>
            </w:r>
          </w:p>
        </w:tc>
      </w:tr>
    </w:tbl>
    <w:p w:rsidR="00D90DC8" w:rsidRPr="00D90DC8" w:rsidRDefault="009A16FD" w:rsidP="00D90DC8">
      <w:pPr>
        <w:pStyle w:val="DHHSbody"/>
        <w:rPr>
          <w:lang w:val="en-US"/>
        </w:rPr>
      </w:pPr>
      <w:r>
        <w:rPr>
          <w:lang w:val="en-US"/>
        </w:rPr>
        <w:t xml:space="preserve">Kym </w:t>
      </w:r>
      <w:proofErr w:type="spellStart"/>
      <w:r>
        <w:rPr>
          <w:lang w:val="en-US"/>
        </w:rPr>
        <w:t>Peake</w:t>
      </w:r>
      <w:proofErr w:type="spellEnd"/>
      <w:r>
        <w:rPr>
          <w:lang w:val="en-US"/>
        </w:rPr>
        <w:t xml:space="preserve">, Secretary Department of Health and Human Services: </w:t>
      </w:r>
      <w:r w:rsidR="00D90DC8" w:rsidRPr="00D90DC8">
        <w:rPr>
          <w:lang w:val="en-US"/>
        </w:rPr>
        <w:t xml:space="preserve">Hi everyone, I want to talk to you today about child safety. </w:t>
      </w:r>
    </w:p>
    <w:p w:rsidR="00D90DC8" w:rsidRPr="00D90DC8" w:rsidRDefault="00D90DC8" w:rsidP="00D90DC8">
      <w:pPr>
        <w:pStyle w:val="DHHSbody"/>
        <w:rPr>
          <w:lang w:val="en-US"/>
        </w:rPr>
      </w:pPr>
      <w:r w:rsidRPr="00D90DC8">
        <w:rPr>
          <w:lang w:val="en-US"/>
        </w:rPr>
        <w:t xml:space="preserve">From 1 July 2017, certain </w:t>
      </w:r>
      <w:proofErr w:type="spellStart"/>
      <w:r w:rsidRPr="00D90DC8">
        <w:rPr>
          <w:lang w:val="en-US"/>
        </w:rPr>
        <w:t>organisations</w:t>
      </w:r>
      <w:proofErr w:type="spellEnd"/>
      <w:r w:rsidRPr="00D90DC8">
        <w:rPr>
          <w:lang w:val="en-US"/>
        </w:rPr>
        <w:t xml:space="preserve"> that exercise care, supervision and authority over children will be subject to the reportable conduct scheme. </w:t>
      </w:r>
    </w:p>
    <w:p w:rsidR="00D90DC8" w:rsidRPr="00D90DC8" w:rsidRDefault="00D90DC8" w:rsidP="00D90DC8">
      <w:pPr>
        <w:pStyle w:val="DHHSbody"/>
        <w:rPr>
          <w:lang w:val="en-US"/>
        </w:rPr>
      </w:pPr>
      <w:r w:rsidRPr="00D90DC8">
        <w:rPr>
          <w:lang w:val="en-US"/>
        </w:rPr>
        <w:t xml:space="preserve">The scheme is designed to improve how </w:t>
      </w:r>
      <w:proofErr w:type="spellStart"/>
      <w:r w:rsidRPr="00D90DC8">
        <w:rPr>
          <w:lang w:val="en-US"/>
        </w:rPr>
        <w:t>organisations</w:t>
      </w:r>
      <w:proofErr w:type="spellEnd"/>
      <w:r w:rsidRPr="00D90DC8">
        <w:rPr>
          <w:lang w:val="en-US"/>
        </w:rPr>
        <w:t xml:space="preserve"> respond to allegations of child abuse and child-related misconduct.</w:t>
      </w:r>
    </w:p>
    <w:p w:rsidR="00D90DC8" w:rsidRPr="00D90DC8" w:rsidRDefault="00D90DC8" w:rsidP="00D90DC8">
      <w:pPr>
        <w:pStyle w:val="DHHSbody"/>
        <w:rPr>
          <w:lang w:val="en-US"/>
        </w:rPr>
      </w:pPr>
      <w:r w:rsidRPr="00D90DC8">
        <w:rPr>
          <w:lang w:val="en-US"/>
        </w:rPr>
        <w:t xml:space="preserve">This is a really important issue and this reform has been introduced across Victoria to help protect children from abuse and </w:t>
      </w:r>
      <w:proofErr w:type="spellStart"/>
      <w:r w:rsidRPr="00D90DC8">
        <w:rPr>
          <w:lang w:val="en-US"/>
        </w:rPr>
        <w:t>organisational</w:t>
      </w:r>
      <w:proofErr w:type="spellEnd"/>
      <w:r w:rsidRPr="00D90DC8">
        <w:rPr>
          <w:lang w:val="en-US"/>
        </w:rPr>
        <w:t xml:space="preserve"> harm.</w:t>
      </w:r>
    </w:p>
    <w:p w:rsidR="00D90DC8" w:rsidRPr="00D90DC8" w:rsidRDefault="00D90DC8" w:rsidP="00D90DC8">
      <w:pPr>
        <w:pStyle w:val="DHHSbody"/>
        <w:rPr>
          <w:lang w:val="en-US"/>
        </w:rPr>
      </w:pPr>
      <w:r w:rsidRPr="00D90DC8">
        <w:rPr>
          <w:lang w:val="en-US"/>
        </w:rPr>
        <w:t xml:space="preserve">Please take the time to understand your responsibilities under the scheme. </w:t>
      </w:r>
    </w:p>
    <w:p w:rsidR="00D90DC8" w:rsidRPr="00D90DC8" w:rsidRDefault="00D90DC8" w:rsidP="00D90DC8">
      <w:pPr>
        <w:pStyle w:val="DHHSbody"/>
        <w:rPr>
          <w:lang w:val="en-US"/>
        </w:rPr>
      </w:pPr>
      <w:r w:rsidRPr="00D90DC8">
        <w:rPr>
          <w:lang w:val="en-US"/>
        </w:rPr>
        <w:t xml:space="preserve">The reportable conduct scheme applies to </w:t>
      </w:r>
      <w:proofErr w:type="spellStart"/>
      <w:r w:rsidRPr="00D90DC8">
        <w:rPr>
          <w:lang w:val="en-US"/>
        </w:rPr>
        <w:t>organisations</w:t>
      </w:r>
      <w:proofErr w:type="spellEnd"/>
      <w:r w:rsidRPr="00D90DC8">
        <w:rPr>
          <w:lang w:val="en-US"/>
        </w:rPr>
        <w:t xml:space="preserve"> with a high level of responsibility for children.</w:t>
      </w:r>
    </w:p>
    <w:p w:rsidR="00D90DC8" w:rsidRPr="00D90DC8" w:rsidRDefault="00D90DC8" w:rsidP="00D90DC8">
      <w:pPr>
        <w:pStyle w:val="DHHSbody"/>
        <w:rPr>
          <w:lang w:val="en-US"/>
        </w:rPr>
      </w:pPr>
      <w:r w:rsidRPr="00D90DC8">
        <w:rPr>
          <w:lang w:val="en-US"/>
        </w:rPr>
        <w:t xml:space="preserve">This includes statutory out-of-home care services, </w:t>
      </w:r>
      <w:r w:rsidR="006D6FE1">
        <w:rPr>
          <w:lang w:val="en-US"/>
        </w:rPr>
        <w:t>family support services</w:t>
      </w:r>
      <w:r w:rsidRPr="00D90DC8">
        <w:rPr>
          <w:lang w:val="en-US"/>
        </w:rPr>
        <w:t>, residential disability services for children and youth refuges.</w:t>
      </w:r>
    </w:p>
    <w:p w:rsidR="00D90DC8" w:rsidRPr="00D90DC8" w:rsidRDefault="00D90DC8" w:rsidP="00D90DC8">
      <w:pPr>
        <w:pStyle w:val="DHHSbody"/>
        <w:rPr>
          <w:lang w:val="en-US"/>
        </w:rPr>
      </w:pPr>
      <w:r w:rsidRPr="00D90DC8">
        <w:rPr>
          <w:lang w:val="en-US"/>
        </w:rPr>
        <w:t xml:space="preserve">The scheme relates to everyone within the </w:t>
      </w:r>
      <w:proofErr w:type="spellStart"/>
      <w:r w:rsidRPr="00D90DC8">
        <w:rPr>
          <w:lang w:val="en-US"/>
        </w:rPr>
        <w:t>organisation</w:t>
      </w:r>
      <w:proofErr w:type="spellEnd"/>
      <w:r w:rsidRPr="00D90DC8">
        <w:rPr>
          <w:lang w:val="en-US"/>
        </w:rPr>
        <w:t xml:space="preserve">, including staff, contractors, volunteers, foster and kinship </w:t>
      </w:r>
      <w:proofErr w:type="spellStart"/>
      <w:r w:rsidRPr="00D90DC8">
        <w:rPr>
          <w:lang w:val="en-US"/>
        </w:rPr>
        <w:t>carers</w:t>
      </w:r>
      <w:proofErr w:type="spellEnd"/>
      <w:r w:rsidRPr="00D90DC8">
        <w:rPr>
          <w:lang w:val="en-US"/>
        </w:rPr>
        <w:t xml:space="preserve">. It’s not just a scheme for people working directly with children. </w:t>
      </w:r>
    </w:p>
    <w:p w:rsidR="00D90DC8" w:rsidRPr="00D90DC8" w:rsidRDefault="00D90DC8" w:rsidP="00D90DC8">
      <w:pPr>
        <w:pStyle w:val="DHHSbody"/>
        <w:rPr>
          <w:lang w:val="en-US"/>
        </w:rPr>
      </w:pPr>
      <w:r w:rsidRPr="00D90DC8">
        <w:rPr>
          <w:lang w:val="en-US"/>
        </w:rPr>
        <w:t xml:space="preserve">The scheme is designed to work in conjunction with the Child Safe Standards and other existing child safety measures to help </w:t>
      </w:r>
      <w:proofErr w:type="spellStart"/>
      <w:r w:rsidRPr="00D90DC8">
        <w:rPr>
          <w:lang w:val="en-US"/>
        </w:rPr>
        <w:t>organisations</w:t>
      </w:r>
      <w:proofErr w:type="spellEnd"/>
      <w:r w:rsidRPr="00D90DC8">
        <w:rPr>
          <w:lang w:val="en-US"/>
        </w:rPr>
        <w:t xml:space="preserve"> reduce the risks of and respond to allegations of child abuse or child-related misconduct.</w:t>
      </w:r>
    </w:p>
    <w:p w:rsidR="00D90DC8" w:rsidRPr="00D90DC8" w:rsidRDefault="00D90DC8" w:rsidP="00D90DC8">
      <w:pPr>
        <w:pStyle w:val="DHHSbody"/>
        <w:rPr>
          <w:lang w:val="en-US"/>
        </w:rPr>
      </w:pPr>
      <w:r w:rsidRPr="00D90DC8">
        <w:rPr>
          <w:lang w:val="en-US"/>
        </w:rPr>
        <w:t xml:space="preserve">We will be working with you over the next few months about streamlining standards, and how we will work with you and other departments to coordinate regulatory requirements. This will include how the reportable conduct scheme interfaces with client incident reporting and quality of care reviews.  </w:t>
      </w:r>
    </w:p>
    <w:p w:rsidR="00D90DC8" w:rsidRPr="00D90DC8" w:rsidRDefault="00D90DC8" w:rsidP="00D90DC8">
      <w:pPr>
        <w:pStyle w:val="DHHSbody"/>
        <w:rPr>
          <w:lang w:val="en-US"/>
        </w:rPr>
      </w:pPr>
      <w:r w:rsidRPr="00D90DC8">
        <w:rPr>
          <w:lang w:val="en-US"/>
        </w:rPr>
        <w:t xml:space="preserve">Under the scheme, the head of an </w:t>
      </w:r>
      <w:proofErr w:type="spellStart"/>
      <w:r w:rsidRPr="00D90DC8">
        <w:rPr>
          <w:lang w:val="en-US"/>
        </w:rPr>
        <w:t>organisation</w:t>
      </w:r>
      <w:proofErr w:type="spellEnd"/>
      <w:r w:rsidRPr="00D90DC8">
        <w:rPr>
          <w:lang w:val="en-US"/>
        </w:rPr>
        <w:t xml:space="preserve"> must report allegations that an employee of their </w:t>
      </w:r>
      <w:proofErr w:type="spellStart"/>
      <w:r w:rsidRPr="00D90DC8">
        <w:rPr>
          <w:lang w:val="en-US"/>
        </w:rPr>
        <w:t>organisation</w:t>
      </w:r>
      <w:proofErr w:type="spellEnd"/>
      <w:r w:rsidRPr="00D90DC8">
        <w:rPr>
          <w:lang w:val="en-US"/>
        </w:rPr>
        <w:t xml:space="preserve"> has engaged in reportable conduct. </w:t>
      </w:r>
    </w:p>
    <w:p w:rsidR="00D90DC8" w:rsidRPr="00D90DC8" w:rsidRDefault="00D90DC8" w:rsidP="00D90DC8">
      <w:pPr>
        <w:pStyle w:val="DHHSbody"/>
        <w:rPr>
          <w:lang w:val="en-US"/>
        </w:rPr>
      </w:pPr>
      <w:r w:rsidRPr="00D90DC8">
        <w:rPr>
          <w:lang w:val="en-US"/>
        </w:rPr>
        <w:t xml:space="preserve">Reportable conduct includes: </w:t>
      </w:r>
    </w:p>
    <w:p w:rsidR="00D90DC8" w:rsidRPr="00D90DC8" w:rsidRDefault="00D90DC8" w:rsidP="00D90DC8">
      <w:pPr>
        <w:pStyle w:val="DHHSbody"/>
        <w:rPr>
          <w:lang w:val="en-US"/>
        </w:rPr>
      </w:pPr>
      <w:r w:rsidRPr="00D90DC8">
        <w:rPr>
          <w:lang w:val="en-US"/>
        </w:rPr>
        <w:t xml:space="preserve">A sexual offence even prior to criminal proceedings commencing, sexual misconduct or physical violence committed against, with or in the presence of a child; </w:t>
      </w:r>
    </w:p>
    <w:p w:rsidR="00D90DC8" w:rsidRPr="00D90DC8" w:rsidRDefault="00D90DC8" w:rsidP="00D90DC8">
      <w:pPr>
        <w:pStyle w:val="DHHSbody"/>
        <w:rPr>
          <w:lang w:val="en-US"/>
        </w:rPr>
      </w:pPr>
      <w:proofErr w:type="spellStart"/>
      <w:r w:rsidRPr="00D90DC8">
        <w:rPr>
          <w:lang w:val="en-US"/>
        </w:rPr>
        <w:t>Behaviour</w:t>
      </w:r>
      <w:proofErr w:type="spellEnd"/>
      <w:r w:rsidRPr="00D90DC8">
        <w:rPr>
          <w:lang w:val="en-US"/>
        </w:rPr>
        <w:t xml:space="preserve"> causing significant emotional or psychological harm; or significant neglect of a child.</w:t>
      </w:r>
    </w:p>
    <w:p w:rsidR="00D90DC8" w:rsidRPr="00D90DC8" w:rsidRDefault="00D90DC8" w:rsidP="00D90DC8">
      <w:pPr>
        <w:pStyle w:val="DHHSbody"/>
        <w:rPr>
          <w:lang w:val="en-US"/>
        </w:rPr>
      </w:pPr>
      <w:r w:rsidRPr="00D90DC8">
        <w:rPr>
          <w:lang w:val="en-US"/>
        </w:rPr>
        <w:t xml:space="preserve">Once an allegation has been made, </w:t>
      </w:r>
      <w:proofErr w:type="spellStart"/>
      <w:r w:rsidRPr="00D90DC8">
        <w:rPr>
          <w:lang w:val="en-US"/>
        </w:rPr>
        <w:t>organisations</w:t>
      </w:r>
      <w:proofErr w:type="spellEnd"/>
      <w:r w:rsidRPr="00D90DC8">
        <w:rPr>
          <w:lang w:val="en-US"/>
        </w:rPr>
        <w:t xml:space="preserve"> must have processes in place to investigate the matter and report the findings.</w:t>
      </w:r>
    </w:p>
    <w:p w:rsidR="00D90DC8" w:rsidRPr="00D90DC8" w:rsidRDefault="00D90DC8" w:rsidP="00D90DC8">
      <w:pPr>
        <w:pStyle w:val="DHHSbody"/>
        <w:rPr>
          <w:lang w:val="en-US"/>
        </w:rPr>
      </w:pPr>
      <w:r w:rsidRPr="00D90DC8">
        <w:rPr>
          <w:lang w:val="en-US"/>
        </w:rPr>
        <w:t>The reportable conduct scheme has been designed to work with existing safeguards.</w:t>
      </w:r>
    </w:p>
    <w:p w:rsidR="00D90DC8" w:rsidRPr="00D90DC8" w:rsidRDefault="00D90DC8" w:rsidP="00D90DC8">
      <w:pPr>
        <w:pStyle w:val="DHHSbody"/>
        <w:rPr>
          <w:lang w:val="en-US"/>
        </w:rPr>
      </w:pPr>
      <w:r w:rsidRPr="00D90DC8">
        <w:rPr>
          <w:lang w:val="en-US"/>
        </w:rPr>
        <w:t>This means all allegations of criminal conduct must still be reported to Victoria Police and any investigation by Victoria Police will take priority.</w:t>
      </w:r>
    </w:p>
    <w:p w:rsidR="00D90DC8" w:rsidRPr="00D90DC8" w:rsidRDefault="00D90DC8" w:rsidP="00D90DC8">
      <w:pPr>
        <w:pStyle w:val="DHHSbody"/>
        <w:rPr>
          <w:lang w:val="en-US"/>
        </w:rPr>
      </w:pPr>
      <w:r w:rsidRPr="00D90DC8">
        <w:rPr>
          <w:lang w:val="en-US"/>
        </w:rPr>
        <w:lastRenderedPageBreak/>
        <w:t xml:space="preserve">Any mandatory reporting requirements to Child Protection will continue to apply </w:t>
      </w:r>
    </w:p>
    <w:p w:rsidR="00D90DC8" w:rsidRPr="00D90DC8" w:rsidRDefault="00D90DC8" w:rsidP="00D90DC8">
      <w:pPr>
        <w:pStyle w:val="DHHSbody"/>
        <w:rPr>
          <w:lang w:val="en-US"/>
        </w:rPr>
      </w:pPr>
      <w:r w:rsidRPr="00D90DC8">
        <w:rPr>
          <w:lang w:val="en-US"/>
        </w:rPr>
        <w:t>Any requirement to report client incidents to the department or a regulatory agency will continue to apply.</w:t>
      </w:r>
    </w:p>
    <w:p w:rsidR="00D90DC8" w:rsidRPr="00D90DC8" w:rsidRDefault="00D90DC8" w:rsidP="00D90DC8">
      <w:pPr>
        <w:pStyle w:val="DHHSbody"/>
        <w:rPr>
          <w:lang w:val="en-US"/>
        </w:rPr>
      </w:pPr>
      <w:r w:rsidRPr="00D90DC8">
        <w:rPr>
          <w:lang w:val="en-US"/>
        </w:rPr>
        <w:t>And, any existing reporting obligations for professional registration will continue to apply.</w:t>
      </w:r>
    </w:p>
    <w:p w:rsidR="00D90DC8" w:rsidRPr="00D90DC8" w:rsidRDefault="00D90DC8" w:rsidP="00D90DC8">
      <w:pPr>
        <w:pStyle w:val="DHHSbody"/>
        <w:rPr>
          <w:lang w:val="en-US"/>
        </w:rPr>
      </w:pPr>
      <w:r w:rsidRPr="00D90DC8">
        <w:rPr>
          <w:lang w:val="en-US"/>
        </w:rPr>
        <w:t xml:space="preserve">The reportable conduct scheme forms part of the Victorian Government’s response to the Betrayal of Trust report – an inquiry into the handling of child abuse by religious and other non-government </w:t>
      </w:r>
      <w:proofErr w:type="spellStart"/>
      <w:r w:rsidRPr="00D90DC8">
        <w:rPr>
          <w:lang w:val="en-US"/>
        </w:rPr>
        <w:t>organisations</w:t>
      </w:r>
      <w:proofErr w:type="spellEnd"/>
      <w:r w:rsidRPr="00D90DC8">
        <w:rPr>
          <w:lang w:val="en-US"/>
        </w:rPr>
        <w:t xml:space="preserve">. </w:t>
      </w:r>
    </w:p>
    <w:p w:rsidR="00D90DC8" w:rsidRPr="00D90DC8" w:rsidRDefault="00D90DC8" w:rsidP="00D90DC8">
      <w:pPr>
        <w:pStyle w:val="DHHSbody"/>
        <w:rPr>
          <w:lang w:val="en-US"/>
        </w:rPr>
      </w:pPr>
      <w:r w:rsidRPr="00D90DC8">
        <w:rPr>
          <w:lang w:val="en-US"/>
        </w:rPr>
        <w:t xml:space="preserve">If you have any other questions about the scheme, please contact the Commission for Children and Young People. </w:t>
      </w:r>
    </w:p>
    <w:p w:rsidR="00D90DC8" w:rsidRPr="00D90DC8" w:rsidRDefault="00D90DC8" w:rsidP="00D90DC8">
      <w:pPr>
        <w:pStyle w:val="DHHSbody"/>
        <w:rPr>
          <w:lang w:val="en-US"/>
        </w:rPr>
      </w:pPr>
      <w:r w:rsidRPr="00D90DC8">
        <w:rPr>
          <w:lang w:val="en-US"/>
        </w:rPr>
        <w:t>I also encourage you to read more about the reportable conduct scheme on the websites of the Commission for Children and Young People and the Department of Health and Human Services.  </w:t>
      </w:r>
    </w:p>
    <w:p w:rsidR="00D90DC8" w:rsidRDefault="00D90DC8" w:rsidP="00D90DC8">
      <w:pPr>
        <w:pStyle w:val="DHHSbody"/>
        <w:rPr>
          <w:lang w:val="en-US"/>
        </w:rPr>
      </w:pPr>
      <w:r w:rsidRPr="00D90DC8">
        <w:rPr>
          <w:lang w:val="en-US"/>
        </w:rPr>
        <w:t xml:space="preserve">Thank you </w:t>
      </w:r>
    </w:p>
    <w:p w:rsidR="009A16FD" w:rsidRPr="00E40B48" w:rsidRDefault="009A16FD" w:rsidP="00D90DC8">
      <w:pPr>
        <w:pStyle w:val="DHHSbody"/>
        <w:rPr>
          <w:lang w:val="en-US"/>
        </w:rPr>
      </w:pPr>
      <w:r>
        <w:rPr>
          <w:lang w:val="en-US"/>
        </w:rPr>
        <w:t>[End]</w:t>
      </w:r>
    </w:p>
    <w:p w:rsidR="00910F54" w:rsidRDefault="00910F54" w:rsidP="00910F54">
      <w:pPr>
        <w:pStyle w:val="DHHSbody"/>
        <w:rPr>
          <w:lang w:val="en-US"/>
        </w:rPr>
      </w:pPr>
    </w:p>
    <w:sectPr w:rsidR="00910F54"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C2C" w:rsidRDefault="001C1C2C">
      <w:r>
        <w:separator/>
      </w:r>
    </w:p>
  </w:endnote>
  <w:endnote w:type="continuationSeparator" w:id="0">
    <w:p w:rsidR="001C1C2C" w:rsidRDefault="001C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E40B48"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38" w:rsidRDefault="009C4738">
    <w:pPr>
      <w:pStyle w:val="Footer"/>
    </w:pPr>
    <w:r>
      <w:t>Our values video transcript</w:t>
    </w:r>
  </w:p>
  <w:p w:rsidR="009D70A4" w:rsidRPr="00A11421" w:rsidRDefault="009D70A4" w:rsidP="0051568D">
    <w:pPr>
      <w:pStyle w:val="DHHS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C2C" w:rsidRDefault="001C1C2C" w:rsidP="002862F1">
      <w:pPr>
        <w:spacing w:before="120"/>
      </w:pPr>
      <w:r>
        <w:separator/>
      </w:r>
    </w:p>
  </w:footnote>
  <w:footnote w:type="continuationSeparator" w:id="0">
    <w:p w:rsidR="001C1C2C" w:rsidRDefault="001C1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39"/>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1C2C"/>
    <w:rsid w:val="001C277E"/>
    <w:rsid w:val="001C2A72"/>
    <w:rsid w:val="001D0B75"/>
    <w:rsid w:val="001D3C09"/>
    <w:rsid w:val="001D44E8"/>
    <w:rsid w:val="001D4E72"/>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3CD2"/>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1717"/>
    <w:rsid w:val="00314054"/>
    <w:rsid w:val="00316F27"/>
    <w:rsid w:val="00327870"/>
    <w:rsid w:val="0033259D"/>
    <w:rsid w:val="003406C6"/>
    <w:rsid w:val="003418CC"/>
    <w:rsid w:val="003459BD"/>
    <w:rsid w:val="00350446"/>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986"/>
    <w:rsid w:val="003D3E8F"/>
    <w:rsid w:val="003D6475"/>
    <w:rsid w:val="003F0445"/>
    <w:rsid w:val="003F0CF0"/>
    <w:rsid w:val="003F14B1"/>
    <w:rsid w:val="003F3289"/>
    <w:rsid w:val="00401FCF"/>
    <w:rsid w:val="00406285"/>
    <w:rsid w:val="004148F9"/>
    <w:rsid w:val="0042084E"/>
    <w:rsid w:val="00421EEF"/>
    <w:rsid w:val="00422773"/>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17641"/>
    <w:rsid w:val="00526C15"/>
    <w:rsid w:val="00536499"/>
    <w:rsid w:val="00543903"/>
    <w:rsid w:val="00543F11"/>
    <w:rsid w:val="00547A95"/>
    <w:rsid w:val="0056360A"/>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2027"/>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D6FE1"/>
    <w:rsid w:val="006E138B"/>
    <w:rsid w:val="006F1FDC"/>
    <w:rsid w:val="007013EF"/>
    <w:rsid w:val="007173CA"/>
    <w:rsid w:val="007216AA"/>
    <w:rsid w:val="00721AB5"/>
    <w:rsid w:val="00721DEF"/>
    <w:rsid w:val="00724A43"/>
    <w:rsid w:val="00727AE9"/>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25F8"/>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0F54"/>
    <w:rsid w:val="009111B2"/>
    <w:rsid w:val="00914C9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16FD"/>
    <w:rsid w:val="009A279E"/>
    <w:rsid w:val="009B0A6F"/>
    <w:rsid w:val="009B0A94"/>
    <w:rsid w:val="009B59E9"/>
    <w:rsid w:val="009B70AA"/>
    <w:rsid w:val="009C4738"/>
    <w:rsid w:val="009C5E77"/>
    <w:rsid w:val="009C7A7E"/>
    <w:rsid w:val="009D02E8"/>
    <w:rsid w:val="009D51D0"/>
    <w:rsid w:val="009D70A4"/>
    <w:rsid w:val="009E08D1"/>
    <w:rsid w:val="009E1B95"/>
    <w:rsid w:val="009E496F"/>
    <w:rsid w:val="009E4B0D"/>
    <w:rsid w:val="009E7F92"/>
    <w:rsid w:val="009F02A3"/>
    <w:rsid w:val="009F0D6A"/>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25B2"/>
    <w:rsid w:val="00BF7F58"/>
    <w:rsid w:val="00C01381"/>
    <w:rsid w:val="00C06058"/>
    <w:rsid w:val="00C079B8"/>
    <w:rsid w:val="00C123EA"/>
    <w:rsid w:val="00C12A49"/>
    <w:rsid w:val="00C133EE"/>
    <w:rsid w:val="00C27DE9"/>
    <w:rsid w:val="00C33388"/>
    <w:rsid w:val="00C35484"/>
    <w:rsid w:val="00C4173A"/>
    <w:rsid w:val="00C45A79"/>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B7A78"/>
    <w:rsid w:val="00CC0C72"/>
    <w:rsid w:val="00CC2BFD"/>
    <w:rsid w:val="00CD3476"/>
    <w:rsid w:val="00CD64DF"/>
    <w:rsid w:val="00CF2F50"/>
    <w:rsid w:val="00CF7F39"/>
    <w:rsid w:val="00D02919"/>
    <w:rsid w:val="00D04C61"/>
    <w:rsid w:val="00D05B8D"/>
    <w:rsid w:val="00D065A2"/>
    <w:rsid w:val="00D07F00"/>
    <w:rsid w:val="00D17B72"/>
    <w:rsid w:val="00D3185C"/>
    <w:rsid w:val="00D33E72"/>
    <w:rsid w:val="00D35BD6"/>
    <w:rsid w:val="00D361B5"/>
    <w:rsid w:val="00D411A2"/>
    <w:rsid w:val="00D41CD6"/>
    <w:rsid w:val="00D4606D"/>
    <w:rsid w:val="00D50B9C"/>
    <w:rsid w:val="00D52D73"/>
    <w:rsid w:val="00D52E58"/>
    <w:rsid w:val="00D56145"/>
    <w:rsid w:val="00D714CC"/>
    <w:rsid w:val="00D75EA7"/>
    <w:rsid w:val="00D81F21"/>
    <w:rsid w:val="00D90DC8"/>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40B48"/>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FooterChar">
    <w:name w:val="Footer Char"/>
    <w:basedOn w:val="DefaultParagraphFont"/>
    <w:link w:val="Footer"/>
    <w:uiPriority w:val="99"/>
    <w:rsid w:val="009C4738"/>
    <w:rPr>
      <w:rFonts w:ascii="Arial" w:hAnsi="Arial" w:cs="Arial"/>
      <w:sz w:val="18"/>
      <w:szCs w:val="18"/>
      <w:lang w:eastAsia="en-US"/>
    </w:rPr>
  </w:style>
  <w:style w:type="paragraph" w:styleId="BalloonText">
    <w:name w:val="Balloon Text"/>
    <w:basedOn w:val="Normal"/>
    <w:link w:val="BalloonTextChar"/>
    <w:uiPriority w:val="99"/>
    <w:semiHidden/>
    <w:unhideWhenUsed/>
    <w:rsid w:val="009C4738"/>
    <w:rPr>
      <w:rFonts w:ascii="Tahoma" w:hAnsi="Tahoma" w:cs="Tahoma"/>
      <w:sz w:val="16"/>
      <w:szCs w:val="16"/>
    </w:rPr>
  </w:style>
  <w:style w:type="character" w:customStyle="1" w:styleId="BalloonTextChar">
    <w:name w:val="Balloon Text Char"/>
    <w:basedOn w:val="DefaultParagraphFont"/>
    <w:link w:val="BalloonText"/>
    <w:uiPriority w:val="99"/>
    <w:semiHidden/>
    <w:rsid w:val="009C473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FooterChar">
    <w:name w:val="Footer Char"/>
    <w:basedOn w:val="DefaultParagraphFont"/>
    <w:link w:val="Footer"/>
    <w:uiPriority w:val="99"/>
    <w:rsid w:val="009C4738"/>
    <w:rPr>
      <w:rFonts w:ascii="Arial" w:hAnsi="Arial" w:cs="Arial"/>
      <w:sz w:val="18"/>
      <w:szCs w:val="18"/>
      <w:lang w:eastAsia="en-US"/>
    </w:rPr>
  </w:style>
  <w:style w:type="paragraph" w:styleId="BalloonText">
    <w:name w:val="Balloon Text"/>
    <w:basedOn w:val="Normal"/>
    <w:link w:val="BalloonTextChar"/>
    <w:uiPriority w:val="99"/>
    <w:semiHidden/>
    <w:unhideWhenUsed/>
    <w:rsid w:val="009C4738"/>
    <w:rPr>
      <w:rFonts w:ascii="Tahoma" w:hAnsi="Tahoma" w:cs="Tahoma"/>
      <w:sz w:val="16"/>
      <w:szCs w:val="16"/>
    </w:rPr>
  </w:style>
  <w:style w:type="character" w:customStyle="1" w:styleId="BalloonTextChar">
    <w:name w:val="Balloon Text Char"/>
    <w:basedOn w:val="DefaultParagraphFont"/>
    <w:link w:val="BalloonText"/>
    <w:uiPriority w:val="99"/>
    <w:semiHidden/>
    <w:rsid w:val="009C473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2C2F95F5-4DE6-4508-A669-6042EBCA4C07}"/>
</file>

<file path=customXml/itemProps2.xml><?xml version="1.0" encoding="utf-8"?>
<ds:datastoreItem xmlns:ds="http://schemas.openxmlformats.org/officeDocument/2006/customXml" ds:itemID="{1B942BFB-7FDB-4152-852A-0FE98CAAAB52}"/>
</file>

<file path=customXml/itemProps3.xml><?xml version="1.0" encoding="utf-8"?>
<ds:datastoreItem xmlns:ds="http://schemas.openxmlformats.org/officeDocument/2006/customXml" ds:itemID="{740DF58C-2E1B-48C2-BBA6-C8C44D275CA6}"/>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Reportable conduct scheme video transcript</vt:lpstr>
    </vt:vector>
  </TitlesOfParts>
  <Company>Department of Health and Human Services</Company>
  <LinksUpToDate>false</LinksUpToDate>
  <CharactersWithSpaces>3306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Reportable conduct scheme video transcript</dc:title>
  <dc:subject>Reportable conduct scheme video transcript</dc:subject>
  <dc:creator>Strategic Communications, People and Culture</dc:creator>
  <cp:keywords>reportable conduct scheme, child safety, department of health and human services, commission for children and young people</cp:keywords>
  <cp:lastModifiedBy>Sarah Luscombe (DHHS)</cp:lastModifiedBy>
  <cp:revision>2</cp:revision>
  <cp:lastPrinted>2015-08-21T03:17:00Z</cp:lastPrinted>
  <dcterms:created xsi:type="dcterms:W3CDTF">2017-07-20T02:38:00Z</dcterms:created>
  <dcterms:modified xsi:type="dcterms:W3CDTF">2017-07-20T02:38:00Z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