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Therapeutic Interventions Family Violence 38030</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family-violence-referral-protocol-between-dhhs-family-safety-victoria-and-department-justice-and" TargetMode="External"/>
<Relationship Id="rId12" Type="http://schemas.openxmlformats.org/officeDocument/2006/relationships/hyperlink" Target="https://www.vic.gov.au/family-violence-information-sharing-scheme" TargetMode="External"/>
<Relationship Id="rId13" Type="http://schemas.openxmlformats.org/officeDocument/2006/relationships/hyperlink" Target="https://providers.dffh.vic.gov.au/human-services-standards" TargetMode="External"/>
<Relationship Id="rId14" Type="http://schemas.openxmlformats.org/officeDocument/2006/relationships/hyperlink" Target="http://rcfv.archive.royalcommission.vic.gov.au/CustomData/Exhibits/FMM/WIT.0078.003.0076.pdf" TargetMode="External"/>
<Relationship Id="rId15" Type="http://schemas.openxmlformats.org/officeDocument/2006/relationships/hyperlink" Target="https://www.vic.gov.au/family-violence-multi-agency-risk-assessment-and-management" TargetMode="External"/>
<Relationship Id="rId16" Type="http://schemas.openxmlformats.org/officeDocument/2006/relationships/hyperlink" Target="http://providers.dffh.vic.gov.au/families-fairness-housing-health-activity-search" TargetMode="External"/>
<Relationship Id="rId17"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Therapeutic Interventions Family Violence</w:t>
            </w:r>
          </w:p>
          <w:p>
            <w:pPr>
              <w:spacing w:line="560" w:lineRule="atLeast"/>
              <w:rPr>
                <w:rFonts w:ascii="Arial" w:hAnsi="Arial" w:eastAsia="Arial" w:cs="Arial"/>
                <w:color w:val="201547"/>
                <w:sz w:val="44"/>
              </w:rPr>
            </w:pPr>
            <w:r>
              <w:rPr>
                <w:rFonts w:ascii="Arial" w:hAnsi="Arial" w:eastAsia="Arial" w:cs="Arial"/>
                <w:color w:val="201547"/>
                <w:sz w:val="44"/>
              </w:rPr>
              <w:t>38030</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Family Violence Service Delivery</w:t>
            </w:r>
          </w:p>
          <w:p>
            <w:pPr>
              <w:spacing w:after="120"/>
              <w:rPr>
                <w:rFonts w:ascii="Arial" w:hAnsi="Arial" w:eastAsia="Arial" w:cs="Arial"/>
                <w:color w:val="201547"/>
                <w:sz w:val="28"/>
              </w:rPr>
            </w:pPr>
            <w:r>
              <w:rPr>
                <w:rFonts w:ascii="Arial" w:hAnsi="Arial" w:eastAsia="Arial" w:cs="Arial"/>
                <w:color w:val="201547"/>
                <w:sz w:val="28"/>
              </w:rPr>
              <w:t>Output: Family Violence Service Delivery</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Therapeutic interventions for victim survivors of family violence aim to provide timely and appropriate counselling and therapeutic interventions to improve the safety, emotional health, wellbeing and sense of empowerment for victim survivors experiencing or recovering from family violence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therapeutic interventions for victim survivors of family violence activity funds a range of organisations to provide counselling and therapeutic interventions to victim survivors throughout Victoria.</w:t>
      </w:r>
      <w:r>
        <w:br/>
      </w:r>
      <w:r>
        <w:rPr>
          <w:rFonts w:ascii="Arial" w:hAnsi="Arial" w:eastAsia="Arial" w:cs="Arial"/>
          <w:color w:val="000000"/>
          <w:sz w:val="20"/>
        </w:rPr>
        <w:t>Family violence counselling and therapeutic interventions directed to victim survivors experiencing or recovering from family violence aim to enhance their safety, confidence, life skills and independence. Services aim to break the cycle of violence for children and young people experiencing or recovering from family violence by enhancing coping skills and self-esteem and facilitating the development of non-violent life strategies.</w:t>
      </w:r>
      <w:r>
        <w:br/>
      </w:r>
      <w:r>
        <w:rPr>
          <w:rFonts w:ascii="Arial" w:hAnsi="Arial" w:eastAsia="Arial" w:cs="Arial"/>
          <w:color w:val="000000"/>
          <w:sz w:val="20"/>
        </w:rPr>
        <w:t>Services provided may include intake, assessment, information and referral, education, individual and group counselling, and support. The service may also provide assistance to victim survivors seeking intervention orders through court support, advocacy and referral services.</w:t>
      </w:r>
      <w:r>
        <w:br/>
      </w:r>
      <w:r>
        <w:rPr>
          <w:rFonts w:ascii="Arial" w:hAnsi="Arial" w:eastAsia="Arial" w:cs="Arial"/>
          <w:color w:val="000000"/>
          <w:sz w:val="20"/>
        </w:rPr>
        <w:t>Counselling and integrated therapeutic interventions are a component of an integrated, area-based suite of family violence and child and family services and will develop strong linkages and partnerships with victim survivors’ outreach services; after-hours services and accommodation services, LGBTIQ services, appropriate child and family services and support and safety hubs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 this activity is targeted at adult, children and young people who are victim survivors of family violence, including Aboriginal victim survivors of family violence. At a statewide level, a minimum of forty per cent of services provided through this activity are targeted to children and young people affected by family violence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Family violence referral protocol between DHHS, Family Safety Victoria and Department of Justice and Regulation and Victoria Police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&lt;https://providers.dffh.vic.gov.au/family-violence-referral-protocol-between-dhhs-family-safety-victoria-and-department-justice-and&gt;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Family Violence Information Sharing Guidelines: Guidance for Information Sharing Entities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&lt;https://www.vic.gov.au/family-violence-information-sharing-scheme&gt;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Human Services Standards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&lt;https://providers.dffh.vic.gov.au/human-services-standards&gt;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Code of Practice for Specialist Family Violence Services for Women and Children</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&lt;http://rcfv.archive.royalcommission.vic.gov.au/CustomData/Exhibits/FMM/WIT.0078.003.0076.pdf&gt;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Family Violence Multi-Agency Risk Assessment and Management Framework (MARAM)</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&lt;https://www.vic.gov.au/family-violence-multi-agency-risk-assessment-and-management&gt;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cases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cases of counselling and integrated therapeutic interventions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Provided in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cases that are opened during the reporting period. </w:t>
            </w:r>
            <w:r>
              <w:br/>
            </w:r>
            <w:r>
              <w:rPr>
                <w:rFonts w:ascii="Arial" w:hAnsi="Arial" w:eastAsia="Arial" w:cs="Arial"/>
                <w:color w:val="000000"/>
                <w:sz w:val="20"/>
              </w:rPr>
              <w:t>The counting rule seeks to capture new instances where support is provided to a person.</w:t>
            </w:r>
            <w:r>
              <w:br/>
            </w:r>
            <w:r>
              <w:rPr>
                <w:rFonts w:ascii="Arial" w:hAnsi="Arial" w:eastAsia="Arial" w:cs="Arial"/>
                <w:color w:val="000000"/>
                <w:sz w:val="20"/>
              </w:rPr>
              <w:t>A new case is counted when a client receives services from a service provider for the first time within the past three months.</w:t>
            </w:r>
            <w:r>
              <w:br/>
            </w:r>
            <w:r>
              <w:rPr>
                <w:rFonts w:ascii="Arial" w:hAnsi="Arial" w:eastAsia="Arial" w:cs="Arial"/>
                <w:color w:val="000000"/>
                <w:sz w:val="20"/>
              </w:rPr>
              <w:t>When to count a new case:</w:t>
            </w:r>
            <w:r>
              <w:br/>
            </w:r>
            <w:r>
              <w:rPr>
                <w:rFonts w:ascii="Arial" w:hAnsi="Arial" w:eastAsia="Arial" w:cs="Arial"/>
                <w:color w:val="000000"/>
                <w:sz w:val="20"/>
              </w:rPr>
              <w:t>•	when a client receives services from this service provider for the first time</w:t>
            </w:r>
            <w:r>
              <w:br/>
            </w:r>
            <w:r>
              <w:rPr>
                <w:rFonts w:ascii="Arial" w:hAnsi="Arial" w:eastAsia="Arial" w:cs="Arial"/>
                <w:color w:val="000000"/>
                <w:sz w:val="20"/>
              </w:rPr>
              <w:t xml:space="preserve">•	when a client presents for services after a previous case has been closed </w:t>
            </w:r>
            <w:r>
              <w:br/>
            </w:r>
            <w:r>
              <w:rPr>
                <w:rFonts w:ascii="Arial" w:hAnsi="Arial" w:eastAsia="Arial" w:cs="Arial"/>
                <w:color w:val="000000"/>
                <w:sz w:val="20"/>
              </w:rPr>
              <w:t>•	when a client presents for services relating to the same incident, but has not received services from this service provider for three months or more.</w:t>
            </w:r>
            <w:r>
              <w:br/>
            </w:r>
            <w:r>
              <w:rPr>
                <w:rFonts w:ascii="Arial" w:hAnsi="Arial" w:eastAsia="Arial" w:cs="Arial"/>
                <w:color w:val="000000"/>
                <w:sz w:val="20"/>
              </w:rPr>
              <w:t>When not to count a new case:</w:t>
            </w:r>
            <w:r>
              <w:br/>
            </w:r>
            <w:r>
              <w:rPr>
                <w:rFonts w:ascii="Arial" w:hAnsi="Arial" w:eastAsia="Arial" w:cs="Arial"/>
                <w:color w:val="000000"/>
                <w:sz w:val="20"/>
              </w:rPr>
              <w:t>•	when the client has received the same service from the service provider relating to the same incident within the last three months</w:t>
            </w:r>
            <w:r>
              <w:br/>
            </w:r>
            <w:r>
              <w:rPr>
                <w:rFonts w:ascii="Arial" w:hAnsi="Arial" w:eastAsia="Arial" w:cs="Arial"/>
                <w:color w:val="000000"/>
                <w:sz w:val="20"/>
              </w:rPr>
              <w:t xml:space="preserve">•	when an existing case carries over into a new financial or calendar year </w:t>
            </w:r>
            <w:r>
              <w:br/>
            </w:r>
            <w:r>
              <w:rPr>
                <w:rFonts w:ascii="Arial" w:hAnsi="Arial" w:eastAsia="Arial" w:cs="Arial"/>
                <w:color w:val="000000"/>
                <w:sz w:val="20"/>
              </w:rPr>
              <w:t>•	when an existing case carries over into a new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Clients refer to victim survivors who have experienced family violence or are at risk of being unsafe in the family environment.</w:t>
            </w:r>
            <w:r>
              <w:br/>
            </w:r>
            <w:r>
              <w:rPr>
                <w:rFonts w:ascii="Arial" w:hAnsi="Arial" w:eastAsia="Arial" w:cs="Arial"/>
                <w:color w:val="000000"/>
                <w:sz w:val="20"/>
              </w:rPr>
              <w:t>A woman and her children are counted as one client. However, where a child requires a separate response in his/her own right, that child is recorded as a separate client.</w:t>
            </w:r>
            <w:r>
              <w:br/>
            </w:r>
            <w:r>
              <w:rPr>
                <w:rFonts w:ascii="Arial" w:hAnsi="Arial" w:eastAsia="Arial" w:cs="Arial"/>
                <w:color w:val="000000"/>
                <w:sz w:val="20"/>
              </w:rPr>
              <w:t>The receipt of a service during the reporting period is defined as having provided at least one hour of continuous service to the client during the reporting period</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Integrated Reports and Information System (IRIS)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IRIS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IRIS family violence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SAMS2/Service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April 2020</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6"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Family Violence Service Delivery 38030 Therapeutic Interventions Family Violence</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