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word/webSettings.xml" ContentType="application/vnd.openxmlformats-officedocument.wordprocessingml.webSetting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696E" w:rsidRPr="004C6EEE" w:rsidRDefault="003042E9" w:rsidP="00AD784C">
      <w:pPr>
        <w:pStyle w:val="Spacerparatopoffirstpage"/>
      </w:pPr>
      <w:bookmarkStart w:id="0" w:name="_GoBack"/>
      <w:bookmarkEnd w:id="0"/>
      <w:r>
        <w:rPr>
          <w:lang w:eastAsia="en-AU"/>
        </w:rPr>
        <w:drawing>
          <wp:anchor distT="0" distB="0" distL="114300" distR="114300" simplePos="0" relativeHeight="251657728" behindDoc="1" locked="1" layoutInCell="0" allowOverlap="1">
            <wp:simplePos x="0" y="0"/>
            <wp:positionH relativeFrom="page">
              <wp:posOffset>0</wp:posOffset>
            </wp:positionH>
            <wp:positionV relativeFrom="page">
              <wp:posOffset>0</wp:posOffset>
            </wp:positionV>
            <wp:extent cx="7570470" cy="2075180"/>
            <wp:effectExtent l="0" t="0" r="0" b="1270"/>
            <wp:wrapNone/>
            <wp:docPr id="31" name="Picture 31"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Decorativ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70470" cy="20751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62D44" w:rsidRPr="004C6EEE" w:rsidRDefault="00A62D44" w:rsidP="004C6EEE">
      <w:pPr>
        <w:pStyle w:val="Sectionbreakfirstpage"/>
        <w:sectPr w:rsidR="00A62D44" w:rsidRPr="004C6EEE" w:rsidSect="00AD784C">
          <w:footerReference w:type="default" r:id="rId9"/>
          <w:pgSz w:w="11906" w:h="16838" w:code="9"/>
          <w:pgMar w:top="567" w:right="851" w:bottom="1418" w:left="851" w:header="510" w:footer="510" w:gutter="0"/>
          <w:cols w:space="708"/>
          <w:docGrid w:linePitch="360"/>
        </w:sectPr>
      </w:pPr>
    </w:p>
    <w:tbl>
      <w:tblPr>
        <w:tblW w:w="0" w:type="auto"/>
        <w:tblLook w:val="04A0" w:firstRow="1" w:lastRow="0" w:firstColumn="1" w:lastColumn="0" w:noHBand="0" w:noVBand="1"/>
      </w:tblPr>
      <w:tblGrid>
        <w:gridCol w:w="8046"/>
      </w:tblGrid>
      <w:tr w:rsidR="00AD784C" w:rsidTr="001C277E">
        <w:trPr>
          <w:trHeight w:val="1247"/>
        </w:trPr>
        <w:tc>
          <w:tcPr>
            <w:tcW w:w="8046" w:type="dxa"/>
            <w:shd w:val="clear" w:color="auto" w:fill="auto"/>
            <w:vAlign w:val="bottom"/>
          </w:tcPr>
          <w:p w:rsidR="00AD784C" w:rsidRPr="00161AA0" w:rsidRDefault="003042E9" w:rsidP="00A91406">
            <w:pPr>
              <w:pStyle w:val="DHHSmainheading"/>
            </w:pPr>
            <w:r>
              <w:lastRenderedPageBreak/>
              <w:t>Neighbourly behaviour and support operational guidelines</w:t>
            </w:r>
          </w:p>
        </w:tc>
      </w:tr>
      <w:tr w:rsidR="00AD784C" w:rsidTr="00357B4E">
        <w:trPr>
          <w:trHeight w:hRule="exact" w:val="1162"/>
        </w:trPr>
        <w:tc>
          <w:tcPr>
            <w:tcW w:w="8046" w:type="dxa"/>
            <w:shd w:val="clear" w:color="auto" w:fill="auto"/>
            <w:tcMar>
              <w:top w:w="170" w:type="dxa"/>
              <w:bottom w:w="510" w:type="dxa"/>
            </w:tcMar>
          </w:tcPr>
          <w:p w:rsidR="00357B4E" w:rsidRPr="00AD784C" w:rsidRDefault="003042E9" w:rsidP="00357B4E">
            <w:pPr>
              <w:pStyle w:val="DHHSmainsubheading"/>
              <w:rPr>
                <w:szCs w:val="28"/>
              </w:rPr>
            </w:pPr>
            <w:r>
              <w:rPr>
                <w:szCs w:val="28"/>
              </w:rPr>
              <w:t>Effective date July 2017</w:t>
            </w:r>
          </w:p>
        </w:tc>
      </w:tr>
    </w:tbl>
    <w:p w:rsidR="00AD784C" w:rsidRPr="000A6666" w:rsidRDefault="00AD784C" w:rsidP="000A6666">
      <w:pPr>
        <w:pStyle w:val="DHHSTOCheadingfactsheet"/>
      </w:pPr>
      <w:r w:rsidRPr="000A6666">
        <w:t>Contents</w:t>
      </w:r>
    </w:p>
    <w:p w:rsidR="003042E9" w:rsidRDefault="00AD784C">
      <w:pPr>
        <w:pStyle w:val="TOC1"/>
        <w:rPr>
          <w:rFonts w:asciiTheme="minorHAnsi" w:eastAsiaTheme="minorEastAsia" w:hAnsiTheme="minorHAnsi" w:cstheme="minorBidi"/>
          <w:b w:val="0"/>
          <w:sz w:val="22"/>
          <w:szCs w:val="22"/>
          <w:lang w:eastAsia="en-AU"/>
        </w:rPr>
      </w:pPr>
      <w:r>
        <w:fldChar w:fldCharType="begin"/>
      </w:r>
      <w:r>
        <w:instrText xml:space="preserve"> TOC \h \z \t "Heading 1,1,Heading 2,2" </w:instrText>
      </w:r>
      <w:r>
        <w:fldChar w:fldCharType="separate"/>
      </w:r>
      <w:hyperlink w:anchor="_Toc489876706" w:history="1">
        <w:r w:rsidR="003042E9" w:rsidRPr="00F27D06">
          <w:rPr>
            <w:rStyle w:val="Hyperlink"/>
            <w:lang w:eastAsia="en-AU"/>
          </w:rPr>
          <w:t>Overview</w:t>
        </w:r>
        <w:r w:rsidR="003042E9">
          <w:rPr>
            <w:webHidden/>
          </w:rPr>
          <w:tab/>
        </w:r>
        <w:r w:rsidR="003042E9">
          <w:rPr>
            <w:webHidden/>
          </w:rPr>
          <w:fldChar w:fldCharType="begin"/>
        </w:r>
        <w:r w:rsidR="003042E9">
          <w:rPr>
            <w:webHidden/>
          </w:rPr>
          <w:instrText xml:space="preserve"> PAGEREF _Toc489876706 \h </w:instrText>
        </w:r>
        <w:r w:rsidR="003042E9">
          <w:rPr>
            <w:webHidden/>
          </w:rPr>
        </w:r>
        <w:r w:rsidR="003042E9">
          <w:rPr>
            <w:webHidden/>
          </w:rPr>
          <w:fldChar w:fldCharType="separate"/>
        </w:r>
        <w:r w:rsidR="003042E9">
          <w:rPr>
            <w:webHidden/>
          </w:rPr>
          <w:t>1</w:t>
        </w:r>
        <w:r w:rsidR="003042E9">
          <w:rPr>
            <w:webHidden/>
          </w:rPr>
          <w:fldChar w:fldCharType="end"/>
        </w:r>
      </w:hyperlink>
    </w:p>
    <w:p w:rsidR="003042E9" w:rsidRDefault="00CF4B72">
      <w:pPr>
        <w:pStyle w:val="TOC1"/>
        <w:rPr>
          <w:rFonts w:asciiTheme="minorHAnsi" w:eastAsiaTheme="minorEastAsia" w:hAnsiTheme="minorHAnsi" w:cstheme="minorBidi"/>
          <w:b w:val="0"/>
          <w:sz w:val="22"/>
          <w:szCs w:val="22"/>
          <w:lang w:eastAsia="en-AU"/>
        </w:rPr>
      </w:pPr>
      <w:hyperlink w:anchor="_Toc489876707" w:history="1">
        <w:r w:rsidR="003042E9" w:rsidRPr="00F27D06">
          <w:rPr>
            <w:rStyle w:val="Hyperlink"/>
            <w:lang w:eastAsia="en-AU"/>
          </w:rPr>
          <w:t>Who does this operational guideline apply to?</w:t>
        </w:r>
        <w:r w:rsidR="003042E9">
          <w:rPr>
            <w:webHidden/>
          </w:rPr>
          <w:tab/>
        </w:r>
        <w:r w:rsidR="003042E9">
          <w:rPr>
            <w:webHidden/>
          </w:rPr>
          <w:fldChar w:fldCharType="begin"/>
        </w:r>
        <w:r w:rsidR="003042E9">
          <w:rPr>
            <w:webHidden/>
          </w:rPr>
          <w:instrText xml:space="preserve"> PAGEREF _Toc489876707 \h </w:instrText>
        </w:r>
        <w:r w:rsidR="003042E9">
          <w:rPr>
            <w:webHidden/>
          </w:rPr>
        </w:r>
        <w:r w:rsidR="003042E9">
          <w:rPr>
            <w:webHidden/>
          </w:rPr>
          <w:fldChar w:fldCharType="separate"/>
        </w:r>
        <w:r w:rsidR="003042E9">
          <w:rPr>
            <w:webHidden/>
          </w:rPr>
          <w:t>2</w:t>
        </w:r>
        <w:r w:rsidR="003042E9">
          <w:rPr>
            <w:webHidden/>
          </w:rPr>
          <w:fldChar w:fldCharType="end"/>
        </w:r>
      </w:hyperlink>
    </w:p>
    <w:p w:rsidR="003042E9" w:rsidRDefault="00CF4B72">
      <w:pPr>
        <w:pStyle w:val="TOC1"/>
        <w:rPr>
          <w:rFonts w:asciiTheme="minorHAnsi" w:eastAsiaTheme="minorEastAsia" w:hAnsiTheme="minorHAnsi" w:cstheme="minorBidi"/>
          <w:b w:val="0"/>
          <w:sz w:val="22"/>
          <w:szCs w:val="22"/>
          <w:lang w:eastAsia="en-AU"/>
        </w:rPr>
      </w:pPr>
      <w:hyperlink w:anchor="_Toc489876708" w:history="1">
        <w:r w:rsidR="003042E9" w:rsidRPr="00F27D06">
          <w:rPr>
            <w:rStyle w:val="Hyperlink"/>
            <w:lang w:eastAsia="en-AU"/>
          </w:rPr>
          <w:t>Operating principles</w:t>
        </w:r>
        <w:r w:rsidR="003042E9">
          <w:rPr>
            <w:webHidden/>
          </w:rPr>
          <w:tab/>
        </w:r>
        <w:r w:rsidR="003042E9">
          <w:rPr>
            <w:webHidden/>
          </w:rPr>
          <w:fldChar w:fldCharType="begin"/>
        </w:r>
        <w:r w:rsidR="003042E9">
          <w:rPr>
            <w:webHidden/>
          </w:rPr>
          <w:instrText xml:space="preserve"> PAGEREF _Toc489876708 \h </w:instrText>
        </w:r>
        <w:r w:rsidR="003042E9">
          <w:rPr>
            <w:webHidden/>
          </w:rPr>
        </w:r>
        <w:r w:rsidR="003042E9">
          <w:rPr>
            <w:webHidden/>
          </w:rPr>
          <w:fldChar w:fldCharType="separate"/>
        </w:r>
        <w:r w:rsidR="003042E9">
          <w:rPr>
            <w:webHidden/>
          </w:rPr>
          <w:t>2</w:t>
        </w:r>
        <w:r w:rsidR="003042E9">
          <w:rPr>
            <w:webHidden/>
          </w:rPr>
          <w:fldChar w:fldCharType="end"/>
        </w:r>
      </w:hyperlink>
    </w:p>
    <w:p w:rsidR="003042E9" w:rsidRDefault="00CF4B72">
      <w:pPr>
        <w:pStyle w:val="TOC1"/>
        <w:rPr>
          <w:rFonts w:asciiTheme="minorHAnsi" w:eastAsiaTheme="minorEastAsia" w:hAnsiTheme="minorHAnsi" w:cstheme="minorBidi"/>
          <w:b w:val="0"/>
          <w:sz w:val="22"/>
          <w:szCs w:val="22"/>
          <w:lang w:eastAsia="en-AU"/>
        </w:rPr>
      </w:pPr>
      <w:hyperlink w:anchor="_Toc489876709" w:history="1">
        <w:r w:rsidR="003042E9" w:rsidRPr="00F27D06">
          <w:rPr>
            <w:rStyle w:val="Hyperlink"/>
            <w:lang w:eastAsia="en-AU"/>
          </w:rPr>
          <w:t>Neighbourly behaviour statement</w:t>
        </w:r>
        <w:r w:rsidR="003042E9">
          <w:rPr>
            <w:webHidden/>
          </w:rPr>
          <w:tab/>
        </w:r>
        <w:r w:rsidR="003042E9">
          <w:rPr>
            <w:webHidden/>
          </w:rPr>
          <w:fldChar w:fldCharType="begin"/>
        </w:r>
        <w:r w:rsidR="003042E9">
          <w:rPr>
            <w:webHidden/>
          </w:rPr>
          <w:instrText xml:space="preserve"> PAGEREF _Toc489876709 \h </w:instrText>
        </w:r>
        <w:r w:rsidR="003042E9">
          <w:rPr>
            <w:webHidden/>
          </w:rPr>
        </w:r>
        <w:r w:rsidR="003042E9">
          <w:rPr>
            <w:webHidden/>
          </w:rPr>
          <w:fldChar w:fldCharType="separate"/>
        </w:r>
        <w:r w:rsidR="003042E9">
          <w:rPr>
            <w:webHidden/>
          </w:rPr>
          <w:t>2</w:t>
        </w:r>
        <w:r w:rsidR="003042E9">
          <w:rPr>
            <w:webHidden/>
          </w:rPr>
          <w:fldChar w:fldCharType="end"/>
        </w:r>
      </w:hyperlink>
    </w:p>
    <w:p w:rsidR="003042E9" w:rsidRDefault="00CF4B72">
      <w:pPr>
        <w:pStyle w:val="TOC1"/>
        <w:rPr>
          <w:rFonts w:asciiTheme="minorHAnsi" w:eastAsiaTheme="minorEastAsia" w:hAnsiTheme="minorHAnsi" w:cstheme="minorBidi"/>
          <w:b w:val="0"/>
          <w:sz w:val="22"/>
          <w:szCs w:val="22"/>
          <w:lang w:eastAsia="en-AU"/>
        </w:rPr>
      </w:pPr>
      <w:hyperlink w:anchor="_Toc489876710" w:history="1">
        <w:r w:rsidR="003042E9" w:rsidRPr="00F27D06">
          <w:rPr>
            <w:rStyle w:val="Hyperlink"/>
            <w:lang w:eastAsia="en-AU"/>
          </w:rPr>
          <w:t>Antisocial behaviour</w:t>
        </w:r>
        <w:r w:rsidR="003042E9">
          <w:rPr>
            <w:webHidden/>
          </w:rPr>
          <w:tab/>
        </w:r>
        <w:r w:rsidR="003042E9">
          <w:rPr>
            <w:webHidden/>
          </w:rPr>
          <w:fldChar w:fldCharType="begin"/>
        </w:r>
        <w:r w:rsidR="003042E9">
          <w:rPr>
            <w:webHidden/>
          </w:rPr>
          <w:instrText xml:space="preserve"> PAGEREF _Toc489876710 \h </w:instrText>
        </w:r>
        <w:r w:rsidR="003042E9">
          <w:rPr>
            <w:webHidden/>
          </w:rPr>
        </w:r>
        <w:r w:rsidR="003042E9">
          <w:rPr>
            <w:webHidden/>
          </w:rPr>
          <w:fldChar w:fldCharType="separate"/>
        </w:r>
        <w:r w:rsidR="003042E9">
          <w:rPr>
            <w:webHidden/>
          </w:rPr>
          <w:t>3</w:t>
        </w:r>
        <w:r w:rsidR="003042E9">
          <w:rPr>
            <w:webHidden/>
          </w:rPr>
          <w:fldChar w:fldCharType="end"/>
        </w:r>
      </w:hyperlink>
    </w:p>
    <w:p w:rsidR="003042E9" w:rsidRDefault="00CF4B72">
      <w:pPr>
        <w:pStyle w:val="TOC1"/>
        <w:rPr>
          <w:rFonts w:asciiTheme="minorHAnsi" w:eastAsiaTheme="minorEastAsia" w:hAnsiTheme="minorHAnsi" w:cstheme="minorBidi"/>
          <w:b w:val="0"/>
          <w:sz w:val="22"/>
          <w:szCs w:val="22"/>
          <w:lang w:eastAsia="en-AU"/>
        </w:rPr>
      </w:pPr>
      <w:hyperlink w:anchor="_Toc489876711" w:history="1">
        <w:r w:rsidR="003042E9" w:rsidRPr="00F27D06">
          <w:rPr>
            <w:rStyle w:val="Hyperlink"/>
            <w:lang w:eastAsia="en-AU"/>
          </w:rPr>
          <w:t>Households exhibiting antisocial behaviour</w:t>
        </w:r>
        <w:r w:rsidR="003042E9">
          <w:rPr>
            <w:webHidden/>
          </w:rPr>
          <w:tab/>
        </w:r>
        <w:r w:rsidR="003042E9">
          <w:rPr>
            <w:webHidden/>
          </w:rPr>
          <w:fldChar w:fldCharType="begin"/>
        </w:r>
        <w:r w:rsidR="003042E9">
          <w:rPr>
            <w:webHidden/>
          </w:rPr>
          <w:instrText xml:space="preserve"> PAGEREF _Toc489876711 \h </w:instrText>
        </w:r>
        <w:r w:rsidR="003042E9">
          <w:rPr>
            <w:webHidden/>
          </w:rPr>
        </w:r>
        <w:r w:rsidR="003042E9">
          <w:rPr>
            <w:webHidden/>
          </w:rPr>
          <w:fldChar w:fldCharType="separate"/>
        </w:r>
        <w:r w:rsidR="003042E9">
          <w:rPr>
            <w:webHidden/>
          </w:rPr>
          <w:t>3</w:t>
        </w:r>
        <w:r w:rsidR="003042E9">
          <w:rPr>
            <w:webHidden/>
          </w:rPr>
          <w:fldChar w:fldCharType="end"/>
        </w:r>
      </w:hyperlink>
    </w:p>
    <w:p w:rsidR="003042E9" w:rsidRDefault="00CF4B72">
      <w:pPr>
        <w:pStyle w:val="TOC1"/>
        <w:rPr>
          <w:rFonts w:asciiTheme="minorHAnsi" w:eastAsiaTheme="minorEastAsia" w:hAnsiTheme="minorHAnsi" w:cstheme="minorBidi"/>
          <w:b w:val="0"/>
          <w:sz w:val="22"/>
          <w:szCs w:val="22"/>
          <w:lang w:eastAsia="en-AU"/>
        </w:rPr>
      </w:pPr>
      <w:hyperlink w:anchor="_Toc489876712" w:history="1">
        <w:r w:rsidR="003042E9" w:rsidRPr="00F27D06">
          <w:rPr>
            <w:rStyle w:val="Hyperlink"/>
            <w:lang w:eastAsia="en-AU"/>
          </w:rPr>
          <w:t>Tenancy breaches</w:t>
        </w:r>
        <w:r w:rsidR="003042E9">
          <w:rPr>
            <w:webHidden/>
          </w:rPr>
          <w:tab/>
        </w:r>
        <w:r w:rsidR="003042E9">
          <w:rPr>
            <w:webHidden/>
          </w:rPr>
          <w:fldChar w:fldCharType="begin"/>
        </w:r>
        <w:r w:rsidR="003042E9">
          <w:rPr>
            <w:webHidden/>
          </w:rPr>
          <w:instrText xml:space="preserve"> PAGEREF _Toc489876712 \h </w:instrText>
        </w:r>
        <w:r w:rsidR="003042E9">
          <w:rPr>
            <w:webHidden/>
          </w:rPr>
        </w:r>
        <w:r w:rsidR="003042E9">
          <w:rPr>
            <w:webHidden/>
          </w:rPr>
          <w:fldChar w:fldCharType="separate"/>
        </w:r>
        <w:r w:rsidR="003042E9">
          <w:rPr>
            <w:webHidden/>
          </w:rPr>
          <w:t>3</w:t>
        </w:r>
        <w:r w:rsidR="003042E9">
          <w:rPr>
            <w:webHidden/>
          </w:rPr>
          <w:fldChar w:fldCharType="end"/>
        </w:r>
      </w:hyperlink>
    </w:p>
    <w:p w:rsidR="003042E9" w:rsidRDefault="00CF4B72">
      <w:pPr>
        <w:pStyle w:val="TOC1"/>
        <w:rPr>
          <w:rFonts w:asciiTheme="minorHAnsi" w:eastAsiaTheme="minorEastAsia" w:hAnsiTheme="minorHAnsi" w:cstheme="minorBidi"/>
          <w:b w:val="0"/>
          <w:sz w:val="22"/>
          <w:szCs w:val="22"/>
          <w:lang w:eastAsia="en-AU"/>
        </w:rPr>
      </w:pPr>
      <w:hyperlink w:anchor="_Toc489876713" w:history="1">
        <w:r w:rsidR="003042E9" w:rsidRPr="00F27D06">
          <w:rPr>
            <w:rStyle w:val="Hyperlink"/>
            <w:lang w:eastAsia="en-AU"/>
          </w:rPr>
          <w:t>Incident reporting</w:t>
        </w:r>
        <w:r w:rsidR="003042E9">
          <w:rPr>
            <w:webHidden/>
          </w:rPr>
          <w:tab/>
        </w:r>
        <w:r w:rsidR="003042E9">
          <w:rPr>
            <w:webHidden/>
          </w:rPr>
          <w:fldChar w:fldCharType="begin"/>
        </w:r>
        <w:r w:rsidR="003042E9">
          <w:rPr>
            <w:webHidden/>
          </w:rPr>
          <w:instrText xml:space="preserve"> PAGEREF _Toc489876713 \h </w:instrText>
        </w:r>
        <w:r w:rsidR="003042E9">
          <w:rPr>
            <w:webHidden/>
          </w:rPr>
        </w:r>
        <w:r w:rsidR="003042E9">
          <w:rPr>
            <w:webHidden/>
          </w:rPr>
          <w:fldChar w:fldCharType="separate"/>
        </w:r>
        <w:r w:rsidR="003042E9">
          <w:rPr>
            <w:webHidden/>
          </w:rPr>
          <w:t>4</w:t>
        </w:r>
        <w:r w:rsidR="003042E9">
          <w:rPr>
            <w:webHidden/>
          </w:rPr>
          <w:fldChar w:fldCharType="end"/>
        </w:r>
      </w:hyperlink>
    </w:p>
    <w:p w:rsidR="003042E9" w:rsidRDefault="00CF4B72">
      <w:pPr>
        <w:pStyle w:val="TOC1"/>
        <w:rPr>
          <w:rFonts w:asciiTheme="minorHAnsi" w:eastAsiaTheme="minorEastAsia" w:hAnsiTheme="minorHAnsi" w:cstheme="minorBidi"/>
          <w:b w:val="0"/>
          <w:sz w:val="22"/>
          <w:szCs w:val="22"/>
          <w:lang w:eastAsia="en-AU"/>
        </w:rPr>
      </w:pPr>
      <w:hyperlink w:anchor="_Toc489876714" w:history="1">
        <w:r w:rsidR="003042E9" w:rsidRPr="00F27D06">
          <w:rPr>
            <w:rStyle w:val="Hyperlink"/>
            <w:lang w:eastAsia="en-AU"/>
          </w:rPr>
          <w:t>Support worker requirements</w:t>
        </w:r>
        <w:r w:rsidR="003042E9">
          <w:rPr>
            <w:webHidden/>
          </w:rPr>
          <w:tab/>
        </w:r>
        <w:r w:rsidR="003042E9">
          <w:rPr>
            <w:webHidden/>
          </w:rPr>
          <w:fldChar w:fldCharType="begin"/>
        </w:r>
        <w:r w:rsidR="003042E9">
          <w:rPr>
            <w:webHidden/>
          </w:rPr>
          <w:instrText xml:space="preserve"> PAGEREF _Toc489876714 \h </w:instrText>
        </w:r>
        <w:r w:rsidR="003042E9">
          <w:rPr>
            <w:webHidden/>
          </w:rPr>
        </w:r>
        <w:r w:rsidR="003042E9">
          <w:rPr>
            <w:webHidden/>
          </w:rPr>
          <w:fldChar w:fldCharType="separate"/>
        </w:r>
        <w:r w:rsidR="003042E9">
          <w:rPr>
            <w:webHidden/>
          </w:rPr>
          <w:t>4</w:t>
        </w:r>
        <w:r w:rsidR="003042E9">
          <w:rPr>
            <w:webHidden/>
          </w:rPr>
          <w:fldChar w:fldCharType="end"/>
        </w:r>
      </w:hyperlink>
    </w:p>
    <w:p w:rsidR="003042E9" w:rsidRDefault="00CF4B72">
      <w:pPr>
        <w:pStyle w:val="TOC1"/>
        <w:rPr>
          <w:rFonts w:asciiTheme="minorHAnsi" w:eastAsiaTheme="minorEastAsia" w:hAnsiTheme="minorHAnsi" w:cstheme="minorBidi"/>
          <w:b w:val="0"/>
          <w:sz w:val="22"/>
          <w:szCs w:val="22"/>
          <w:lang w:eastAsia="en-AU"/>
        </w:rPr>
      </w:pPr>
      <w:hyperlink w:anchor="_Toc489876715" w:history="1">
        <w:r w:rsidR="003042E9" w:rsidRPr="00F27D06">
          <w:rPr>
            <w:rStyle w:val="Hyperlink"/>
            <w:lang w:eastAsia="en-AU"/>
          </w:rPr>
          <w:t>Involvement of other departmental program supports</w:t>
        </w:r>
        <w:r w:rsidR="003042E9">
          <w:rPr>
            <w:webHidden/>
          </w:rPr>
          <w:tab/>
        </w:r>
        <w:r w:rsidR="003042E9">
          <w:rPr>
            <w:webHidden/>
          </w:rPr>
          <w:fldChar w:fldCharType="begin"/>
        </w:r>
        <w:r w:rsidR="003042E9">
          <w:rPr>
            <w:webHidden/>
          </w:rPr>
          <w:instrText xml:space="preserve"> PAGEREF _Toc489876715 \h </w:instrText>
        </w:r>
        <w:r w:rsidR="003042E9">
          <w:rPr>
            <w:webHidden/>
          </w:rPr>
        </w:r>
        <w:r w:rsidR="003042E9">
          <w:rPr>
            <w:webHidden/>
          </w:rPr>
          <w:fldChar w:fldCharType="separate"/>
        </w:r>
        <w:r w:rsidR="003042E9">
          <w:rPr>
            <w:webHidden/>
          </w:rPr>
          <w:t>4</w:t>
        </w:r>
        <w:r w:rsidR="003042E9">
          <w:rPr>
            <w:webHidden/>
          </w:rPr>
          <w:fldChar w:fldCharType="end"/>
        </w:r>
      </w:hyperlink>
    </w:p>
    <w:p w:rsidR="003042E9" w:rsidRDefault="00CF4B72">
      <w:pPr>
        <w:pStyle w:val="TOC1"/>
        <w:rPr>
          <w:rFonts w:asciiTheme="minorHAnsi" w:eastAsiaTheme="minorEastAsia" w:hAnsiTheme="minorHAnsi" w:cstheme="minorBidi"/>
          <w:b w:val="0"/>
          <w:sz w:val="22"/>
          <w:szCs w:val="22"/>
          <w:lang w:eastAsia="en-AU"/>
        </w:rPr>
      </w:pPr>
      <w:hyperlink w:anchor="_Toc489876716" w:history="1">
        <w:r w:rsidR="003042E9" w:rsidRPr="00F27D06">
          <w:rPr>
            <w:rStyle w:val="Hyperlink"/>
            <w:lang w:eastAsia="en-AU"/>
          </w:rPr>
          <w:t>Transferring tenants</w:t>
        </w:r>
        <w:r w:rsidR="003042E9">
          <w:rPr>
            <w:webHidden/>
          </w:rPr>
          <w:tab/>
        </w:r>
        <w:r w:rsidR="003042E9">
          <w:rPr>
            <w:webHidden/>
          </w:rPr>
          <w:fldChar w:fldCharType="begin"/>
        </w:r>
        <w:r w:rsidR="003042E9">
          <w:rPr>
            <w:webHidden/>
          </w:rPr>
          <w:instrText xml:space="preserve"> PAGEREF _Toc489876716 \h </w:instrText>
        </w:r>
        <w:r w:rsidR="003042E9">
          <w:rPr>
            <w:webHidden/>
          </w:rPr>
        </w:r>
        <w:r w:rsidR="003042E9">
          <w:rPr>
            <w:webHidden/>
          </w:rPr>
          <w:fldChar w:fldCharType="separate"/>
        </w:r>
        <w:r w:rsidR="003042E9">
          <w:rPr>
            <w:webHidden/>
          </w:rPr>
          <w:t>5</w:t>
        </w:r>
        <w:r w:rsidR="003042E9">
          <w:rPr>
            <w:webHidden/>
          </w:rPr>
          <w:fldChar w:fldCharType="end"/>
        </w:r>
      </w:hyperlink>
    </w:p>
    <w:p w:rsidR="003042E9" w:rsidRDefault="00CF4B72">
      <w:pPr>
        <w:pStyle w:val="TOC1"/>
        <w:rPr>
          <w:rFonts w:asciiTheme="minorHAnsi" w:eastAsiaTheme="minorEastAsia" w:hAnsiTheme="minorHAnsi" w:cstheme="minorBidi"/>
          <w:b w:val="0"/>
          <w:sz w:val="22"/>
          <w:szCs w:val="22"/>
          <w:lang w:eastAsia="en-AU"/>
        </w:rPr>
      </w:pPr>
      <w:hyperlink w:anchor="_Toc489876717" w:history="1">
        <w:r w:rsidR="003042E9" w:rsidRPr="00F27D06">
          <w:rPr>
            <w:rStyle w:val="Hyperlink"/>
            <w:lang w:eastAsia="en-AU"/>
          </w:rPr>
          <w:t>Tenant fails to remedy antisocial behaviour</w:t>
        </w:r>
        <w:r w:rsidR="003042E9">
          <w:rPr>
            <w:webHidden/>
          </w:rPr>
          <w:tab/>
        </w:r>
        <w:r w:rsidR="003042E9">
          <w:rPr>
            <w:webHidden/>
          </w:rPr>
          <w:fldChar w:fldCharType="begin"/>
        </w:r>
        <w:r w:rsidR="003042E9">
          <w:rPr>
            <w:webHidden/>
          </w:rPr>
          <w:instrText xml:space="preserve"> PAGEREF _Toc489876717 \h </w:instrText>
        </w:r>
        <w:r w:rsidR="003042E9">
          <w:rPr>
            <w:webHidden/>
          </w:rPr>
        </w:r>
        <w:r w:rsidR="003042E9">
          <w:rPr>
            <w:webHidden/>
          </w:rPr>
          <w:fldChar w:fldCharType="separate"/>
        </w:r>
        <w:r w:rsidR="003042E9">
          <w:rPr>
            <w:webHidden/>
          </w:rPr>
          <w:t>5</w:t>
        </w:r>
        <w:r w:rsidR="003042E9">
          <w:rPr>
            <w:webHidden/>
          </w:rPr>
          <w:fldChar w:fldCharType="end"/>
        </w:r>
      </w:hyperlink>
    </w:p>
    <w:p w:rsidR="003042E9" w:rsidRDefault="00CF4B72">
      <w:pPr>
        <w:pStyle w:val="TOC1"/>
        <w:rPr>
          <w:rFonts w:asciiTheme="minorHAnsi" w:eastAsiaTheme="minorEastAsia" w:hAnsiTheme="minorHAnsi" w:cstheme="minorBidi"/>
          <w:b w:val="0"/>
          <w:sz w:val="22"/>
          <w:szCs w:val="22"/>
          <w:lang w:eastAsia="en-AU"/>
        </w:rPr>
      </w:pPr>
      <w:hyperlink w:anchor="_Toc489876718" w:history="1">
        <w:r w:rsidR="003042E9" w:rsidRPr="00F27D06">
          <w:rPr>
            <w:rStyle w:val="Hyperlink"/>
            <w:lang w:eastAsia="en-AU"/>
          </w:rPr>
          <w:t>Human rights impact statement</w:t>
        </w:r>
        <w:r w:rsidR="003042E9">
          <w:rPr>
            <w:webHidden/>
          </w:rPr>
          <w:tab/>
        </w:r>
        <w:r w:rsidR="003042E9">
          <w:rPr>
            <w:webHidden/>
          </w:rPr>
          <w:fldChar w:fldCharType="begin"/>
        </w:r>
        <w:r w:rsidR="003042E9">
          <w:rPr>
            <w:webHidden/>
          </w:rPr>
          <w:instrText xml:space="preserve"> PAGEREF _Toc489876718 \h </w:instrText>
        </w:r>
        <w:r w:rsidR="003042E9">
          <w:rPr>
            <w:webHidden/>
          </w:rPr>
        </w:r>
        <w:r w:rsidR="003042E9">
          <w:rPr>
            <w:webHidden/>
          </w:rPr>
          <w:fldChar w:fldCharType="separate"/>
        </w:r>
        <w:r w:rsidR="003042E9">
          <w:rPr>
            <w:webHidden/>
          </w:rPr>
          <w:t>5</w:t>
        </w:r>
        <w:r w:rsidR="003042E9">
          <w:rPr>
            <w:webHidden/>
          </w:rPr>
          <w:fldChar w:fldCharType="end"/>
        </w:r>
      </w:hyperlink>
    </w:p>
    <w:p w:rsidR="007173CA" w:rsidRDefault="00AD784C" w:rsidP="003042E9">
      <w:pPr>
        <w:pStyle w:val="DHHSbody"/>
        <w:spacing w:before="240"/>
      </w:pPr>
      <w:r>
        <w:fldChar w:fldCharType="end"/>
      </w:r>
    </w:p>
    <w:p w:rsidR="007173CA" w:rsidRDefault="007173CA" w:rsidP="007173CA">
      <w:pPr>
        <w:pStyle w:val="DHHSbody"/>
        <w:sectPr w:rsidR="007173CA" w:rsidSect="00F01E5F">
          <w:headerReference w:type="default" r:id="rId10"/>
          <w:footerReference w:type="default" r:id="rId11"/>
          <w:type w:val="continuous"/>
          <w:pgSz w:w="11906" w:h="16838" w:code="9"/>
          <w:pgMar w:top="1418" w:right="851" w:bottom="1134" w:left="851" w:header="567" w:footer="510" w:gutter="0"/>
          <w:cols w:space="340"/>
          <w:titlePg/>
          <w:docGrid w:linePitch="360"/>
        </w:sectPr>
      </w:pPr>
    </w:p>
    <w:p w:rsidR="003042E9" w:rsidRDefault="003042E9" w:rsidP="00E9461A">
      <w:pPr>
        <w:pStyle w:val="Heading1"/>
        <w:rPr>
          <w:lang w:eastAsia="en-AU"/>
        </w:rPr>
      </w:pPr>
      <w:bookmarkStart w:id="1" w:name="_Toc472513744"/>
      <w:bookmarkStart w:id="2" w:name="_Toc484693890"/>
      <w:bookmarkStart w:id="3" w:name="_Toc489876706"/>
      <w:r w:rsidRPr="0094567C">
        <w:rPr>
          <w:lang w:eastAsia="en-AU"/>
        </w:rPr>
        <w:lastRenderedPageBreak/>
        <w:t>Overview</w:t>
      </w:r>
      <w:bookmarkEnd w:id="1"/>
      <w:bookmarkEnd w:id="2"/>
      <w:bookmarkEnd w:id="3"/>
    </w:p>
    <w:p w:rsidR="003042E9" w:rsidRPr="0094567C" w:rsidRDefault="003042E9" w:rsidP="00E9461A">
      <w:pPr>
        <w:pStyle w:val="DHHSbody"/>
        <w:rPr>
          <w:lang w:eastAsia="en-AU"/>
        </w:rPr>
      </w:pPr>
      <w:r w:rsidRPr="0094567C">
        <w:rPr>
          <w:lang w:eastAsia="en-AU"/>
        </w:rPr>
        <w:t xml:space="preserve">This operational guideline outlines the expectations for all public housing tenants in meeting the requirements and responsibilities of their tenancy agreement and the </w:t>
      </w:r>
      <w:r w:rsidRPr="0094567C">
        <w:rPr>
          <w:i/>
          <w:lang w:eastAsia="en-AU"/>
        </w:rPr>
        <w:t xml:space="preserve">Residential Tenancies Act </w:t>
      </w:r>
      <w:r w:rsidRPr="0094567C">
        <w:rPr>
          <w:lang w:eastAsia="en-AU"/>
        </w:rPr>
        <w:t xml:space="preserve">(1997).  </w:t>
      </w:r>
    </w:p>
    <w:p w:rsidR="003042E9" w:rsidRPr="0094567C" w:rsidRDefault="003042E9" w:rsidP="00E9461A">
      <w:pPr>
        <w:pStyle w:val="DHHSbody"/>
        <w:rPr>
          <w:lang w:eastAsia="en-AU"/>
        </w:rPr>
      </w:pPr>
      <w:r w:rsidRPr="0094567C">
        <w:rPr>
          <w:lang w:eastAsia="en-AU"/>
        </w:rPr>
        <w:t>This operational guideline also outlines processes to be initiated in the event a tenant does not comply, or is at risk of not complying, with the obligations and expectations of their tenancy.</w:t>
      </w:r>
    </w:p>
    <w:p w:rsidR="003042E9" w:rsidRPr="0094567C" w:rsidRDefault="003042E9" w:rsidP="00E9461A">
      <w:pPr>
        <w:pStyle w:val="DHHSbody"/>
        <w:rPr>
          <w:lang w:eastAsia="en-AU"/>
        </w:rPr>
      </w:pPr>
      <w:r w:rsidRPr="0094567C">
        <w:rPr>
          <w:lang w:eastAsia="en-AU"/>
        </w:rPr>
        <w:t>Support options for tenants exhibiting antisocial behaviour include intensive and active tenancy management as well as the identification of a broader support network to mitigate the risk of antisocial behaviour continuing or escalating.</w:t>
      </w:r>
    </w:p>
    <w:p w:rsidR="003042E9" w:rsidRPr="0094567C" w:rsidRDefault="003042E9" w:rsidP="00E9461A">
      <w:pPr>
        <w:pStyle w:val="DHHSbody"/>
        <w:rPr>
          <w:lang w:eastAsia="en-AU"/>
        </w:rPr>
      </w:pPr>
      <w:r w:rsidRPr="0094567C">
        <w:rPr>
          <w:lang w:eastAsia="en-AU"/>
        </w:rPr>
        <w:t>The decision as to whether the tenants or households remain in their public housing property should they exhibit antisocial behaviour, is directly linked to their failure to comply with the terms they agreed to under the Residential Tenancies Act:</w:t>
      </w:r>
    </w:p>
    <w:p w:rsidR="003042E9" w:rsidRPr="0094567C" w:rsidRDefault="003042E9" w:rsidP="003042E9">
      <w:pPr>
        <w:pStyle w:val="DHHSbullet1"/>
        <w:numPr>
          <w:ilvl w:val="0"/>
          <w:numId w:val="1"/>
        </w:numPr>
        <w:rPr>
          <w:lang w:eastAsia="en-AU"/>
        </w:rPr>
      </w:pPr>
      <w:r w:rsidRPr="0094567C">
        <w:rPr>
          <w:lang w:eastAsia="en-AU"/>
        </w:rPr>
        <w:t xml:space="preserve">their engagement in activities that are illegal, endanger others or themselves </w:t>
      </w:r>
    </w:p>
    <w:p w:rsidR="003042E9" w:rsidRPr="0094567C" w:rsidRDefault="003042E9" w:rsidP="003042E9">
      <w:pPr>
        <w:pStyle w:val="DHHSbullet1"/>
        <w:numPr>
          <w:ilvl w:val="0"/>
          <w:numId w:val="1"/>
        </w:numPr>
        <w:rPr>
          <w:lang w:eastAsia="en-AU"/>
        </w:rPr>
      </w:pPr>
      <w:r w:rsidRPr="0094567C">
        <w:rPr>
          <w:lang w:eastAsia="en-AU"/>
        </w:rPr>
        <w:t xml:space="preserve">malicious damage they have intentionally or recklessly caused to the premises </w:t>
      </w:r>
    </w:p>
    <w:p w:rsidR="003042E9" w:rsidRPr="0094567C" w:rsidRDefault="003042E9" w:rsidP="003042E9">
      <w:pPr>
        <w:pStyle w:val="DHHSbullet1lastline"/>
        <w:numPr>
          <w:ilvl w:val="1"/>
          <w:numId w:val="1"/>
        </w:numPr>
        <w:rPr>
          <w:lang w:eastAsia="en-AU"/>
        </w:rPr>
      </w:pPr>
      <w:r w:rsidRPr="0094567C">
        <w:rPr>
          <w:lang w:eastAsia="en-AU"/>
        </w:rPr>
        <w:t>their repeated disturbance and the impact this has on neighbouring residents’ capacity to quietly enjoy their home.</w:t>
      </w:r>
    </w:p>
    <w:p w:rsidR="003042E9" w:rsidRPr="0094567C" w:rsidRDefault="003042E9" w:rsidP="00E9461A">
      <w:pPr>
        <w:pStyle w:val="DHHSbody"/>
        <w:rPr>
          <w:lang w:eastAsia="en-AU"/>
        </w:rPr>
      </w:pPr>
      <w:r w:rsidRPr="0094567C">
        <w:rPr>
          <w:lang w:eastAsia="en-AU"/>
        </w:rPr>
        <w:t>In the event the tenant refuses to engage with support services or providers, staff will proceed with processes as outlined in this operational guideline.</w:t>
      </w:r>
    </w:p>
    <w:p w:rsidR="003042E9" w:rsidRPr="0094567C" w:rsidRDefault="003042E9" w:rsidP="00E9461A">
      <w:pPr>
        <w:pStyle w:val="DHHSbody"/>
        <w:rPr>
          <w:lang w:eastAsia="en-AU"/>
        </w:rPr>
      </w:pPr>
      <w:r w:rsidRPr="0094567C">
        <w:rPr>
          <w:lang w:eastAsia="en-AU"/>
        </w:rPr>
        <w:lastRenderedPageBreak/>
        <w:t>Staff will act upon a tenant’s engagement in illegal activities when:</w:t>
      </w:r>
    </w:p>
    <w:p w:rsidR="003042E9" w:rsidRPr="0094567C" w:rsidRDefault="003042E9" w:rsidP="003042E9">
      <w:pPr>
        <w:pStyle w:val="DHHSbullet1"/>
        <w:numPr>
          <w:ilvl w:val="0"/>
          <w:numId w:val="1"/>
        </w:numPr>
        <w:rPr>
          <w:lang w:eastAsia="en-AU"/>
        </w:rPr>
      </w:pPr>
      <w:r w:rsidRPr="0094567C">
        <w:rPr>
          <w:lang w:eastAsia="en-AU"/>
        </w:rPr>
        <w:t>it is substantiated by information and evidence obtained from the police and,</w:t>
      </w:r>
    </w:p>
    <w:p w:rsidR="003042E9" w:rsidRPr="0094567C" w:rsidRDefault="003042E9" w:rsidP="003042E9">
      <w:pPr>
        <w:pStyle w:val="DHHSbullet1lastline"/>
        <w:numPr>
          <w:ilvl w:val="1"/>
          <w:numId w:val="1"/>
        </w:numPr>
        <w:rPr>
          <w:lang w:eastAsia="en-AU"/>
        </w:rPr>
      </w:pPr>
      <w:r w:rsidRPr="0094567C">
        <w:rPr>
          <w:lang w:eastAsia="en-AU"/>
        </w:rPr>
        <w:t>where their public housing property has been used to conduct that activity.</w:t>
      </w:r>
    </w:p>
    <w:p w:rsidR="003042E9" w:rsidRPr="0094567C" w:rsidRDefault="003042E9" w:rsidP="00E9461A">
      <w:pPr>
        <w:pStyle w:val="DHHSbody"/>
        <w:rPr>
          <w:lang w:eastAsia="en-AU"/>
        </w:rPr>
      </w:pPr>
      <w:r w:rsidRPr="0094567C">
        <w:rPr>
          <w:lang w:eastAsia="en-AU"/>
        </w:rPr>
        <w:t xml:space="preserve">Staff will seek line management advice and guidance in the event complex tenancy issues are identified.  </w:t>
      </w:r>
    </w:p>
    <w:p w:rsidR="003042E9" w:rsidRPr="0094567C" w:rsidRDefault="003042E9" w:rsidP="00E9461A">
      <w:pPr>
        <w:pStyle w:val="DHHSbody"/>
        <w:rPr>
          <w:lang w:eastAsia="en-AU"/>
        </w:rPr>
      </w:pPr>
      <w:r w:rsidRPr="0094567C">
        <w:rPr>
          <w:lang w:eastAsia="en-AU"/>
        </w:rPr>
        <w:t>Under certain circumstances, such as when mental health or family violence issues are involved, local area management equivalent to a Tenancy and Property manager may take the contributing factors into account prior to determining the next course of action.</w:t>
      </w:r>
    </w:p>
    <w:p w:rsidR="003042E9" w:rsidRPr="0094567C" w:rsidRDefault="003042E9" w:rsidP="00E9461A">
      <w:pPr>
        <w:pStyle w:val="DHHSbody"/>
        <w:rPr>
          <w:lang w:eastAsia="en-AU"/>
        </w:rPr>
      </w:pPr>
      <w:r w:rsidRPr="0094567C">
        <w:rPr>
          <w:lang w:eastAsia="en-AU"/>
        </w:rPr>
        <w:t xml:space="preserve">Through initiating the processes outlined in this operational guideline the </w:t>
      </w:r>
      <w:r>
        <w:rPr>
          <w:lang w:eastAsia="en-AU"/>
        </w:rPr>
        <w:t>d</w:t>
      </w:r>
      <w:r w:rsidRPr="0094567C">
        <w:rPr>
          <w:lang w:eastAsia="en-AU"/>
        </w:rPr>
        <w:t>epartment acts consistently with legislative requirements including the Residential</w:t>
      </w:r>
      <w:r>
        <w:rPr>
          <w:lang w:eastAsia="en-AU"/>
        </w:rPr>
        <w:t xml:space="preserve"> Tenancies Act.  Therefore the d</w:t>
      </w:r>
      <w:r w:rsidRPr="0094567C">
        <w:rPr>
          <w:lang w:eastAsia="en-AU"/>
        </w:rPr>
        <w:t>epartment is able to:</w:t>
      </w:r>
    </w:p>
    <w:p w:rsidR="003042E9" w:rsidRPr="0094567C" w:rsidRDefault="003042E9" w:rsidP="003042E9">
      <w:pPr>
        <w:pStyle w:val="DHHSbullet1"/>
        <w:numPr>
          <w:ilvl w:val="0"/>
          <w:numId w:val="1"/>
        </w:numPr>
        <w:rPr>
          <w:lang w:eastAsia="en-AU"/>
        </w:rPr>
      </w:pPr>
      <w:r w:rsidRPr="0094567C">
        <w:rPr>
          <w:lang w:eastAsia="en-AU"/>
        </w:rPr>
        <w:t>ensure clarity with tenants about their obligations whilst a tenant of a public housing property</w:t>
      </w:r>
    </w:p>
    <w:p w:rsidR="003042E9" w:rsidRPr="0094567C" w:rsidRDefault="003042E9" w:rsidP="003042E9">
      <w:pPr>
        <w:pStyle w:val="DHHSbullet1"/>
        <w:numPr>
          <w:ilvl w:val="0"/>
          <w:numId w:val="1"/>
        </w:numPr>
        <w:rPr>
          <w:lang w:eastAsia="en-AU"/>
        </w:rPr>
      </w:pPr>
      <w:r w:rsidRPr="0094567C">
        <w:rPr>
          <w:lang w:eastAsia="en-AU"/>
        </w:rPr>
        <w:t>ensure public housing stock or common areas are utilised appropriately and not for illegal or dangerous purposes</w:t>
      </w:r>
    </w:p>
    <w:p w:rsidR="003042E9" w:rsidRPr="0094567C" w:rsidRDefault="003042E9" w:rsidP="003042E9">
      <w:pPr>
        <w:pStyle w:val="DHHSbullet1"/>
        <w:numPr>
          <w:ilvl w:val="0"/>
          <w:numId w:val="1"/>
        </w:numPr>
        <w:rPr>
          <w:lang w:eastAsia="en-AU"/>
        </w:rPr>
      </w:pPr>
      <w:r w:rsidRPr="0094567C">
        <w:rPr>
          <w:lang w:eastAsia="en-AU"/>
        </w:rPr>
        <w:t>take reasonable steps to support the quiet enjoyment of their home for neighbours and the community</w:t>
      </w:r>
    </w:p>
    <w:p w:rsidR="003042E9" w:rsidRPr="0094567C" w:rsidRDefault="003042E9" w:rsidP="003042E9">
      <w:pPr>
        <w:pStyle w:val="DHHSbullet1lastline"/>
        <w:numPr>
          <w:ilvl w:val="1"/>
          <w:numId w:val="1"/>
        </w:numPr>
        <w:rPr>
          <w:lang w:eastAsia="en-AU"/>
        </w:rPr>
      </w:pPr>
      <w:r w:rsidRPr="0094567C">
        <w:rPr>
          <w:lang w:eastAsia="en-AU"/>
        </w:rPr>
        <w:t>preserve a public housing stock that has fewer maintenance requirements.</w:t>
      </w:r>
    </w:p>
    <w:p w:rsidR="003042E9" w:rsidRPr="00EA567B" w:rsidRDefault="003042E9" w:rsidP="00E9461A">
      <w:pPr>
        <w:pStyle w:val="DHHSbody"/>
      </w:pPr>
      <w:r w:rsidRPr="00EA567B">
        <w:t>Tenants and households exhibiting antisocial behaviour will be recorded and monitored in the centralised housing system, Housing integrated information Program (</w:t>
      </w:r>
      <w:proofErr w:type="spellStart"/>
      <w:r w:rsidRPr="00EA567B">
        <w:t>HiiP</w:t>
      </w:r>
      <w:proofErr w:type="spellEnd"/>
      <w:r w:rsidRPr="00EA567B">
        <w:t>).</w:t>
      </w:r>
    </w:p>
    <w:p w:rsidR="003042E9" w:rsidRDefault="003042E9" w:rsidP="00E9461A">
      <w:pPr>
        <w:pStyle w:val="Heading1"/>
        <w:rPr>
          <w:lang w:eastAsia="en-AU"/>
        </w:rPr>
      </w:pPr>
      <w:bookmarkStart w:id="4" w:name="_Toc472513745"/>
      <w:bookmarkStart w:id="5" w:name="_Toc484693891"/>
      <w:bookmarkStart w:id="6" w:name="_Toc489876707"/>
      <w:r w:rsidRPr="0094567C">
        <w:rPr>
          <w:lang w:eastAsia="en-AU"/>
        </w:rPr>
        <w:t>Who does this operational guideline apply to?</w:t>
      </w:r>
      <w:bookmarkEnd w:id="4"/>
      <w:bookmarkEnd w:id="5"/>
      <w:bookmarkEnd w:id="6"/>
    </w:p>
    <w:p w:rsidR="003042E9" w:rsidRPr="00EA567B" w:rsidRDefault="003042E9" w:rsidP="00E9461A">
      <w:pPr>
        <w:pStyle w:val="DHHSbody"/>
      </w:pPr>
      <w:r w:rsidRPr="00EA567B">
        <w:t>These operational guidelines apply to public housing tenants who do not comply, or are at risk of not complying, with the obligation and expectations of their tenancy, including the behaviour of their household members and visitors.</w:t>
      </w:r>
    </w:p>
    <w:p w:rsidR="003042E9" w:rsidRDefault="003042E9" w:rsidP="00E9461A">
      <w:pPr>
        <w:pStyle w:val="Heading1"/>
        <w:rPr>
          <w:lang w:eastAsia="en-AU"/>
        </w:rPr>
      </w:pPr>
      <w:bookmarkStart w:id="7" w:name="_Toc472513746"/>
      <w:bookmarkStart w:id="8" w:name="_Toc484693892"/>
      <w:bookmarkStart w:id="9" w:name="_Toc489876708"/>
      <w:r w:rsidRPr="0094567C">
        <w:rPr>
          <w:lang w:eastAsia="en-AU"/>
        </w:rPr>
        <w:t>Operating principles</w:t>
      </w:r>
      <w:bookmarkEnd w:id="7"/>
      <w:bookmarkEnd w:id="8"/>
      <w:bookmarkEnd w:id="9"/>
    </w:p>
    <w:p w:rsidR="003042E9" w:rsidRPr="0094567C" w:rsidRDefault="003042E9" w:rsidP="00E9461A">
      <w:pPr>
        <w:pStyle w:val="DHHSbody"/>
        <w:rPr>
          <w:lang w:eastAsia="en-AU"/>
        </w:rPr>
      </w:pPr>
      <w:r>
        <w:rPr>
          <w:lang w:eastAsia="en-AU"/>
        </w:rPr>
        <w:t>The d</w:t>
      </w:r>
      <w:r w:rsidRPr="0094567C">
        <w:rPr>
          <w:lang w:eastAsia="en-AU"/>
        </w:rPr>
        <w:t>epartment is committed to managing antisocial behaviour:</w:t>
      </w:r>
    </w:p>
    <w:p w:rsidR="003042E9" w:rsidRPr="0094567C" w:rsidRDefault="003042E9" w:rsidP="003042E9">
      <w:pPr>
        <w:pStyle w:val="DHHSbullet1"/>
        <w:numPr>
          <w:ilvl w:val="0"/>
          <w:numId w:val="1"/>
        </w:numPr>
        <w:rPr>
          <w:lang w:eastAsia="en-AU"/>
        </w:rPr>
      </w:pPr>
      <w:r w:rsidRPr="0094567C">
        <w:rPr>
          <w:lang w:eastAsia="en-AU"/>
        </w:rPr>
        <w:t>with a focus on early intervention and support</w:t>
      </w:r>
    </w:p>
    <w:p w:rsidR="003042E9" w:rsidRPr="0094567C" w:rsidRDefault="003042E9" w:rsidP="003042E9">
      <w:pPr>
        <w:pStyle w:val="DHHSbullet1"/>
        <w:numPr>
          <w:ilvl w:val="0"/>
          <w:numId w:val="1"/>
        </w:numPr>
        <w:rPr>
          <w:lang w:eastAsia="en-AU"/>
        </w:rPr>
      </w:pPr>
      <w:r w:rsidRPr="0094567C">
        <w:rPr>
          <w:lang w:eastAsia="en-AU"/>
        </w:rPr>
        <w:t>with an authorised approach where staff seek approval or decision from senior management at key decision points when necessary</w:t>
      </w:r>
    </w:p>
    <w:p w:rsidR="003042E9" w:rsidRPr="0094567C" w:rsidRDefault="003042E9" w:rsidP="003042E9">
      <w:pPr>
        <w:pStyle w:val="DHHSbullet1"/>
        <w:numPr>
          <w:ilvl w:val="0"/>
          <w:numId w:val="1"/>
        </w:numPr>
        <w:rPr>
          <w:lang w:eastAsia="en-AU"/>
        </w:rPr>
      </w:pPr>
      <w:r w:rsidRPr="0094567C">
        <w:rPr>
          <w:lang w:eastAsia="en-AU"/>
        </w:rPr>
        <w:t>in an inclusive and responsive manner including problem solving and negotiation with the tenant where possible</w:t>
      </w:r>
    </w:p>
    <w:p w:rsidR="003042E9" w:rsidRPr="00045607" w:rsidRDefault="003042E9" w:rsidP="003042E9">
      <w:pPr>
        <w:pStyle w:val="DHHSbullet1lastline"/>
        <w:numPr>
          <w:ilvl w:val="1"/>
          <w:numId w:val="1"/>
        </w:numPr>
        <w:rPr>
          <w:lang w:eastAsia="en-AU"/>
        </w:rPr>
      </w:pPr>
      <w:r w:rsidRPr="0094567C">
        <w:rPr>
          <w:lang w:eastAsia="en-AU"/>
        </w:rPr>
        <w:t>through consistent and transparent decision making with clearly documented evidence of issues, actions taken, resolution or rationale for escalating.</w:t>
      </w:r>
    </w:p>
    <w:p w:rsidR="003042E9" w:rsidRDefault="003042E9" w:rsidP="00E9461A">
      <w:pPr>
        <w:pStyle w:val="Heading1"/>
        <w:rPr>
          <w:lang w:eastAsia="en-AU"/>
        </w:rPr>
      </w:pPr>
      <w:bookmarkStart w:id="10" w:name="_Toc472513747"/>
      <w:bookmarkStart w:id="11" w:name="_Toc484693893"/>
      <w:bookmarkStart w:id="12" w:name="_Toc489876709"/>
      <w:r w:rsidRPr="0094567C">
        <w:rPr>
          <w:lang w:eastAsia="en-AU"/>
        </w:rPr>
        <w:t>Neighbourly behaviour statement</w:t>
      </w:r>
      <w:bookmarkEnd w:id="10"/>
      <w:bookmarkEnd w:id="11"/>
      <w:bookmarkEnd w:id="12"/>
    </w:p>
    <w:p w:rsidR="003042E9" w:rsidRPr="0094567C" w:rsidRDefault="003042E9" w:rsidP="00E9461A">
      <w:pPr>
        <w:pStyle w:val="DHHSbody"/>
        <w:rPr>
          <w:lang w:eastAsia="en-AU"/>
        </w:rPr>
      </w:pPr>
      <w:r w:rsidRPr="0094567C">
        <w:rPr>
          <w:lang w:eastAsia="en-AU"/>
        </w:rPr>
        <w:t xml:space="preserve">The expectations for public housing tenants are articulated in the </w:t>
      </w:r>
      <w:r w:rsidRPr="0094567C">
        <w:rPr>
          <w:i/>
          <w:lang w:eastAsia="en-AU"/>
        </w:rPr>
        <w:t>neighbourly behaviour statement</w:t>
      </w:r>
      <w:r w:rsidRPr="0094567C">
        <w:rPr>
          <w:lang w:eastAsia="en-AU"/>
        </w:rPr>
        <w:t xml:space="preserve"> issued by the Director of Housing.</w:t>
      </w:r>
    </w:p>
    <w:p w:rsidR="003042E9" w:rsidRPr="0094567C" w:rsidRDefault="003042E9" w:rsidP="00E9461A">
      <w:pPr>
        <w:pStyle w:val="DHHSbody"/>
        <w:rPr>
          <w:lang w:eastAsia="en-AU"/>
        </w:rPr>
      </w:pPr>
      <w:r w:rsidRPr="0094567C">
        <w:rPr>
          <w:lang w:eastAsia="en-AU"/>
        </w:rPr>
        <w:t>This document outlines the behaviour expected of tenants in being ‘good neighbours’, demonstrated primarily through:</w:t>
      </w:r>
    </w:p>
    <w:p w:rsidR="003042E9" w:rsidRPr="0094567C" w:rsidRDefault="003042E9" w:rsidP="003042E9">
      <w:pPr>
        <w:pStyle w:val="DHHSbullet1"/>
        <w:numPr>
          <w:ilvl w:val="0"/>
          <w:numId w:val="1"/>
        </w:numPr>
        <w:rPr>
          <w:lang w:eastAsia="en-AU"/>
        </w:rPr>
      </w:pPr>
      <w:r w:rsidRPr="0094567C">
        <w:rPr>
          <w:lang w:eastAsia="en-AU"/>
        </w:rPr>
        <w:t>respecting people’s rights and privacy</w:t>
      </w:r>
    </w:p>
    <w:p w:rsidR="003042E9" w:rsidRPr="0094567C" w:rsidRDefault="003042E9" w:rsidP="003042E9">
      <w:pPr>
        <w:pStyle w:val="DHHSbullet1"/>
        <w:numPr>
          <w:ilvl w:val="0"/>
          <w:numId w:val="1"/>
        </w:numPr>
        <w:rPr>
          <w:lang w:eastAsia="en-AU"/>
        </w:rPr>
      </w:pPr>
      <w:r w:rsidRPr="0094567C">
        <w:rPr>
          <w:lang w:eastAsia="en-AU"/>
        </w:rPr>
        <w:t>being responsible for their action and those of their family and visitors</w:t>
      </w:r>
    </w:p>
    <w:p w:rsidR="003042E9" w:rsidRPr="0094567C" w:rsidRDefault="003042E9" w:rsidP="003042E9">
      <w:pPr>
        <w:pStyle w:val="DHHSbullet1"/>
        <w:numPr>
          <w:ilvl w:val="0"/>
          <w:numId w:val="1"/>
        </w:numPr>
        <w:rPr>
          <w:lang w:eastAsia="en-AU"/>
        </w:rPr>
      </w:pPr>
      <w:r w:rsidRPr="0094567C">
        <w:rPr>
          <w:lang w:eastAsia="en-AU"/>
        </w:rPr>
        <w:t>respecting communal areas</w:t>
      </w:r>
    </w:p>
    <w:p w:rsidR="003042E9" w:rsidRPr="0094567C" w:rsidRDefault="003042E9" w:rsidP="003042E9">
      <w:pPr>
        <w:pStyle w:val="DHHSbullet1"/>
        <w:numPr>
          <w:ilvl w:val="0"/>
          <w:numId w:val="1"/>
        </w:numPr>
        <w:rPr>
          <w:lang w:eastAsia="en-AU"/>
        </w:rPr>
      </w:pPr>
      <w:r w:rsidRPr="0094567C">
        <w:rPr>
          <w:lang w:eastAsia="en-AU"/>
        </w:rPr>
        <w:t>being considerate and tolerant of others</w:t>
      </w:r>
    </w:p>
    <w:p w:rsidR="003042E9" w:rsidRPr="0094567C" w:rsidRDefault="003042E9" w:rsidP="003042E9">
      <w:pPr>
        <w:pStyle w:val="DHHSbullet1lastline"/>
        <w:numPr>
          <w:ilvl w:val="1"/>
          <w:numId w:val="1"/>
        </w:numPr>
        <w:rPr>
          <w:lang w:eastAsia="en-AU"/>
        </w:rPr>
      </w:pPr>
      <w:r w:rsidRPr="0094567C">
        <w:rPr>
          <w:lang w:eastAsia="en-AU"/>
        </w:rPr>
        <w:t>ensuring the rented property is not used for an illegal purpose.</w:t>
      </w:r>
    </w:p>
    <w:p w:rsidR="003042E9" w:rsidRPr="0094567C" w:rsidRDefault="003042E9" w:rsidP="00E9461A">
      <w:pPr>
        <w:pStyle w:val="DHHSbody"/>
        <w:rPr>
          <w:lang w:eastAsia="en-AU"/>
        </w:rPr>
      </w:pPr>
      <w:r w:rsidRPr="0094567C">
        <w:rPr>
          <w:lang w:eastAsia="en-AU"/>
        </w:rPr>
        <w:t xml:space="preserve">A </w:t>
      </w:r>
      <w:r w:rsidRPr="0094567C">
        <w:rPr>
          <w:i/>
          <w:lang w:eastAsia="en-AU"/>
        </w:rPr>
        <w:t>neighbourly behaviour statement</w:t>
      </w:r>
      <w:r w:rsidRPr="0094567C">
        <w:rPr>
          <w:lang w:eastAsia="en-AU"/>
        </w:rPr>
        <w:t xml:space="preserve"> must be signed by all tenants before a new tenancy can commence.  </w:t>
      </w:r>
    </w:p>
    <w:p w:rsidR="003042E9" w:rsidRDefault="003042E9" w:rsidP="00E9461A">
      <w:pPr>
        <w:pStyle w:val="DHHSbody"/>
        <w:rPr>
          <w:lang w:eastAsia="en-AU"/>
        </w:rPr>
      </w:pPr>
      <w:r w:rsidRPr="0094567C">
        <w:rPr>
          <w:lang w:eastAsia="en-AU"/>
        </w:rPr>
        <w:lastRenderedPageBreak/>
        <w:t xml:space="preserve">In the event a tenant refuses to sign the </w:t>
      </w:r>
      <w:r w:rsidRPr="0094567C">
        <w:rPr>
          <w:i/>
          <w:lang w:eastAsia="en-AU"/>
        </w:rPr>
        <w:t>neighbourly behaviour statement</w:t>
      </w:r>
      <w:r w:rsidRPr="0094567C">
        <w:rPr>
          <w:lang w:eastAsia="en-AU"/>
        </w:rPr>
        <w:t xml:space="preserve">, their housing offer will be withdrawn and they will be removed from the public housing waiting list.  </w:t>
      </w:r>
    </w:p>
    <w:p w:rsidR="003042E9" w:rsidRDefault="003042E9" w:rsidP="00E9461A">
      <w:pPr>
        <w:pStyle w:val="Heading1"/>
        <w:rPr>
          <w:lang w:eastAsia="en-AU"/>
        </w:rPr>
      </w:pPr>
      <w:bookmarkStart w:id="13" w:name="_Toc472513748"/>
      <w:bookmarkStart w:id="14" w:name="_Toc484693894"/>
      <w:bookmarkStart w:id="15" w:name="_Toc489876710"/>
      <w:r w:rsidRPr="0094567C">
        <w:rPr>
          <w:lang w:eastAsia="en-AU"/>
        </w:rPr>
        <w:t>Antisocial behaviour</w:t>
      </w:r>
      <w:bookmarkEnd w:id="13"/>
      <w:bookmarkEnd w:id="14"/>
      <w:bookmarkEnd w:id="15"/>
    </w:p>
    <w:p w:rsidR="003042E9" w:rsidRPr="0094567C" w:rsidRDefault="003042E9" w:rsidP="00E9461A">
      <w:pPr>
        <w:pStyle w:val="DHHSbody"/>
        <w:rPr>
          <w:lang w:eastAsia="en-AU"/>
        </w:rPr>
      </w:pPr>
      <w:r w:rsidRPr="0094567C">
        <w:rPr>
          <w:lang w:eastAsia="en-AU"/>
        </w:rPr>
        <w:t xml:space="preserve">Antisocial behaviour of public housing tenants is not tolerated. </w:t>
      </w:r>
    </w:p>
    <w:p w:rsidR="003042E9" w:rsidRPr="0094567C" w:rsidRDefault="003042E9" w:rsidP="00E9461A">
      <w:pPr>
        <w:pStyle w:val="DHHSbody"/>
        <w:rPr>
          <w:lang w:eastAsia="en-AU"/>
        </w:rPr>
      </w:pPr>
      <w:r w:rsidRPr="0094567C">
        <w:rPr>
          <w:lang w:eastAsia="en-AU"/>
        </w:rPr>
        <w:t>Antisocial behaviour includes the following behaviour as described in the Residential Tenancies Act under:</w:t>
      </w:r>
    </w:p>
    <w:p w:rsidR="003042E9" w:rsidRPr="0094567C" w:rsidRDefault="003042E9" w:rsidP="003042E9">
      <w:pPr>
        <w:pStyle w:val="DHHSbullet1"/>
        <w:numPr>
          <w:ilvl w:val="0"/>
          <w:numId w:val="1"/>
        </w:numPr>
        <w:rPr>
          <w:lang w:eastAsia="en-AU"/>
        </w:rPr>
      </w:pPr>
      <w:r w:rsidRPr="0094567C">
        <w:rPr>
          <w:lang w:eastAsia="en-AU"/>
        </w:rPr>
        <w:t>s. 59:  Use of premises for illegal purpose</w:t>
      </w:r>
    </w:p>
    <w:p w:rsidR="003042E9" w:rsidRPr="0094567C" w:rsidRDefault="003042E9" w:rsidP="003042E9">
      <w:pPr>
        <w:pStyle w:val="DHHSbullet1"/>
        <w:numPr>
          <w:ilvl w:val="0"/>
          <w:numId w:val="1"/>
        </w:numPr>
        <w:rPr>
          <w:lang w:eastAsia="en-AU"/>
        </w:rPr>
      </w:pPr>
      <w:r w:rsidRPr="0094567C">
        <w:rPr>
          <w:lang w:eastAsia="en-AU"/>
        </w:rPr>
        <w:t>s 60:  Nuisance or interference (i.e. causes a nuisance or interference with the reasonable peace, comfort or privacy of a neighbour)</w:t>
      </w:r>
    </w:p>
    <w:p w:rsidR="003042E9" w:rsidRPr="0094567C" w:rsidRDefault="003042E9" w:rsidP="003042E9">
      <w:pPr>
        <w:pStyle w:val="DHHSbullet1"/>
        <w:numPr>
          <w:ilvl w:val="0"/>
          <w:numId w:val="1"/>
        </w:numPr>
        <w:rPr>
          <w:lang w:eastAsia="en-AU"/>
        </w:rPr>
      </w:pPr>
      <w:r w:rsidRPr="0094567C">
        <w:rPr>
          <w:lang w:eastAsia="en-AU"/>
        </w:rPr>
        <w:t>s. 61:  Damage (i.e. causes damage to the public housing property or common areas)</w:t>
      </w:r>
    </w:p>
    <w:p w:rsidR="003042E9" w:rsidRPr="0094567C" w:rsidRDefault="003042E9" w:rsidP="003042E9">
      <w:pPr>
        <w:pStyle w:val="DHHSbullet1"/>
        <w:numPr>
          <w:ilvl w:val="0"/>
          <w:numId w:val="1"/>
        </w:numPr>
        <w:rPr>
          <w:lang w:eastAsia="en-AU"/>
        </w:rPr>
      </w:pPr>
      <w:r w:rsidRPr="0094567C">
        <w:rPr>
          <w:lang w:eastAsia="en-AU"/>
        </w:rPr>
        <w:t>s. 63:  Condition of premises (i.e. fails to keep the public housing property in a reasonably clean condition)</w:t>
      </w:r>
    </w:p>
    <w:p w:rsidR="003042E9" w:rsidRPr="0094567C" w:rsidRDefault="003042E9" w:rsidP="003042E9">
      <w:pPr>
        <w:pStyle w:val="DHHSbullet1"/>
        <w:numPr>
          <w:ilvl w:val="0"/>
          <w:numId w:val="1"/>
        </w:numPr>
        <w:rPr>
          <w:lang w:eastAsia="en-AU"/>
        </w:rPr>
      </w:pPr>
      <w:r w:rsidRPr="0094567C">
        <w:rPr>
          <w:lang w:eastAsia="en-AU"/>
        </w:rPr>
        <w:t>s. 244:  Danger (i.e. endangers the safety of neighbours)</w:t>
      </w:r>
    </w:p>
    <w:p w:rsidR="003042E9" w:rsidRPr="0094567C" w:rsidRDefault="003042E9" w:rsidP="003042E9">
      <w:pPr>
        <w:pStyle w:val="DHHSbullet1lastline"/>
        <w:numPr>
          <w:ilvl w:val="1"/>
          <w:numId w:val="1"/>
        </w:numPr>
        <w:rPr>
          <w:lang w:eastAsia="en-AU"/>
        </w:rPr>
      </w:pPr>
      <w:r w:rsidRPr="0094567C">
        <w:rPr>
          <w:lang w:eastAsia="en-AU"/>
        </w:rPr>
        <w:t>s. 250A:  Drug related conduct in public housing.</w:t>
      </w:r>
    </w:p>
    <w:p w:rsidR="003042E9" w:rsidRPr="0094567C" w:rsidRDefault="003042E9" w:rsidP="00E9461A">
      <w:pPr>
        <w:pStyle w:val="DHHSbody"/>
        <w:rPr>
          <w:lang w:eastAsia="en-AU"/>
        </w:rPr>
      </w:pPr>
      <w:r w:rsidRPr="0094567C">
        <w:rPr>
          <w:lang w:eastAsia="en-AU"/>
        </w:rPr>
        <w:t>For example, antisocial behaviour is also any behaviour that is:</w:t>
      </w:r>
    </w:p>
    <w:p w:rsidR="003042E9" w:rsidRDefault="003042E9" w:rsidP="003042E9">
      <w:pPr>
        <w:pStyle w:val="DHHSbullet1"/>
        <w:numPr>
          <w:ilvl w:val="0"/>
          <w:numId w:val="1"/>
        </w:numPr>
        <w:rPr>
          <w:lang w:eastAsia="en-AU"/>
        </w:rPr>
      </w:pPr>
      <w:r w:rsidRPr="00045607">
        <w:rPr>
          <w:lang w:eastAsia="en-AU"/>
        </w:rPr>
        <w:t xml:space="preserve">aggressive, threatening, verbally abusive or hostile towards neighbours </w:t>
      </w:r>
    </w:p>
    <w:p w:rsidR="003042E9" w:rsidRPr="00045607" w:rsidRDefault="003042E9" w:rsidP="003042E9">
      <w:pPr>
        <w:pStyle w:val="DHHSbullet1lastline"/>
        <w:numPr>
          <w:ilvl w:val="1"/>
          <w:numId w:val="1"/>
        </w:numPr>
        <w:rPr>
          <w:lang w:eastAsia="en-AU"/>
        </w:rPr>
      </w:pPr>
      <w:r w:rsidRPr="00045607">
        <w:rPr>
          <w:lang w:eastAsia="en-AU"/>
        </w:rPr>
        <w:t>nuisance behaviour such as neglect of property, noise pollution or failure to dispose of rubbish correctly.</w:t>
      </w:r>
    </w:p>
    <w:p w:rsidR="003042E9" w:rsidRPr="00045607" w:rsidRDefault="003042E9" w:rsidP="00E9461A">
      <w:pPr>
        <w:pStyle w:val="Heading1"/>
        <w:rPr>
          <w:lang w:eastAsia="en-AU"/>
        </w:rPr>
      </w:pPr>
      <w:bookmarkStart w:id="16" w:name="_Toc472513749"/>
      <w:bookmarkStart w:id="17" w:name="_Toc484693895"/>
      <w:bookmarkStart w:id="18" w:name="_Toc489876711"/>
      <w:r w:rsidRPr="0094567C">
        <w:rPr>
          <w:lang w:eastAsia="en-AU"/>
        </w:rPr>
        <w:t>Households exhibiting antisocial behaviour</w:t>
      </w:r>
      <w:bookmarkEnd w:id="16"/>
      <w:bookmarkEnd w:id="17"/>
      <w:bookmarkEnd w:id="18"/>
    </w:p>
    <w:p w:rsidR="003042E9" w:rsidRPr="0094567C" w:rsidRDefault="003042E9" w:rsidP="00E9461A">
      <w:pPr>
        <w:pStyle w:val="DHHSbody"/>
        <w:rPr>
          <w:lang w:eastAsia="en-AU"/>
        </w:rPr>
      </w:pPr>
      <w:r w:rsidRPr="0094567C">
        <w:rPr>
          <w:lang w:eastAsia="en-AU"/>
        </w:rPr>
        <w:t xml:space="preserve">All reports of households engaging in antisocial behaviour will be investigated by staff.  </w:t>
      </w:r>
    </w:p>
    <w:p w:rsidR="003042E9" w:rsidRPr="0094567C" w:rsidRDefault="003042E9" w:rsidP="00E9461A">
      <w:pPr>
        <w:pStyle w:val="DHHSbody"/>
        <w:rPr>
          <w:lang w:eastAsia="en-AU"/>
        </w:rPr>
      </w:pPr>
      <w:r w:rsidRPr="0094567C">
        <w:rPr>
          <w:lang w:eastAsia="en-AU"/>
        </w:rPr>
        <w:t>This includes but is not limited to:</w:t>
      </w:r>
    </w:p>
    <w:p w:rsidR="003042E9" w:rsidRPr="0094567C" w:rsidRDefault="003042E9" w:rsidP="003042E9">
      <w:pPr>
        <w:pStyle w:val="DHHSbullet1"/>
        <w:numPr>
          <w:ilvl w:val="0"/>
          <w:numId w:val="1"/>
        </w:numPr>
        <w:rPr>
          <w:lang w:eastAsia="en-AU"/>
        </w:rPr>
      </w:pPr>
      <w:r w:rsidRPr="0094567C">
        <w:rPr>
          <w:lang w:eastAsia="en-AU"/>
        </w:rPr>
        <w:t xml:space="preserve">interviewing tenants to provide a reasonable opportunity to respond to reports of antisocial behaviour </w:t>
      </w:r>
    </w:p>
    <w:p w:rsidR="003042E9" w:rsidRPr="0094567C" w:rsidRDefault="003042E9" w:rsidP="003042E9">
      <w:pPr>
        <w:pStyle w:val="DHHSbullet1"/>
        <w:numPr>
          <w:ilvl w:val="0"/>
          <w:numId w:val="1"/>
        </w:numPr>
        <w:rPr>
          <w:lang w:eastAsia="en-AU"/>
        </w:rPr>
      </w:pPr>
      <w:r w:rsidRPr="0094567C">
        <w:rPr>
          <w:lang w:eastAsia="en-AU"/>
        </w:rPr>
        <w:t xml:space="preserve">a home visit in line with the requirements of the </w:t>
      </w:r>
      <w:r w:rsidRPr="0094567C">
        <w:rPr>
          <w:i/>
          <w:lang w:eastAsia="en-AU"/>
        </w:rPr>
        <w:t>home visit policy</w:t>
      </w:r>
      <w:r w:rsidRPr="0094567C">
        <w:rPr>
          <w:lang w:eastAsia="en-AU"/>
        </w:rPr>
        <w:t xml:space="preserve"> </w:t>
      </w:r>
    </w:p>
    <w:p w:rsidR="003042E9" w:rsidRPr="0094567C" w:rsidRDefault="003042E9" w:rsidP="003042E9">
      <w:pPr>
        <w:pStyle w:val="DHHSbullet1"/>
        <w:numPr>
          <w:ilvl w:val="0"/>
          <w:numId w:val="1"/>
        </w:numPr>
        <w:rPr>
          <w:lang w:eastAsia="en-AU"/>
        </w:rPr>
      </w:pPr>
      <w:r w:rsidRPr="0094567C">
        <w:rPr>
          <w:lang w:eastAsia="en-AU"/>
        </w:rPr>
        <w:t>notifying the household in writing of the legal implications of antisocial behaviour including potential termination of tenancy</w:t>
      </w:r>
    </w:p>
    <w:p w:rsidR="003042E9" w:rsidRPr="0094567C" w:rsidRDefault="003042E9" w:rsidP="003042E9">
      <w:pPr>
        <w:pStyle w:val="DHHSbullet1lastline"/>
        <w:numPr>
          <w:ilvl w:val="1"/>
          <w:numId w:val="1"/>
        </w:numPr>
        <w:rPr>
          <w:lang w:eastAsia="en-AU"/>
        </w:rPr>
      </w:pPr>
      <w:r w:rsidRPr="0094567C">
        <w:rPr>
          <w:lang w:eastAsia="en-AU"/>
        </w:rPr>
        <w:t>documenting and recording all decisions made and actions agreed, including if a household chooses not to attend the interview.</w:t>
      </w:r>
    </w:p>
    <w:p w:rsidR="003042E9" w:rsidRPr="0094567C" w:rsidRDefault="003042E9" w:rsidP="00E9461A">
      <w:pPr>
        <w:pStyle w:val="DHHSbody"/>
        <w:rPr>
          <w:lang w:eastAsia="en-AU"/>
        </w:rPr>
      </w:pPr>
      <w:r w:rsidRPr="0094567C">
        <w:rPr>
          <w:lang w:eastAsia="en-AU"/>
        </w:rPr>
        <w:t>Staff will also work with the household to:</w:t>
      </w:r>
    </w:p>
    <w:p w:rsidR="003042E9" w:rsidRPr="0094567C" w:rsidRDefault="003042E9" w:rsidP="003042E9">
      <w:pPr>
        <w:pStyle w:val="DHHSbullet1"/>
        <w:numPr>
          <w:ilvl w:val="0"/>
          <w:numId w:val="1"/>
        </w:numPr>
        <w:rPr>
          <w:lang w:eastAsia="en-AU"/>
        </w:rPr>
      </w:pPr>
      <w:r w:rsidRPr="0094567C">
        <w:rPr>
          <w:lang w:eastAsia="en-AU"/>
        </w:rPr>
        <w:t>attempt to identify the cause of the antisocial behaviour</w:t>
      </w:r>
    </w:p>
    <w:p w:rsidR="003042E9" w:rsidRPr="0094567C" w:rsidRDefault="003042E9" w:rsidP="003042E9">
      <w:pPr>
        <w:pStyle w:val="DHHSbullet1"/>
        <w:numPr>
          <w:ilvl w:val="0"/>
          <w:numId w:val="1"/>
        </w:numPr>
        <w:rPr>
          <w:lang w:eastAsia="en-AU"/>
        </w:rPr>
      </w:pPr>
      <w:r w:rsidRPr="0094567C">
        <w:rPr>
          <w:lang w:eastAsia="en-AU"/>
        </w:rPr>
        <w:t xml:space="preserve">identify and engage a support worker </w:t>
      </w:r>
    </w:p>
    <w:p w:rsidR="003042E9" w:rsidRPr="0094567C" w:rsidRDefault="003042E9" w:rsidP="003042E9">
      <w:pPr>
        <w:pStyle w:val="DHHSbullet1lastline"/>
        <w:numPr>
          <w:ilvl w:val="1"/>
          <w:numId w:val="1"/>
        </w:numPr>
        <w:rPr>
          <w:lang w:eastAsia="en-AU"/>
        </w:rPr>
      </w:pPr>
      <w:r w:rsidRPr="0094567C">
        <w:rPr>
          <w:lang w:eastAsia="en-AU"/>
        </w:rPr>
        <w:t>identify additional support services or practical strategies such as mediation to mitigate the risk of the antisocial behaviour continuing or escalating.</w:t>
      </w:r>
    </w:p>
    <w:p w:rsidR="003042E9" w:rsidRPr="0094567C" w:rsidRDefault="003042E9" w:rsidP="00E9461A">
      <w:pPr>
        <w:pStyle w:val="DHHSbody"/>
        <w:rPr>
          <w:lang w:eastAsia="en-AU"/>
        </w:rPr>
      </w:pPr>
      <w:r w:rsidRPr="0094567C">
        <w:rPr>
          <w:lang w:eastAsia="en-AU"/>
        </w:rPr>
        <w:t xml:space="preserve">Staff will provide an </w:t>
      </w:r>
      <w:r w:rsidRPr="0094567C">
        <w:rPr>
          <w:i/>
          <w:lang w:eastAsia="en-AU"/>
        </w:rPr>
        <w:t>incident log sheet</w:t>
      </w:r>
      <w:r w:rsidRPr="0094567C">
        <w:rPr>
          <w:lang w:eastAsia="en-AU"/>
        </w:rPr>
        <w:t xml:space="preserve"> to neighbours of the household exhibiting antisocial behaviour in order to collect evidence of any on-going disturbances.</w:t>
      </w:r>
    </w:p>
    <w:p w:rsidR="003042E9" w:rsidRPr="0094567C" w:rsidRDefault="003042E9" w:rsidP="00E9461A">
      <w:pPr>
        <w:pStyle w:val="DHHSbody"/>
        <w:rPr>
          <w:lang w:eastAsia="en-AU"/>
        </w:rPr>
      </w:pPr>
      <w:r w:rsidRPr="0094567C">
        <w:rPr>
          <w:lang w:eastAsia="en-AU"/>
        </w:rPr>
        <w:t>Staff will keep a record of all reports of antisocial behaviour.</w:t>
      </w:r>
    </w:p>
    <w:p w:rsidR="003042E9" w:rsidRDefault="003042E9" w:rsidP="00E9461A">
      <w:pPr>
        <w:pStyle w:val="DHHSbody"/>
        <w:rPr>
          <w:lang w:eastAsia="en-AU"/>
        </w:rPr>
      </w:pPr>
      <w:r w:rsidRPr="0094567C">
        <w:rPr>
          <w:lang w:eastAsia="en-AU"/>
        </w:rPr>
        <w:t xml:space="preserve">Staff will monitor all tenancy breaches that are issued in line with the </w:t>
      </w:r>
      <w:r w:rsidRPr="0094567C">
        <w:rPr>
          <w:i/>
          <w:lang w:eastAsia="en-AU"/>
        </w:rPr>
        <w:t>tenancy breaches operational guideline</w:t>
      </w:r>
      <w:r>
        <w:rPr>
          <w:lang w:eastAsia="en-AU"/>
        </w:rPr>
        <w:t xml:space="preserve"> of this manual.</w:t>
      </w:r>
    </w:p>
    <w:p w:rsidR="003042E9" w:rsidRDefault="003042E9" w:rsidP="00E9461A">
      <w:pPr>
        <w:pStyle w:val="Heading1"/>
        <w:rPr>
          <w:lang w:eastAsia="en-AU"/>
        </w:rPr>
      </w:pPr>
      <w:bookmarkStart w:id="19" w:name="_Toc472513750"/>
      <w:bookmarkStart w:id="20" w:name="_Toc484693896"/>
      <w:bookmarkStart w:id="21" w:name="_Toc489876712"/>
      <w:r w:rsidRPr="0094567C">
        <w:rPr>
          <w:lang w:eastAsia="en-AU"/>
        </w:rPr>
        <w:t>Tenancy breaches</w:t>
      </w:r>
      <w:bookmarkEnd w:id="19"/>
      <w:bookmarkEnd w:id="20"/>
      <w:bookmarkEnd w:id="21"/>
    </w:p>
    <w:p w:rsidR="003042E9" w:rsidRPr="00EA567B" w:rsidRDefault="003042E9" w:rsidP="00E9461A">
      <w:pPr>
        <w:pStyle w:val="DHHSbody"/>
      </w:pPr>
      <w:r w:rsidRPr="00EA567B">
        <w:t>In the event that staff form the view that a tenant breaches the terms of their tenancy as detailed in the Residential Tenancy Act or their tenancy agreement, staff will initiate processes as detailed in the tenancy breaches operational guideline.</w:t>
      </w:r>
    </w:p>
    <w:p w:rsidR="003042E9" w:rsidRDefault="003042E9" w:rsidP="00E9461A">
      <w:pPr>
        <w:pStyle w:val="Heading1"/>
        <w:rPr>
          <w:lang w:eastAsia="en-AU"/>
        </w:rPr>
      </w:pPr>
      <w:bookmarkStart w:id="22" w:name="_Toc472513751"/>
      <w:bookmarkStart w:id="23" w:name="_Toc484693897"/>
      <w:bookmarkStart w:id="24" w:name="_Toc489876713"/>
      <w:r w:rsidRPr="0094567C">
        <w:rPr>
          <w:lang w:eastAsia="en-AU"/>
        </w:rPr>
        <w:lastRenderedPageBreak/>
        <w:t>Incident reporting</w:t>
      </w:r>
      <w:bookmarkEnd w:id="22"/>
      <w:bookmarkEnd w:id="23"/>
      <w:bookmarkEnd w:id="24"/>
    </w:p>
    <w:p w:rsidR="003042E9" w:rsidRPr="00EA567B" w:rsidRDefault="003042E9" w:rsidP="00E9461A">
      <w:pPr>
        <w:pStyle w:val="DHHSbody"/>
      </w:pPr>
      <w:r w:rsidRPr="00EA567B">
        <w:t>Where antisocial behaviour impacts a tenant, staff will determine whether an incident report is required in line with the Critical client incident management instruction: technical update 2014.</w:t>
      </w:r>
    </w:p>
    <w:p w:rsidR="003042E9" w:rsidRDefault="003042E9" w:rsidP="00E9461A">
      <w:pPr>
        <w:pStyle w:val="Heading1"/>
        <w:rPr>
          <w:lang w:eastAsia="en-AU"/>
        </w:rPr>
      </w:pPr>
      <w:bookmarkStart w:id="25" w:name="_Toc472513752"/>
      <w:bookmarkStart w:id="26" w:name="_Toc484693898"/>
      <w:bookmarkStart w:id="27" w:name="_Toc489876714"/>
      <w:r w:rsidRPr="0094567C">
        <w:rPr>
          <w:lang w:eastAsia="en-AU"/>
        </w:rPr>
        <w:t>Support worker requirements</w:t>
      </w:r>
      <w:bookmarkEnd w:id="25"/>
      <w:bookmarkEnd w:id="26"/>
      <w:bookmarkEnd w:id="27"/>
    </w:p>
    <w:p w:rsidR="003042E9" w:rsidRPr="0094567C" w:rsidRDefault="003042E9" w:rsidP="00E9461A">
      <w:pPr>
        <w:pStyle w:val="DHHSbody"/>
        <w:rPr>
          <w:lang w:eastAsia="en-AU"/>
        </w:rPr>
      </w:pPr>
      <w:r w:rsidRPr="0094567C">
        <w:rPr>
          <w:lang w:eastAsia="en-AU"/>
        </w:rPr>
        <w:t xml:space="preserve">Support workers are external to tenancy management and the public housing program. Support workers are sometimes referred to as ‘tenancy support workers’ in </w:t>
      </w:r>
      <w:proofErr w:type="spellStart"/>
      <w:r w:rsidRPr="0094567C">
        <w:rPr>
          <w:lang w:eastAsia="en-AU"/>
        </w:rPr>
        <w:t>HiiP</w:t>
      </w:r>
      <w:proofErr w:type="spellEnd"/>
      <w:r w:rsidRPr="0094567C">
        <w:rPr>
          <w:lang w:eastAsia="en-AU"/>
        </w:rPr>
        <w:t>.</w:t>
      </w:r>
    </w:p>
    <w:p w:rsidR="003042E9" w:rsidRPr="0094567C" w:rsidRDefault="003042E9" w:rsidP="00E9461A">
      <w:pPr>
        <w:pStyle w:val="DHHSbody"/>
        <w:rPr>
          <w:lang w:eastAsia="en-AU"/>
        </w:rPr>
      </w:pPr>
      <w:r w:rsidRPr="0094567C">
        <w:rPr>
          <w:lang w:eastAsia="en-AU"/>
        </w:rPr>
        <w:t>Support workers are predominantly available in the community sector however there may be instances where this function is performed</w:t>
      </w:r>
      <w:r>
        <w:rPr>
          <w:lang w:eastAsia="en-AU"/>
        </w:rPr>
        <w:t xml:space="preserve"> by case management within the d</w:t>
      </w:r>
      <w:r w:rsidRPr="0094567C">
        <w:rPr>
          <w:lang w:eastAsia="en-AU"/>
        </w:rPr>
        <w:t>epartment.</w:t>
      </w:r>
    </w:p>
    <w:p w:rsidR="003042E9" w:rsidRPr="0094567C" w:rsidRDefault="003042E9" w:rsidP="00E9461A">
      <w:pPr>
        <w:pStyle w:val="DHHSbody"/>
        <w:rPr>
          <w:lang w:eastAsia="en-AU"/>
        </w:rPr>
      </w:pPr>
      <w:r w:rsidRPr="0094567C">
        <w:rPr>
          <w:lang w:eastAsia="en-AU"/>
        </w:rPr>
        <w:t>Support workers will be engaged as required in line with the identified needs of the household (for example, family violence or mental health workers).  Engagement of a support worker is done with a focus on early intervention and support.</w:t>
      </w:r>
    </w:p>
    <w:p w:rsidR="003042E9" w:rsidRPr="0094567C" w:rsidRDefault="003042E9" w:rsidP="00E9461A">
      <w:pPr>
        <w:pStyle w:val="DHHSbody"/>
        <w:rPr>
          <w:lang w:eastAsia="en-AU"/>
        </w:rPr>
      </w:pPr>
      <w:r w:rsidRPr="0094567C">
        <w:rPr>
          <w:lang w:eastAsia="en-AU"/>
        </w:rPr>
        <w:t>The agreed roles and responsibilit</w:t>
      </w:r>
      <w:r>
        <w:rPr>
          <w:lang w:eastAsia="en-AU"/>
        </w:rPr>
        <w:t>ies of the support worker, the d</w:t>
      </w:r>
      <w:r w:rsidRPr="0094567C">
        <w:rPr>
          <w:lang w:eastAsia="en-AU"/>
        </w:rPr>
        <w:t xml:space="preserve">epartment and the tenant will be documented in the </w:t>
      </w:r>
      <w:r w:rsidRPr="0094567C">
        <w:rPr>
          <w:i/>
          <w:lang w:eastAsia="en-AU"/>
        </w:rPr>
        <w:t>housing support agreement</w:t>
      </w:r>
      <w:r w:rsidRPr="0094567C">
        <w:rPr>
          <w:lang w:eastAsia="en-AU"/>
        </w:rPr>
        <w:t xml:space="preserve">.  The length of time for the support worker intervention also will be agreed to by all parties and documented in this agreement.  </w:t>
      </w:r>
    </w:p>
    <w:p w:rsidR="003042E9" w:rsidRPr="0094567C" w:rsidRDefault="003042E9" w:rsidP="00E9461A">
      <w:pPr>
        <w:pStyle w:val="DHHSbody"/>
        <w:rPr>
          <w:lang w:eastAsia="en-AU"/>
        </w:rPr>
      </w:pPr>
      <w:r w:rsidRPr="0094567C">
        <w:rPr>
          <w:lang w:eastAsia="en-AU"/>
        </w:rPr>
        <w:t>The length of intervention will be determined based on the complexity of issues and support requirements of the household.</w:t>
      </w:r>
    </w:p>
    <w:p w:rsidR="003042E9" w:rsidRPr="0094567C" w:rsidRDefault="003042E9" w:rsidP="00E9461A">
      <w:pPr>
        <w:pStyle w:val="DHHSbody"/>
        <w:rPr>
          <w:lang w:eastAsia="en-AU"/>
        </w:rPr>
      </w:pPr>
      <w:r w:rsidRPr="0094567C">
        <w:rPr>
          <w:lang w:eastAsia="en-AU"/>
        </w:rPr>
        <w:t>Support workers will:</w:t>
      </w:r>
    </w:p>
    <w:p w:rsidR="003042E9" w:rsidRPr="0094567C" w:rsidRDefault="003042E9" w:rsidP="003042E9">
      <w:pPr>
        <w:pStyle w:val="DHHSbullet1"/>
        <w:numPr>
          <w:ilvl w:val="0"/>
          <w:numId w:val="1"/>
        </w:numPr>
        <w:rPr>
          <w:lang w:eastAsia="en-AU"/>
        </w:rPr>
      </w:pPr>
      <w:r>
        <w:rPr>
          <w:lang w:eastAsia="en-AU"/>
        </w:rPr>
        <w:t>provide the d</w:t>
      </w:r>
      <w:r w:rsidRPr="0094567C">
        <w:rPr>
          <w:lang w:eastAsia="en-AU"/>
        </w:rPr>
        <w:t>epartment with documentation detailing how the antisocial behaviours will be addressed and provide updates at agreed intervals on the progress made</w:t>
      </w:r>
    </w:p>
    <w:p w:rsidR="003042E9" w:rsidRPr="0094567C" w:rsidRDefault="003042E9" w:rsidP="003042E9">
      <w:pPr>
        <w:pStyle w:val="DHHSbullet1"/>
        <w:numPr>
          <w:ilvl w:val="0"/>
          <w:numId w:val="1"/>
        </w:numPr>
        <w:rPr>
          <w:lang w:eastAsia="en-AU"/>
        </w:rPr>
      </w:pPr>
      <w:r w:rsidRPr="0094567C">
        <w:rPr>
          <w:lang w:eastAsia="en-AU"/>
        </w:rPr>
        <w:t>support households by attending interviews and tenant contact includin</w:t>
      </w:r>
      <w:r>
        <w:rPr>
          <w:lang w:eastAsia="en-AU"/>
        </w:rPr>
        <w:t>g home visits conducted by the d</w:t>
      </w:r>
      <w:r w:rsidRPr="0094567C">
        <w:rPr>
          <w:lang w:eastAsia="en-AU"/>
        </w:rPr>
        <w:t>epartment</w:t>
      </w:r>
    </w:p>
    <w:p w:rsidR="003042E9" w:rsidRPr="0094567C" w:rsidRDefault="003042E9" w:rsidP="003042E9">
      <w:pPr>
        <w:pStyle w:val="DHHSbullet1"/>
        <w:numPr>
          <w:ilvl w:val="0"/>
          <w:numId w:val="1"/>
        </w:numPr>
        <w:rPr>
          <w:lang w:eastAsia="en-AU"/>
        </w:rPr>
      </w:pPr>
      <w:r>
        <w:rPr>
          <w:lang w:eastAsia="en-AU"/>
        </w:rPr>
        <w:t>contact the d</w:t>
      </w:r>
      <w:r w:rsidRPr="0094567C">
        <w:rPr>
          <w:lang w:eastAsia="en-AU"/>
        </w:rPr>
        <w:t xml:space="preserve">epartment in the event the household engages in antisocial behaviour </w:t>
      </w:r>
    </w:p>
    <w:p w:rsidR="003042E9" w:rsidRPr="0094567C" w:rsidRDefault="003042E9" w:rsidP="003042E9">
      <w:pPr>
        <w:pStyle w:val="DHHSbullet1lastline"/>
        <w:numPr>
          <w:ilvl w:val="1"/>
          <w:numId w:val="1"/>
        </w:numPr>
        <w:rPr>
          <w:lang w:eastAsia="en-AU"/>
        </w:rPr>
      </w:pPr>
      <w:r w:rsidRPr="0094567C">
        <w:rPr>
          <w:lang w:eastAsia="en-AU"/>
        </w:rPr>
        <w:t>support households in providing documented evidence of changed behaviour</w:t>
      </w:r>
    </w:p>
    <w:p w:rsidR="003042E9" w:rsidRPr="0094567C" w:rsidRDefault="003042E9" w:rsidP="00E9461A">
      <w:pPr>
        <w:pStyle w:val="DHHSbody"/>
        <w:rPr>
          <w:lang w:eastAsia="en-AU"/>
        </w:rPr>
      </w:pPr>
      <w:r w:rsidRPr="0094567C">
        <w:rPr>
          <w:lang w:eastAsia="en-AU"/>
        </w:rPr>
        <w:t>Where it is identified that support workers are no longer able to fulfil the above duties, staff should work with the household to identify and engage a new support worker.</w:t>
      </w:r>
    </w:p>
    <w:p w:rsidR="003042E9" w:rsidRPr="0094567C" w:rsidRDefault="003042E9" w:rsidP="00E9461A">
      <w:pPr>
        <w:pStyle w:val="DHHSbody"/>
        <w:rPr>
          <w:lang w:eastAsia="en-AU"/>
        </w:rPr>
      </w:pPr>
      <w:r w:rsidRPr="0094567C">
        <w:rPr>
          <w:lang w:eastAsia="en-AU"/>
        </w:rPr>
        <w:t>Staff, in conjunction with the support worker and tenant, will review the on-going involvement of the support worker within the agreed timeframe.  On-going involvement of the support worker will be determined by:</w:t>
      </w:r>
    </w:p>
    <w:p w:rsidR="003042E9" w:rsidRPr="0094567C" w:rsidRDefault="003042E9" w:rsidP="003042E9">
      <w:pPr>
        <w:pStyle w:val="DHHSbullet1"/>
        <w:numPr>
          <w:ilvl w:val="0"/>
          <w:numId w:val="1"/>
        </w:numPr>
        <w:rPr>
          <w:lang w:eastAsia="en-AU"/>
        </w:rPr>
      </w:pPr>
      <w:r w:rsidRPr="0094567C">
        <w:rPr>
          <w:lang w:eastAsia="en-AU"/>
        </w:rPr>
        <w:t>the ongoing level of antisocial behaviour exhibited by the household</w:t>
      </w:r>
    </w:p>
    <w:p w:rsidR="003042E9" w:rsidRPr="00045607" w:rsidRDefault="003042E9" w:rsidP="003042E9">
      <w:pPr>
        <w:pStyle w:val="DHHSbullet1lastline"/>
        <w:numPr>
          <w:ilvl w:val="1"/>
          <w:numId w:val="1"/>
        </w:numPr>
        <w:rPr>
          <w:lang w:eastAsia="en-AU"/>
        </w:rPr>
      </w:pPr>
      <w:r w:rsidRPr="0094567C">
        <w:rPr>
          <w:lang w:eastAsia="en-AU"/>
        </w:rPr>
        <w:t>the household’s engagement with supports and progress made in addressing antisocial behaviours.</w:t>
      </w:r>
    </w:p>
    <w:p w:rsidR="003042E9" w:rsidRDefault="003042E9" w:rsidP="00E9461A">
      <w:pPr>
        <w:pStyle w:val="Heading1"/>
        <w:rPr>
          <w:lang w:eastAsia="en-AU"/>
        </w:rPr>
      </w:pPr>
      <w:bookmarkStart w:id="28" w:name="_Toc472513753"/>
      <w:bookmarkStart w:id="29" w:name="_Toc484693899"/>
      <w:bookmarkStart w:id="30" w:name="_Toc489876715"/>
      <w:r>
        <w:rPr>
          <w:lang w:eastAsia="en-AU"/>
        </w:rPr>
        <w:t>Involvement of other d</w:t>
      </w:r>
      <w:r w:rsidRPr="0094567C">
        <w:rPr>
          <w:lang w:eastAsia="en-AU"/>
        </w:rPr>
        <w:t>epartmental program supports</w:t>
      </w:r>
      <w:bookmarkEnd w:id="28"/>
      <w:bookmarkEnd w:id="29"/>
      <w:bookmarkEnd w:id="30"/>
    </w:p>
    <w:p w:rsidR="003042E9" w:rsidRPr="0094567C" w:rsidRDefault="003042E9" w:rsidP="00E9461A">
      <w:pPr>
        <w:pStyle w:val="DHHSbody"/>
        <w:rPr>
          <w:lang w:eastAsia="en-AU"/>
        </w:rPr>
      </w:pPr>
      <w:r>
        <w:rPr>
          <w:lang w:eastAsia="en-AU"/>
        </w:rPr>
        <w:t>The involvement of other d</w:t>
      </w:r>
      <w:r w:rsidRPr="0094567C">
        <w:rPr>
          <w:lang w:eastAsia="en-AU"/>
        </w:rPr>
        <w:t>epartmental programs that are available to support the tenant in effectively managing antisocial behaviour should be considered by staff and their line management.</w:t>
      </w:r>
    </w:p>
    <w:p w:rsidR="003042E9" w:rsidRPr="0094567C" w:rsidRDefault="003042E9" w:rsidP="00E9461A">
      <w:pPr>
        <w:pStyle w:val="DHHSbody"/>
        <w:rPr>
          <w:lang w:eastAsia="en-AU"/>
        </w:rPr>
      </w:pPr>
      <w:r w:rsidRPr="0094567C">
        <w:rPr>
          <w:lang w:eastAsia="en-AU"/>
        </w:rPr>
        <w:t>This can include:</w:t>
      </w:r>
    </w:p>
    <w:p w:rsidR="003042E9" w:rsidRPr="0094567C" w:rsidRDefault="003042E9" w:rsidP="003042E9">
      <w:pPr>
        <w:pStyle w:val="DHHSbullet1"/>
        <w:numPr>
          <w:ilvl w:val="0"/>
          <w:numId w:val="1"/>
        </w:numPr>
        <w:rPr>
          <w:lang w:eastAsia="en-AU"/>
        </w:rPr>
      </w:pPr>
      <w:r w:rsidRPr="0094567C">
        <w:rPr>
          <w:lang w:eastAsia="en-AU"/>
        </w:rPr>
        <w:t>Disability Information and Support:  Disability Information and Support provides information about supports and services and can also provide assistance with planning and short-term support to people with a disability, their families and carers in their local area</w:t>
      </w:r>
    </w:p>
    <w:p w:rsidR="003042E9" w:rsidRPr="0094567C" w:rsidRDefault="003042E9" w:rsidP="003042E9">
      <w:pPr>
        <w:pStyle w:val="DHHSbullet1"/>
        <w:numPr>
          <w:ilvl w:val="0"/>
          <w:numId w:val="1"/>
        </w:numPr>
        <w:rPr>
          <w:lang w:eastAsia="en-AU"/>
        </w:rPr>
      </w:pPr>
      <w:r w:rsidRPr="0094567C">
        <w:rPr>
          <w:lang w:eastAsia="en-AU"/>
        </w:rPr>
        <w:t xml:space="preserve">Multiple and Complex Needs Initiative (MACNI):  </w:t>
      </w:r>
      <w:r w:rsidRPr="0094567C">
        <w:t>MACNI can provide an effective and coordinated approach to supporting individuals so that they can achieve stability in health, housing, social connection and safety, and be linked back into comprehensive ongoing support</w:t>
      </w:r>
    </w:p>
    <w:p w:rsidR="003042E9" w:rsidRPr="0094567C" w:rsidRDefault="003042E9" w:rsidP="003042E9">
      <w:pPr>
        <w:pStyle w:val="DHHSbullet1lastline"/>
        <w:numPr>
          <w:ilvl w:val="1"/>
          <w:numId w:val="1"/>
        </w:numPr>
        <w:rPr>
          <w:lang w:eastAsia="en-AU"/>
        </w:rPr>
      </w:pPr>
      <w:r w:rsidRPr="0094567C">
        <w:lastRenderedPageBreak/>
        <w:t xml:space="preserve">Child Protection: </w:t>
      </w:r>
      <w:r w:rsidRPr="0094567C">
        <w:rPr>
          <w:lang w:eastAsia="en-AU"/>
        </w:rPr>
        <w:t>In the event antisocial behaviour raises significant concerns for a child’s welfare, staff will raise the issue with their line manager</w:t>
      </w:r>
    </w:p>
    <w:p w:rsidR="003042E9" w:rsidRPr="00EA567B" w:rsidRDefault="003042E9" w:rsidP="00E9461A">
      <w:pPr>
        <w:pStyle w:val="DHHSbody"/>
      </w:pPr>
      <w:r w:rsidRPr="00EA567B">
        <w:t>The local area manager equivalent to Tenancy and Property management will report and discuss the issue with Child Protection Services. This will be considered in line with the Exchange of information between Child Protection and Public Housing (2015).</w:t>
      </w:r>
    </w:p>
    <w:p w:rsidR="003042E9" w:rsidRDefault="003042E9" w:rsidP="00E9461A">
      <w:pPr>
        <w:pStyle w:val="Heading1"/>
        <w:rPr>
          <w:lang w:eastAsia="en-AU"/>
        </w:rPr>
      </w:pPr>
      <w:bookmarkStart w:id="31" w:name="_Toc472513754"/>
      <w:bookmarkStart w:id="32" w:name="_Toc484693900"/>
      <w:bookmarkStart w:id="33" w:name="_Toc489876716"/>
      <w:r w:rsidRPr="0094567C">
        <w:rPr>
          <w:lang w:eastAsia="en-AU"/>
        </w:rPr>
        <w:t>Transferring tenants</w:t>
      </w:r>
      <w:bookmarkEnd w:id="31"/>
      <w:bookmarkEnd w:id="32"/>
      <w:bookmarkEnd w:id="33"/>
    </w:p>
    <w:p w:rsidR="003042E9" w:rsidRPr="0094567C" w:rsidRDefault="003042E9" w:rsidP="00E9461A">
      <w:pPr>
        <w:pStyle w:val="DHHSbody"/>
        <w:rPr>
          <w:lang w:eastAsia="en-AU"/>
        </w:rPr>
      </w:pPr>
      <w:r w:rsidRPr="0094567C">
        <w:rPr>
          <w:lang w:eastAsia="en-AU"/>
        </w:rPr>
        <w:t>Transferring a tenant from a household exhibiting antisocial behaviour should be explored as an avenue to reduce the risk of continuing or escalating antisocial behaviour</w:t>
      </w:r>
      <w:r>
        <w:rPr>
          <w:lang w:eastAsia="en-AU"/>
        </w:rPr>
        <w:t>.</w:t>
      </w:r>
    </w:p>
    <w:p w:rsidR="003042E9" w:rsidRPr="0094567C" w:rsidRDefault="003042E9" w:rsidP="00E9461A">
      <w:pPr>
        <w:pStyle w:val="DHHSbody"/>
        <w:rPr>
          <w:lang w:eastAsia="en-AU"/>
        </w:rPr>
      </w:pPr>
      <w:r w:rsidRPr="0094567C">
        <w:rPr>
          <w:lang w:eastAsia="en-AU"/>
        </w:rPr>
        <w:t>Transfer of tenancy should only be undertaken as part of a strategy, including identification and engagement of required supports, to mitigate future risk of antisocial behaviour continuing or escalating</w:t>
      </w:r>
      <w:r>
        <w:rPr>
          <w:lang w:eastAsia="en-AU"/>
        </w:rPr>
        <w:t>.</w:t>
      </w:r>
    </w:p>
    <w:p w:rsidR="003042E9" w:rsidRPr="0094567C" w:rsidRDefault="003042E9" w:rsidP="00E9461A">
      <w:pPr>
        <w:pStyle w:val="DHHSbody"/>
        <w:rPr>
          <w:lang w:eastAsia="en-AU"/>
        </w:rPr>
      </w:pPr>
      <w:r w:rsidRPr="0094567C">
        <w:rPr>
          <w:lang w:eastAsia="en-AU"/>
        </w:rPr>
        <w:t>Staff will raise the option of transferring the tenant with their line manager.  The decision to transfer needs to consider the supports available to the tenant and benefits of the transfer rather as opposed to transferring tenants identified antisocial behaviours to another area</w:t>
      </w:r>
      <w:r>
        <w:rPr>
          <w:lang w:eastAsia="en-AU"/>
        </w:rPr>
        <w:t>.</w:t>
      </w:r>
    </w:p>
    <w:p w:rsidR="003042E9" w:rsidRDefault="003042E9" w:rsidP="00E9461A">
      <w:pPr>
        <w:pStyle w:val="DHHSbody"/>
        <w:rPr>
          <w:lang w:eastAsia="en-AU"/>
        </w:rPr>
      </w:pPr>
      <w:r>
        <w:rPr>
          <w:lang w:eastAsia="en-AU"/>
        </w:rPr>
        <w:t>Transfers</w:t>
      </w:r>
      <w:r w:rsidRPr="0094567C">
        <w:rPr>
          <w:lang w:eastAsia="en-AU"/>
        </w:rPr>
        <w:t xml:space="preserve"> must be undertaken in line with the </w:t>
      </w:r>
      <w:r>
        <w:rPr>
          <w:lang w:eastAsia="en-AU"/>
        </w:rPr>
        <w:t>Allocations policy manual.</w:t>
      </w:r>
    </w:p>
    <w:p w:rsidR="003042E9" w:rsidRDefault="003042E9" w:rsidP="00E9461A">
      <w:pPr>
        <w:pStyle w:val="Heading1"/>
        <w:rPr>
          <w:lang w:eastAsia="en-AU"/>
        </w:rPr>
      </w:pPr>
      <w:bookmarkStart w:id="34" w:name="_Toc472513755"/>
      <w:bookmarkStart w:id="35" w:name="_Toc484693901"/>
      <w:bookmarkStart w:id="36" w:name="_Toc489876717"/>
      <w:r w:rsidRPr="0094567C">
        <w:rPr>
          <w:lang w:eastAsia="en-AU"/>
        </w:rPr>
        <w:t>Tenant fails to remedy antisocial behaviour</w:t>
      </w:r>
      <w:bookmarkEnd w:id="34"/>
      <w:bookmarkEnd w:id="35"/>
      <w:bookmarkEnd w:id="36"/>
    </w:p>
    <w:p w:rsidR="003042E9" w:rsidRDefault="003042E9" w:rsidP="00E9461A">
      <w:pPr>
        <w:pStyle w:val="DHHSbody"/>
        <w:rPr>
          <w:rFonts w:cs="Arial"/>
          <w:lang w:eastAsia="en-AU"/>
        </w:rPr>
      </w:pPr>
      <w:r w:rsidRPr="0094567C">
        <w:rPr>
          <w:rFonts w:cs="Arial"/>
          <w:lang w:eastAsia="en-AU"/>
        </w:rPr>
        <w:t xml:space="preserve">Staff will initiate processes outlined in the </w:t>
      </w:r>
      <w:r w:rsidRPr="0094567C">
        <w:rPr>
          <w:rFonts w:cs="Arial"/>
          <w:i/>
          <w:lang w:eastAsia="en-AU"/>
        </w:rPr>
        <w:t>tenancy breaches</w:t>
      </w:r>
      <w:r w:rsidRPr="0094567C">
        <w:rPr>
          <w:rFonts w:cs="Arial"/>
          <w:lang w:eastAsia="en-AU"/>
        </w:rPr>
        <w:t xml:space="preserve"> </w:t>
      </w:r>
      <w:r w:rsidRPr="0094567C">
        <w:rPr>
          <w:rFonts w:cs="Arial"/>
          <w:i/>
          <w:lang w:eastAsia="en-AU"/>
        </w:rPr>
        <w:t xml:space="preserve">operational guideline </w:t>
      </w:r>
      <w:r w:rsidRPr="0094567C">
        <w:rPr>
          <w:rFonts w:cs="Arial"/>
          <w:lang w:eastAsia="en-AU"/>
        </w:rPr>
        <w:t>in the event tenants fail to remedy antisocial behaviours.</w:t>
      </w:r>
    </w:p>
    <w:p w:rsidR="003042E9" w:rsidRDefault="003042E9" w:rsidP="00E9461A">
      <w:pPr>
        <w:pStyle w:val="Heading1"/>
        <w:rPr>
          <w:lang w:eastAsia="en-AU"/>
        </w:rPr>
      </w:pPr>
      <w:bookmarkStart w:id="37" w:name="_Toc472513756"/>
      <w:bookmarkStart w:id="38" w:name="_Toc484693902"/>
      <w:bookmarkStart w:id="39" w:name="_Toc489876718"/>
      <w:r w:rsidRPr="0094567C">
        <w:rPr>
          <w:lang w:eastAsia="en-AU"/>
        </w:rPr>
        <w:t>Human rights impact statement</w:t>
      </w:r>
      <w:bookmarkEnd w:id="37"/>
      <w:bookmarkEnd w:id="38"/>
      <w:bookmarkEnd w:id="39"/>
    </w:p>
    <w:p w:rsidR="003042E9" w:rsidRPr="0094567C" w:rsidRDefault="003042E9" w:rsidP="00E9461A">
      <w:pPr>
        <w:spacing w:after="120"/>
        <w:jc w:val="both"/>
        <w:rPr>
          <w:rFonts w:ascii="Arial" w:hAnsi="Arial" w:cs="Arial"/>
          <w:lang w:eastAsia="en-AU"/>
        </w:rPr>
      </w:pPr>
      <w:r w:rsidRPr="0094567C">
        <w:rPr>
          <w:rFonts w:ascii="Arial" w:hAnsi="Arial" w:cs="Arial"/>
          <w:lang w:eastAsia="en-AU"/>
        </w:rPr>
        <w:t xml:space="preserve">This operational guideline is considered to be compatible with the </w:t>
      </w:r>
      <w:r w:rsidRPr="0094567C">
        <w:rPr>
          <w:rFonts w:ascii="Arial" w:hAnsi="Arial" w:cs="Arial"/>
          <w:i/>
          <w:lang w:eastAsia="en-AU"/>
        </w:rPr>
        <w:t xml:space="preserve">Charter of Human Rights and Responsibilities Act </w:t>
      </w:r>
      <w:r w:rsidRPr="0094567C">
        <w:rPr>
          <w:rFonts w:ascii="Arial" w:hAnsi="Arial" w:cs="Arial"/>
          <w:lang w:eastAsia="en-AU"/>
        </w:rPr>
        <w:t>(2006).</w:t>
      </w:r>
    </w:p>
    <w:p w:rsidR="003042E9" w:rsidRPr="0094567C" w:rsidRDefault="003042E9" w:rsidP="00E9461A">
      <w:pPr>
        <w:spacing w:after="120"/>
        <w:jc w:val="both"/>
        <w:rPr>
          <w:rFonts w:ascii="Arial" w:hAnsi="Arial" w:cs="Arial"/>
          <w:lang w:eastAsia="en-AU"/>
        </w:rPr>
      </w:pPr>
      <w:r w:rsidRPr="0094567C">
        <w:rPr>
          <w:rFonts w:ascii="Arial" w:hAnsi="Arial" w:cs="Arial"/>
          <w:lang w:eastAsia="en-AU"/>
        </w:rPr>
        <w:t>This operational guideline engages the following human rights:</w:t>
      </w:r>
    </w:p>
    <w:p w:rsidR="003042E9" w:rsidRPr="0094567C" w:rsidRDefault="003042E9" w:rsidP="003042E9">
      <w:pPr>
        <w:pStyle w:val="DHHSbullet1"/>
        <w:numPr>
          <w:ilvl w:val="0"/>
          <w:numId w:val="1"/>
        </w:numPr>
        <w:rPr>
          <w:lang w:eastAsia="en-AU"/>
        </w:rPr>
      </w:pPr>
      <w:r w:rsidRPr="0094567C">
        <w:rPr>
          <w:lang w:eastAsia="en-AU"/>
        </w:rPr>
        <w:t xml:space="preserve">privacy </w:t>
      </w:r>
    </w:p>
    <w:p w:rsidR="003042E9" w:rsidRPr="0094567C" w:rsidRDefault="003042E9" w:rsidP="003042E9">
      <w:pPr>
        <w:pStyle w:val="DHHSbullet1"/>
        <w:numPr>
          <w:ilvl w:val="0"/>
          <w:numId w:val="1"/>
        </w:numPr>
        <w:rPr>
          <w:lang w:eastAsia="en-AU"/>
        </w:rPr>
      </w:pPr>
      <w:r w:rsidRPr="0094567C">
        <w:rPr>
          <w:lang w:eastAsia="en-AU"/>
        </w:rPr>
        <w:t>property rights</w:t>
      </w:r>
    </w:p>
    <w:p w:rsidR="003042E9" w:rsidRPr="0094567C" w:rsidRDefault="003042E9" w:rsidP="003042E9">
      <w:pPr>
        <w:pStyle w:val="DHHSbullet1lastline"/>
        <w:numPr>
          <w:ilvl w:val="1"/>
          <w:numId w:val="1"/>
        </w:numPr>
        <w:rPr>
          <w:lang w:eastAsia="en-AU"/>
        </w:rPr>
      </w:pPr>
      <w:r w:rsidRPr="0094567C">
        <w:rPr>
          <w:lang w:eastAsia="en-AU"/>
        </w:rPr>
        <w:t>protection of families and children.</w:t>
      </w:r>
    </w:p>
    <w:p w:rsidR="003042E9" w:rsidRPr="0094567C" w:rsidRDefault="003042E9" w:rsidP="00E9461A">
      <w:pPr>
        <w:pStyle w:val="DHHSbody"/>
        <w:rPr>
          <w:lang w:eastAsia="en-AU"/>
        </w:rPr>
      </w:pPr>
      <w:r w:rsidRPr="0094567C">
        <w:rPr>
          <w:lang w:eastAsia="en-AU"/>
        </w:rPr>
        <w:t>The right to privacy recognises that every person has the right not to have their privacy, family or home unlawfully or arbitrarily interfered with.</w:t>
      </w:r>
    </w:p>
    <w:p w:rsidR="003042E9" w:rsidRPr="0094567C" w:rsidRDefault="003042E9" w:rsidP="00E9461A">
      <w:pPr>
        <w:pStyle w:val="DHHSbody"/>
        <w:rPr>
          <w:lang w:eastAsia="en-AU"/>
        </w:rPr>
      </w:pPr>
      <w:r w:rsidRPr="0094567C">
        <w:rPr>
          <w:lang w:eastAsia="en-AU"/>
        </w:rPr>
        <w:t>Property rights recognise that a person must not be deprived of their property other than in accordance with law.</w:t>
      </w:r>
    </w:p>
    <w:p w:rsidR="003042E9" w:rsidRPr="0094567C" w:rsidRDefault="003042E9" w:rsidP="00E9461A">
      <w:pPr>
        <w:pStyle w:val="DHHSbody"/>
        <w:rPr>
          <w:lang w:eastAsia="en-AU"/>
        </w:rPr>
      </w:pPr>
      <w:r w:rsidRPr="0094567C">
        <w:rPr>
          <w:lang w:eastAsia="en-AU"/>
        </w:rPr>
        <w:t>Families and children are recognised as having the right to protection.</w:t>
      </w:r>
    </w:p>
    <w:p w:rsidR="003042E9" w:rsidRDefault="003042E9" w:rsidP="003042E9">
      <w:pPr>
        <w:pStyle w:val="DHHSbody"/>
        <w:rPr>
          <w:lang w:eastAsia="en-AU"/>
        </w:rPr>
      </w:pPr>
      <w:r w:rsidRPr="0094567C">
        <w:rPr>
          <w:lang w:eastAsia="en-AU"/>
        </w:rPr>
        <w:t>Staff will give proper consideration to the relevant human rights in applying this operational guideline.</w:t>
      </w:r>
    </w:p>
    <w:tbl>
      <w:tblPr>
        <w:tblW w:w="4800" w:type="pct"/>
        <w:tblInd w:w="113" w:type="dxa"/>
        <w:tblCellMar>
          <w:top w:w="113" w:type="dxa"/>
          <w:bottom w:w="57" w:type="dxa"/>
        </w:tblCellMar>
        <w:tblLook w:val="00A0" w:firstRow="1" w:lastRow="0" w:firstColumn="1" w:lastColumn="0" w:noHBand="0" w:noVBand="0"/>
      </w:tblPr>
      <w:tblGrid>
        <w:gridCol w:w="10003"/>
      </w:tblGrid>
      <w:tr w:rsidR="002802E3" w:rsidRPr="002802E3" w:rsidTr="00254F58">
        <w:trPr>
          <w:cantSplit/>
        </w:trPr>
        <w:tc>
          <w:tcPr>
            <w:tcW w:w="4800" w:type="pct"/>
            <w:tcBorders>
              <w:top w:val="single" w:sz="4" w:space="0" w:color="auto"/>
              <w:left w:val="single" w:sz="4" w:space="0" w:color="auto"/>
              <w:bottom w:val="single" w:sz="4" w:space="0" w:color="auto"/>
              <w:right w:val="single" w:sz="4" w:space="0" w:color="auto"/>
            </w:tcBorders>
            <w:vAlign w:val="bottom"/>
          </w:tcPr>
          <w:p w:rsidR="00254F58" w:rsidRPr="00254F58" w:rsidRDefault="00254F58" w:rsidP="00770F37">
            <w:pPr>
              <w:pStyle w:val="DHHSaccessibilitypara"/>
            </w:pPr>
            <w:r w:rsidRPr="00254F58">
              <w:t xml:space="preserve">To receive this publication in </w:t>
            </w:r>
            <w:r w:rsidRPr="00770F37">
              <w:t>an</w:t>
            </w:r>
            <w:r w:rsidR="003042E9">
              <w:t xml:space="preserve"> accessible format, contact your local office</w:t>
            </w:r>
            <w:r w:rsidRPr="00254F58">
              <w:t xml:space="preserve"> using the National Relay Service 13 36 77 if required</w:t>
            </w:r>
          </w:p>
          <w:p w:rsidR="00254F58" w:rsidRPr="00254F58" w:rsidRDefault="00254F58" w:rsidP="00254F58">
            <w:pPr>
              <w:pStyle w:val="DHHSbody"/>
            </w:pPr>
            <w:r w:rsidRPr="00254F58">
              <w:t>Authorised and published by the Victorian Governmen</w:t>
            </w:r>
            <w:r w:rsidR="001F3826">
              <w:t>t, 1 Treasury Place, Melbourne.</w:t>
            </w:r>
          </w:p>
          <w:p w:rsidR="00254F58" w:rsidRPr="00254F58" w:rsidRDefault="00254F58" w:rsidP="00254F58">
            <w:pPr>
              <w:pStyle w:val="DHHSbody"/>
            </w:pPr>
            <w:r w:rsidRPr="00254F58">
              <w:t xml:space="preserve">© State of </w:t>
            </w:r>
            <w:r w:rsidR="00A854EB">
              <w:t>Victoria, Department of Health and</w:t>
            </w:r>
            <w:r w:rsidR="003042E9">
              <w:t xml:space="preserve"> Human Services July 2014</w:t>
            </w:r>
          </w:p>
          <w:p w:rsidR="00254F58" w:rsidRPr="00254F58" w:rsidRDefault="00254F58" w:rsidP="00254F58">
            <w:pPr>
              <w:pStyle w:val="DHHSbody"/>
            </w:pPr>
            <w:r w:rsidRPr="00254F58">
              <w:t>ISBN</w:t>
            </w:r>
            <w:r w:rsidR="003042E9">
              <w:t xml:space="preserve"> 978-0-7311-7027-2</w:t>
            </w:r>
          </w:p>
          <w:p w:rsidR="002802E3" w:rsidRPr="002802E3" w:rsidRDefault="00254F58" w:rsidP="00FB0BC0">
            <w:pPr>
              <w:pStyle w:val="DHHSbody"/>
            </w:pPr>
            <w:r w:rsidRPr="00254F58">
              <w:rPr>
                <w:szCs w:val="19"/>
              </w:rPr>
              <w:t xml:space="preserve">Available at </w:t>
            </w:r>
            <w:r w:rsidR="003042E9">
              <w:rPr>
                <w:szCs w:val="19"/>
              </w:rPr>
              <w:t xml:space="preserve"> the </w:t>
            </w:r>
            <w:hyperlink r:id="rId12" w:history="1">
              <w:r w:rsidR="00FB0BC0" w:rsidRPr="00FB0BC0">
                <w:rPr>
                  <w:rStyle w:val="Hyperlink"/>
                  <w:szCs w:val="19"/>
                </w:rPr>
                <w:t>Department of Health and Human Services providers website</w:t>
              </w:r>
            </w:hyperlink>
            <w:r w:rsidR="003042E9">
              <w:rPr>
                <w:szCs w:val="19"/>
              </w:rPr>
              <w:t xml:space="preserve"> &lt;www.</w:t>
            </w:r>
            <w:r w:rsidR="00FB0BC0">
              <w:rPr>
                <w:szCs w:val="19"/>
              </w:rPr>
              <w:t>providers.</w:t>
            </w:r>
            <w:r w:rsidR="003042E9">
              <w:rPr>
                <w:szCs w:val="19"/>
              </w:rPr>
              <w:t>d</w:t>
            </w:r>
            <w:r w:rsidR="00FB0BC0">
              <w:rPr>
                <w:szCs w:val="19"/>
              </w:rPr>
              <w:t>h</w:t>
            </w:r>
            <w:r w:rsidR="003042E9">
              <w:rPr>
                <w:szCs w:val="19"/>
              </w:rPr>
              <w:t>hs.vic.gov.au</w:t>
            </w:r>
            <w:r w:rsidR="00FB0BC0">
              <w:rPr>
                <w:szCs w:val="19"/>
              </w:rPr>
              <w:t>/</w:t>
            </w:r>
            <w:r w:rsidR="00FB0BC0" w:rsidRPr="00FB0BC0">
              <w:rPr>
                <w:szCs w:val="19"/>
              </w:rPr>
              <w:t>public-housing-policy-and-practice-manuals</w:t>
            </w:r>
            <w:r w:rsidR="003042E9">
              <w:rPr>
                <w:szCs w:val="19"/>
              </w:rPr>
              <w:t>&gt;</w:t>
            </w:r>
          </w:p>
        </w:tc>
      </w:tr>
    </w:tbl>
    <w:p w:rsidR="00B2752E" w:rsidRPr="00906490" w:rsidRDefault="00B2752E" w:rsidP="003042E9">
      <w:pPr>
        <w:pStyle w:val="DHHSbody"/>
      </w:pPr>
    </w:p>
    <w:sectPr w:rsidR="00B2752E" w:rsidRPr="00906490" w:rsidSect="00F01E5F">
      <w:type w:val="continuous"/>
      <w:pgSz w:w="11906" w:h="16838" w:code="9"/>
      <w:pgMar w:top="1418" w:right="851" w:bottom="1134" w:left="851" w:header="567" w:footer="510" w:gutter="0"/>
      <w:cols w:space="34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42E9" w:rsidRDefault="003042E9">
      <w:r>
        <w:separator/>
      </w:r>
    </w:p>
  </w:endnote>
  <w:endnote w:type="continuationSeparator" w:id="0">
    <w:p w:rsidR="003042E9" w:rsidRDefault="003042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Lucida Grande">
    <w:altName w:val="Times New Roman"/>
    <w:charset w:val="00"/>
    <w:family w:val="auto"/>
    <w:pitch w:val="variable"/>
    <w:sig w:usb0="E1000AEF" w:usb1="5000A1FF" w:usb2="00000000" w:usb3="00000000" w:csb0="000001B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70A4" w:rsidRPr="00F65AA9" w:rsidRDefault="003042E9" w:rsidP="0051568D">
    <w:pPr>
      <w:pStyle w:val="DHHSfooter"/>
    </w:pPr>
    <w:r>
      <w:rPr>
        <w:noProof/>
        <w:lang w:eastAsia="en-AU"/>
      </w:rPr>
      <w:drawing>
        <wp:anchor distT="0" distB="0" distL="114300" distR="114300" simplePos="0" relativeHeight="251657728" behindDoc="0" locked="1" layoutInCell="0" allowOverlap="1">
          <wp:simplePos x="0" y="0"/>
          <wp:positionH relativeFrom="page">
            <wp:posOffset>0</wp:posOffset>
          </wp:positionH>
          <wp:positionV relativeFrom="page">
            <wp:posOffset>9901555</wp:posOffset>
          </wp:positionV>
          <wp:extent cx="7561580" cy="791210"/>
          <wp:effectExtent l="0" t="0" r="1270" b="8890"/>
          <wp:wrapNone/>
          <wp:docPr id="14" name="Picture 14" descr="Victoria State Government Department of Health and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Victoria State Government Department of Health and Human Servic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1580" cy="79121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70A4" w:rsidRPr="00A11421" w:rsidRDefault="003042E9" w:rsidP="0051568D">
    <w:pPr>
      <w:pStyle w:val="DHHSfooter"/>
    </w:pPr>
    <w:r w:rsidRPr="003042E9">
      <w:t>Neighbourly behaviour and support operational guidelines</w:t>
    </w:r>
    <w:r w:rsidR="009D70A4" w:rsidRPr="00A11421">
      <w:tab/>
    </w:r>
    <w:r w:rsidR="009D70A4" w:rsidRPr="00A11421">
      <w:fldChar w:fldCharType="begin"/>
    </w:r>
    <w:r w:rsidR="009D70A4" w:rsidRPr="00A11421">
      <w:instrText xml:space="preserve"> PAGE </w:instrText>
    </w:r>
    <w:r w:rsidR="009D70A4" w:rsidRPr="00A11421">
      <w:fldChar w:fldCharType="separate"/>
    </w:r>
    <w:r w:rsidR="00CF4B72">
      <w:rPr>
        <w:noProof/>
      </w:rPr>
      <w:t>5</w:t>
    </w:r>
    <w:r w:rsidR="009D70A4" w:rsidRPr="00A11421">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42E9" w:rsidRDefault="003042E9" w:rsidP="002862F1">
      <w:pPr>
        <w:spacing w:before="120"/>
      </w:pPr>
      <w:r>
        <w:separator/>
      </w:r>
    </w:p>
  </w:footnote>
  <w:footnote w:type="continuationSeparator" w:id="0">
    <w:p w:rsidR="003042E9" w:rsidRDefault="003042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70A4" w:rsidRPr="0051568D" w:rsidRDefault="009D70A4" w:rsidP="0051568D">
    <w:pPr>
      <w:pStyle w:val="DHHS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nsid w:val="01356B64"/>
    <w:multiLevelType w:val="multilevel"/>
    <w:tmpl w:val="577C88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nsid w:val="0B8D43DB"/>
    <w:multiLevelType w:val="multilevel"/>
    <w:tmpl w:val="4B4E7622"/>
    <w:numStyleLink w:val="ZZNumbers"/>
  </w:abstractNum>
  <w:abstractNum w:abstractNumId="3">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4">
    <w:nsid w:val="54BA1E5A"/>
    <w:multiLevelType w:val="multilevel"/>
    <w:tmpl w:val="83C238FA"/>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1lastline"/>
      <w:lvlText w:val="•"/>
      <w:lvlJc w:val="left"/>
      <w:pPr>
        <w:ind w:left="284" w:hanging="284"/>
      </w:pPr>
      <w:rPr>
        <w:rFonts w:ascii="Calibri" w:hAnsi="Calibri" w:hint="default"/>
      </w:rPr>
    </w:lvl>
    <w:lvl w:ilvl="2">
      <w:start w:val="1"/>
      <w:numFmt w:val="bullet"/>
      <w:lvlRestart w:val="0"/>
      <w:pStyle w:val="DHHSbullet2"/>
      <w:lvlText w:val="–"/>
      <w:lvlJc w:val="left"/>
      <w:pPr>
        <w:ind w:left="567" w:hanging="283"/>
      </w:pPr>
      <w:rPr>
        <w:rFonts w:ascii="Arial" w:hAnsi="Arial" w:hint="default"/>
      </w:rPr>
    </w:lvl>
    <w:lvl w:ilvl="3">
      <w:start w:val="1"/>
      <w:numFmt w:val="bullet"/>
      <w:lvlRestart w:val="0"/>
      <w:pStyle w:val="DHHSbullet2lastline"/>
      <w:lvlText w:val="–"/>
      <w:lvlJc w:val="left"/>
      <w:pPr>
        <w:ind w:left="567" w:hanging="283"/>
      </w:pPr>
      <w:rPr>
        <w:rFonts w:ascii="Arial" w:hAnsi="Arial" w:hint="default"/>
      </w:rPr>
    </w:lvl>
    <w:lvl w:ilvl="4">
      <w:start w:val="1"/>
      <w:numFmt w:val="bullet"/>
      <w:lvlRestart w:val="0"/>
      <w:pStyle w:val="DHHSbulletindent"/>
      <w:lvlText w:val="•"/>
      <w:lvlJc w:val="left"/>
      <w:pPr>
        <w:ind w:left="680" w:hanging="283"/>
      </w:pPr>
      <w:rPr>
        <w:rFonts w:ascii="Calibri" w:hAnsi="Calibri" w:hint="default"/>
      </w:rPr>
    </w:lvl>
    <w:lvl w:ilvl="5">
      <w:start w:val="1"/>
      <w:numFmt w:val="bullet"/>
      <w:lvlRestart w:val="0"/>
      <w:pStyle w:val="DHHSbulletindentlastline"/>
      <w:lvlText w:val="•"/>
      <w:lvlJc w:val="left"/>
      <w:pPr>
        <w:ind w:left="680" w:hanging="283"/>
      </w:pPr>
      <w:rPr>
        <w:rFonts w:ascii="Calibri" w:hAnsi="Calibri" w:hint="default"/>
      </w:rPr>
    </w:lvl>
    <w:lvl w:ilvl="6">
      <w:start w:val="1"/>
      <w:numFmt w:val="bullet"/>
      <w:lvlRestart w:val="0"/>
      <w:pStyle w:val="DHHS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42E9"/>
    <w:rsid w:val="000072B6"/>
    <w:rsid w:val="0001021B"/>
    <w:rsid w:val="00011D89"/>
    <w:rsid w:val="00024D89"/>
    <w:rsid w:val="000250B6"/>
    <w:rsid w:val="00033D81"/>
    <w:rsid w:val="00041BF0"/>
    <w:rsid w:val="0004536B"/>
    <w:rsid w:val="00046B68"/>
    <w:rsid w:val="000527DD"/>
    <w:rsid w:val="000578B2"/>
    <w:rsid w:val="00060959"/>
    <w:rsid w:val="000663CD"/>
    <w:rsid w:val="000733FE"/>
    <w:rsid w:val="00074219"/>
    <w:rsid w:val="00074ED5"/>
    <w:rsid w:val="0009113B"/>
    <w:rsid w:val="00094DA3"/>
    <w:rsid w:val="00096CD1"/>
    <w:rsid w:val="000A012C"/>
    <w:rsid w:val="000A0EB9"/>
    <w:rsid w:val="000A186C"/>
    <w:rsid w:val="000A6666"/>
    <w:rsid w:val="000B543D"/>
    <w:rsid w:val="000B5BF7"/>
    <w:rsid w:val="000B6BC8"/>
    <w:rsid w:val="000C42EA"/>
    <w:rsid w:val="000C4546"/>
    <w:rsid w:val="000D1242"/>
    <w:rsid w:val="000E3CC7"/>
    <w:rsid w:val="000E6BD4"/>
    <w:rsid w:val="000F1F1E"/>
    <w:rsid w:val="000F2259"/>
    <w:rsid w:val="0010392D"/>
    <w:rsid w:val="0010447F"/>
    <w:rsid w:val="00104FE3"/>
    <w:rsid w:val="00120BD3"/>
    <w:rsid w:val="00122FEA"/>
    <w:rsid w:val="001232BD"/>
    <w:rsid w:val="00124ED5"/>
    <w:rsid w:val="001447B3"/>
    <w:rsid w:val="00152073"/>
    <w:rsid w:val="00161939"/>
    <w:rsid w:val="00161AA0"/>
    <w:rsid w:val="00162093"/>
    <w:rsid w:val="001771DD"/>
    <w:rsid w:val="00177995"/>
    <w:rsid w:val="00177A8C"/>
    <w:rsid w:val="00186B33"/>
    <w:rsid w:val="00192F9D"/>
    <w:rsid w:val="00196EB8"/>
    <w:rsid w:val="00196EFB"/>
    <w:rsid w:val="001979FF"/>
    <w:rsid w:val="00197B17"/>
    <w:rsid w:val="001A3ACE"/>
    <w:rsid w:val="001C277E"/>
    <w:rsid w:val="001C2A72"/>
    <w:rsid w:val="001D0B75"/>
    <w:rsid w:val="001D3C09"/>
    <w:rsid w:val="001D44E8"/>
    <w:rsid w:val="001D60EC"/>
    <w:rsid w:val="001E44DF"/>
    <w:rsid w:val="001E68A5"/>
    <w:rsid w:val="001E6BB0"/>
    <w:rsid w:val="001F3826"/>
    <w:rsid w:val="001F6E46"/>
    <w:rsid w:val="001F7C91"/>
    <w:rsid w:val="00206463"/>
    <w:rsid w:val="00206F2F"/>
    <w:rsid w:val="0021053D"/>
    <w:rsid w:val="00210A92"/>
    <w:rsid w:val="00216C03"/>
    <w:rsid w:val="00220C04"/>
    <w:rsid w:val="0022278D"/>
    <w:rsid w:val="0022701F"/>
    <w:rsid w:val="002333F5"/>
    <w:rsid w:val="00233724"/>
    <w:rsid w:val="002432E1"/>
    <w:rsid w:val="00246207"/>
    <w:rsid w:val="00246C5E"/>
    <w:rsid w:val="00251343"/>
    <w:rsid w:val="00254F58"/>
    <w:rsid w:val="002620BC"/>
    <w:rsid w:val="00262802"/>
    <w:rsid w:val="00263A90"/>
    <w:rsid w:val="0026408B"/>
    <w:rsid w:val="00267C3E"/>
    <w:rsid w:val="002709BB"/>
    <w:rsid w:val="002763B3"/>
    <w:rsid w:val="002802E3"/>
    <w:rsid w:val="0028213D"/>
    <w:rsid w:val="002862F1"/>
    <w:rsid w:val="00291373"/>
    <w:rsid w:val="0029597D"/>
    <w:rsid w:val="002962C3"/>
    <w:rsid w:val="0029752B"/>
    <w:rsid w:val="002A483C"/>
    <w:rsid w:val="002B1729"/>
    <w:rsid w:val="002B36C7"/>
    <w:rsid w:val="002B4DD4"/>
    <w:rsid w:val="002B5277"/>
    <w:rsid w:val="002B5375"/>
    <w:rsid w:val="002B77C1"/>
    <w:rsid w:val="002C2728"/>
    <w:rsid w:val="002D5006"/>
    <w:rsid w:val="002E01D0"/>
    <w:rsid w:val="002E161D"/>
    <w:rsid w:val="002E3100"/>
    <w:rsid w:val="002E6C95"/>
    <w:rsid w:val="002E7C36"/>
    <w:rsid w:val="002F5F31"/>
    <w:rsid w:val="002F5F46"/>
    <w:rsid w:val="00302216"/>
    <w:rsid w:val="00303E53"/>
    <w:rsid w:val="003042E9"/>
    <w:rsid w:val="00306E5F"/>
    <w:rsid w:val="00307E14"/>
    <w:rsid w:val="00314054"/>
    <w:rsid w:val="00316F27"/>
    <w:rsid w:val="00327870"/>
    <w:rsid w:val="0033259D"/>
    <w:rsid w:val="003406C6"/>
    <w:rsid w:val="003418CC"/>
    <w:rsid w:val="003459BD"/>
    <w:rsid w:val="00350D38"/>
    <w:rsid w:val="00351B36"/>
    <w:rsid w:val="00357B4E"/>
    <w:rsid w:val="003744CF"/>
    <w:rsid w:val="00374717"/>
    <w:rsid w:val="0037676C"/>
    <w:rsid w:val="003829E5"/>
    <w:rsid w:val="003956CC"/>
    <w:rsid w:val="00395C9A"/>
    <w:rsid w:val="003A6B67"/>
    <w:rsid w:val="003B15E6"/>
    <w:rsid w:val="003C2045"/>
    <w:rsid w:val="003C43A1"/>
    <w:rsid w:val="003C4FC0"/>
    <w:rsid w:val="003C55F4"/>
    <w:rsid w:val="003C7A3F"/>
    <w:rsid w:val="003D2766"/>
    <w:rsid w:val="003D3E8F"/>
    <w:rsid w:val="003D6475"/>
    <w:rsid w:val="003F0445"/>
    <w:rsid w:val="003F0CF0"/>
    <w:rsid w:val="003F14B1"/>
    <w:rsid w:val="003F3289"/>
    <w:rsid w:val="00401FCF"/>
    <w:rsid w:val="00406285"/>
    <w:rsid w:val="004148F9"/>
    <w:rsid w:val="0042084E"/>
    <w:rsid w:val="00421EEF"/>
    <w:rsid w:val="00424D65"/>
    <w:rsid w:val="00442C6C"/>
    <w:rsid w:val="00443CBE"/>
    <w:rsid w:val="00443E8A"/>
    <w:rsid w:val="004441BC"/>
    <w:rsid w:val="004468B4"/>
    <w:rsid w:val="0045230A"/>
    <w:rsid w:val="00457337"/>
    <w:rsid w:val="0047372D"/>
    <w:rsid w:val="004743DD"/>
    <w:rsid w:val="00474CEA"/>
    <w:rsid w:val="00483968"/>
    <w:rsid w:val="00484F86"/>
    <w:rsid w:val="00490746"/>
    <w:rsid w:val="00490852"/>
    <w:rsid w:val="00492F30"/>
    <w:rsid w:val="004946F4"/>
    <w:rsid w:val="0049487E"/>
    <w:rsid w:val="004A160D"/>
    <w:rsid w:val="004A3E81"/>
    <w:rsid w:val="004A5C62"/>
    <w:rsid w:val="004A707D"/>
    <w:rsid w:val="004C6EEE"/>
    <w:rsid w:val="004C702B"/>
    <w:rsid w:val="004D016B"/>
    <w:rsid w:val="004D1B22"/>
    <w:rsid w:val="004D36F2"/>
    <w:rsid w:val="004E138F"/>
    <w:rsid w:val="004E4649"/>
    <w:rsid w:val="004E5C2B"/>
    <w:rsid w:val="004F00DD"/>
    <w:rsid w:val="004F2133"/>
    <w:rsid w:val="004F55F1"/>
    <w:rsid w:val="004F6936"/>
    <w:rsid w:val="00503DC6"/>
    <w:rsid w:val="00506F5D"/>
    <w:rsid w:val="005126D0"/>
    <w:rsid w:val="0051568D"/>
    <w:rsid w:val="00526C15"/>
    <w:rsid w:val="00536499"/>
    <w:rsid w:val="00543903"/>
    <w:rsid w:val="00543F11"/>
    <w:rsid w:val="00547A95"/>
    <w:rsid w:val="00572031"/>
    <w:rsid w:val="00576E84"/>
    <w:rsid w:val="00582B8C"/>
    <w:rsid w:val="0058757E"/>
    <w:rsid w:val="00596A4B"/>
    <w:rsid w:val="00597507"/>
    <w:rsid w:val="005B21B6"/>
    <w:rsid w:val="005B3A08"/>
    <w:rsid w:val="005B7A63"/>
    <w:rsid w:val="005C0955"/>
    <w:rsid w:val="005C49DA"/>
    <w:rsid w:val="005C50F3"/>
    <w:rsid w:val="005C5D91"/>
    <w:rsid w:val="005D07B8"/>
    <w:rsid w:val="005D6597"/>
    <w:rsid w:val="005E14E7"/>
    <w:rsid w:val="005E26A3"/>
    <w:rsid w:val="005E447E"/>
    <w:rsid w:val="005F0775"/>
    <w:rsid w:val="005F0CF5"/>
    <w:rsid w:val="005F21EB"/>
    <w:rsid w:val="00605908"/>
    <w:rsid w:val="00610D7C"/>
    <w:rsid w:val="00613414"/>
    <w:rsid w:val="0062408D"/>
    <w:rsid w:val="006240CC"/>
    <w:rsid w:val="00627DA7"/>
    <w:rsid w:val="006358B4"/>
    <w:rsid w:val="006419AA"/>
    <w:rsid w:val="00644B7E"/>
    <w:rsid w:val="006454E6"/>
    <w:rsid w:val="00646A68"/>
    <w:rsid w:val="0065092E"/>
    <w:rsid w:val="006557A7"/>
    <w:rsid w:val="00656290"/>
    <w:rsid w:val="006621D7"/>
    <w:rsid w:val="0066302A"/>
    <w:rsid w:val="00670597"/>
    <w:rsid w:val="006706D0"/>
    <w:rsid w:val="00677574"/>
    <w:rsid w:val="0068454C"/>
    <w:rsid w:val="00691B62"/>
    <w:rsid w:val="006933B5"/>
    <w:rsid w:val="00693D14"/>
    <w:rsid w:val="006A18C2"/>
    <w:rsid w:val="006B077C"/>
    <w:rsid w:val="006B6803"/>
    <w:rsid w:val="006D2A3F"/>
    <w:rsid w:val="006D2FBC"/>
    <w:rsid w:val="006E138B"/>
    <w:rsid w:val="006F1FDC"/>
    <w:rsid w:val="007013EF"/>
    <w:rsid w:val="007173CA"/>
    <w:rsid w:val="007216AA"/>
    <w:rsid w:val="00721AB5"/>
    <w:rsid w:val="00721DEF"/>
    <w:rsid w:val="00724A43"/>
    <w:rsid w:val="007346E4"/>
    <w:rsid w:val="00740F22"/>
    <w:rsid w:val="00741F1A"/>
    <w:rsid w:val="007450F8"/>
    <w:rsid w:val="0074696E"/>
    <w:rsid w:val="00750135"/>
    <w:rsid w:val="00750EC2"/>
    <w:rsid w:val="00752B28"/>
    <w:rsid w:val="00754E36"/>
    <w:rsid w:val="00763139"/>
    <w:rsid w:val="00770F37"/>
    <w:rsid w:val="007711A0"/>
    <w:rsid w:val="00772D5E"/>
    <w:rsid w:val="00776928"/>
    <w:rsid w:val="00785677"/>
    <w:rsid w:val="00786F16"/>
    <w:rsid w:val="00796E20"/>
    <w:rsid w:val="00797C32"/>
    <w:rsid w:val="007B0914"/>
    <w:rsid w:val="007B1374"/>
    <w:rsid w:val="007B589F"/>
    <w:rsid w:val="007B6186"/>
    <w:rsid w:val="007B73BC"/>
    <w:rsid w:val="007C20B9"/>
    <w:rsid w:val="007C7301"/>
    <w:rsid w:val="007C7859"/>
    <w:rsid w:val="007D2BDE"/>
    <w:rsid w:val="007D2FB6"/>
    <w:rsid w:val="007D6E2D"/>
    <w:rsid w:val="007E0DE2"/>
    <w:rsid w:val="007E3B98"/>
    <w:rsid w:val="007F31B6"/>
    <w:rsid w:val="007F546C"/>
    <w:rsid w:val="007F625F"/>
    <w:rsid w:val="007F665E"/>
    <w:rsid w:val="00800412"/>
    <w:rsid w:val="0080587B"/>
    <w:rsid w:val="00806468"/>
    <w:rsid w:val="008155F0"/>
    <w:rsid w:val="00816735"/>
    <w:rsid w:val="00820141"/>
    <w:rsid w:val="00820E0C"/>
    <w:rsid w:val="008338A2"/>
    <w:rsid w:val="00841AA9"/>
    <w:rsid w:val="00853EE4"/>
    <w:rsid w:val="00855535"/>
    <w:rsid w:val="0086255E"/>
    <w:rsid w:val="008633F0"/>
    <w:rsid w:val="00867D9D"/>
    <w:rsid w:val="00872E0A"/>
    <w:rsid w:val="00875285"/>
    <w:rsid w:val="00884B62"/>
    <w:rsid w:val="0088529C"/>
    <w:rsid w:val="00887903"/>
    <w:rsid w:val="0089270A"/>
    <w:rsid w:val="00893AF6"/>
    <w:rsid w:val="00894BC4"/>
    <w:rsid w:val="008A5B32"/>
    <w:rsid w:val="008B2EE4"/>
    <w:rsid w:val="008B4D3D"/>
    <w:rsid w:val="008B57C7"/>
    <w:rsid w:val="008C2F92"/>
    <w:rsid w:val="008D2846"/>
    <w:rsid w:val="008D4236"/>
    <w:rsid w:val="008D462F"/>
    <w:rsid w:val="008D6DCF"/>
    <w:rsid w:val="008E4376"/>
    <w:rsid w:val="008E7A0A"/>
    <w:rsid w:val="00900719"/>
    <w:rsid w:val="009017AC"/>
    <w:rsid w:val="00904A1C"/>
    <w:rsid w:val="00905030"/>
    <w:rsid w:val="00906490"/>
    <w:rsid w:val="009111B2"/>
    <w:rsid w:val="00924AE1"/>
    <w:rsid w:val="009269B1"/>
    <w:rsid w:val="0092724D"/>
    <w:rsid w:val="00937BD9"/>
    <w:rsid w:val="00950E2C"/>
    <w:rsid w:val="00951D50"/>
    <w:rsid w:val="009525EB"/>
    <w:rsid w:val="00954874"/>
    <w:rsid w:val="00961400"/>
    <w:rsid w:val="00963646"/>
    <w:rsid w:val="009853E1"/>
    <w:rsid w:val="00986E6B"/>
    <w:rsid w:val="00991769"/>
    <w:rsid w:val="00994386"/>
    <w:rsid w:val="009A13D8"/>
    <w:rsid w:val="009A279E"/>
    <w:rsid w:val="009B0A6F"/>
    <w:rsid w:val="009B0A94"/>
    <w:rsid w:val="009B59E9"/>
    <w:rsid w:val="009B70AA"/>
    <w:rsid w:val="009C7A7E"/>
    <w:rsid w:val="009D02E8"/>
    <w:rsid w:val="009D51D0"/>
    <w:rsid w:val="009D70A4"/>
    <w:rsid w:val="009E08D1"/>
    <w:rsid w:val="009E1B95"/>
    <w:rsid w:val="009E496F"/>
    <w:rsid w:val="009E4B0D"/>
    <w:rsid w:val="009E7F92"/>
    <w:rsid w:val="009F02A3"/>
    <w:rsid w:val="009F2F27"/>
    <w:rsid w:val="009F34AA"/>
    <w:rsid w:val="009F6BCB"/>
    <w:rsid w:val="009F7B78"/>
    <w:rsid w:val="00A0057A"/>
    <w:rsid w:val="00A11421"/>
    <w:rsid w:val="00A157B1"/>
    <w:rsid w:val="00A22229"/>
    <w:rsid w:val="00A44882"/>
    <w:rsid w:val="00A54715"/>
    <w:rsid w:val="00A6061C"/>
    <w:rsid w:val="00A62D44"/>
    <w:rsid w:val="00A67263"/>
    <w:rsid w:val="00A7161C"/>
    <w:rsid w:val="00A77AA3"/>
    <w:rsid w:val="00A854EB"/>
    <w:rsid w:val="00A872E5"/>
    <w:rsid w:val="00A91406"/>
    <w:rsid w:val="00A96E65"/>
    <w:rsid w:val="00A97C72"/>
    <w:rsid w:val="00AA63D4"/>
    <w:rsid w:val="00AB06E8"/>
    <w:rsid w:val="00AB1CD3"/>
    <w:rsid w:val="00AB352F"/>
    <w:rsid w:val="00AC274B"/>
    <w:rsid w:val="00AC4764"/>
    <w:rsid w:val="00AC6D36"/>
    <w:rsid w:val="00AD0CBA"/>
    <w:rsid w:val="00AD26E2"/>
    <w:rsid w:val="00AD784C"/>
    <w:rsid w:val="00AE126A"/>
    <w:rsid w:val="00AE3005"/>
    <w:rsid w:val="00AE3BD5"/>
    <w:rsid w:val="00AE59A0"/>
    <w:rsid w:val="00AF0C57"/>
    <w:rsid w:val="00AF26F3"/>
    <w:rsid w:val="00AF5F04"/>
    <w:rsid w:val="00B00672"/>
    <w:rsid w:val="00B01B4D"/>
    <w:rsid w:val="00B06571"/>
    <w:rsid w:val="00B068BA"/>
    <w:rsid w:val="00B13851"/>
    <w:rsid w:val="00B13B1C"/>
    <w:rsid w:val="00B22291"/>
    <w:rsid w:val="00B23F9A"/>
    <w:rsid w:val="00B2417B"/>
    <w:rsid w:val="00B24E6F"/>
    <w:rsid w:val="00B26CB5"/>
    <w:rsid w:val="00B2752E"/>
    <w:rsid w:val="00B307CC"/>
    <w:rsid w:val="00B326B7"/>
    <w:rsid w:val="00B431E8"/>
    <w:rsid w:val="00B45141"/>
    <w:rsid w:val="00B5273A"/>
    <w:rsid w:val="00B57329"/>
    <w:rsid w:val="00B62B50"/>
    <w:rsid w:val="00B635B7"/>
    <w:rsid w:val="00B63AE8"/>
    <w:rsid w:val="00B65950"/>
    <w:rsid w:val="00B66D83"/>
    <w:rsid w:val="00B672C0"/>
    <w:rsid w:val="00B75646"/>
    <w:rsid w:val="00B90729"/>
    <w:rsid w:val="00B907DA"/>
    <w:rsid w:val="00B950BC"/>
    <w:rsid w:val="00B9714C"/>
    <w:rsid w:val="00BA3F8D"/>
    <w:rsid w:val="00BB7A10"/>
    <w:rsid w:val="00BC7468"/>
    <w:rsid w:val="00BC7D4F"/>
    <w:rsid w:val="00BC7ED7"/>
    <w:rsid w:val="00BD2850"/>
    <w:rsid w:val="00BE28D2"/>
    <w:rsid w:val="00BE4A64"/>
    <w:rsid w:val="00BF7F58"/>
    <w:rsid w:val="00C01381"/>
    <w:rsid w:val="00C079B8"/>
    <w:rsid w:val="00C123EA"/>
    <w:rsid w:val="00C12627"/>
    <w:rsid w:val="00C12A49"/>
    <w:rsid w:val="00C133EE"/>
    <w:rsid w:val="00C27DE9"/>
    <w:rsid w:val="00C33388"/>
    <w:rsid w:val="00C35484"/>
    <w:rsid w:val="00C4173A"/>
    <w:rsid w:val="00C602FF"/>
    <w:rsid w:val="00C61174"/>
    <w:rsid w:val="00C6148F"/>
    <w:rsid w:val="00C62F7A"/>
    <w:rsid w:val="00C63B9C"/>
    <w:rsid w:val="00C6682F"/>
    <w:rsid w:val="00C7275E"/>
    <w:rsid w:val="00C74C5D"/>
    <w:rsid w:val="00C863C4"/>
    <w:rsid w:val="00C93C3E"/>
    <w:rsid w:val="00CA12E3"/>
    <w:rsid w:val="00CA6611"/>
    <w:rsid w:val="00CA6AE6"/>
    <w:rsid w:val="00CA782F"/>
    <w:rsid w:val="00CB3285"/>
    <w:rsid w:val="00CC0C72"/>
    <w:rsid w:val="00CC2BFD"/>
    <w:rsid w:val="00CD3476"/>
    <w:rsid w:val="00CD64DF"/>
    <w:rsid w:val="00CF2F50"/>
    <w:rsid w:val="00CF4B72"/>
    <w:rsid w:val="00D02919"/>
    <w:rsid w:val="00D04C61"/>
    <w:rsid w:val="00D05B8D"/>
    <w:rsid w:val="00D065A2"/>
    <w:rsid w:val="00D07F00"/>
    <w:rsid w:val="00D17B72"/>
    <w:rsid w:val="00D3185C"/>
    <w:rsid w:val="00D33E72"/>
    <w:rsid w:val="00D35BD6"/>
    <w:rsid w:val="00D361B5"/>
    <w:rsid w:val="00D411A2"/>
    <w:rsid w:val="00D4606D"/>
    <w:rsid w:val="00D50B9C"/>
    <w:rsid w:val="00D52D73"/>
    <w:rsid w:val="00D52E58"/>
    <w:rsid w:val="00D714CC"/>
    <w:rsid w:val="00D75EA7"/>
    <w:rsid w:val="00D81F21"/>
    <w:rsid w:val="00D95470"/>
    <w:rsid w:val="00DA0AEC"/>
    <w:rsid w:val="00DA2619"/>
    <w:rsid w:val="00DA4239"/>
    <w:rsid w:val="00DB0B61"/>
    <w:rsid w:val="00DC090B"/>
    <w:rsid w:val="00DC1679"/>
    <w:rsid w:val="00DC2CF1"/>
    <w:rsid w:val="00DC4FCF"/>
    <w:rsid w:val="00DC50E0"/>
    <w:rsid w:val="00DC6386"/>
    <w:rsid w:val="00DD1130"/>
    <w:rsid w:val="00DD1951"/>
    <w:rsid w:val="00DD6628"/>
    <w:rsid w:val="00DE3250"/>
    <w:rsid w:val="00DE6028"/>
    <w:rsid w:val="00DE78A3"/>
    <w:rsid w:val="00DF1A71"/>
    <w:rsid w:val="00DF68C7"/>
    <w:rsid w:val="00DF731A"/>
    <w:rsid w:val="00E170DC"/>
    <w:rsid w:val="00E26818"/>
    <w:rsid w:val="00E27FFC"/>
    <w:rsid w:val="00E30B15"/>
    <w:rsid w:val="00E40181"/>
    <w:rsid w:val="00E56A01"/>
    <w:rsid w:val="00E629A1"/>
    <w:rsid w:val="00E6794C"/>
    <w:rsid w:val="00E71591"/>
    <w:rsid w:val="00E82C55"/>
    <w:rsid w:val="00E92AC3"/>
    <w:rsid w:val="00EB00E0"/>
    <w:rsid w:val="00EC059F"/>
    <w:rsid w:val="00EC1F24"/>
    <w:rsid w:val="00EC22F6"/>
    <w:rsid w:val="00ED5B9B"/>
    <w:rsid w:val="00ED6BAD"/>
    <w:rsid w:val="00ED7447"/>
    <w:rsid w:val="00EE1488"/>
    <w:rsid w:val="00EE4D5D"/>
    <w:rsid w:val="00EE5131"/>
    <w:rsid w:val="00EF109B"/>
    <w:rsid w:val="00EF36AF"/>
    <w:rsid w:val="00F00F9C"/>
    <w:rsid w:val="00F01E5F"/>
    <w:rsid w:val="00F02ABA"/>
    <w:rsid w:val="00F0437A"/>
    <w:rsid w:val="00F11037"/>
    <w:rsid w:val="00F16F1B"/>
    <w:rsid w:val="00F250A9"/>
    <w:rsid w:val="00F30FF4"/>
    <w:rsid w:val="00F3122E"/>
    <w:rsid w:val="00F331AD"/>
    <w:rsid w:val="00F35287"/>
    <w:rsid w:val="00F43A37"/>
    <w:rsid w:val="00F4641B"/>
    <w:rsid w:val="00F46EB8"/>
    <w:rsid w:val="00F511E4"/>
    <w:rsid w:val="00F52D09"/>
    <w:rsid w:val="00F52E08"/>
    <w:rsid w:val="00F55B21"/>
    <w:rsid w:val="00F56EF6"/>
    <w:rsid w:val="00F61A9F"/>
    <w:rsid w:val="00F64696"/>
    <w:rsid w:val="00F65AA9"/>
    <w:rsid w:val="00F6768F"/>
    <w:rsid w:val="00F72C2C"/>
    <w:rsid w:val="00F76CAB"/>
    <w:rsid w:val="00F772C6"/>
    <w:rsid w:val="00F815B5"/>
    <w:rsid w:val="00F85195"/>
    <w:rsid w:val="00F938BA"/>
    <w:rsid w:val="00FA2C46"/>
    <w:rsid w:val="00FA3525"/>
    <w:rsid w:val="00FB0BC0"/>
    <w:rsid w:val="00FB4769"/>
    <w:rsid w:val="00FB4CDA"/>
    <w:rsid w:val="00FC0F81"/>
    <w:rsid w:val="00FC395C"/>
    <w:rsid w:val="00FD3766"/>
    <w:rsid w:val="00FD47C4"/>
    <w:rsid w:val="00FE2DCF"/>
    <w:rsid w:val="00FF2FCE"/>
    <w:rsid w:val="00FF4F7D"/>
    <w:rsid w:val="00FF6D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iPriority="1"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8"/>
    <w:lsdException w:name="caption" w:uiPriority="35" w:qFormat="1"/>
    <w:lsdException w:name="footnote reference" w:uiPriority="8"/>
    <w:lsdException w:name="Title" w:uiPriority="10" w:unhideWhenUsed="0" w:qFormat="1"/>
    <w:lsdException w:name="Default Paragraph Font" w:uiPriority="1"/>
    <w:lsdException w:name="Subtitle" w:uiPriority="11" w:unhideWhenUsed="0" w:qFormat="1"/>
    <w:lsdException w:name="FollowedHyperlink" w:semiHidden="0" w:unhideWhenUsed="0"/>
    <w:lsdException w:name="Strong" w:semiHidden="0" w:uiPriority="22" w:unhideWhenUsed="0" w:qFormat="1"/>
    <w:lsdException w:name="Emphasis" w:semiHidden="0" w:uiPriority="20" w:unhideWhenUsed="0"/>
    <w:lsdException w:name="Table Grid" w:semiHidden="0" w:uiPriority="59" w:unhideWhenUsed="0"/>
    <w:lsdException w:name="No Spacing"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uiPriority="72" w:unhideWhenUsed="0" w:qFormat="1"/>
    <w:lsdException w:name="Quote" w:uiPriority="73" w:unhideWhenUsed="0" w:qFormat="1"/>
    <w:lsdException w:name="Intense Quote"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uiPriority="65" w:unhideWhenUsed="0" w:qFormat="1"/>
    <w:lsdException w:name="Intense Emphasis" w:uiPriority="66" w:unhideWhenUsed="0" w:qFormat="1"/>
    <w:lsdException w:name="Subtle Reference" w:uiPriority="67" w:unhideWhenUsed="0" w:qFormat="1"/>
    <w:lsdException w:name="Intense Reference" w:uiPriority="68" w:unhideWhenUsed="0" w:qFormat="1"/>
    <w:lsdException w:name="Book Title" w:uiPriority="69" w:unhideWhenUsed="0" w:qFormat="1"/>
    <w:lsdException w:name="Bibliography" w:uiPriority="70" w:unhideWhenUsed="0"/>
    <w:lsdException w:name="TOC Heading" w:uiPriority="71" w:qFormat="1"/>
  </w:latentStyles>
  <w:style w:type="paragraph" w:default="1" w:styleId="Normal">
    <w:name w:val="Normal"/>
    <w:rsid w:val="003042E9"/>
    <w:rPr>
      <w:rFonts w:ascii="Cambria" w:hAnsi="Cambria"/>
      <w:lang w:eastAsia="en-US"/>
    </w:rPr>
  </w:style>
  <w:style w:type="paragraph" w:styleId="Heading1">
    <w:name w:val="heading 1"/>
    <w:next w:val="DHHSbody"/>
    <w:link w:val="Heading1Char"/>
    <w:uiPriority w:val="1"/>
    <w:qFormat/>
    <w:rsid w:val="000A6666"/>
    <w:pPr>
      <w:keepNext/>
      <w:keepLines/>
      <w:spacing w:before="320" w:after="200" w:line="440" w:lineRule="atLeast"/>
      <w:outlineLvl w:val="0"/>
    </w:pPr>
    <w:rPr>
      <w:rFonts w:ascii="Arial" w:eastAsia="MS Gothic" w:hAnsi="Arial" w:cs="Arial"/>
      <w:bCs/>
      <w:color w:val="004EA8"/>
      <w:kern w:val="32"/>
      <w:sz w:val="36"/>
      <w:szCs w:val="40"/>
      <w:lang w:eastAsia="en-US"/>
    </w:rPr>
  </w:style>
  <w:style w:type="paragraph" w:styleId="Heading2">
    <w:name w:val="heading 2"/>
    <w:next w:val="DHHSbody"/>
    <w:link w:val="Heading2Char"/>
    <w:uiPriority w:val="1"/>
    <w:qFormat/>
    <w:rsid w:val="000A6666"/>
    <w:pPr>
      <w:keepNext/>
      <w:keepLines/>
      <w:spacing w:before="240" w:after="90" w:line="320" w:lineRule="atLeast"/>
      <w:outlineLvl w:val="1"/>
    </w:pPr>
    <w:rPr>
      <w:rFonts w:ascii="Arial" w:hAnsi="Arial"/>
      <w:b/>
      <w:color w:val="004EA8"/>
      <w:sz w:val="28"/>
      <w:szCs w:val="28"/>
      <w:lang w:eastAsia="en-US"/>
    </w:rPr>
  </w:style>
  <w:style w:type="paragraph" w:styleId="Heading3">
    <w:name w:val="heading 3"/>
    <w:next w:val="DHHSbody"/>
    <w:link w:val="Heading3Char"/>
    <w:uiPriority w:val="1"/>
    <w:qFormat/>
    <w:rsid w:val="00152073"/>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152073"/>
    <w:pPr>
      <w:keepNext/>
      <w:keepLines/>
      <w:spacing w:before="240" w:after="120" w:line="240" w:lineRule="atLeast"/>
      <w:outlineLvl w:val="3"/>
    </w:pPr>
    <w:rPr>
      <w:rFonts w:ascii="Arial" w:eastAsia="MS Mincho" w:hAnsi="Arial"/>
      <w:b/>
      <w:bCs/>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eastAsia="MS Mincho"/>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HSbody">
    <w:name w:val="DHHS body"/>
    <w:qFormat/>
    <w:rsid w:val="00DE6028"/>
    <w:pPr>
      <w:spacing w:after="120" w:line="270" w:lineRule="atLeast"/>
    </w:pPr>
    <w:rPr>
      <w:rFonts w:ascii="Arial" w:eastAsia="Times" w:hAnsi="Arial"/>
      <w:lang w:eastAsia="en-US"/>
    </w:rPr>
  </w:style>
  <w:style w:type="character" w:customStyle="1" w:styleId="Heading1Char">
    <w:name w:val="Heading 1 Char"/>
    <w:link w:val="Heading1"/>
    <w:uiPriority w:val="1"/>
    <w:rsid w:val="000A6666"/>
    <w:rPr>
      <w:rFonts w:ascii="Arial" w:eastAsia="MS Gothic" w:hAnsi="Arial" w:cs="Arial"/>
      <w:bCs/>
      <w:color w:val="004EA8"/>
      <w:kern w:val="32"/>
      <w:sz w:val="36"/>
      <w:szCs w:val="40"/>
      <w:lang w:eastAsia="en-US"/>
    </w:rPr>
  </w:style>
  <w:style w:type="character" w:customStyle="1" w:styleId="Heading2Char">
    <w:name w:val="Heading 2 Char"/>
    <w:link w:val="Heading2"/>
    <w:uiPriority w:val="1"/>
    <w:rsid w:val="000A6666"/>
    <w:rPr>
      <w:rFonts w:ascii="Arial" w:hAnsi="Arial"/>
      <w:b/>
      <w:color w:val="004EA8"/>
      <w:sz w:val="28"/>
      <w:szCs w:val="28"/>
      <w:lang w:eastAsia="en-US"/>
    </w:rPr>
  </w:style>
  <w:style w:type="character" w:customStyle="1" w:styleId="Heading3Char">
    <w:name w:val="Heading 3 Char"/>
    <w:link w:val="Heading3"/>
    <w:uiPriority w:val="1"/>
    <w:rsid w:val="00152073"/>
    <w:rPr>
      <w:rFonts w:ascii="Arial" w:eastAsia="MS Gothic" w:hAnsi="Arial"/>
      <w:b/>
      <w:bCs/>
      <w:sz w:val="24"/>
      <w:szCs w:val="26"/>
      <w:lang w:eastAsia="en-US"/>
    </w:rPr>
  </w:style>
  <w:style w:type="character" w:customStyle="1" w:styleId="Heading4Char">
    <w:name w:val="Heading 4 Char"/>
    <w:link w:val="Heading4"/>
    <w:uiPriority w:val="1"/>
    <w:rsid w:val="00152073"/>
    <w:rPr>
      <w:rFonts w:ascii="Arial" w:eastAsia="MS Mincho" w:hAnsi="Arial"/>
      <w:b/>
      <w:bCs/>
      <w:lang w:eastAsia="en-US"/>
    </w:rPr>
  </w:style>
  <w:style w:type="paragraph" w:styleId="Header">
    <w:name w:val="header"/>
    <w:basedOn w:val="DHHSheader"/>
    <w:uiPriority w:val="10"/>
    <w:rsid w:val="00262802"/>
  </w:style>
  <w:style w:type="paragraph" w:styleId="Footer">
    <w:name w:val="footer"/>
    <w:basedOn w:val="DHHSfooter"/>
    <w:uiPriority w:val="8"/>
    <w:rsid w:val="00C27DE9"/>
  </w:style>
  <w:style w:type="character" w:styleId="FollowedHyperlink">
    <w:name w:val="FollowedHyperlink"/>
    <w:uiPriority w:val="99"/>
    <w:rsid w:val="00152073"/>
    <w:rPr>
      <w:color w:val="6633CC"/>
      <w:u w:val="dotted"/>
    </w:rPr>
  </w:style>
  <w:style w:type="paragraph" w:customStyle="1" w:styleId="DHHStabletext6pt">
    <w:name w:val="DHHS table text + 6pt"/>
    <w:basedOn w:val="DHHS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HSbodynospace">
    <w:name w:val="DHHS body no space"/>
    <w:basedOn w:val="DHHSbody"/>
    <w:uiPriority w:val="1"/>
    <w:rsid w:val="00F772C6"/>
    <w:pPr>
      <w:spacing w:after="0"/>
    </w:pPr>
  </w:style>
  <w:style w:type="paragraph" w:customStyle="1" w:styleId="DHHSbullet1">
    <w:name w:val="DHHS bullet 1"/>
    <w:basedOn w:val="DHHSbody"/>
    <w:qFormat/>
    <w:rsid w:val="0051568D"/>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uiPriority w:val="39"/>
    <w:rsid w:val="000F2259"/>
    <w:pPr>
      <w:keepLines/>
      <w:tabs>
        <w:tab w:val="right" w:leader="dot" w:pos="10206"/>
      </w:tabs>
      <w:spacing w:before="120" w:after="60"/>
      <w:ind w:right="680"/>
    </w:pPr>
    <w:rPr>
      <w:rFonts w:ascii="Arial" w:hAnsi="Arial"/>
      <w:b/>
      <w:noProof/>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styleId="Strong">
    <w:name w:val="Strong"/>
    <w:uiPriority w:val="22"/>
    <w:qFormat/>
    <w:rsid w:val="00FA3525"/>
    <w:rPr>
      <w:b/>
      <w:bCs/>
    </w:rPr>
  </w:style>
  <w:style w:type="paragraph" w:customStyle="1" w:styleId="DHHSTOCheadingfactsheet">
    <w:name w:val="DHHS TOC heading fact sheet"/>
    <w:basedOn w:val="Heading2"/>
    <w:next w:val="DHHSbody"/>
    <w:link w:val="DHHSTOCheadingfactsheetChar"/>
    <w:uiPriority w:val="4"/>
    <w:rsid w:val="000A6666"/>
    <w:pPr>
      <w:spacing w:before="0" w:after="200"/>
      <w:outlineLvl w:val="9"/>
    </w:pPr>
  </w:style>
  <w:style w:type="character" w:customStyle="1" w:styleId="DHHSTOCheadingfactsheetChar">
    <w:name w:val="DHHS TOC heading fact sheet Char"/>
    <w:link w:val="DHHSTOCheadingfactsheet"/>
    <w:uiPriority w:val="4"/>
    <w:rsid w:val="000A6666"/>
    <w:rPr>
      <w:rFonts w:ascii="Arial" w:hAnsi="Arial"/>
      <w:b/>
      <w:color w:val="004EA8"/>
      <w:sz w:val="28"/>
      <w:szCs w:val="28"/>
      <w:lang w:eastAsia="en-US"/>
    </w:rPr>
  </w:style>
  <w:style w:type="paragraph" w:styleId="TOC2">
    <w:name w:val="toc 2"/>
    <w:uiPriority w:val="39"/>
    <w:rsid w:val="000F2259"/>
    <w:pPr>
      <w:keepLines/>
      <w:tabs>
        <w:tab w:val="right" w:leader="dot" w:pos="10206"/>
      </w:tabs>
      <w:spacing w:after="60"/>
      <w:ind w:right="680"/>
    </w:pPr>
    <w:rPr>
      <w:rFonts w:ascii="Arial" w:hAnsi="Arial"/>
      <w:noProof/>
      <w:lang w:eastAsia="en-US"/>
    </w:rPr>
  </w:style>
  <w:style w:type="paragraph" w:styleId="TOC3">
    <w:name w:val="toc 3"/>
    <w:basedOn w:val="TOC2"/>
    <w:next w:val="DHHS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DHHStabletext">
    <w:name w:val="DHHS table text"/>
    <w:uiPriority w:val="3"/>
    <w:qFormat/>
    <w:rsid w:val="00DA2619"/>
    <w:pPr>
      <w:spacing w:before="80" w:after="60"/>
    </w:pPr>
    <w:rPr>
      <w:rFonts w:ascii="Arial" w:hAnsi="Arial"/>
      <w:lang w:eastAsia="en-US"/>
    </w:rPr>
  </w:style>
  <w:style w:type="paragraph" w:customStyle="1" w:styleId="DHHStablecaption">
    <w:name w:val="DHHS table caption"/>
    <w:next w:val="DHHSbody"/>
    <w:uiPriority w:val="3"/>
    <w:qFormat/>
    <w:rsid w:val="00233724"/>
    <w:pPr>
      <w:keepNext/>
      <w:keepLines/>
      <w:spacing w:before="240" w:after="120" w:line="240" w:lineRule="atLeast"/>
    </w:pPr>
    <w:rPr>
      <w:rFonts w:ascii="Arial" w:hAnsi="Arial"/>
      <w:b/>
      <w:lang w:eastAsia="en-US"/>
    </w:rPr>
  </w:style>
  <w:style w:type="paragraph" w:customStyle="1" w:styleId="DHHSmainheading">
    <w:name w:val="DHHS main heading"/>
    <w:uiPriority w:val="8"/>
    <w:rsid w:val="004946F4"/>
    <w:pPr>
      <w:spacing w:line="560" w:lineRule="atLeast"/>
    </w:pPr>
    <w:rPr>
      <w:rFonts w:ascii="Arial" w:hAnsi="Arial"/>
      <w:color w:val="FFFFFF"/>
      <w:sz w:val="50"/>
      <w:szCs w:val="50"/>
      <w:lang w:eastAsia="en-US"/>
    </w:rPr>
  </w:style>
  <w:style w:type="character" w:styleId="FootnoteReference">
    <w:name w:val="footnote reference"/>
    <w:uiPriority w:val="8"/>
    <w:rsid w:val="00BC7ED7"/>
    <w:rPr>
      <w:vertAlign w:val="superscript"/>
    </w:rPr>
  </w:style>
  <w:style w:type="paragraph" w:customStyle="1" w:styleId="DHHSaccessibilitypara">
    <w:name w:val="DHHS accessibility para"/>
    <w:uiPriority w:val="8"/>
    <w:rsid w:val="00770F37"/>
    <w:pPr>
      <w:spacing w:after="200" w:line="300" w:lineRule="atLeast"/>
    </w:pPr>
    <w:rPr>
      <w:rFonts w:ascii="Arial" w:eastAsia="Times" w:hAnsi="Arial"/>
      <w:sz w:val="24"/>
      <w:szCs w:val="19"/>
      <w:lang w:eastAsia="en-US"/>
    </w:rPr>
  </w:style>
  <w:style w:type="paragraph" w:customStyle="1" w:styleId="DHHSfigurecaption">
    <w:name w:val="DHHS figure caption"/>
    <w:next w:val="DHHSbody"/>
    <w:rsid w:val="00770F37"/>
    <w:pPr>
      <w:keepNext/>
      <w:keepLines/>
      <w:spacing w:before="240" w:after="120"/>
    </w:pPr>
    <w:rPr>
      <w:rFonts w:ascii="Arial" w:hAnsi="Arial"/>
      <w:b/>
      <w:lang w:eastAsia="en-US"/>
    </w:rPr>
  </w:style>
  <w:style w:type="paragraph" w:customStyle="1" w:styleId="DHHSbullet2">
    <w:name w:val="DHHS bullet 2"/>
    <w:basedOn w:val="DHHSbody"/>
    <w:uiPriority w:val="2"/>
    <w:qFormat/>
    <w:rsid w:val="0051568D"/>
    <w:pPr>
      <w:numPr>
        <w:ilvl w:val="2"/>
        <w:numId w:val="7"/>
      </w:numPr>
      <w:spacing w:after="40"/>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DHHStablebullet">
    <w:name w:val="DHHS table bullet"/>
    <w:basedOn w:val="DHHStabletext"/>
    <w:uiPriority w:val="3"/>
    <w:qFormat/>
    <w:rsid w:val="0051568D"/>
    <w:pPr>
      <w:numPr>
        <w:ilvl w:val="6"/>
        <w:numId w:val="7"/>
      </w:numPr>
    </w:pPr>
  </w:style>
  <w:style w:type="paragraph" w:customStyle="1" w:styleId="DHHStablecolhead">
    <w:name w:val="DHHS table col head"/>
    <w:uiPriority w:val="3"/>
    <w:qFormat/>
    <w:rsid w:val="000A6666"/>
    <w:pPr>
      <w:spacing w:before="80" w:after="60"/>
    </w:pPr>
    <w:rPr>
      <w:rFonts w:ascii="Arial" w:hAnsi="Arial"/>
      <w:b/>
      <w:color w:val="004EA8"/>
      <w:lang w:eastAsia="en-US"/>
    </w:rPr>
  </w:style>
  <w:style w:type="paragraph" w:customStyle="1" w:styleId="DHHSbulletindent">
    <w:name w:val="DHHS bullet indent"/>
    <w:basedOn w:val="DHHSbody"/>
    <w:uiPriority w:val="4"/>
    <w:rsid w:val="0051568D"/>
    <w:pPr>
      <w:numPr>
        <w:ilvl w:val="4"/>
        <w:numId w:val="7"/>
      </w:numPr>
      <w:spacing w:after="40"/>
    </w:pPr>
  </w:style>
  <w:style w:type="character" w:styleId="Hyperlink">
    <w:name w:val="Hyperlink"/>
    <w:uiPriority w:val="99"/>
    <w:rsid w:val="004743DD"/>
    <w:rPr>
      <w:color w:val="3366FF"/>
      <w:u w:val="dotted"/>
    </w:rPr>
  </w:style>
  <w:style w:type="paragraph" w:customStyle="1" w:styleId="DHHSbullet1lastline">
    <w:name w:val="DHHS bullet 1 last line"/>
    <w:basedOn w:val="DHHSbullet1"/>
    <w:qFormat/>
    <w:rsid w:val="0051568D"/>
    <w:pPr>
      <w:numPr>
        <w:ilvl w:val="1"/>
      </w:numPr>
      <w:spacing w:after="120"/>
    </w:pPr>
  </w:style>
  <w:style w:type="paragraph" w:customStyle="1" w:styleId="DHHSbullet2lastline">
    <w:name w:val="DHHS bullet 2 last line"/>
    <w:basedOn w:val="DHHSbullet2"/>
    <w:uiPriority w:val="2"/>
    <w:qFormat/>
    <w:rsid w:val="0051568D"/>
    <w:pPr>
      <w:numPr>
        <w:ilvl w:val="3"/>
      </w:numPr>
      <w:spacing w:after="120"/>
    </w:pPr>
  </w:style>
  <w:style w:type="paragraph" w:customStyle="1" w:styleId="DHHSmainsubheading">
    <w:name w:val="DHHS main subheading"/>
    <w:uiPriority w:val="8"/>
    <w:rsid w:val="00AD784C"/>
    <w:rPr>
      <w:rFonts w:ascii="Arial" w:hAnsi="Arial"/>
      <w:color w:val="FFFFFF"/>
      <w:sz w:val="28"/>
      <w:szCs w:val="24"/>
      <w:lang w:eastAsia="en-US"/>
    </w:rPr>
  </w:style>
  <w:style w:type="paragraph" w:styleId="FootnoteText">
    <w:name w:val="footnote text"/>
    <w:basedOn w:val="Normal"/>
    <w:link w:val="FootnoteTextChar"/>
    <w:uiPriority w:val="8"/>
    <w:rsid w:val="00152073"/>
    <w:pPr>
      <w:spacing w:before="60" w:after="60" w:line="200" w:lineRule="atLeast"/>
    </w:pPr>
    <w:rPr>
      <w:rFonts w:ascii="Arial" w:eastAsia="MS Gothic" w:hAnsi="Arial" w:cs="Arial"/>
      <w:sz w:val="16"/>
      <w:szCs w:val="16"/>
    </w:rPr>
  </w:style>
  <w:style w:type="character" w:customStyle="1" w:styleId="FootnoteTextChar">
    <w:name w:val="Footnote Text Char"/>
    <w:link w:val="FootnoteText"/>
    <w:uiPriority w:val="8"/>
    <w:rsid w:val="003F0445"/>
    <w:rPr>
      <w:rFonts w:ascii="Arial" w:eastAsia="MS Gothic" w:hAnsi="Arial" w:cs="Arial"/>
      <w:sz w:val="16"/>
      <w:szCs w:val="16"/>
      <w:lang w:eastAsia="en-US"/>
    </w:rPr>
  </w:style>
  <w:style w:type="paragraph" w:customStyle="1" w:styleId="Spacerparatopoffirstpage">
    <w:name w:val="Spacer para top of first page"/>
    <w:basedOn w:val="DHHS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1568D"/>
    <w:pPr>
      <w:numPr>
        <w:numId w:val="7"/>
      </w:numPr>
    </w:pPr>
  </w:style>
  <w:style w:type="numbering" w:customStyle="1" w:styleId="ZZNumbers">
    <w:name w:val="ZZ Numbers"/>
    <w:rsid w:val="00152073"/>
    <w:pPr>
      <w:numPr>
        <w:numId w:val="8"/>
      </w:numPr>
    </w:pPr>
  </w:style>
  <w:style w:type="paragraph" w:customStyle="1" w:styleId="DHHSbulletindentlastline">
    <w:name w:val="DHHS bullet indent last line"/>
    <w:basedOn w:val="DHHSbody"/>
    <w:uiPriority w:val="4"/>
    <w:rsid w:val="0051568D"/>
    <w:pPr>
      <w:numPr>
        <w:ilvl w:val="5"/>
        <w:numId w:val="7"/>
      </w:numPr>
    </w:pPr>
  </w:style>
  <w:style w:type="paragraph" w:customStyle="1" w:styleId="DHHSnumberdigit">
    <w:name w:val="DHHS number digit"/>
    <w:basedOn w:val="DHHSbody"/>
    <w:uiPriority w:val="2"/>
    <w:rsid w:val="00152073"/>
    <w:pPr>
      <w:numPr>
        <w:numId w:val="8"/>
      </w:numPr>
    </w:pPr>
  </w:style>
  <w:style w:type="paragraph" w:customStyle="1" w:styleId="DHHSnumberloweralphaindent">
    <w:name w:val="DHHS number lower alpha indent"/>
    <w:basedOn w:val="DHHSbody"/>
    <w:uiPriority w:val="3"/>
    <w:rsid w:val="00152073"/>
    <w:pPr>
      <w:numPr>
        <w:ilvl w:val="3"/>
        <w:numId w:val="8"/>
      </w:numPr>
    </w:pPr>
  </w:style>
  <w:style w:type="paragraph" w:customStyle="1" w:styleId="DHHSnumberdigitindent">
    <w:name w:val="DHHS number digit indent"/>
    <w:basedOn w:val="DHHSnumberloweralphaindent"/>
    <w:uiPriority w:val="3"/>
    <w:rsid w:val="00152073"/>
    <w:pPr>
      <w:numPr>
        <w:ilvl w:val="1"/>
      </w:numPr>
    </w:pPr>
  </w:style>
  <w:style w:type="paragraph" w:customStyle="1" w:styleId="DHHSnumberloweralpha">
    <w:name w:val="DHHS number lower alpha"/>
    <w:basedOn w:val="DHHSbody"/>
    <w:uiPriority w:val="3"/>
    <w:rsid w:val="00152073"/>
    <w:pPr>
      <w:numPr>
        <w:ilvl w:val="2"/>
        <w:numId w:val="8"/>
      </w:numPr>
    </w:pPr>
  </w:style>
  <w:style w:type="paragraph" w:customStyle="1" w:styleId="DHHSnumberlowerroman">
    <w:name w:val="DHHS number lower roman"/>
    <w:basedOn w:val="DHHSbody"/>
    <w:uiPriority w:val="3"/>
    <w:rsid w:val="00152073"/>
    <w:pPr>
      <w:numPr>
        <w:ilvl w:val="4"/>
        <w:numId w:val="8"/>
      </w:numPr>
    </w:pPr>
  </w:style>
  <w:style w:type="paragraph" w:customStyle="1" w:styleId="DHHSnumberlowerromanindent">
    <w:name w:val="DHHS number lower roman indent"/>
    <w:basedOn w:val="DHHSbody"/>
    <w:uiPriority w:val="3"/>
    <w:rsid w:val="00152073"/>
    <w:pPr>
      <w:numPr>
        <w:ilvl w:val="5"/>
        <w:numId w:val="8"/>
      </w:numPr>
    </w:pPr>
  </w:style>
  <w:style w:type="paragraph" w:customStyle="1" w:styleId="DHHSquote">
    <w:name w:val="DHHS quote"/>
    <w:basedOn w:val="DHHSbody"/>
    <w:uiPriority w:val="4"/>
    <w:rsid w:val="00152073"/>
    <w:pPr>
      <w:ind w:left="397"/>
    </w:pPr>
    <w:rPr>
      <w:szCs w:val="18"/>
    </w:rPr>
  </w:style>
  <w:style w:type="paragraph" w:customStyle="1" w:styleId="DHHStablefigurenote">
    <w:name w:val="DHHS table/figure note"/>
    <w:uiPriority w:val="4"/>
    <w:rsid w:val="00596A4B"/>
    <w:pPr>
      <w:spacing w:before="60" w:after="60" w:line="240" w:lineRule="exact"/>
    </w:pPr>
    <w:rPr>
      <w:rFonts w:ascii="Arial" w:hAnsi="Arial"/>
      <w:i/>
      <w:sz w:val="18"/>
      <w:lang w:eastAsia="en-US"/>
    </w:rPr>
  </w:style>
  <w:style w:type="paragraph" w:customStyle="1" w:styleId="DHHSbodyaftertablefigure">
    <w:name w:val="DHHS body after table/figure"/>
    <w:basedOn w:val="DHHSbody"/>
    <w:next w:val="DHHSbody"/>
    <w:uiPriority w:val="1"/>
    <w:rsid w:val="00951D50"/>
    <w:pPr>
      <w:spacing w:before="240"/>
    </w:pPr>
  </w:style>
  <w:style w:type="paragraph" w:customStyle="1" w:styleId="DHHSfooter">
    <w:name w:val="DHHS footer"/>
    <w:uiPriority w:val="11"/>
    <w:rsid w:val="0051568D"/>
    <w:pPr>
      <w:tabs>
        <w:tab w:val="right" w:pos="10206"/>
      </w:tabs>
    </w:pPr>
    <w:rPr>
      <w:rFonts w:ascii="Arial" w:hAnsi="Arial" w:cs="Arial"/>
      <w:sz w:val="18"/>
      <w:szCs w:val="18"/>
      <w:lang w:eastAsia="en-US"/>
    </w:rPr>
  </w:style>
  <w:style w:type="paragraph" w:customStyle="1" w:styleId="DHHSheader">
    <w:name w:val="DHHS header"/>
    <w:basedOn w:val="DHHSfooter"/>
    <w:uiPriority w:val="11"/>
    <w:rsid w:val="0051568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iPriority="1"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8"/>
    <w:lsdException w:name="caption" w:uiPriority="35" w:qFormat="1"/>
    <w:lsdException w:name="footnote reference" w:uiPriority="8"/>
    <w:lsdException w:name="Title" w:uiPriority="10" w:unhideWhenUsed="0" w:qFormat="1"/>
    <w:lsdException w:name="Default Paragraph Font" w:uiPriority="1"/>
    <w:lsdException w:name="Subtitle" w:uiPriority="11" w:unhideWhenUsed="0" w:qFormat="1"/>
    <w:lsdException w:name="FollowedHyperlink" w:semiHidden="0" w:unhideWhenUsed="0"/>
    <w:lsdException w:name="Strong" w:semiHidden="0" w:uiPriority="22" w:unhideWhenUsed="0" w:qFormat="1"/>
    <w:lsdException w:name="Emphasis" w:semiHidden="0" w:uiPriority="20" w:unhideWhenUsed="0"/>
    <w:lsdException w:name="Table Grid" w:semiHidden="0" w:uiPriority="59" w:unhideWhenUsed="0"/>
    <w:lsdException w:name="No Spacing"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uiPriority="72" w:unhideWhenUsed="0" w:qFormat="1"/>
    <w:lsdException w:name="Quote" w:uiPriority="73" w:unhideWhenUsed="0" w:qFormat="1"/>
    <w:lsdException w:name="Intense Quote"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uiPriority="65" w:unhideWhenUsed="0" w:qFormat="1"/>
    <w:lsdException w:name="Intense Emphasis" w:uiPriority="66" w:unhideWhenUsed="0" w:qFormat="1"/>
    <w:lsdException w:name="Subtle Reference" w:uiPriority="67" w:unhideWhenUsed="0" w:qFormat="1"/>
    <w:lsdException w:name="Intense Reference" w:uiPriority="68" w:unhideWhenUsed="0" w:qFormat="1"/>
    <w:lsdException w:name="Book Title" w:uiPriority="69" w:unhideWhenUsed="0" w:qFormat="1"/>
    <w:lsdException w:name="Bibliography" w:uiPriority="70" w:unhideWhenUsed="0"/>
    <w:lsdException w:name="TOC Heading" w:uiPriority="71" w:qFormat="1"/>
  </w:latentStyles>
  <w:style w:type="paragraph" w:default="1" w:styleId="Normal">
    <w:name w:val="Normal"/>
    <w:rsid w:val="003042E9"/>
    <w:rPr>
      <w:rFonts w:ascii="Cambria" w:hAnsi="Cambria"/>
      <w:lang w:eastAsia="en-US"/>
    </w:rPr>
  </w:style>
  <w:style w:type="paragraph" w:styleId="Heading1">
    <w:name w:val="heading 1"/>
    <w:next w:val="DHHSbody"/>
    <w:link w:val="Heading1Char"/>
    <w:uiPriority w:val="1"/>
    <w:qFormat/>
    <w:rsid w:val="000A6666"/>
    <w:pPr>
      <w:keepNext/>
      <w:keepLines/>
      <w:spacing w:before="320" w:after="200" w:line="440" w:lineRule="atLeast"/>
      <w:outlineLvl w:val="0"/>
    </w:pPr>
    <w:rPr>
      <w:rFonts w:ascii="Arial" w:eastAsia="MS Gothic" w:hAnsi="Arial" w:cs="Arial"/>
      <w:bCs/>
      <w:color w:val="004EA8"/>
      <w:kern w:val="32"/>
      <w:sz w:val="36"/>
      <w:szCs w:val="40"/>
      <w:lang w:eastAsia="en-US"/>
    </w:rPr>
  </w:style>
  <w:style w:type="paragraph" w:styleId="Heading2">
    <w:name w:val="heading 2"/>
    <w:next w:val="DHHSbody"/>
    <w:link w:val="Heading2Char"/>
    <w:uiPriority w:val="1"/>
    <w:qFormat/>
    <w:rsid w:val="000A6666"/>
    <w:pPr>
      <w:keepNext/>
      <w:keepLines/>
      <w:spacing w:before="240" w:after="90" w:line="320" w:lineRule="atLeast"/>
      <w:outlineLvl w:val="1"/>
    </w:pPr>
    <w:rPr>
      <w:rFonts w:ascii="Arial" w:hAnsi="Arial"/>
      <w:b/>
      <w:color w:val="004EA8"/>
      <w:sz w:val="28"/>
      <w:szCs w:val="28"/>
      <w:lang w:eastAsia="en-US"/>
    </w:rPr>
  </w:style>
  <w:style w:type="paragraph" w:styleId="Heading3">
    <w:name w:val="heading 3"/>
    <w:next w:val="DHHSbody"/>
    <w:link w:val="Heading3Char"/>
    <w:uiPriority w:val="1"/>
    <w:qFormat/>
    <w:rsid w:val="00152073"/>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152073"/>
    <w:pPr>
      <w:keepNext/>
      <w:keepLines/>
      <w:spacing w:before="240" w:after="120" w:line="240" w:lineRule="atLeast"/>
      <w:outlineLvl w:val="3"/>
    </w:pPr>
    <w:rPr>
      <w:rFonts w:ascii="Arial" w:eastAsia="MS Mincho" w:hAnsi="Arial"/>
      <w:b/>
      <w:bCs/>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eastAsia="MS Mincho"/>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HSbody">
    <w:name w:val="DHHS body"/>
    <w:qFormat/>
    <w:rsid w:val="00DE6028"/>
    <w:pPr>
      <w:spacing w:after="120" w:line="270" w:lineRule="atLeast"/>
    </w:pPr>
    <w:rPr>
      <w:rFonts w:ascii="Arial" w:eastAsia="Times" w:hAnsi="Arial"/>
      <w:lang w:eastAsia="en-US"/>
    </w:rPr>
  </w:style>
  <w:style w:type="character" w:customStyle="1" w:styleId="Heading1Char">
    <w:name w:val="Heading 1 Char"/>
    <w:link w:val="Heading1"/>
    <w:uiPriority w:val="1"/>
    <w:rsid w:val="000A6666"/>
    <w:rPr>
      <w:rFonts w:ascii="Arial" w:eastAsia="MS Gothic" w:hAnsi="Arial" w:cs="Arial"/>
      <w:bCs/>
      <w:color w:val="004EA8"/>
      <w:kern w:val="32"/>
      <w:sz w:val="36"/>
      <w:szCs w:val="40"/>
      <w:lang w:eastAsia="en-US"/>
    </w:rPr>
  </w:style>
  <w:style w:type="character" w:customStyle="1" w:styleId="Heading2Char">
    <w:name w:val="Heading 2 Char"/>
    <w:link w:val="Heading2"/>
    <w:uiPriority w:val="1"/>
    <w:rsid w:val="000A6666"/>
    <w:rPr>
      <w:rFonts w:ascii="Arial" w:hAnsi="Arial"/>
      <w:b/>
      <w:color w:val="004EA8"/>
      <w:sz w:val="28"/>
      <w:szCs w:val="28"/>
      <w:lang w:eastAsia="en-US"/>
    </w:rPr>
  </w:style>
  <w:style w:type="character" w:customStyle="1" w:styleId="Heading3Char">
    <w:name w:val="Heading 3 Char"/>
    <w:link w:val="Heading3"/>
    <w:uiPriority w:val="1"/>
    <w:rsid w:val="00152073"/>
    <w:rPr>
      <w:rFonts w:ascii="Arial" w:eastAsia="MS Gothic" w:hAnsi="Arial"/>
      <w:b/>
      <w:bCs/>
      <w:sz w:val="24"/>
      <w:szCs w:val="26"/>
      <w:lang w:eastAsia="en-US"/>
    </w:rPr>
  </w:style>
  <w:style w:type="character" w:customStyle="1" w:styleId="Heading4Char">
    <w:name w:val="Heading 4 Char"/>
    <w:link w:val="Heading4"/>
    <w:uiPriority w:val="1"/>
    <w:rsid w:val="00152073"/>
    <w:rPr>
      <w:rFonts w:ascii="Arial" w:eastAsia="MS Mincho" w:hAnsi="Arial"/>
      <w:b/>
      <w:bCs/>
      <w:lang w:eastAsia="en-US"/>
    </w:rPr>
  </w:style>
  <w:style w:type="paragraph" w:styleId="Header">
    <w:name w:val="header"/>
    <w:basedOn w:val="DHHSheader"/>
    <w:uiPriority w:val="10"/>
    <w:rsid w:val="00262802"/>
  </w:style>
  <w:style w:type="paragraph" w:styleId="Footer">
    <w:name w:val="footer"/>
    <w:basedOn w:val="DHHSfooter"/>
    <w:uiPriority w:val="8"/>
    <w:rsid w:val="00C27DE9"/>
  </w:style>
  <w:style w:type="character" w:styleId="FollowedHyperlink">
    <w:name w:val="FollowedHyperlink"/>
    <w:uiPriority w:val="99"/>
    <w:rsid w:val="00152073"/>
    <w:rPr>
      <w:color w:val="6633CC"/>
      <w:u w:val="dotted"/>
    </w:rPr>
  </w:style>
  <w:style w:type="paragraph" w:customStyle="1" w:styleId="DHHStabletext6pt">
    <w:name w:val="DHHS table text + 6pt"/>
    <w:basedOn w:val="DHHS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HSbodynospace">
    <w:name w:val="DHHS body no space"/>
    <w:basedOn w:val="DHHSbody"/>
    <w:uiPriority w:val="1"/>
    <w:rsid w:val="00F772C6"/>
    <w:pPr>
      <w:spacing w:after="0"/>
    </w:pPr>
  </w:style>
  <w:style w:type="paragraph" w:customStyle="1" w:styleId="DHHSbullet1">
    <w:name w:val="DHHS bullet 1"/>
    <w:basedOn w:val="DHHSbody"/>
    <w:qFormat/>
    <w:rsid w:val="0051568D"/>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uiPriority w:val="39"/>
    <w:rsid w:val="000F2259"/>
    <w:pPr>
      <w:keepLines/>
      <w:tabs>
        <w:tab w:val="right" w:leader="dot" w:pos="10206"/>
      </w:tabs>
      <w:spacing w:before="120" w:after="60"/>
      <w:ind w:right="680"/>
    </w:pPr>
    <w:rPr>
      <w:rFonts w:ascii="Arial" w:hAnsi="Arial"/>
      <w:b/>
      <w:noProof/>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styleId="Strong">
    <w:name w:val="Strong"/>
    <w:uiPriority w:val="22"/>
    <w:qFormat/>
    <w:rsid w:val="00FA3525"/>
    <w:rPr>
      <w:b/>
      <w:bCs/>
    </w:rPr>
  </w:style>
  <w:style w:type="paragraph" w:customStyle="1" w:styleId="DHHSTOCheadingfactsheet">
    <w:name w:val="DHHS TOC heading fact sheet"/>
    <w:basedOn w:val="Heading2"/>
    <w:next w:val="DHHSbody"/>
    <w:link w:val="DHHSTOCheadingfactsheetChar"/>
    <w:uiPriority w:val="4"/>
    <w:rsid w:val="000A6666"/>
    <w:pPr>
      <w:spacing w:before="0" w:after="200"/>
      <w:outlineLvl w:val="9"/>
    </w:pPr>
  </w:style>
  <w:style w:type="character" w:customStyle="1" w:styleId="DHHSTOCheadingfactsheetChar">
    <w:name w:val="DHHS TOC heading fact sheet Char"/>
    <w:link w:val="DHHSTOCheadingfactsheet"/>
    <w:uiPriority w:val="4"/>
    <w:rsid w:val="000A6666"/>
    <w:rPr>
      <w:rFonts w:ascii="Arial" w:hAnsi="Arial"/>
      <w:b/>
      <w:color w:val="004EA8"/>
      <w:sz w:val="28"/>
      <w:szCs w:val="28"/>
      <w:lang w:eastAsia="en-US"/>
    </w:rPr>
  </w:style>
  <w:style w:type="paragraph" w:styleId="TOC2">
    <w:name w:val="toc 2"/>
    <w:uiPriority w:val="39"/>
    <w:rsid w:val="000F2259"/>
    <w:pPr>
      <w:keepLines/>
      <w:tabs>
        <w:tab w:val="right" w:leader="dot" w:pos="10206"/>
      </w:tabs>
      <w:spacing w:after="60"/>
      <w:ind w:right="680"/>
    </w:pPr>
    <w:rPr>
      <w:rFonts w:ascii="Arial" w:hAnsi="Arial"/>
      <w:noProof/>
      <w:lang w:eastAsia="en-US"/>
    </w:rPr>
  </w:style>
  <w:style w:type="paragraph" w:styleId="TOC3">
    <w:name w:val="toc 3"/>
    <w:basedOn w:val="TOC2"/>
    <w:next w:val="DHHS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DHHStabletext">
    <w:name w:val="DHHS table text"/>
    <w:uiPriority w:val="3"/>
    <w:qFormat/>
    <w:rsid w:val="00DA2619"/>
    <w:pPr>
      <w:spacing w:before="80" w:after="60"/>
    </w:pPr>
    <w:rPr>
      <w:rFonts w:ascii="Arial" w:hAnsi="Arial"/>
      <w:lang w:eastAsia="en-US"/>
    </w:rPr>
  </w:style>
  <w:style w:type="paragraph" w:customStyle="1" w:styleId="DHHStablecaption">
    <w:name w:val="DHHS table caption"/>
    <w:next w:val="DHHSbody"/>
    <w:uiPriority w:val="3"/>
    <w:qFormat/>
    <w:rsid w:val="00233724"/>
    <w:pPr>
      <w:keepNext/>
      <w:keepLines/>
      <w:spacing w:before="240" w:after="120" w:line="240" w:lineRule="atLeast"/>
    </w:pPr>
    <w:rPr>
      <w:rFonts w:ascii="Arial" w:hAnsi="Arial"/>
      <w:b/>
      <w:lang w:eastAsia="en-US"/>
    </w:rPr>
  </w:style>
  <w:style w:type="paragraph" w:customStyle="1" w:styleId="DHHSmainheading">
    <w:name w:val="DHHS main heading"/>
    <w:uiPriority w:val="8"/>
    <w:rsid w:val="004946F4"/>
    <w:pPr>
      <w:spacing w:line="560" w:lineRule="atLeast"/>
    </w:pPr>
    <w:rPr>
      <w:rFonts w:ascii="Arial" w:hAnsi="Arial"/>
      <w:color w:val="FFFFFF"/>
      <w:sz w:val="50"/>
      <w:szCs w:val="50"/>
      <w:lang w:eastAsia="en-US"/>
    </w:rPr>
  </w:style>
  <w:style w:type="character" w:styleId="FootnoteReference">
    <w:name w:val="footnote reference"/>
    <w:uiPriority w:val="8"/>
    <w:rsid w:val="00BC7ED7"/>
    <w:rPr>
      <w:vertAlign w:val="superscript"/>
    </w:rPr>
  </w:style>
  <w:style w:type="paragraph" w:customStyle="1" w:styleId="DHHSaccessibilitypara">
    <w:name w:val="DHHS accessibility para"/>
    <w:uiPriority w:val="8"/>
    <w:rsid w:val="00770F37"/>
    <w:pPr>
      <w:spacing w:after="200" w:line="300" w:lineRule="atLeast"/>
    </w:pPr>
    <w:rPr>
      <w:rFonts w:ascii="Arial" w:eastAsia="Times" w:hAnsi="Arial"/>
      <w:sz w:val="24"/>
      <w:szCs w:val="19"/>
      <w:lang w:eastAsia="en-US"/>
    </w:rPr>
  </w:style>
  <w:style w:type="paragraph" w:customStyle="1" w:styleId="DHHSfigurecaption">
    <w:name w:val="DHHS figure caption"/>
    <w:next w:val="DHHSbody"/>
    <w:rsid w:val="00770F37"/>
    <w:pPr>
      <w:keepNext/>
      <w:keepLines/>
      <w:spacing w:before="240" w:after="120"/>
    </w:pPr>
    <w:rPr>
      <w:rFonts w:ascii="Arial" w:hAnsi="Arial"/>
      <w:b/>
      <w:lang w:eastAsia="en-US"/>
    </w:rPr>
  </w:style>
  <w:style w:type="paragraph" w:customStyle="1" w:styleId="DHHSbullet2">
    <w:name w:val="DHHS bullet 2"/>
    <w:basedOn w:val="DHHSbody"/>
    <w:uiPriority w:val="2"/>
    <w:qFormat/>
    <w:rsid w:val="0051568D"/>
    <w:pPr>
      <w:numPr>
        <w:ilvl w:val="2"/>
        <w:numId w:val="7"/>
      </w:numPr>
      <w:spacing w:after="40"/>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DHHStablebullet">
    <w:name w:val="DHHS table bullet"/>
    <w:basedOn w:val="DHHStabletext"/>
    <w:uiPriority w:val="3"/>
    <w:qFormat/>
    <w:rsid w:val="0051568D"/>
    <w:pPr>
      <w:numPr>
        <w:ilvl w:val="6"/>
        <w:numId w:val="7"/>
      </w:numPr>
    </w:pPr>
  </w:style>
  <w:style w:type="paragraph" w:customStyle="1" w:styleId="DHHStablecolhead">
    <w:name w:val="DHHS table col head"/>
    <w:uiPriority w:val="3"/>
    <w:qFormat/>
    <w:rsid w:val="000A6666"/>
    <w:pPr>
      <w:spacing w:before="80" w:after="60"/>
    </w:pPr>
    <w:rPr>
      <w:rFonts w:ascii="Arial" w:hAnsi="Arial"/>
      <w:b/>
      <w:color w:val="004EA8"/>
      <w:lang w:eastAsia="en-US"/>
    </w:rPr>
  </w:style>
  <w:style w:type="paragraph" w:customStyle="1" w:styleId="DHHSbulletindent">
    <w:name w:val="DHHS bullet indent"/>
    <w:basedOn w:val="DHHSbody"/>
    <w:uiPriority w:val="4"/>
    <w:rsid w:val="0051568D"/>
    <w:pPr>
      <w:numPr>
        <w:ilvl w:val="4"/>
        <w:numId w:val="7"/>
      </w:numPr>
      <w:spacing w:after="40"/>
    </w:pPr>
  </w:style>
  <w:style w:type="character" w:styleId="Hyperlink">
    <w:name w:val="Hyperlink"/>
    <w:uiPriority w:val="99"/>
    <w:rsid w:val="004743DD"/>
    <w:rPr>
      <w:color w:val="3366FF"/>
      <w:u w:val="dotted"/>
    </w:rPr>
  </w:style>
  <w:style w:type="paragraph" w:customStyle="1" w:styleId="DHHSbullet1lastline">
    <w:name w:val="DHHS bullet 1 last line"/>
    <w:basedOn w:val="DHHSbullet1"/>
    <w:qFormat/>
    <w:rsid w:val="0051568D"/>
    <w:pPr>
      <w:numPr>
        <w:ilvl w:val="1"/>
      </w:numPr>
      <w:spacing w:after="120"/>
    </w:pPr>
  </w:style>
  <w:style w:type="paragraph" w:customStyle="1" w:styleId="DHHSbullet2lastline">
    <w:name w:val="DHHS bullet 2 last line"/>
    <w:basedOn w:val="DHHSbullet2"/>
    <w:uiPriority w:val="2"/>
    <w:qFormat/>
    <w:rsid w:val="0051568D"/>
    <w:pPr>
      <w:numPr>
        <w:ilvl w:val="3"/>
      </w:numPr>
      <w:spacing w:after="120"/>
    </w:pPr>
  </w:style>
  <w:style w:type="paragraph" w:customStyle="1" w:styleId="DHHSmainsubheading">
    <w:name w:val="DHHS main subheading"/>
    <w:uiPriority w:val="8"/>
    <w:rsid w:val="00AD784C"/>
    <w:rPr>
      <w:rFonts w:ascii="Arial" w:hAnsi="Arial"/>
      <w:color w:val="FFFFFF"/>
      <w:sz w:val="28"/>
      <w:szCs w:val="24"/>
      <w:lang w:eastAsia="en-US"/>
    </w:rPr>
  </w:style>
  <w:style w:type="paragraph" w:styleId="FootnoteText">
    <w:name w:val="footnote text"/>
    <w:basedOn w:val="Normal"/>
    <w:link w:val="FootnoteTextChar"/>
    <w:uiPriority w:val="8"/>
    <w:rsid w:val="00152073"/>
    <w:pPr>
      <w:spacing w:before="60" w:after="60" w:line="200" w:lineRule="atLeast"/>
    </w:pPr>
    <w:rPr>
      <w:rFonts w:ascii="Arial" w:eastAsia="MS Gothic" w:hAnsi="Arial" w:cs="Arial"/>
      <w:sz w:val="16"/>
      <w:szCs w:val="16"/>
    </w:rPr>
  </w:style>
  <w:style w:type="character" w:customStyle="1" w:styleId="FootnoteTextChar">
    <w:name w:val="Footnote Text Char"/>
    <w:link w:val="FootnoteText"/>
    <w:uiPriority w:val="8"/>
    <w:rsid w:val="003F0445"/>
    <w:rPr>
      <w:rFonts w:ascii="Arial" w:eastAsia="MS Gothic" w:hAnsi="Arial" w:cs="Arial"/>
      <w:sz w:val="16"/>
      <w:szCs w:val="16"/>
      <w:lang w:eastAsia="en-US"/>
    </w:rPr>
  </w:style>
  <w:style w:type="paragraph" w:customStyle="1" w:styleId="Spacerparatopoffirstpage">
    <w:name w:val="Spacer para top of first page"/>
    <w:basedOn w:val="DHHS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1568D"/>
    <w:pPr>
      <w:numPr>
        <w:numId w:val="7"/>
      </w:numPr>
    </w:pPr>
  </w:style>
  <w:style w:type="numbering" w:customStyle="1" w:styleId="ZZNumbers">
    <w:name w:val="ZZ Numbers"/>
    <w:rsid w:val="00152073"/>
    <w:pPr>
      <w:numPr>
        <w:numId w:val="8"/>
      </w:numPr>
    </w:pPr>
  </w:style>
  <w:style w:type="paragraph" w:customStyle="1" w:styleId="DHHSbulletindentlastline">
    <w:name w:val="DHHS bullet indent last line"/>
    <w:basedOn w:val="DHHSbody"/>
    <w:uiPriority w:val="4"/>
    <w:rsid w:val="0051568D"/>
    <w:pPr>
      <w:numPr>
        <w:ilvl w:val="5"/>
        <w:numId w:val="7"/>
      </w:numPr>
    </w:pPr>
  </w:style>
  <w:style w:type="paragraph" w:customStyle="1" w:styleId="DHHSnumberdigit">
    <w:name w:val="DHHS number digit"/>
    <w:basedOn w:val="DHHSbody"/>
    <w:uiPriority w:val="2"/>
    <w:rsid w:val="00152073"/>
    <w:pPr>
      <w:numPr>
        <w:numId w:val="8"/>
      </w:numPr>
    </w:pPr>
  </w:style>
  <w:style w:type="paragraph" w:customStyle="1" w:styleId="DHHSnumberloweralphaindent">
    <w:name w:val="DHHS number lower alpha indent"/>
    <w:basedOn w:val="DHHSbody"/>
    <w:uiPriority w:val="3"/>
    <w:rsid w:val="00152073"/>
    <w:pPr>
      <w:numPr>
        <w:ilvl w:val="3"/>
        <w:numId w:val="8"/>
      </w:numPr>
    </w:pPr>
  </w:style>
  <w:style w:type="paragraph" w:customStyle="1" w:styleId="DHHSnumberdigitindent">
    <w:name w:val="DHHS number digit indent"/>
    <w:basedOn w:val="DHHSnumberloweralphaindent"/>
    <w:uiPriority w:val="3"/>
    <w:rsid w:val="00152073"/>
    <w:pPr>
      <w:numPr>
        <w:ilvl w:val="1"/>
      </w:numPr>
    </w:pPr>
  </w:style>
  <w:style w:type="paragraph" w:customStyle="1" w:styleId="DHHSnumberloweralpha">
    <w:name w:val="DHHS number lower alpha"/>
    <w:basedOn w:val="DHHSbody"/>
    <w:uiPriority w:val="3"/>
    <w:rsid w:val="00152073"/>
    <w:pPr>
      <w:numPr>
        <w:ilvl w:val="2"/>
        <w:numId w:val="8"/>
      </w:numPr>
    </w:pPr>
  </w:style>
  <w:style w:type="paragraph" w:customStyle="1" w:styleId="DHHSnumberlowerroman">
    <w:name w:val="DHHS number lower roman"/>
    <w:basedOn w:val="DHHSbody"/>
    <w:uiPriority w:val="3"/>
    <w:rsid w:val="00152073"/>
    <w:pPr>
      <w:numPr>
        <w:ilvl w:val="4"/>
        <w:numId w:val="8"/>
      </w:numPr>
    </w:pPr>
  </w:style>
  <w:style w:type="paragraph" w:customStyle="1" w:styleId="DHHSnumberlowerromanindent">
    <w:name w:val="DHHS number lower roman indent"/>
    <w:basedOn w:val="DHHSbody"/>
    <w:uiPriority w:val="3"/>
    <w:rsid w:val="00152073"/>
    <w:pPr>
      <w:numPr>
        <w:ilvl w:val="5"/>
        <w:numId w:val="8"/>
      </w:numPr>
    </w:pPr>
  </w:style>
  <w:style w:type="paragraph" w:customStyle="1" w:styleId="DHHSquote">
    <w:name w:val="DHHS quote"/>
    <w:basedOn w:val="DHHSbody"/>
    <w:uiPriority w:val="4"/>
    <w:rsid w:val="00152073"/>
    <w:pPr>
      <w:ind w:left="397"/>
    </w:pPr>
    <w:rPr>
      <w:szCs w:val="18"/>
    </w:rPr>
  </w:style>
  <w:style w:type="paragraph" w:customStyle="1" w:styleId="DHHStablefigurenote">
    <w:name w:val="DHHS table/figure note"/>
    <w:uiPriority w:val="4"/>
    <w:rsid w:val="00596A4B"/>
    <w:pPr>
      <w:spacing w:before="60" w:after="60" w:line="240" w:lineRule="exact"/>
    </w:pPr>
    <w:rPr>
      <w:rFonts w:ascii="Arial" w:hAnsi="Arial"/>
      <w:i/>
      <w:sz w:val="18"/>
      <w:lang w:eastAsia="en-US"/>
    </w:rPr>
  </w:style>
  <w:style w:type="paragraph" w:customStyle="1" w:styleId="DHHSbodyaftertablefigure">
    <w:name w:val="DHHS body after table/figure"/>
    <w:basedOn w:val="DHHSbody"/>
    <w:next w:val="DHHSbody"/>
    <w:uiPriority w:val="1"/>
    <w:rsid w:val="00951D50"/>
    <w:pPr>
      <w:spacing w:before="240"/>
    </w:pPr>
  </w:style>
  <w:style w:type="paragraph" w:customStyle="1" w:styleId="DHHSfooter">
    <w:name w:val="DHHS footer"/>
    <w:uiPriority w:val="11"/>
    <w:rsid w:val="0051568D"/>
    <w:pPr>
      <w:tabs>
        <w:tab w:val="right" w:pos="10206"/>
      </w:tabs>
    </w:pPr>
    <w:rPr>
      <w:rFonts w:ascii="Arial" w:hAnsi="Arial" w:cs="Arial"/>
      <w:sz w:val="18"/>
      <w:szCs w:val="18"/>
      <w:lang w:eastAsia="en-US"/>
    </w:rPr>
  </w:style>
  <w:style w:type="paragraph" w:customStyle="1" w:styleId="DHHSheader">
    <w:name w:val="DHHS header"/>
    <w:basedOn w:val="DHHSfooter"/>
    <w:uiPriority w:val="11"/>
    <w:rsid w:val="005156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providers.dhhs.vic.gov.au/public-housing-policy-and-practice-manuals" TargetMode="Externa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N287\Apps\Online\TEMPLATES\Visual%20style\DHHS%20Factsheet%2003%20Blue%20294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20" ma:contentTypeDescription="Create a new document." ma:contentTypeScope="" ma:versionID="0c3b25750aaa4907d0800f2715a4d6a9">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1e0e4daec42ccf527de72b2be702ca1f"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Cap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Caption" ma:index="25" nillable="true" ma:displayName="Caption" ma:format="Dropdown" ma:internalName="Caption">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5a02ebc-a532-4cc7-9416-7e8309854dba}"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6badf41-c0a1-41a6-983a-efd542c2c878">
      <Terms xmlns="http://schemas.microsoft.com/office/infopath/2007/PartnerControls"/>
    </lcf76f155ced4ddcb4097134ff3c332f>
    <TaxCatchAll xmlns="5ce0f2b5-5be5-4508-bce9-d7011ece0659" xsi:nil="true"/>
    <Caption xmlns="06badf41-c0a1-41a6-983a-efd542c2c878" xsi:nil="true"/>
  </documentManagement>
</p:properties>
</file>

<file path=customXml/itemProps1.xml><?xml version="1.0" encoding="utf-8"?>
<ds:datastoreItem xmlns:ds="http://schemas.openxmlformats.org/officeDocument/2006/customXml" ds:itemID="{47EFE354-7932-49E0-871F-B40FCF467842}"/>
</file>

<file path=customXml/itemProps2.xml><?xml version="1.0" encoding="utf-8"?>
<ds:datastoreItem xmlns:ds="http://schemas.openxmlformats.org/officeDocument/2006/customXml" ds:itemID="{B3B24EEB-B218-4A0B-BC15-871D31A4531E}"/>
</file>

<file path=customXml/itemProps3.xml><?xml version="1.0" encoding="utf-8"?>
<ds:datastoreItem xmlns:ds="http://schemas.openxmlformats.org/officeDocument/2006/customXml" ds:itemID="{97C2038D-6FA2-47EB-9D78-4345425FBEF0}"/>
</file>

<file path=docProps/app.xml><?xml version="1.0" encoding="utf-8"?>
<Properties xmlns="http://schemas.openxmlformats.org/officeDocument/2006/extended-properties" xmlns:vt="http://schemas.openxmlformats.org/officeDocument/2006/docPropsVTypes">
  <Template>DHHS Factsheet 03 Blue 2945.dot</Template>
  <TotalTime>1</TotalTime>
  <Pages>5</Pages>
  <Words>1861</Words>
  <Characters>11858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Neighbourly behaviour support operational guidelines</vt:lpstr>
    </vt:vector>
  </TitlesOfParts>
  <Company>Department of Health and Human Services</Company>
  <LinksUpToDate>false</LinksUpToDate>
  <CharactersWithSpaces>13692</CharactersWithSpaces>
  <SharedDoc>false</SharedDoc>
  <HyperlinkBase/>
  <HLinks>
    <vt:vector size="48" baseType="variant">
      <vt:variant>
        <vt:i4>2555941</vt:i4>
      </vt:variant>
      <vt:variant>
        <vt:i4>36</vt:i4>
      </vt:variant>
      <vt:variant>
        <vt:i4>0</vt:i4>
      </vt:variant>
      <vt:variant>
        <vt:i4>5</vt:i4>
      </vt:variant>
      <vt:variant>
        <vt:lpwstr>http://survey.tool.tempdomain.info/TakeSurveycss.asp?SurveyID=3K33p3LIm66MG</vt:lpwstr>
      </vt:variant>
      <vt:variant>
        <vt:lpwstr/>
      </vt:variant>
      <vt:variant>
        <vt:i4>3145752</vt:i4>
      </vt:variant>
      <vt:variant>
        <vt:i4>33</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6291573</vt:i4>
      </vt:variant>
      <vt:variant>
        <vt:i4>30</vt:i4>
      </vt:variant>
      <vt:variant>
        <vt:i4>0</vt:i4>
      </vt:variant>
      <vt:variant>
        <vt:i4>5</vt:i4>
      </vt:variant>
      <vt:variant>
        <vt:lpwstr>http://intranet.health.vic.gov.au/resources-and-tools/forms-and-templates/microsoft-word-templates</vt:lpwstr>
      </vt:variant>
      <vt:variant>
        <vt:lpwstr/>
      </vt:variant>
      <vt:variant>
        <vt:i4>7536758</vt:i4>
      </vt:variant>
      <vt:variant>
        <vt:i4>27</vt:i4>
      </vt:variant>
      <vt:variant>
        <vt:i4>0</vt:i4>
      </vt:variant>
      <vt:variant>
        <vt:i4>5</vt:i4>
      </vt:variant>
      <vt:variant>
        <vt:lpwstr>http://intranet.dhs.vic.gov.au/resources-and-tools/forms-and-templates/microsoft-word-templates</vt:lpwstr>
      </vt:variant>
      <vt:variant>
        <vt:lpwstr/>
      </vt:variant>
      <vt:variant>
        <vt:i4>1114167</vt:i4>
      </vt:variant>
      <vt:variant>
        <vt:i4>20</vt:i4>
      </vt:variant>
      <vt:variant>
        <vt:i4>0</vt:i4>
      </vt:variant>
      <vt:variant>
        <vt:i4>5</vt:i4>
      </vt:variant>
      <vt:variant>
        <vt:lpwstr/>
      </vt:variant>
      <vt:variant>
        <vt:lpwstr>_Toc440566511</vt:lpwstr>
      </vt:variant>
      <vt:variant>
        <vt:i4>1114167</vt:i4>
      </vt:variant>
      <vt:variant>
        <vt:i4>14</vt:i4>
      </vt:variant>
      <vt:variant>
        <vt:i4>0</vt:i4>
      </vt:variant>
      <vt:variant>
        <vt:i4>5</vt:i4>
      </vt:variant>
      <vt:variant>
        <vt:lpwstr/>
      </vt:variant>
      <vt:variant>
        <vt:lpwstr>_Toc440566510</vt:lpwstr>
      </vt:variant>
      <vt:variant>
        <vt:i4>1048631</vt:i4>
      </vt:variant>
      <vt:variant>
        <vt:i4>8</vt:i4>
      </vt:variant>
      <vt:variant>
        <vt:i4>0</vt:i4>
      </vt:variant>
      <vt:variant>
        <vt:i4>5</vt:i4>
      </vt:variant>
      <vt:variant>
        <vt:lpwstr/>
      </vt:variant>
      <vt:variant>
        <vt:lpwstr>_Toc440566509</vt:lpwstr>
      </vt:variant>
      <vt:variant>
        <vt:i4>1048631</vt:i4>
      </vt:variant>
      <vt:variant>
        <vt:i4>2</vt:i4>
      </vt:variant>
      <vt:variant>
        <vt:i4>0</vt:i4>
      </vt:variant>
      <vt:variant>
        <vt:i4>5</vt:i4>
      </vt:variant>
      <vt:variant>
        <vt:lpwstr/>
      </vt:variant>
      <vt:variant>
        <vt:lpwstr>_Toc440566508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Neighbourly behaviour support operational guidelines</dc:title>
  <dc:subject>Public housing</dc:subject>
  <dc:creator/>
  <cp:lastModifiedBy>Sarah Luscombe (DHHS)</cp:lastModifiedBy>
  <cp:revision>3</cp:revision>
  <cp:lastPrinted>2015-08-21T04:17:00Z</cp:lastPrinted>
  <dcterms:created xsi:type="dcterms:W3CDTF">2017-08-07T03:47:00Z</dcterms:created>
  <dcterms:modified xsi:type="dcterms:W3CDTF">2017-08-07T04:20:00Z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0x0101009F0C4347C5C6D34BA8C9FCC4F57D19B6</vt:lpwstr>
  </property>
</Properties>
</file>