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8F723C" w14:textId="77777777" w:rsidR="00056EC4" w:rsidRDefault="006551B4" w:rsidP="00056EC4">
      <w:pPr>
        <w:pStyle w:val="Body"/>
      </w:pPr>
      <w:r>
        <w:rPr>
          <w:noProof/>
        </w:rPr>
        <w:drawing>
          <wp:anchor distT="0" distB="0" distL="114300" distR="114300" simplePos="0" relativeHeight="251658240" behindDoc="1" locked="1" layoutInCell="1" allowOverlap="1" wp14:anchorId="259AF9EC" wp14:editId="4572A754">
            <wp:simplePos x="0" y="0"/>
            <wp:positionH relativeFrom="page">
              <wp:posOffset>0</wp:posOffset>
            </wp:positionH>
            <wp:positionV relativeFrom="page">
              <wp:posOffset>0</wp:posOffset>
            </wp:positionV>
            <wp:extent cx="7560000" cy="10148400"/>
            <wp:effectExtent l="0" t="0" r="3175" b="5715"/>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1"/>
                    <a:stretch>
                      <a:fillRect/>
                    </a:stretch>
                  </pic:blipFill>
                  <pic:spPr>
                    <a:xfrm>
                      <a:off x="0" y="0"/>
                      <a:ext cx="7560000" cy="101484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6610E429" w14:textId="77777777" w:rsidTr="00431F42">
        <w:trPr>
          <w:cantSplit/>
        </w:trPr>
        <w:tc>
          <w:tcPr>
            <w:tcW w:w="0" w:type="auto"/>
            <w:tcMar>
              <w:top w:w="0" w:type="dxa"/>
              <w:left w:w="0" w:type="dxa"/>
              <w:right w:w="0" w:type="dxa"/>
            </w:tcMar>
          </w:tcPr>
          <w:p w14:paraId="1F1E3CD8" w14:textId="097ADB1E" w:rsidR="00AD784C" w:rsidRPr="00431F42" w:rsidRDefault="00762DF1" w:rsidP="00431F42">
            <w:pPr>
              <w:pStyle w:val="Documenttitle"/>
            </w:pPr>
            <w:r>
              <w:t>Movable units operational guidelines</w:t>
            </w:r>
          </w:p>
        </w:tc>
      </w:tr>
      <w:tr w:rsidR="00AD784C" w14:paraId="7F50CECE" w14:textId="77777777" w:rsidTr="00431F42">
        <w:trPr>
          <w:cantSplit/>
        </w:trPr>
        <w:tc>
          <w:tcPr>
            <w:tcW w:w="0" w:type="auto"/>
          </w:tcPr>
          <w:p w14:paraId="310DF3DA" w14:textId="5D6B58B3" w:rsidR="00386109" w:rsidRPr="00A1389F" w:rsidRDefault="00762DF1" w:rsidP="009315BE">
            <w:pPr>
              <w:pStyle w:val="Documentsubtitle"/>
            </w:pPr>
            <w:r>
              <w:t>Version 3.0</w:t>
            </w:r>
          </w:p>
        </w:tc>
      </w:tr>
      <w:tr w:rsidR="00430393" w14:paraId="4ACBB2F8" w14:textId="77777777" w:rsidTr="00431F42">
        <w:trPr>
          <w:cantSplit/>
        </w:trPr>
        <w:tc>
          <w:tcPr>
            <w:tcW w:w="0" w:type="auto"/>
          </w:tcPr>
          <w:p w14:paraId="5A1AA228" w14:textId="77777777" w:rsidR="00430393" w:rsidRDefault="00875D99" w:rsidP="00430393">
            <w:pPr>
              <w:pStyle w:val="Bannermarking"/>
            </w:pPr>
            <w:r>
              <w:fldChar w:fldCharType="begin"/>
            </w:r>
            <w:r>
              <w:instrText xml:space="preserve"> FILLIN  "Type the protective marking" \d OFFICIAL \o  \* MERGEFORMAT </w:instrText>
            </w:r>
            <w:r>
              <w:fldChar w:fldCharType="separate"/>
            </w:r>
            <w:r w:rsidR="00C85031">
              <w:t>OFFICIAL</w:t>
            </w:r>
            <w:r>
              <w:fldChar w:fldCharType="end"/>
            </w:r>
          </w:p>
        </w:tc>
      </w:tr>
    </w:tbl>
    <w:p w14:paraId="039DB727" w14:textId="77777777" w:rsidR="00FE4081" w:rsidRDefault="00FE4081" w:rsidP="00FE4081">
      <w:pPr>
        <w:pStyle w:val="Body"/>
      </w:pPr>
    </w:p>
    <w:p w14:paraId="54880B97" w14:textId="77777777" w:rsidR="00FE4081" w:rsidRPr="00FE4081" w:rsidRDefault="00FE4081" w:rsidP="00FE4081">
      <w:pPr>
        <w:pStyle w:val="Body"/>
        <w:sectPr w:rsidR="00FE4081" w:rsidRPr="00FE4081"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p w14:paraId="02317115" w14:textId="77777777" w:rsidR="00431F42" w:rsidRDefault="00431F42" w:rsidP="00431F42">
      <w:pPr>
        <w:pStyle w:val="Body"/>
      </w:pPr>
      <w:r>
        <w:lastRenderedPageBreak/>
        <w:br w:type="page"/>
      </w: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431F42" w14:paraId="32A5BBC3" w14:textId="77777777" w:rsidTr="00431F42">
        <w:trPr>
          <w:trHeight w:val="7371"/>
        </w:trPr>
        <w:tc>
          <w:tcPr>
            <w:tcW w:w="7598" w:type="dxa"/>
            <w:vAlign w:val="center"/>
          </w:tcPr>
          <w:p w14:paraId="3DCBE235" w14:textId="15328E79" w:rsidR="00431F42" w:rsidRDefault="00762DF1" w:rsidP="00431F42">
            <w:pPr>
              <w:pStyle w:val="Documenttitle"/>
            </w:pPr>
            <w:r>
              <w:lastRenderedPageBreak/>
              <w:t>Movable units operational guidelines</w:t>
            </w:r>
          </w:p>
          <w:p w14:paraId="51B1F235" w14:textId="1646FE86" w:rsidR="00431F42" w:rsidRDefault="00762DF1" w:rsidP="00431F42">
            <w:pPr>
              <w:pStyle w:val="Documentsubtitle"/>
            </w:pPr>
            <w:r>
              <w:t>Version 3.0</w:t>
            </w:r>
          </w:p>
        </w:tc>
      </w:tr>
      <w:tr w:rsidR="00431F42" w14:paraId="5C0544FC" w14:textId="77777777" w:rsidTr="00431F42">
        <w:tc>
          <w:tcPr>
            <w:tcW w:w="7598" w:type="dxa"/>
          </w:tcPr>
          <w:p w14:paraId="1B20FFE2" w14:textId="77777777" w:rsidR="00431F42" w:rsidRDefault="00431F42" w:rsidP="00431F42">
            <w:pPr>
              <w:pStyle w:val="Body"/>
            </w:pPr>
          </w:p>
        </w:tc>
      </w:tr>
    </w:tbl>
    <w:p w14:paraId="5134671D" w14:textId="77777777" w:rsidR="000D2ABA" w:rsidRDefault="000D2ABA" w:rsidP="00431F42">
      <w:pPr>
        <w:pStyle w:val="Body"/>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5C39B5A7" w14:textId="77777777" w:rsidTr="00562507">
        <w:trPr>
          <w:cantSplit/>
          <w:trHeight w:val="5103"/>
        </w:trPr>
        <w:tc>
          <w:tcPr>
            <w:tcW w:w="9288" w:type="dxa"/>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931"/>
              <w:gridCol w:w="1458"/>
              <w:gridCol w:w="4341"/>
            </w:tblGrid>
            <w:tr w:rsidR="00762DF1" w:rsidRPr="00643A16" w14:paraId="73173876" w14:textId="77777777" w:rsidTr="00501145">
              <w:tc>
                <w:tcPr>
                  <w:tcW w:w="1702" w:type="dxa"/>
                  <w:tcBorders>
                    <w:top w:val="single" w:sz="4" w:space="0" w:color="auto"/>
                    <w:left w:val="single" w:sz="4" w:space="0" w:color="auto"/>
                    <w:bottom w:val="single" w:sz="4" w:space="0" w:color="auto"/>
                    <w:right w:val="single" w:sz="4" w:space="0" w:color="auto"/>
                  </w:tcBorders>
                </w:tcPr>
                <w:p w14:paraId="78EFE139" w14:textId="75F3F6FC" w:rsidR="00762DF1" w:rsidRPr="00762DF1" w:rsidRDefault="00762DF1" w:rsidP="00762DF1">
                  <w:pPr>
                    <w:pStyle w:val="Tablecolhead"/>
                  </w:pPr>
                  <w:r>
                    <w:rPr>
                      <w:b w:val="0"/>
                      <w:color w:val="auto"/>
                    </w:rPr>
                    <w:lastRenderedPageBreak/>
                    <w:br w:type="page"/>
                  </w:r>
                  <w:r w:rsidRPr="00762DF1">
                    <w:t>Version</w:t>
                  </w:r>
                </w:p>
              </w:tc>
              <w:tc>
                <w:tcPr>
                  <w:tcW w:w="2126" w:type="dxa"/>
                  <w:tcBorders>
                    <w:top w:val="single" w:sz="4" w:space="0" w:color="auto"/>
                    <w:left w:val="single" w:sz="4" w:space="0" w:color="auto"/>
                    <w:bottom w:val="single" w:sz="4" w:space="0" w:color="auto"/>
                    <w:right w:val="single" w:sz="4" w:space="0" w:color="auto"/>
                  </w:tcBorders>
                </w:tcPr>
                <w:p w14:paraId="25A04B6F" w14:textId="77777777" w:rsidR="00762DF1" w:rsidRPr="00762DF1" w:rsidRDefault="00762DF1" w:rsidP="00762DF1">
                  <w:pPr>
                    <w:pStyle w:val="Tablecolhead"/>
                  </w:pPr>
                  <w:r w:rsidRPr="00762DF1">
                    <w:t>Amended section</w:t>
                  </w:r>
                </w:p>
              </w:tc>
              <w:tc>
                <w:tcPr>
                  <w:tcW w:w="1559" w:type="dxa"/>
                  <w:tcBorders>
                    <w:top w:val="single" w:sz="4" w:space="0" w:color="auto"/>
                    <w:left w:val="single" w:sz="4" w:space="0" w:color="auto"/>
                    <w:bottom w:val="single" w:sz="4" w:space="0" w:color="auto"/>
                    <w:right w:val="single" w:sz="4" w:space="0" w:color="auto"/>
                  </w:tcBorders>
                </w:tcPr>
                <w:p w14:paraId="117AA164" w14:textId="77777777" w:rsidR="00762DF1" w:rsidRPr="00762DF1" w:rsidRDefault="00762DF1" w:rsidP="00762DF1">
                  <w:pPr>
                    <w:pStyle w:val="Tablecolhead"/>
                  </w:pPr>
                  <w:r w:rsidRPr="00762DF1">
                    <w:t>Effective</w:t>
                  </w:r>
                </w:p>
              </w:tc>
              <w:tc>
                <w:tcPr>
                  <w:tcW w:w="5067" w:type="dxa"/>
                  <w:tcBorders>
                    <w:top w:val="single" w:sz="4" w:space="0" w:color="auto"/>
                    <w:left w:val="single" w:sz="4" w:space="0" w:color="auto"/>
                    <w:bottom w:val="single" w:sz="4" w:space="0" w:color="auto"/>
                    <w:right w:val="single" w:sz="4" w:space="0" w:color="auto"/>
                  </w:tcBorders>
                </w:tcPr>
                <w:p w14:paraId="288E386B" w14:textId="77777777" w:rsidR="00762DF1" w:rsidRPr="00762DF1" w:rsidRDefault="00762DF1" w:rsidP="00762DF1">
                  <w:pPr>
                    <w:pStyle w:val="Tablecolhead"/>
                  </w:pPr>
                  <w:r w:rsidRPr="00762DF1">
                    <w:t>Details</w:t>
                  </w:r>
                </w:p>
              </w:tc>
            </w:tr>
            <w:tr w:rsidR="00762DF1" w:rsidRPr="00643A16" w14:paraId="1AB3204E" w14:textId="77777777" w:rsidTr="00501145">
              <w:tc>
                <w:tcPr>
                  <w:tcW w:w="1702" w:type="dxa"/>
                  <w:tcBorders>
                    <w:top w:val="single" w:sz="4" w:space="0" w:color="auto"/>
                    <w:left w:val="single" w:sz="4" w:space="0" w:color="auto"/>
                    <w:bottom w:val="single" w:sz="4" w:space="0" w:color="auto"/>
                    <w:right w:val="single" w:sz="4" w:space="0" w:color="auto"/>
                  </w:tcBorders>
                </w:tcPr>
                <w:p w14:paraId="5CDDEDAB" w14:textId="77777777" w:rsidR="00762DF1" w:rsidRPr="00643A16" w:rsidRDefault="00762DF1" w:rsidP="00762DF1">
                  <w:pPr>
                    <w:pStyle w:val="Tabletext"/>
                    <w:rPr>
                      <w:rFonts w:eastAsia="Times"/>
                    </w:rPr>
                  </w:pPr>
                  <w:r w:rsidRPr="00643A16">
                    <w:rPr>
                      <w:rFonts w:eastAsia="Times"/>
                    </w:rPr>
                    <w:t>1.0</w:t>
                  </w:r>
                </w:p>
              </w:tc>
              <w:tc>
                <w:tcPr>
                  <w:tcW w:w="2126" w:type="dxa"/>
                  <w:tcBorders>
                    <w:top w:val="single" w:sz="4" w:space="0" w:color="auto"/>
                    <w:left w:val="single" w:sz="4" w:space="0" w:color="auto"/>
                    <w:bottom w:val="single" w:sz="4" w:space="0" w:color="auto"/>
                    <w:right w:val="single" w:sz="4" w:space="0" w:color="auto"/>
                  </w:tcBorders>
                </w:tcPr>
                <w:p w14:paraId="48F39B0D" w14:textId="77777777" w:rsidR="00762DF1" w:rsidRPr="00643A16" w:rsidRDefault="00762DF1" w:rsidP="00762DF1">
                  <w:pPr>
                    <w:pStyle w:val="Tabletext"/>
                    <w:rPr>
                      <w:rFonts w:eastAsia="Times"/>
                    </w:rPr>
                  </w:pPr>
                </w:p>
              </w:tc>
              <w:tc>
                <w:tcPr>
                  <w:tcW w:w="1559" w:type="dxa"/>
                  <w:tcBorders>
                    <w:top w:val="single" w:sz="4" w:space="0" w:color="auto"/>
                    <w:left w:val="single" w:sz="4" w:space="0" w:color="auto"/>
                    <w:bottom w:val="single" w:sz="4" w:space="0" w:color="auto"/>
                    <w:right w:val="single" w:sz="4" w:space="0" w:color="auto"/>
                  </w:tcBorders>
                </w:tcPr>
                <w:p w14:paraId="44902B12" w14:textId="77777777" w:rsidR="00762DF1" w:rsidRPr="00643A16" w:rsidRDefault="00762DF1" w:rsidP="00762DF1">
                  <w:pPr>
                    <w:pStyle w:val="Tabletext"/>
                    <w:rPr>
                      <w:rFonts w:eastAsia="Times"/>
                    </w:rPr>
                  </w:pPr>
                  <w:r w:rsidRPr="00643A16">
                    <w:rPr>
                      <w:rFonts w:eastAsia="Times"/>
                    </w:rPr>
                    <w:t>18 May 2015</w:t>
                  </w:r>
                </w:p>
              </w:tc>
              <w:tc>
                <w:tcPr>
                  <w:tcW w:w="5067" w:type="dxa"/>
                  <w:tcBorders>
                    <w:top w:val="single" w:sz="4" w:space="0" w:color="auto"/>
                    <w:left w:val="single" w:sz="4" w:space="0" w:color="auto"/>
                    <w:bottom w:val="single" w:sz="4" w:space="0" w:color="auto"/>
                    <w:right w:val="single" w:sz="4" w:space="0" w:color="auto"/>
                  </w:tcBorders>
                </w:tcPr>
                <w:p w14:paraId="69D13A36" w14:textId="77777777" w:rsidR="00762DF1" w:rsidRPr="00643A16" w:rsidRDefault="00762DF1" w:rsidP="00762DF1">
                  <w:pPr>
                    <w:pStyle w:val="Tabletext"/>
                    <w:rPr>
                      <w:rFonts w:eastAsia="Times"/>
                    </w:rPr>
                  </w:pPr>
                  <w:r w:rsidRPr="00643A16">
                    <w:rPr>
                      <w:rFonts w:eastAsia="Times"/>
                    </w:rPr>
                    <w:t>Date of issue</w:t>
                  </w:r>
                </w:p>
              </w:tc>
            </w:tr>
            <w:tr w:rsidR="00762DF1" w:rsidRPr="00643A16" w14:paraId="247CDC96" w14:textId="77777777" w:rsidTr="00501145">
              <w:tc>
                <w:tcPr>
                  <w:tcW w:w="1702" w:type="dxa"/>
                  <w:tcBorders>
                    <w:top w:val="single" w:sz="4" w:space="0" w:color="auto"/>
                    <w:left w:val="single" w:sz="4" w:space="0" w:color="auto"/>
                    <w:bottom w:val="single" w:sz="4" w:space="0" w:color="auto"/>
                    <w:right w:val="single" w:sz="4" w:space="0" w:color="auto"/>
                  </w:tcBorders>
                </w:tcPr>
                <w:p w14:paraId="64EB1F62" w14:textId="77777777" w:rsidR="00762DF1" w:rsidRPr="00643A16" w:rsidRDefault="00762DF1" w:rsidP="00762DF1">
                  <w:pPr>
                    <w:pStyle w:val="Tabletext"/>
                    <w:rPr>
                      <w:rFonts w:eastAsia="Times"/>
                    </w:rPr>
                  </w:pPr>
                  <w:r w:rsidRPr="00643A16">
                    <w:rPr>
                      <w:rFonts w:eastAsia="Times"/>
                    </w:rPr>
                    <w:t>2.0</w:t>
                  </w:r>
                </w:p>
                <w:p w14:paraId="2B1FE4A5" w14:textId="77777777" w:rsidR="00762DF1" w:rsidRPr="00643A16" w:rsidRDefault="00762DF1" w:rsidP="00762DF1">
                  <w:pPr>
                    <w:pStyle w:val="Tabletext"/>
                    <w:rPr>
                      <w:rFonts w:eastAsia="Times"/>
                    </w:rPr>
                  </w:pPr>
                </w:p>
              </w:tc>
              <w:tc>
                <w:tcPr>
                  <w:tcW w:w="2126" w:type="dxa"/>
                  <w:tcBorders>
                    <w:top w:val="single" w:sz="4" w:space="0" w:color="auto"/>
                    <w:left w:val="single" w:sz="4" w:space="0" w:color="auto"/>
                    <w:bottom w:val="single" w:sz="4" w:space="0" w:color="auto"/>
                    <w:right w:val="single" w:sz="4" w:space="0" w:color="auto"/>
                  </w:tcBorders>
                </w:tcPr>
                <w:p w14:paraId="019352F4" w14:textId="77777777" w:rsidR="00762DF1" w:rsidRPr="00643A16" w:rsidRDefault="00762DF1" w:rsidP="00762DF1">
                  <w:pPr>
                    <w:pStyle w:val="Tabletext"/>
                    <w:rPr>
                      <w:rFonts w:eastAsia="Times"/>
                    </w:rPr>
                  </w:pPr>
                  <w:r w:rsidRPr="00643A16">
                    <w:rPr>
                      <w:rFonts w:eastAsia="Times"/>
                    </w:rPr>
                    <w:t>Tier one eligibility</w:t>
                  </w:r>
                </w:p>
              </w:tc>
              <w:tc>
                <w:tcPr>
                  <w:tcW w:w="1559" w:type="dxa"/>
                  <w:tcBorders>
                    <w:top w:val="single" w:sz="4" w:space="0" w:color="auto"/>
                    <w:left w:val="single" w:sz="4" w:space="0" w:color="auto"/>
                    <w:bottom w:val="single" w:sz="4" w:space="0" w:color="auto"/>
                    <w:right w:val="single" w:sz="4" w:space="0" w:color="auto"/>
                  </w:tcBorders>
                </w:tcPr>
                <w:p w14:paraId="0BE21949" w14:textId="77777777" w:rsidR="00762DF1" w:rsidRPr="00643A16" w:rsidRDefault="00762DF1" w:rsidP="00762DF1">
                  <w:pPr>
                    <w:pStyle w:val="Tabletext"/>
                    <w:rPr>
                      <w:rFonts w:eastAsia="Times"/>
                    </w:rPr>
                  </w:pPr>
                  <w:r>
                    <w:rPr>
                      <w:rFonts w:eastAsia="Times"/>
                    </w:rPr>
                    <w:t>July 2017</w:t>
                  </w:r>
                </w:p>
              </w:tc>
              <w:tc>
                <w:tcPr>
                  <w:tcW w:w="5067" w:type="dxa"/>
                  <w:tcBorders>
                    <w:top w:val="single" w:sz="4" w:space="0" w:color="auto"/>
                    <w:left w:val="single" w:sz="4" w:space="0" w:color="auto"/>
                    <w:bottom w:val="single" w:sz="4" w:space="0" w:color="auto"/>
                    <w:right w:val="single" w:sz="4" w:space="0" w:color="auto"/>
                  </w:tcBorders>
                </w:tcPr>
                <w:p w14:paraId="7BF0B34C" w14:textId="77777777" w:rsidR="00762DF1" w:rsidRDefault="00762DF1" w:rsidP="00762DF1">
                  <w:pPr>
                    <w:pStyle w:val="Tabletext"/>
                    <w:rPr>
                      <w:rFonts w:eastAsia="Times"/>
                      <w:lang w:eastAsia="en-AU"/>
                    </w:rPr>
                  </w:pPr>
                  <w:r w:rsidRPr="00643A16">
                    <w:rPr>
                      <w:rFonts w:eastAsia="Times"/>
                    </w:rPr>
                    <w:t>Applicant eligibility changed from</w:t>
                  </w:r>
                  <w:r>
                    <w:rPr>
                      <w:rFonts w:eastAsia="Times"/>
                    </w:rPr>
                    <w:t xml:space="preserve"> </w:t>
                  </w:r>
                  <w:r w:rsidRPr="00643A16">
                    <w:rPr>
                      <w:rFonts w:eastAsia="Times"/>
                    </w:rPr>
                    <w:t>public housing income limit</w:t>
                  </w:r>
                  <w:r>
                    <w:rPr>
                      <w:rFonts w:eastAsia="Times"/>
                    </w:rPr>
                    <w:t xml:space="preserve"> </w:t>
                  </w:r>
                  <w:r w:rsidRPr="00643A16">
                    <w:rPr>
                      <w:rFonts w:eastAsia="Times"/>
                    </w:rPr>
                    <w:t xml:space="preserve">to </w:t>
                  </w:r>
                  <w:r w:rsidRPr="00643A16">
                    <w:rPr>
                      <w:rFonts w:eastAsia="Times"/>
                      <w:lang w:eastAsia="en-AU"/>
                    </w:rPr>
                    <w:t>Register of Interest and Transfer income and asset limits</w:t>
                  </w:r>
                  <w:r>
                    <w:rPr>
                      <w:rFonts w:eastAsia="Times"/>
                      <w:lang w:eastAsia="en-AU"/>
                    </w:rPr>
                    <w:t>.</w:t>
                  </w:r>
                </w:p>
                <w:p w14:paraId="5C1B75A3" w14:textId="77777777" w:rsidR="00762DF1" w:rsidRPr="00643A16" w:rsidRDefault="00762DF1" w:rsidP="00762DF1">
                  <w:pPr>
                    <w:pStyle w:val="Tabletext"/>
                    <w:rPr>
                      <w:rFonts w:eastAsia="Times"/>
                      <w:lang w:eastAsia="en-AU"/>
                    </w:rPr>
                  </w:pPr>
                  <w:r>
                    <w:rPr>
                      <w:rFonts w:eastAsia="Times"/>
                      <w:lang w:eastAsia="en-AU"/>
                    </w:rPr>
                    <w:t>Special housing requirements changed to Special accommodation requirements.</w:t>
                  </w:r>
                </w:p>
              </w:tc>
            </w:tr>
            <w:tr w:rsidR="00762DF1" w:rsidRPr="00643A16" w14:paraId="10C38027" w14:textId="77777777" w:rsidTr="00501145">
              <w:tc>
                <w:tcPr>
                  <w:tcW w:w="1702" w:type="dxa"/>
                  <w:tcBorders>
                    <w:top w:val="single" w:sz="4" w:space="0" w:color="auto"/>
                    <w:left w:val="single" w:sz="4" w:space="0" w:color="auto"/>
                    <w:bottom w:val="single" w:sz="4" w:space="0" w:color="auto"/>
                    <w:right w:val="single" w:sz="4" w:space="0" w:color="auto"/>
                  </w:tcBorders>
                </w:tcPr>
                <w:p w14:paraId="51D9A194" w14:textId="1DF65635" w:rsidR="00762DF1" w:rsidRPr="00643A16" w:rsidRDefault="00762DF1" w:rsidP="00762DF1">
                  <w:pPr>
                    <w:pStyle w:val="Tabletext"/>
                    <w:rPr>
                      <w:rFonts w:eastAsia="Times"/>
                    </w:rPr>
                  </w:pPr>
                  <w:r>
                    <w:rPr>
                      <w:rFonts w:eastAsia="Times"/>
                    </w:rPr>
                    <w:t>3.0</w:t>
                  </w:r>
                </w:p>
              </w:tc>
              <w:tc>
                <w:tcPr>
                  <w:tcW w:w="2126" w:type="dxa"/>
                  <w:tcBorders>
                    <w:top w:val="single" w:sz="4" w:space="0" w:color="auto"/>
                    <w:left w:val="single" w:sz="4" w:space="0" w:color="auto"/>
                    <w:bottom w:val="single" w:sz="4" w:space="0" w:color="auto"/>
                    <w:right w:val="single" w:sz="4" w:space="0" w:color="auto"/>
                  </w:tcBorders>
                </w:tcPr>
                <w:p w14:paraId="25187C24" w14:textId="4813345D" w:rsidR="00762DF1" w:rsidRPr="00643A16" w:rsidRDefault="00762DF1" w:rsidP="00762DF1">
                  <w:pPr>
                    <w:pStyle w:val="Tabletext"/>
                    <w:rPr>
                      <w:rFonts w:eastAsia="Times"/>
                    </w:rPr>
                  </w:pPr>
                  <w:r>
                    <w:rPr>
                      <w:rFonts w:eastAsia="Times"/>
                    </w:rPr>
                    <w:t>Breaches of the hiring agreement</w:t>
                  </w:r>
                </w:p>
              </w:tc>
              <w:tc>
                <w:tcPr>
                  <w:tcW w:w="1559" w:type="dxa"/>
                  <w:tcBorders>
                    <w:top w:val="single" w:sz="4" w:space="0" w:color="auto"/>
                    <w:left w:val="single" w:sz="4" w:space="0" w:color="auto"/>
                    <w:bottom w:val="single" w:sz="4" w:space="0" w:color="auto"/>
                    <w:right w:val="single" w:sz="4" w:space="0" w:color="auto"/>
                  </w:tcBorders>
                </w:tcPr>
                <w:p w14:paraId="375F4599" w14:textId="28C3BC4D" w:rsidR="00762DF1" w:rsidRDefault="00762DF1" w:rsidP="00762DF1">
                  <w:pPr>
                    <w:pStyle w:val="Tabletext"/>
                    <w:rPr>
                      <w:rFonts w:eastAsia="Times"/>
                    </w:rPr>
                  </w:pPr>
                  <w:r>
                    <w:rPr>
                      <w:rFonts w:eastAsia="Times"/>
                    </w:rPr>
                    <w:t>July 2021</w:t>
                  </w:r>
                </w:p>
              </w:tc>
              <w:tc>
                <w:tcPr>
                  <w:tcW w:w="5067" w:type="dxa"/>
                  <w:tcBorders>
                    <w:top w:val="single" w:sz="4" w:space="0" w:color="auto"/>
                    <w:left w:val="single" w:sz="4" w:space="0" w:color="auto"/>
                    <w:bottom w:val="single" w:sz="4" w:space="0" w:color="auto"/>
                    <w:right w:val="single" w:sz="4" w:space="0" w:color="auto"/>
                  </w:tcBorders>
                </w:tcPr>
                <w:p w14:paraId="5CFDD439" w14:textId="7A4F54C4" w:rsidR="00762DF1" w:rsidRPr="00643A16" w:rsidRDefault="00762DF1" w:rsidP="00762DF1">
                  <w:pPr>
                    <w:pStyle w:val="Tabletext"/>
                    <w:rPr>
                      <w:rFonts w:eastAsia="Times"/>
                    </w:rPr>
                  </w:pPr>
                  <w:r>
                    <w:rPr>
                      <w:rFonts w:eastAsia="Times"/>
                    </w:rPr>
                    <w:t>Residential Tenancies Act section s260 replaced with s91ZZC</w:t>
                  </w:r>
                </w:p>
              </w:tc>
            </w:tr>
          </w:tbl>
          <w:p w14:paraId="4141946A" w14:textId="74ABED49" w:rsidR="00762DF1" w:rsidRDefault="00762DF1" w:rsidP="009F2182">
            <w:pPr>
              <w:pStyle w:val="Accessibilitypara"/>
            </w:pPr>
          </w:p>
          <w:p w14:paraId="02BB006F" w14:textId="0EE3940B" w:rsidR="00762DF1" w:rsidRDefault="00762DF1" w:rsidP="009F2182">
            <w:pPr>
              <w:pStyle w:val="Accessibilitypara"/>
            </w:pPr>
          </w:p>
          <w:p w14:paraId="4BB33646" w14:textId="7A1A0A13" w:rsidR="00762DF1" w:rsidRDefault="00762DF1" w:rsidP="009F2182">
            <w:pPr>
              <w:pStyle w:val="Accessibilitypara"/>
            </w:pPr>
          </w:p>
          <w:p w14:paraId="540184B2" w14:textId="594C7C00" w:rsidR="00762DF1" w:rsidRDefault="00762DF1" w:rsidP="009F2182">
            <w:pPr>
              <w:pStyle w:val="Accessibilitypara"/>
            </w:pPr>
          </w:p>
          <w:p w14:paraId="663DF5F2" w14:textId="72113EF8" w:rsidR="00762DF1" w:rsidRDefault="00762DF1" w:rsidP="009F2182">
            <w:pPr>
              <w:pStyle w:val="Accessibilitypara"/>
            </w:pPr>
          </w:p>
          <w:p w14:paraId="1AA9AC2D" w14:textId="7A3F0C64" w:rsidR="00762DF1" w:rsidRDefault="00762DF1" w:rsidP="009F2182">
            <w:pPr>
              <w:pStyle w:val="Accessibilitypara"/>
            </w:pPr>
          </w:p>
          <w:p w14:paraId="5FCB548F" w14:textId="1677D216" w:rsidR="00762DF1" w:rsidRDefault="00762DF1" w:rsidP="009F2182">
            <w:pPr>
              <w:pStyle w:val="Accessibilitypara"/>
            </w:pPr>
          </w:p>
          <w:p w14:paraId="0DC34B32" w14:textId="18286F4B" w:rsidR="00762DF1" w:rsidRDefault="00762DF1" w:rsidP="009F2182">
            <w:pPr>
              <w:pStyle w:val="Accessibilitypara"/>
            </w:pPr>
          </w:p>
          <w:p w14:paraId="62425793" w14:textId="26269F9C" w:rsidR="00762DF1" w:rsidRDefault="00762DF1" w:rsidP="009F2182">
            <w:pPr>
              <w:pStyle w:val="Accessibilitypara"/>
            </w:pPr>
          </w:p>
          <w:p w14:paraId="32C5EB28" w14:textId="6DDB1BF2" w:rsidR="00762DF1" w:rsidRDefault="00762DF1" w:rsidP="009F2182">
            <w:pPr>
              <w:pStyle w:val="Accessibilitypara"/>
            </w:pPr>
          </w:p>
          <w:p w14:paraId="09CBF885" w14:textId="7109C57A" w:rsidR="00762DF1" w:rsidRDefault="00762DF1" w:rsidP="009F2182">
            <w:pPr>
              <w:pStyle w:val="Accessibilitypara"/>
            </w:pPr>
          </w:p>
          <w:p w14:paraId="1EE9DE3F" w14:textId="0CFFD35B" w:rsidR="00762DF1" w:rsidRDefault="00762DF1" w:rsidP="009F2182">
            <w:pPr>
              <w:pStyle w:val="Accessibilitypara"/>
            </w:pPr>
          </w:p>
          <w:p w14:paraId="2084F866" w14:textId="77777777" w:rsidR="004B4770" w:rsidRPr="00610B2F" w:rsidRDefault="004B4770" w:rsidP="004B4770">
            <w:pPr>
              <w:pStyle w:val="Accessibilitypara"/>
            </w:pPr>
            <w:r w:rsidRPr="0055119B">
              <w:t xml:space="preserve">To receive this </w:t>
            </w:r>
            <w:r>
              <w:t>form</w:t>
            </w:r>
            <w:r w:rsidRPr="0055119B">
              <w:t xml:space="preserve"> in another format</w:t>
            </w:r>
            <w:r>
              <w:t xml:space="preserve">, contact your local office </w:t>
            </w:r>
            <w:hyperlink r:id="rId18" w:history="1">
              <w:r w:rsidRPr="004F1651">
                <w:rPr>
                  <w:rStyle w:val="Hyperlink"/>
                </w:rPr>
                <w:t>https://www.housing.vic.gov.au/contact-a-housing-office</w:t>
              </w:r>
            </w:hyperlink>
            <w:r>
              <w:t xml:space="preserve"> </w:t>
            </w:r>
          </w:p>
          <w:p w14:paraId="283A132F" w14:textId="77777777" w:rsidR="004B4770" w:rsidRPr="0055119B" w:rsidRDefault="004B4770" w:rsidP="004B4770">
            <w:pPr>
              <w:pStyle w:val="Imprint"/>
            </w:pPr>
            <w:r w:rsidRPr="0055119B">
              <w:t>Authorised and published by the Victorian Government, 1 Treasury Place, Melbourne.</w:t>
            </w:r>
          </w:p>
          <w:p w14:paraId="56FEB968" w14:textId="54B5D413" w:rsidR="004B4770" w:rsidRDefault="004B4770" w:rsidP="004B4770">
            <w:pPr>
              <w:pStyle w:val="Imprint"/>
            </w:pPr>
            <w:r w:rsidRPr="0055119B">
              <w:t xml:space="preserve">© State of Victoria, Australia, Department </w:t>
            </w:r>
            <w:r w:rsidRPr="001B058F">
              <w:t xml:space="preserve">of </w:t>
            </w:r>
            <w:r>
              <w:t>Families, Fairness and Housing</w:t>
            </w:r>
            <w:r w:rsidRPr="0055119B">
              <w:t xml:space="preserve">, </w:t>
            </w:r>
            <w:r>
              <w:t>July 2021</w:t>
            </w:r>
            <w:r w:rsidRPr="0055119B">
              <w:t>.</w:t>
            </w:r>
          </w:p>
          <w:p w14:paraId="5E95D23D" w14:textId="4601068D" w:rsidR="00875D99" w:rsidRPr="0055119B" w:rsidRDefault="00875D99" w:rsidP="004B4770">
            <w:pPr>
              <w:pStyle w:val="Imprint"/>
            </w:pPr>
            <w:r>
              <w:t>ISBN 978-0-7311-7026-5</w:t>
            </w:r>
          </w:p>
          <w:p w14:paraId="051BA1A1" w14:textId="1ACB4FCB" w:rsidR="004B4770" w:rsidRDefault="004B4770" w:rsidP="003977D4">
            <w:pPr>
              <w:pStyle w:val="Imprint"/>
            </w:pPr>
            <w:r w:rsidRPr="000A2DED">
              <w:rPr>
                <w:rStyle w:val="BodyChar"/>
              </w:rPr>
              <w:t>Available at</w:t>
            </w:r>
            <w:r w:rsidRPr="0055119B">
              <w:t xml:space="preserve"> </w:t>
            </w:r>
            <w:hyperlink r:id="rId19" w:history="1">
              <w:r w:rsidR="003977D4">
                <w:rPr>
                  <w:rStyle w:val="Hyperlink"/>
                </w:rPr>
                <w:t>DFFH Provider Site – Movable units operational guidelines</w:t>
              </w:r>
            </w:hyperlink>
            <w:r>
              <w:t xml:space="preserve">  </w:t>
            </w:r>
            <w:r w:rsidRPr="000A2DED">
              <w:t>&lt;</w:t>
            </w:r>
            <w:hyperlink r:id="rId20" w:history="1">
              <w:r w:rsidR="003977D4" w:rsidRPr="003977D4">
                <w:t>https://providers.dffh.vic.gov.au/</w:t>
              </w:r>
            </w:hyperlink>
            <w:r w:rsidR="003977D4" w:rsidRPr="003977D4">
              <w:t>tenancy</w:t>
            </w:r>
            <w:r w:rsidR="003977D4">
              <w:t>-management-manual-movable-units-operational-guidelines-word</w:t>
            </w:r>
            <w:r w:rsidRPr="000A2DED">
              <w:t>&gt;</w:t>
            </w:r>
          </w:p>
          <w:p w14:paraId="0B51CD32" w14:textId="5B27548D" w:rsidR="009F2182" w:rsidRDefault="009F2182" w:rsidP="004B4770">
            <w:pPr>
              <w:pStyle w:val="Imprint"/>
            </w:pPr>
          </w:p>
        </w:tc>
      </w:tr>
      <w:tr w:rsidR="0008204A" w14:paraId="28E16992" w14:textId="77777777" w:rsidTr="0008204A">
        <w:trPr>
          <w:cantSplit/>
        </w:trPr>
        <w:tc>
          <w:tcPr>
            <w:tcW w:w="9288" w:type="dxa"/>
          </w:tcPr>
          <w:p w14:paraId="2CFAB43E" w14:textId="77777777" w:rsidR="0008204A" w:rsidRPr="0055119B" w:rsidRDefault="0008204A" w:rsidP="0008204A">
            <w:pPr>
              <w:pStyle w:val="Body"/>
            </w:pPr>
          </w:p>
        </w:tc>
      </w:tr>
    </w:tbl>
    <w:p w14:paraId="6A9BBE9C" w14:textId="77777777" w:rsidR="0008204A" w:rsidRPr="0008204A" w:rsidRDefault="0008204A" w:rsidP="0008204A">
      <w:pPr>
        <w:pStyle w:val="Body"/>
      </w:pPr>
      <w:r w:rsidRPr="0008204A">
        <w:br w:type="page"/>
      </w:r>
    </w:p>
    <w:p w14:paraId="73EC45D4" w14:textId="77777777" w:rsidR="00AD784C" w:rsidRPr="00B57329" w:rsidRDefault="00AD784C" w:rsidP="002365B4">
      <w:pPr>
        <w:pStyle w:val="TOCheadingreport"/>
      </w:pPr>
      <w:r w:rsidRPr="00B57329">
        <w:lastRenderedPageBreak/>
        <w:t>Contents</w:t>
      </w:r>
    </w:p>
    <w:p w14:paraId="3FD350F3" w14:textId="4965CAA5" w:rsidR="006D6083"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78287270" w:history="1">
        <w:r w:rsidR="006D6083" w:rsidRPr="00837DC1">
          <w:rPr>
            <w:rStyle w:val="Hyperlink"/>
            <w:lang w:eastAsia="en-AU"/>
          </w:rPr>
          <w:t>When do these operational guidelines apply?</w:t>
        </w:r>
        <w:r w:rsidR="006D6083">
          <w:rPr>
            <w:webHidden/>
          </w:rPr>
          <w:tab/>
        </w:r>
        <w:r w:rsidR="006D6083">
          <w:rPr>
            <w:webHidden/>
          </w:rPr>
          <w:fldChar w:fldCharType="begin"/>
        </w:r>
        <w:r w:rsidR="006D6083">
          <w:rPr>
            <w:webHidden/>
          </w:rPr>
          <w:instrText xml:space="preserve"> PAGEREF _Toc78287270 \h </w:instrText>
        </w:r>
        <w:r w:rsidR="006D6083">
          <w:rPr>
            <w:webHidden/>
          </w:rPr>
        </w:r>
        <w:r w:rsidR="006D6083">
          <w:rPr>
            <w:webHidden/>
          </w:rPr>
          <w:fldChar w:fldCharType="separate"/>
        </w:r>
        <w:r w:rsidR="006D6083">
          <w:rPr>
            <w:webHidden/>
          </w:rPr>
          <w:t>6</w:t>
        </w:r>
        <w:r w:rsidR="006D6083">
          <w:rPr>
            <w:webHidden/>
          </w:rPr>
          <w:fldChar w:fldCharType="end"/>
        </w:r>
      </w:hyperlink>
    </w:p>
    <w:p w14:paraId="28D55A43" w14:textId="57872246" w:rsidR="006D6083" w:rsidRDefault="00875D99">
      <w:pPr>
        <w:pStyle w:val="TOC1"/>
        <w:rPr>
          <w:rFonts w:asciiTheme="minorHAnsi" w:eastAsiaTheme="minorEastAsia" w:hAnsiTheme="minorHAnsi" w:cstheme="minorBidi"/>
          <w:b w:val="0"/>
          <w:sz w:val="22"/>
          <w:szCs w:val="22"/>
          <w:lang w:eastAsia="en-AU"/>
        </w:rPr>
      </w:pPr>
      <w:hyperlink w:anchor="_Toc78287271" w:history="1">
        <w:r w:rsidR="006D6083" w:rsidRPr="00837DC1">
          <w:rPr>
            <w:rStyle w:val="Hyperlink"/>
            <w:lang w:eastAsia="en-AU"/>
          </w:rPr>
          <w:t>Human rights considerations</w:t>
        </w:r>
        <w:r w:rsidR="006D6083">
          <w:rPr>
            <w:webHidden/>
          </w:rPr>
          <w:tab/>
        </w:r>
        <w:r w:rsidR="006D6083">
          <w:rPr>
            <w:webHidden/>
          </w:rPr>
          <w:fldChar w:fldCharType="begin"/>
        </w:r>
        <w:r w:rsidR="006D6083">
          <w:rPr>
            <w:webHidden/>
          </w:rPr>
          <w:instrText xml:space="preserve"> PAGEREF _Toc78287271 \h </w:instrText>
        </w:r>
        <w:r w:rsidR="006D6083">
          <w:rPr>
            <w:webHidden/>
          </w:rPr>
        </w:r>
        <w:r w:rsidR="006D6083">
          <w:rPr>
            <w:webHidden/>
          </w:rPr>
          <w:fldChar w:fldCharType="separate"/>
        </w:r>
        <w:r w:rsidR="006D6083">
          <w:rPr>
            <w:webHidden/>
          </w:rPr>
          <w:t>6</w:t>
        </w:r>
        <w:r w:rsidR="006D6083">
          <w:rPr>
            <w:webHidden/>
          </w:rPr>
          <w:fldChar w:fldCharType="end"/>
        </w:r>
      </w:hyperlink>
    </w:p>
    <w:p w14:paraId="1BF489F8" w14:textId="33E9416E" w:rsidR="006D6083" w:rsidRDefault="00875D99">
      <w:pPr>
        <w:pStyle w:val="TOC1"/>
        <w:rPr>
          <w:rFonts w:asciiTheme="minorHAnsi" w:eastAsiaTheme="minorEastAsia" w:hAnsiTheme="minorHAnsi" w:cstheme="minorBidi"/>
          <w:b w:val="0"/>
          <w:sz w:val="22"/>
          <w:szCs w:val="22"/>
          <w:lang w:eastAsia="en-AU"/>
        </w:rPr>
      </w:pPr>
      <w:hyperlink w:anchor="_Toc78287272" w:history="1">
        <w:r w:rsidR="006D6083" w:rsidRPr="00837DC1">
          <w:rPr>
            <w:rStyle w:val="Hyperlink"/>
            <w:lang w:eastAsia="en-AU"/>
          </w:rPr>
          <w:t>Overview</w:t>
        </w:r>
        <w:r w:rsidR="006D6083">
          <w:rPr>
            <w:webHidden/>
          </w:rPr>
          <w:tab/>
        </w:r>
        <w:r w:rsidR="006D6083">
          <w:rPr>
            <w:webHidden/>
          </w:rPr>
          <w:fldChar w:fldCharType="begin"/>
        </w:r>
        <w:r w:rsidR="006D6083">
          <w:rPr>
            <w:webHidden/>
          </w:rPr>
          <w:instrText xml:space="preserve"> PAGEREF _Toc78287272 \h </w:instrText>
        </w:r>
        <w:r w:rsidR="006D6083">
          <w:rPr>
            <w:webHidden/>
          </w:rPr>
        </w:r>
        <w:r w:rsidR="006D6083">
          <w:rPr>
            <w:webHidden/>
          </w:rPr>
          <w:fldChar w:fldCharType="separate"/>
        </w:r>
        <w:r w:rsidR="006D6083">
          <w:rPr>
            <w:webHidden/>
          </w:rPr>
          <w:t>6</w:t>
        </w:r>
        <w:r w:rsidR="006D6083">
          <w:rPr>
            <w:webHidden/>
          </w:rPr>
          <w:fldChar w:fldCharType="end"/>
        </w:r>
      </w:hyperlink>
    </w:p>
    <w:p w14:paraId="0F5DA977" w14:textId="14AA46F4" w:rsidR="006D6083" w:rsidRDefault="00875D99">
      <w:pPr>
        <w:pStyle w:val="TOC1"/>
        <w:rPr>
          <w:rFonts w:asciiTheme="minorHAnsi" w:eastAsiaTheme="minorEastAsia" w:hAnsiTheme="minorHAnsi" w:cstheme="minorBidi"/>
          <w:b w:val="0"/>
          <w:sz w:val="22"/>
          <w:szCs w:val="22"/>
          <w:lang w:eastAsia="en-AU"/>
        </w:rPr>
      </w:pPr>
      <w:hyperlink w:anchor="_Toc78287273" w:history="1">
        <w:r w:rsidR="006D6083" w:rsidRPr="00837DC1">
          <w:rPr>
            <w:rStyle w:val="Hyperlink"/>
            <w:lang w:eastAsia="en-AU"/>
          </w:rPr>
          <w:t>Tier one</w:t>
        </w:r>
        <w:r w:rsidR="006D6083">
          <w:rPr>
            <w:webHidden/>
          </w:rPr>
          <w:tab/>
        </w:r>
        <w:r w:rsidR="006D6083">
          <w:rPr>
            <w:webHidden/>
          </w:rPr>
          <w:fldChar w:fldCharType="begin"/>
        </w:r>
        <w:r w:rsidR="006D6083">
          <w:rPr>
            <w:webHidden/>
          </w:rPr>
          <w:instrText xml:space="preserve"> PAGEREF _Toc78287273 \h </w:instrText>
        </w:r>
        <w:r w:rsidR="006D6083">
          <w:rPr>
            <w:webHidden/>
          </w:rPr>
        </w:r>
        <w:r w:rsidR="006D6083">
          <w:rPr>
            <w:webHidden/>
          </w:rPr>
          <w:fldChar w:fldCharType="separate"/>
        </w:r>
        <w:r w:rsidR="006D6083">
          <w:rPr>
            <w:webHidden/>
          </w:rPr>
          <w:t>6</w:t>
        </w:r>
        <w:r w:rsidR="006D6083">
          <w:rPr>
            <w:webHidden/>
          </w:rPr>
          <w:fldChar w:fldCharType="end"/>
        </w:r>
      </w:hyperlink>
    </w:p>
    <w:p w14:paraId="173B00D1" w14:textId="5A699FDD" w:rsidR="006D6083" w:rsidRDefault="00875D99">
      <w:pPr>
        <w:pStyle w:val="TOC1"/>
        <w:rPr>
          <w:rFonts w:asciiTheme="minorHAnsi" w:eastAsiaTheme="minorEastAsia" w:hAnsiTheme="minorHAnsi" w:cstheme="minorBidi"/>
          <w:b w:val="0"/>
          <w:sz w:val="22"/>
          <w:szCs w:val="22"/>
          <w:lang w:eastAsia="en-AU"/>
        </w:rPr>
      </w:pPr>
      <w:hyperlink w:anchor="_Toc78287274" w:history="1">
        <w:r w:rsidR="006D6083" w:rsidRPr="00837DC1">
          <w:rPr>
            <w:rStyle w:val="Hyperlink"/>
            <w:lang w:eastAsia="en-AU"/>
          </w:rPr>
          <w:t>Tier two</w:t>
        </w:r>
        <w:r w:rsidR="006D6083">
          <w:rPr>
            <w:webHidden/>
          </w:rPr>
          <w:tab/>
        </w:r>
        <w:r w:rsidR="006D6083">
          <w:rPr>
            <w:webHidden/>
          </w:rPr>
          <w:fldChar w:fldCharType="begin"/>
        </w:r>
        <w:r w:rsidR="006D6083">
          <w:rPr>
            <w:webHidden/>
          </w:rPr>
          <w:instrText xml:space="preserve"> PAGEREF _Toc78287274 \h </w:instrText>
        </w:r>
        <w:r w:rsidR="006D6083">
          <w:rPr>
            <w:webHidden/>
          </w:rPr>
        </w:r>
        <w:r w:rsidR="006D6083">
          <w:rPr>
            <w:webHidden/>
          </w:rPr>
          <w:fldChar w:fldCharType="separate"/>
        </w:r>
        <w:r w:rsidR="006D6083">
          <w:rPr>
            <w:webHidden/>
          </w:rPr>
          <w:t>7</w:t>
        </w:r>
        <w:r w:rsidR="006D6083">
          <w:rPr>
            <w:webHidden/>
          </w:rPr>
          <w:fldChar w:fldCharType="end"/>
        </w:r>
      </w:hyperlink>
    </w:p>
    <w:p w14:paraId="4D9B0972" w14:textId="05A70447" w:rsidR="006D6083" w:rsidRDefault="00875D99">
      <w:pPr>
        <w:pStyle w:val="TOC1"/>
        <w:rPr>
          <w:rFonts w:asciiTheme="minorHAnsi" w:eastAsiaTheme="minorEastAsia" w:hAnsiTheme="minorHAnsi" w:cstheme="minorBidi"/>
          <w:b w:val="0"/>
          <w:sz w:val="22"/>
          <w:szCs w:val="22"/>
          <w:lang w:eastAsia="en-AU"/>
        </w:rPr>
      </w:pPr>
      <w:hyperlink w:anchor="_Toc78287275" w:history="1">
        <w:r w:rsidR="006D6083" w:rsidRPr="00837DC1">
          <w:rPr>
            <w:rStyle w:val="Hyperlink"/>
            <w:lang w:eastAsia="en-AU"/>
          </w:rPr>
          <w:t>Movable unit process flowchart</w:t>
        </w:r>
        <w:r w:rsidR="006D6083">
          <w:rPr>
            <w:webHidden/>
          </w:rPr>
          <w:tab/>
        </w:r>
        <w:r w:rsidR="006D6083">
          <w:rPr>
            <w:webHidden/>
          </w:rPr>
          <w:fldChar w:fldCharType="begin"/>
        </w:r>
        <w:r w:rsidR="006D6083">
          <w:rPr>
            <w:webHidden/>
          </w:rPr>
          <w:instrText xml:space="preserve"> PAGEREF _Toc78287275 \h </w:instrText>
        </w:r>
        <w:r w:rsidR="006D6083">
          <w:rPr>
            <w:webHidden/>
          </w:rPr>
        </w:r>
        <w:r w:rsidR="006D6083">
          <w:rPr>
            <w:webHidden/>
          </w:rPr>
          <w:fldChar w:fldCharType="separate"/>
        </w:r>
        <w:r w:rsidR="006D6083">
          <w:rPr>
            <w:webHidden/>
          </w:rPr>
          <w:t>8</w:t>
        </w:r>
        <w:r w:rsidR="006D6083">
          <w:rPr>
            <w:webHidden/>
          </w:rPr>
          <w:fldChar w:fldCharType="end"/>
        </w:r>
      </w:hyperlink>
    </w:p>
    <w:p w14:paraId="4FC64B1B" w14:textId="4EB70CF6" w:rsidR="006D6083" w:rsidRDefault="00875D99">
      <w:pPr>
        <w:pStyle w:val="TOC1"/>
        <w:rPr>
          <w:rFonts w:asciiTheme="minorHAnsi" w:eastAsiaTheme="minorEastAsia" w:hAnsiTheme="minorHAnsi" w:cstheme="minorBidi"/>
          <w:b w:val="0"/>
          <w:sz w:val="22"/>
          <w:szCs w:val="22"/>
          <w:lang w:eastAsia="en-AU"/>
        </w:rPr>
      </w:pPr>
      <w:hyperlink w:anchor="_Toc78287276" w:history="1">
        <w:r w:rsidR="006D6083" w:rsidRPr="00837DC1">
          <w:rPr>
            <w:rStyle w:val="Hyperlink"/>
            <w:lang w:eastAsia="en-AU"/>
          </w:rPr>
          <w:t>Tier one – property host suitability and applicant eligibility</w:t>
        </w:r>
        <w:r w:rsidR="006D6083">
          <w:rPr>
            <w:webHidden/>
          </w:rPr>
          <w:tab/>
        </w:r>
        <w:r w:rsidR="006D6083">
          <w:rPr>
            <w:webHidden/>
          </w:rPr>
          <w:fldChar w:fldCharType="begin"/>
        </w:r>
        <w:r w:rsidR="006D6083">
          <w:rPr>
            <w:webHidden/>
          </w:rPr>
          <w:instrText xml:space="preserve"> PAGEREF _Toc78287276 \h </w:instrText>
        </w:r>
        <w:r w:rsidR="006D6083">
          <w:rPr>
            <w:webHidden/>
          </w:rPr>
        </w:r>
        <w:r w:rsidR="006D6083">
          <w:rPr>
            <w:webHidden/>
          </w:rPr>
          <w:fldChar w:fldCharType="separate"/>
        </w:r>
        <w:r w:rsidR="006D6083">
          <w:rPr>
            <w:webHidden/>
          </w:rPr>
          <w:t>9</w:t>
        </w:r>
        <w:r w:rsidR="006D6083">
          <w:rPr>
            <w:webHidden/>
          </w:rPr>
          <w:fldChar w:fldCharType="end"/>
        </w:r>
      </w:hyperlink>
    </w:p>
    <w:p w14:paraId="053C2BD8" w14:textId="4E1A9185" w:rsidR="006D6083" w:rsidRDefault="00875D99">
      <w:pPr>
        <w:pStyle w:val="TOC2"/>
        <w:rPr>
          <w:rFonts w:asciiTheme="minorHAnsi" w:eastAsiaTheme="minorEastAsia" w:hAnsiTheme="minorHAnsi" w:cstheme="minorBidi"/>
          <w:sz w:val="22"/>
          <w:szCs w:val="22"/>
          <w:lang w:eastAsia="en-AU"/>
        </w:rPr>
      </w:pPr>
      <w:hyperlink w:anchor="_Toc78287277" w:history="1">
        <w:r w:rsidR="006D6083" w:rsidRPr="00837DC1">
          <w:rPr>
            <w:rStyle w:val="Hyperlink"/>
            <w:rFonts w:eastAsia="MS Gothic"/>
            <w:lang w:eastAsia="en-AU"/>
          </w:rPr>
          <w:t>Property host</w:t>
        </w:r>
        <w:r w:rsidR="006D6083">
          <w:rPr>
            <w:webHidden/>
          </w:rPr>
          <w:tab/>
        </w:r>
        <w:r w:rsidR="006D6083">
          <w:rPr>
            <w:webHidden/>
          </w:rPr>
          <w:fldChar w:fldCharType="begin"/>
        </w:r>
        <w:r w:rsidR="006D6083">
          <w:rPr>
            <w:webHidden/>
          </w:rPr>
          <w:instrText xml:space="preserve"> PAGEREF _Toc78287277 \h </w:instrText>
        </w:r>
        <w:r w:rsidR="006D6083">
          <w:rPr>
            <w:webHidden/>
          </w:rPr>
        </w:r>
        <w:r w:rsidR="006D6083">
          <w:rPr>
            <w:webHidden/>
          </w:rPr>
          <w:fldChar w:fldCharType="separate"/>
        </w:r>
        <w:r w:rsidR="006D6083">
          <w:rPr>
            <w:webHidden/>
          </w:rPr>
          <w:t>9</w:t>
        </w:r>
        <w:r w:rsidR="006D6083">
          <w:rPr>
            <w:webHidden/>
          </w:rPr>
          <w:fldChar w:fldCharType="end"/>
        </w:r>
      </w:hyperlink>
    </w:p>
    <w:p w14:paraId="706AB98F" w14:textId="44DB4E57" w:rsidR="006D6083" w:rsidRDefault="00875D99">
      <w:pPr>
        <w:pStyle w:val="TOC2"/>
        <w:rPr>
          <w:rFonts w:asciiTheme="minorHAnsi" w:eastAsiaTheme="minorEastAsia" w:hAnsiTheme="minorHAnsi" w:cstheme="minorBidi"/>
          <w:sz w:val="22"/>
          <w:szCs w:val="22"/>
          <w:lang w:eastAsia="en-AU"/>
        </w:rPr>
      </w:pPr>
      <w:hyperlink w:anchor="_Toc78287278" w:history="1">
        <w:r w:rsidR="006D6083" w:rsidRPr="00837DC1">
          <w:rPr>
            <w:rStyle w:val="Hyperlink"/>
            <w:rFonts w:eastAsia="MS Gothic"/>
            <w:lang w:eastAsia="en-AU"/>
          </w:rPr>
          <w:t>Applicant</w:t>
        </w:r>
        <w:r w:rsidR="006D6083">
          <w:rPr>
            <w:webHidden/>
          </w:rPr>
          <w:tab/>
        </w:r>
        <w:r w:rsidR="006D6083">
          <w:rPr>
            <w:webHidden/>
          </w:rPr>
          <w:fldChar w:fldCharType="begin"/>
        </w:r>
        <w:r w:rsidR="006D6083">
          <w:rPr>
            <w:webHidden/>
          </w:rPr>
          <w:instrText xml:space="preserve"> PAGEREF _Toc78287278 \h </w:instrText>
        </w:r>
        <w:r w:rsidR="006D6083">
          <w:rPr>
            <w:webHidden/>
          </w:rPr>
        </w:r>
        <w:r w:rsidR="006D6083">
          <w:rPr>
            <w:webHidden/>
          </w:rPr>
          <w:fldChar w:fldCharType="separate"/>
        </w:r>
        <w:r w:rsidR="006D6083">
          <w:rPr>
            <w:webHidden/>
          </w:rPr>
          <w:t>10</w:t>
        </w:r>
        <w:r w:rsidR="006D6083">
          <w:rPr>
            <w:webHidden/>
          </w:rPr>
          <w:fldChar w:fldCharType="end"/>
        </w:r>
      </w:hyperlink>
    </w:p>
    <w:p w14:paraId="495D96B7" w14:textId="5979A077" w:rsidR="006D6083" w:rsidRDefault="00875D99">
      <w:pPr>
        <w:pStyle w:val="TOC2"/>
        <w:rPr>
          <w:rFonts w:asciiTheme="minorHAnsi" w:eastAsiaTheme="minorEastAsia" w:hAnsiTheme="minorHAnsi" w:cstheme="minorBidi"/>
          <w:sz w:val="22"/>
          <w:szCs w:val="22"/>
          <w:lang w:eastAsia="en-AU"/>
        </w:rPr>
      </w:pPr>
      <w:hyperlink w:anchor="_Toc78287279" w:history="1">
        <w:r w:rsidR="006D6083" w:rsidRPr="00837DC1">
          <w:rPr>
            <w:rStyle w:val="Hyperlink"/>
            <w:lang w:eastAsia="en-AU"/>
          </w:rPr>
          <w:t>Modification requirements</w:t>
        </w:r>
        <w:r w:rsidR="006D6083">
          <w:rPr>
            <w:webHidden/>
          </w:rPr>
          <w:tab/>
        </w:r>
        <w:r w:rsidR="006D6083">
          <w:rPr>
            <w:webHidden/>
          </w:rPr>
          <w:fldChar w:fldCharType="begin"/>
        </w:r>
        <w:r w:rsidR="006D6083">
          <w:rPr>
            <w:webHidden/>
          </w:rPr>
          <w:instrText xml:space="preserve"> PAGEREF _Toc78287279 \h </w:instrText>
        </w:r>
        <w:r w:rsidR="006D6083">
          <w:rPr>
            <w:webHidden/>
          </w:rPr>
        </w:r>
        <w:r w:rsidR="006D6083">
          <w:rPr>
            <w:webHidden/>
          </w:rPr>
          <w:fldChar w:fldCharType="separate"/>
        </w:r>
        <w:r w:rsidR="006D6083">
          <w:rPr>
            <w:webHidden/>
          </w:rPr>
          <w:t>10</w:t>
        </w:r>
        <w:r w:rsidR="006D6083">
          <w:rPr>
            <w:webHidden/>
          </w:rPr>
          <w:fldChar w:fldCharType="end"/>
        </w:r>
      </w:hyperlink>
    </w:p>
    <w:p w14:paraId="266BB662" w14:textId="7E06658B" w:rsidR="006D6083" w:rsidRDefault="00875D99">
      <w:pPr>
        <w:pStyle w:val="TOC2"/>
        <w:rPr>
          <w:rFonts w:asciiTheme="minorHAnsi" w:eastAsiaTheme="minorEastAsia" w:hAnsiTheme="minorHAnsi" w:cstheme="minorBidi"/>
          <w:sz w:val="22"/>
          <w:szCs w:val="22"/>
          <w:lang w:eastAsia="en-AU"/>
        </w:rPr>
      </w:pPr>
      <w:hyperlink w:anchor="_Toc78287280" w:history="1">
        <w:r w:rsidR="006D6083" w:rsidRPr="00837DC1">
          <w:rPr>
            <w:rStyle w:val="Hyperlink"/>
            <w:lang w:eastAsia="en-AU"/>
          </w:rPr>
          <w:t>Outstanding charges</w:t>
        </w:r>
        <w:r w:rsidR="006D6083">
          <w:rPr>
            <w:webHidden/>
          </w:rPr>
          <w:tab/>
        </w:r>
        <w:r w:rsidR="006D6083">
          <w:rPr>
            <w:webHidden/>
          </w:rPr>
          <w:fldChar w:fldCharType="begin"/>
        </w:r>
        <w:r w:rsidR="006D6083">
          <w:rPr>
            <w:webHidden/>
          </w:rPr>
          <w:instrText xml:space="preserve"> PAGEREF _Toc78287280 \h </w:instrText>
        </w:r>
        <w:r w:rsidR="006D6083">
          <w:rPr>
            <w:webHidden/>
          </w:rPr>
        </w:r>
        <w:r w:rsidR="006D6083">
          <w:rPr>
            <w:webHidden/>
          </w:rPr>
          <w:fldChar w:fldCharType="separate"/>
        </w:r>
        <w:r w:rsidR="006D6083">
          <w:rPr>
            <w:webHidden/>
          </w:rPr>
          <w:t>11</w:t>
        </w:r>
        <w:r w:rsidR="006D6083">
          <w:rPr>
            <w:webHidden/>
          </w:rPr>
          <w:fldChar w:fldCharType="end"/>
        </w:r>
      </w:hyperlink>
    </w:p>
    <w:p w14:paraId="0D40A785" w14:textId="6F16724A" w:rsidR="006D6083" w:rsidRDefault="00875D99">
      <w:pPr>
        <w:pStyle w:val="TOC1"/>
        <w:rPr>
          <w:rFonts w:asciiTheme="minorHAnsi" w:eastAsiaTheme="minorEastAsia" w:hAnsiTheme="minorHAnsi" w:cstheme="minorBidi"/>
          <w:b w:val="0"/>
          <w:sz w:val="22"/>
          <w:szCs w:val="22"/>
          <w:lang w:eastAsia="en-AU"/>
        </w:rPr>
      </w:pPr>
      <w:hyperlink w:anchor="_Toc78287281" w:history="1">
        <w:r w:rsidR="006D6083" w:rsidRPr="00837DC1">
          <w:rPr>
            <w:rStyle w:val="Hyperlink"/>
            <w:lang w:eastAsia="en-AU"/>
          </w:rPr>
          <w:t>Tier two - site suitability assessment and handover</w:t>
        </w:r>
        <w:r w:rsidR="006D6083">
          <w:rPr>
            <w:webHidden/>
          </w:rPr>
          <w:tab/>
        </w:r>
        <w:r w:rsidR="006D6083">
          <w:rPr>
            <w:webHidden/>
          </w:rPr>
          <w:fldChar w:fldCharType="begin"/>
        </w:r>
        <w:r w:rsidR="006D6083">
          <w:rPr>
            <w:webHidden/>
          </w:rPr>
          <w:instrText xml:space="preserve"> PAGEREF _Toc78287281 \h </w:instrText>
        </w:r>
        <w:r w:rsidR="006D6083">
          <w:rPr>
            <w:webHidden/>
          </w:rPr>
        </w:r>
        <w:r w:rsidR="006D6083">
          <w:rPr>
            <w:webHidden/>
          </w:rPr>
          <w:fldChar w:fldCharType="separate"/>
        </w:r>
        <w:r w:rsidR="006D6083">
          <w:rPr>
            <w:webHidden/>
          </w:rPr>
          <w:t>11</w:t>
        </w:r>
        <w:r w:rsidR="006D6083">
          <w:rPr>
            <w:webHidden/>
          </w:rPr>
          <w:fldChar w:fldCharType="end"/>
        </w:r>
      </w:hyperlink>
    </w:p>
    <w:p w14:paraId="04674B99" w14:textId="1F8CB213" w:rsidR="006D6083" w:rsidRDefault="00875D99">
      <w:pPr>
        <w:pStyle w:val="TOC2"/>
        <w:rPr>
          <w:rFonts w:asciiTheme="minorHAnsi" w:eastAsiaTheme="minorEastAsia" w:hAnsiTheme="minorHAnsi" w:cstheme="minorBidi"/>
          <w:sz w:val="22"/>
          <w:szCs w:val="22"/>
          <w:lang w:eastAsia="en-AU"/>
        </w:rPr>
      </w:pPr>
      <w:hyperlink w:anchor="_Toc78287282" w:history="1">
        <w:r w:rsidR="006D6083" w:rsidRPr="00837DC1">
          <w:rPr>
            <w:rStyle w:val="Hyperlink"/>
            <w:lang w:eastAsia="en-AU"/>
          </w:rPr>
          <w:t>Service and utility connections</w:t>
        </w:r>
        <w:r w:rsidR="006D6083">
          <w:rPr>
            <w:webHidden/>
          </w:rPr>
          <w:tab/>
        </w:r>
        <w:r w:rsidR="006D6083">
          <w:rPr>
            <w:webHidden/>
          </w:rPr>
          <w:fldChar w:fldCharType="begin"/>
        </w:r>
        <w:r w:rsidR="006D6083">
          <w:rPr>
            <w:webHidden/>
          </w:rPr>
          <w:instrText xml:space="preserve"> PAGEREF _Toc78287282 \h </w:instrText>
        </w:r>
        <w:r w:rsidR="006D6083">
          <w:rPr>
            <w:webHidden/>
          </w:rPr>
        </w:r>
        <w:r w:rsidR="006D6083">
          <w:rPr>
            <w:webHidden/>
          </w:rPr>
          <w:fldChar w:fldCharType="separate"/>
        </w:r>
        <w:r w:rsidR="006D6083">
          <w:rPr>
            <w:webHidden/>
          </w:rPr>
          <w:t>12</w:t>
        </w:r>
        <w:r w:rsidR="006D6083">
          <w:rPr>
            <w:webHidden/>
          </w:rPr>
          <w:fldChar w:fldCharType="end"/>
        </w:r>
      </w:hyperlink>
    </w:p>
    <w:p w14:paraId="09CBDB7E" w14:textId="4CE431BC" w:rsidR="006D6083" w:rsidRDefault="00875D99">
      <w:pPr>
        <w:pStyle w:val="TOC2"/>
        <w:rPr>
          <w:rFonts w:asciiTheme="minorHAnsi" w:eastAsiaTheme="minorEastAsia" w:hAnsiTheme="minorHAnsi" w:cstheme="minorBidi"/>
          <w:sz w:val="22"/>
          <w:szCs w:val="22"/>
          <w:lang w:eastAsia="en-AU"/>
        </w:rPr>
      </w:pPr>
      <w:hyperlink w:anchor="_Toc78287283" w:history="1">
        <w:r w:rsidR="006D6083" w:rsidRPr="00837DC1">
          <w:rPr>
            <w:rStyle w:val="Hyperlink"/>
            <w:lang w:eastAsia="en-AU"/>
          </w:rPr>
          <w:t>Council requirements</w:t>
        </w:r>
        <w:r w:rsidR="006D6083">
          <w:rPr>
            <w:webHidden/>
          </w:rPr>
          <w:tab/>
        </w:r>
        <w:r w:rsidR="006D6083">
          <w:rPr>
            <w:webHidden/>
          </w:rPr>
          <w:fldChar w:fldCharType="begin"/>
        </w:r>
        <w:r w:rsidR="006D6083">
          <w:rPr>
            <w:webHidden/>
          </w:rPr>
          <w:instrText xml:space="preserve"> PAGEREF _Toc78287283 \h </w:instrText>
        </w:r>
        <w:r w:rsidR="006D6083">
          <w:rPr>
            <w:webHidden/>
          </w:rPr>
        </w:r>
        <w:r w:rsidR="006D6083">
          <w:rPr>
            <w:webHidden/>
          </w:rPr>
          <w:fldChar w:fldCharType="separate"/>
        </w:r>
        <w:r w:rsidR="006D6083">
          <w:rPr>
            <w:webHidden/>
          </w:rPr>
          <w:t>12</w:t>
        </w:r>
        <w:r w:rsidR="006D6083">
          <w:rPr>
            <w:webHidden/>
          </w:rPr>
          <w:fldChar w:fldCharType="end"/>
        </w:r>
      </w:hyperlink>
    </w:p>
    <w:p w14:paraId="6CB01902" w14:textId="5321E7BE" w:rsidR="006D6083" w:rsidRDefault="00875D99">
      <w:pPr>
        <w:pStyle w:val="TOC2"/>
        <w:rPr>
          <w:rFonts w:asciiTheme="minorHAnsi" w:eastAsiaTheme="minorEastAsia" w:hAnsiTheme="minorHAnsi" w:cstheme="minorBidi"/>
          <w:sz w:val="22"/>
          <w:szCs w:val="22"/>
          <w:lang w:eastAsia="en-AU"/>
        </w:rPr>
      </w:pPr>
      <w:hyperlink w:anchor="_Toc78287284" w:history="1">
        <w:r w:rsidR="006D6083" w:rsidRPr="00837DC1">
          <w:rPr>
            <w:rStyle w:val="Hyperlink"/>
            <w:lang w:eastAsia="en-AU"/>
          </w:rPr>
          <w:t>Construction of the movable unit</w:t>
        </w:r>
        <w:r w:rsidR="006D6083">
          <w:rPr>
            <w:webHidden/>
          </w:rPr>
          <w:tab/>
        </w:r>
        <w:r w:rsidR="006D6083">
          <w:rPr>
            <w:webHidden/>
          </w:rPr>
          <w:fldChar w:fldCharType="begin"/>
        </w:r>
        <w:r w:rsidR="006D6083">
          <w:rPr>
            <w:webHidden/>
          </w:rPr>
          <w:instrText xml:space="preserve"> PAGEREF _Toc78287284 \h </w:instrText>
        </w:r>
        <w:r w:rsidR="006D6083">
          <w:rPr>
            <w:webHidden/>
          </w:rPr>
        </w:r>
        <w:r w:rsidR="006D6083">
          <w:rPr>
            <w:webHidden/>
          </w:rPr>
          <w:fldChar w:fldCharType="separate"/>
        </w:r>
        <w:r w:rsidR="006D6083">
          <w:rPr>
            <w:webHidden/>
          </w:rPr>
          <w:t>13</w:t>
        </w:r>
        <w:r w:rsidR="006D6083">
          <w:rPr>
            <w:webHidden/>
          </w:rPr>
          <w:fldChar w:fldCharType="end"/>
        </w:r>
      </w:hyperlink>
    </w:p>
    <w:p w14:paraId="3ABC5052" w14:textId="2C6A8648" w:rsidR="006D6083" w:rsidRDefault="00875D99">
      <w:pPr>
        <w:pStyle w:val="TOC2"/>
        <w:rPr>
          <w:rFonts w:asciiTheme="minorHAnsi" w:eastAsiaTheme="minorEastAsia" w:hAnsiTheme="minorHAnsi" w:cstheme="minorBidi"/>
          <w:sz w:val="22"/>
          <w:szCs w:val="22"/>
          <w:lang w:eastAsia="en-AU"/>
        </w:rPr>
      </w:pPr>
      <w:hyperlink w:anchor="_Toc78287285" w:history="1">
        <w:r w:rsidR="006D6083" w:rsidRPr="00837DC1">
          <w:rPr>
            <w:rStyle w:val="Hyperlink"/>
            <w:lang w:eastAsia="en-AU"/>
          </w:rPr>
          <w:t>Handover of the movable unit</w:t>
        </w:r>
        <w:r w:rsidR="006D6083">
          <w:rPr>
            <w:webHidden/>
          </w:rPr>
          <w:tab/>
        </w:r>
        <w:r w:rsidR="006D6083">
          <w:rPr>
            <w:webHidden/>
          </w:rPr>
          <w:fldChar w:fldCharType="begin"/>
        </w:r>
        <w:r w:rsidR="006D6083">
          <w:rPr>
            <w:webHidden/>
          </w:rPr>
          <w:instrText xml:space="preserve"> PAGEREF _Toc78287285 \h </w:instrText>
        </w:r>
        <w:r w:rsidR="006D6083">
          <w:rPr>
            <w:webHidden/>
          </w:rPr>
        </w:r>
        <w:r w:rsidR="006D6083">
          <w:rPr>
            <w:webHidden/>
          </w:rPr>
          <w:fldChar w:fldCharType="separate"/>
        </w:r>
        <w:r w:rsidR="006D6083">
          <w:rPr>
            <w:webHidden/>
          </w:rPr>
          <w:t>13</w:t>
        </w:r>
        <w:r w:rsidR="006D6083">
          <w:rPr>
            <w:webHidden/>
          </w:rPr>
          <w:fldChar w:fldCharType="end"/>
        </w:r>
      </w:hyperlink>
    </w:p>
    <w:p w14:paraId="65623786" w14:textId="20A2A315" w:rsidR="006D6083" w:rsidRDefault="00875D99">
      <w:pPr>
        <w:pStyle w:val="TOC2"/>
        <w:rPr>
          <w:rFonts w:asciiTheme="minorHAnsi" w:eastAsiaTheme="minorEastAsia" w:hAnsiTheme="minorHAnsi" w:cstheme="minorBidi"/>
          <w:sz w:val="22"/>
          <w:szCs w:val="22"/>
          <w:lang w:eastAsia="en-AU"/>
        </w:rPr>
      </w:pPr>
      <w:hyperlink w:anchor="_Toc78287286" w:history="1">
        <w:r w:rsidR="006D6083" w:rsidRPr="00837DC1">
          <w:rPr>
            <w:rStyle w:val="Hyperlink"/>
            <w:lang w:eastAsia="en-AU"/>
          </w:rPr>
          <w:t>Maintenance</w:t>
        </w:r>
        <w:r w:rsidR="006D6083">
          <w:rPr>
            <w:webHidden/>
          </w:rPr>
          <w:tab/>
        </w:r>
        <w:r w:rsidR="006D6083">
          <w:rPr>
            <w:webHidden/>
          </w:rPr>
          <w:fldChar w:fldCharType="begin"/>
        </w:r>
        <w:r w:rsidR="006D6083">
          <w:rPr>
            <w:webHidden/>
          </w:rPr>
          <w:instrText xml:space="preserve"> PAGEREF _Toc78287286 \h </w:instrText>
        </w:r>
        <w:r w:rsidR="006D6083">
          <w:rPr>
            <w:webHidden/>
          </w:rPr>
        </w:r>
        <w:r w:rsidR="006D6083">
          <w:rPr>
            <w:webHidden/>
          </w:rPr>
          <w:fldChar w:fldCharType="separate"/>
        </w:r>
        <w:r w:rsidR="006D6083">
          <w:rPr>
            <w:webHidden/>
          </w:rPr>
          <w:t>13</w:t>
        </w:r>
        <w:r w:rsidR="006D6083">
          <w:rPr>
            <w:webHidden/>
          </w:rPr>
          <w:fldChar w:fldCharType="end"/>
        </w:r>
      </w:hyperlink>
    </w:p>
    <w:p w14:paraId="03F8F270" w14:textId="2D2329DA" w:rsidR="006D6083" w:rsidRDefault="00875D99">
      <w:pPr>
        <w:pStyle w:val="TOC2"/>
        <w:rPr>
          <w:rFonts w:asciiTheme="minorHAnsi" w:eastAsiaTheme="minorEastAsia" w:hAnsiTheme="minorHAnsi" w:cstheme="minorBidi"/>
          <w:sz w:val="22"/>
          <w:szCs w:val="22"/>
          <w:lang w:eastAsia="en-AU"/>
        </w:rPr>
      </w:pPr>
      <w:hyperlink w:anchor="_Toc78287287" w:history="1">
        <w:r w:rsidR="006D6083" w:rsidRPr="00837DC1">
          <w:rPr>
            <w:rStyle w:val="Hyperlink"/>
            <w:lang w:eastAsia="en-AU"/>
          </w:rPr>
          <w:t>Insurance</w:t>
        </w:r>
        <w:r w:rsidR="006D6083">
          <w:rPr>
            <w:webHidden/>
          </w:rPr>
          <w:tab/>
        </w:r>
        <w:r w:rsidR="006D6083">
          <w:rPr>
            <w:webHidden/>
          </w:rPr>
          <w:fldChar w:fldCharType="begin"/>
        </w:r>
        <w:r w:rsidR="006D6083">
          <w:rPr>
            <w:webHidden/>
          </w:rPr>
          <w:instrText xml:space="preserve"> PAGEREF _Toc78287287 \h </w:instrText>
        </w:r>
        <w:r w:rsidR="006D6083">
          <w:rPr>
            <w:webHidden/>
          </w:rPr>
        </w:r>
        <w:r w:rsidR="006D6083">
          <w:rPr>
            <w:webHidden/>
          </w:rPr>
          <w:fldChar w:fldCharType="separate"/>
        </w:r>
        <w:r w:rsidR="006D6083">
          <w:rPr>
            <w:webHidden/>
          </w:rPr>
          <w:t>13</w:t>
        </w:r>
        <w:r w:rsidR="006D6083">
          <w:rPr>
            <w:webHidden/>
          </w:rPr>
          <w:fldChar w:fldCharType="end"/>
        </w:r>
      </w:hyperlink>
    </w:p>
    <w:p w14:paraId="0079759A" w14:textId="21BBFC44" w:rsidR="006D6083" w:rsidRDefault="00875D99">
      <w:pPr>
        <w:pStyle w:val="TOC1"/>
        <w:rPr>
          <w:rFonts w:asciiTheme="minorHAnsi" w:eastAsiaTheme="minorEastAsia" w:hAnsiTheme="minorHAnsi" w:cstheme="minorBidi"/>
          <w:b w:val="0"/>
          <w:sz w:val="22"/>
          <w:szCs w:val="22"/>
          <w:lang w:eastAsia="en-AU"/>
        </w:rPr>
      </w:pPr>
      <w:hyperlink w:anchor="_Toc78287288" w:history="1">
        <w:r w:rsidR="006D6083" w:rsidRPr="00837DC1">
          <w:rPr>
            <w:rStyle w:val="Hyperlink"/>
            <w:lang w:eastAsia="en-AU"/>
          </w:rPr>
          <w:t>Hiring agreement</w:t>
        </w:r>
        <w:r w:rsidR="006D6083">
          <w:rPr>
            <w:webHidden/>
          </w:rPr>
          <w:tab/>
        </w:r>
        <w:r w:rsidR="006D6083">
          <w:rPr>
            <w:webHidden/>
          </w:rPr>
          <w:fldChar w:fldCharType="begin"/>
        </w:r>
        <w:r w:rsidR="006D6083">
          <w:rPr>
            <w:webHidden/>
          </w:rPr>
          <w:instrText xml:space="preserve"> PAGEREF _Toc78287288 \h </w:instrText>
        </w:r>
        <w:r w:rsidR="006D6083">
          <w:rPr>
            <w:webHidden/>
          </w:rPr>
        </w:r>
        <w:r w:rsidR="006D6083">
          <w:rPr>
            <w:webHidden/>
          </w:rPr>
          <w:fldChar w:fldCharType="separate"/>
        </w:r>
        <w:r w:rsidR="006D6083">
          <w:rPr>
            <w:webHidden/>
          </w:rPr>
          <w:t>13</w:t>
        </w:r>
        <w:r w:rsidR="006D6083">
          <w:rPr>
            <w:webHidden/>
          </w:rPr>
          <w:fldChar w:fldCharType="end"/>
        </w:r>
      </w:hyperlink>
    </w:p>
    <w:p w14:paraId="4EA1504A" w14:textId="6F0C2DAA" w:rsidR="006D6083" w:rsidRDefault="00875D99">
      <w:pPr>
        <w:pStyle w:val="TOC1"/>
        <w:rPr>
          <w:rFonts w:asciiTheme="minorHAnsi" w:eastAsiaTheme="minorEastAsia" w:hAnsiTheme="minorHAnsi" w:cstheme="minorBidi"/>
          <w:b w:val="0"/>
          <w:sz w:val="22"/>
          <w:szCs w:val="22"/>
          <w:lang w:eastAsia="en-AU"/>
        </w:rPr>
      </w:pPr>
      <w:hyperlink w:anchor="_Toc78287289" w:history="1">
        <w:r w:rsidR="006D6083" w:rsidRPr="00837DC1">
          <w:rPr>
            <w:rStyle w:val="Hyperlink"/>
            <w:lang w:eastAsia="en-AU"/>
          </w:rPr>
          <w:t>Rental rebate</w:t>
        </w:r>
        <w:r w:rsidR="006D6083">
          <w:rPr>
            <w:webHidden/>
          </w:rPr>
          <w:tab/>
        </w:r>
        <w:r w:rsidR="006D6083">
          <w:rPr>
            <w:webHidden/>
          </w:rPr>
          <w:fldChar w:fldCharType="begin"/>
        </w:r>
        <w:r w:rsidR="006D6083">
          <w:rPr>
            <w:webHidden/>
          </w:rPr>
          <w:instrText xml:space="preserve"> PAGEREF _Toc78287289 \h </w:instrText>
        </w:r>
        <w:r w:rsidR="006D6083">
          <w:rPr>
            <w:webHidden/>
          </w:rPr>
        </w:r>
        <w:r w:rsidR="006D6083">
          <w:rPr>
            <w:webHidden/>
          </w:rPr>
          <w:fldChar w:fldCharType="separate"/>
        </w:r>
        <w:r w:rsidR="006D6083">
          <w:rPr>
            <w:webHidden/>
          </w:rPr>
          <w:t>14</w:t>
        </w:r>
        <w:r w:rsidR="006D6083">
          <w:rPr>
            <w:webHidden/>
          </w:rPr>
          <w:fldChar w:fldCharType="end"/>
        </w:r>
      </w:hyperlink>
    </w:p>
    <w:p w14:paraId="1D91FB55" w14:textId="60FDFBB0" w:rsidR="006D6083" w:rsidRDefault="00875D99">
      <w:pPr>
        <w:pStyle w:val="TOC1"/>
        <w:rPr>
          <w:rFonts w:asciiTheme="minorHAnsi" w:eastAsiaTheme="minorEastAsia" w:hAnsiTheme="minorHAnsi" w:cstheme="minorBidi"/>
          <w:b w:val="0"/>
          <w:sz w:val="22"/>
          <w:szCs w:val="22"/>
          <w:lang w:eastAsia="en-AU"/>
        </w:rPr>
      </w:pPr>
      <w:hyperlink w:anchor="_Toc78287290" w:history="1">
        <w:r w:rsidR="006D6083" w:rsidRPr="00837DC1">
          <w:rPr>
            <w:rStyle w:val="Hyperlink"/>
            <w:lang w:eastAsia="en-AU"/>
          </w:rPr>
          <w:t>On-going management of the movable unit</w:t>
        </w:r>
        <w:r w:rsidR="006D6083">
          <w:rPr>
            <w:webHidden/>
          </w:rPr>
          <w:tab/>
        </w:r>
        <w:r w:rsidR="006D6083">
          <w:rPr>
            <w:webHidden/>
          </w:rPr>
          <w:fldChar w:fldCharType="begin"/>
        </w:r>
        <w:r w:rsidR="006D6083">
          <w:rPr>
            <w:webHidden/>
          </w:rPr>
          <w:instrText xml:space="preserve"> PAGEREF _Toc78287290 \h </w:instrText>
        </w:r>
        <w:r w:rsidR="006D6083">
          <w:rPr>
            <w:webHidden/>
          </w:rPr>
        </w:r>
        <w:r w:rsidR="006D6083">
          <w:rPr>
            <w:webHidden/>
          </w:rPr>
          <w:fldChar w:fldCharType="separate"/>
        </w:r>
        <w:r w:rsidR="006D6083">
          <w:rPr>
            <w:webHidden/>
          </w:rPr>
          <w:t>14</w:t>
        </w:r>
        <w:r w:rsidR="006D6083">
          <w:rPr>
            <w:webHidden/>
          </w:rPr>
          <w:fldChar w:fldCharType="end"/>
        </w:r>
      </w:hyperlink>
    </w:p>
    <w:p w14:paraId="04639FA9" w14:textId="19A9DDF4" w:rsidR="006D6083" w:rsidRDefault="00875D99">
      <w:pPr>
        <w:pStyle w:val="TOC1"/>
        <w:rPr>
          <w:rFonts w:asciiTheme="minorHAnsi" w:eastAsiaTheme="minorEastAsia" w:hAnsiTheme="minorHAnsi" w:cstheme="minorBidi"/>
          <w:b w:val="0"/>
          <w:sz w:val="22"/>
          <w:szCs w:val="22"/>
          <w:lang w:eastAsia="en-AU"/>
        </w:rPr>
      </w:pPr>
      <w:hyperlink w:anchor="_Toc78287291" w:history="1">
        <w:r w:rsidR="006D6083" w:rsidRPr="00837DC1">
          <w:rPr>
            <w:rStyle w:val="Hyperlink"/>
            <w:lang w:eastAsia="en-AU"/>
          </w:rPr>
          <w:t>Breaches of the hiring agreement</w:t>
        </w:r>
        <w:r w:rsidR="006D6083">
          <w:rPr>
            <w:webHidden/>
          </w:rPr>
          <w:tab/>
        </w:r>
        <w:r w:rsidR="006D6083">
          <w:rPr>
            <w:webHidden/>
          </w:rPr>
          <w:fldChar w:fldCharType="begin"/>
        </w:r>
        <w:r w:rsidR="006D6083">
          <w:rPr>
            <w:webHidden/>
          </w:rPr>
          <w:instrText xml:space="preserve"> PAGEREF _Toc78287291 \h </w:instrText>
        </w:r>
        <w:r w:rsidR="006D6083">
          <w:rPr>
            <w:webHidden/>
          </w:rPr>
        </w:r>
        <w:r w:rsidR="006D6083">
          <w:rPr>
            <w:webHidden/>
          </w:rPr>
          <w:fldChar w:fldCharType="separate"/>
        </w:r>
        <w:r w:rsidR="006D6083">
          <w:rPr>
            <w:webHidden/>
          </w:rPr>
          <w:t>14</w:t>
        </w:r>
        <w:r w:rsidR="006D6083">
          <w:rPr>
            <w:webHidden/>
          </w:rPr>
          <w:fldChar w:fldCharType="end"/>
        </w:r>
      </w:hyperlink>
    </w:p>
    <w:p w14:paraId="7CF0B736" w14:textId="68A6DAFD" w:rsidR="006D6083" w:rsidRDefault="00875D99">
      <w:pPr>
        <w:pStyle w:val="TOC2"/>
        <w:rPr>
          <w:rFonts w:asciiTheme="minorHAnsi" w:eastAsiaTheme="minorEastAsia" w:hAnsiTheme="minorHAnsi" w:cstheme="minorBidi"/>
          <w:sz w:val="22"/>
          <w:szCs w:val="22"/>
          <w:lang w:eastAsia="en-AU"/>
        </w:rPr>
      </w:pPr>
      <w:hyperlink w:anchor="_Toc78287292" w:history="1">
        <w:r w:rsidR="006D6083" w:rsidRPr="00837DC1">
          <w:rPr>
            <w:rStyle w:val="Hyperlink"/>
            <w:lang w:eastAsia="en-AU"/>
          </w:rPr>
          <w:t>Breaches, termination of hiring agreement and requirement to yield possession process flowchart</w:t>
        </w:r>
        <w:r w:rsidR="006D6083">
          <w:rPr>
            <w:webHidden/>
          </w:rPr>
          <w:tab/>
        </w:r>
        <w:r w:rsidR="006D6083">
          <w:rPr>
            <w:webHidden/>
          </w:rPr>
          <w:fldChar w:fldCharType="begin"/>
        </w:r>
        <w:r w:rsidR="006D6083">
          <w:rPr>
            <w:webHidden/>
          </w:rPr>
          <w:instrText xml:space="preserve"> PAGEREF _Toc78287292 \h </w:instrText>
        </w:r>
        <w:r w:rsidR="006D6083">
          <w:rPr>
            <w:webHidden/>
          </w:rPr>
        </w:r>
        <w:r w:rsidR="006D6083">
          <w:rPr>
            <w:webHidden/>
          </w:rPr>
          <w:fldChar w:fldCharType="separate"/>
        </w:r>
        <w:r w:rsidR="006D6083">
          <w:rPr>
            <w:webHidden/>
          </w:rPr>
          <w:t>16</w:t>
        </w:r>
        <w:r w:rsidR="006D6083">
          <w:rPr>
            <w:webHidden/>
          </w:rPr>
          <w:fldChar w:fldCharType="end"/>
        </w:r>
      </w:hyperlink>
    </w:p>
    <w:p w14:paraId="39B181E3" w14:textId="70E55691" w:rsidR="006D6083" w:rsidRDefault="00875D99">
      <w:pPr>
        <w:pStyle w:val="TOC2"/>
        <w:rPr>
          <w:rFonts w:asciiTheme="minorHAnsi" w:eastAsiaTheme="minorEastAsia" w:hAnsiTheme="minorHAnsi" w:cstheme="minorBidi"/>
          <w:sz w:val="22"/>
          <w:szCs w:val="22"/>
          <w:lang w:eastAsia="en-AU"/>
        </w:rPr>
      </w:pPr>
      <w:hyperlink w:anchor="_Toc78287293" w:history="1">
        <w:r w:rsidR="006D6083" w:rsidRPr="00837DC1">
          <w:rPr>
            <w:rStyle w:val="Hyperlink"/>
            <w:lang w:eastAsia="en-AU"/>
          </w:rPr>
          <w:t>Non-payment of hiring fee</w:t>
        </w:r>
        <w:r w:rsidR="006D6083">
          <w:rPr>
            <w:webHidden/>
          </w:rPr>
          <w:tab/>
        </w:r>
        <w:r w:rsidR="006D6083">
          <w:rPr>
            <w:webHidden/>
          </w:rPr>
          <w:fldChar w:fldCharType="begin"/>
        </w:r>
        <w:r w:rsidR="006D6083">
          <w:rPr>
            <w:webHidden/>
          </w:rPr>
          <w:instrText xml:space="preserve"> PAGEREF _Toc78287293 \h </w:instrText>
        </w:r>
        <w:r w:rsidR="006D6083">
          <w:rPr>
            <w:webHidden/>
          </w:rPr>
        </w:r>
        <w:r w:rsidR="006D6083">
          <w:rPr>
            <w:webHidden/>
          </w:rPr>
          <w:fldChar w:fldCharType="separate"/>
        </w:r>
        <w:r w:rsidR="006D6083">
          <w:rPr>
            <w:webHidden/>
          </w:rPr>
          <w:t>16</w:t>
        </w:r>
        <w:r w:rsidR="006D6083">
          <w:rPr>
            <w:webHidden/>
          </w:rPr>
          <w:fldChar w:fldCharType="end"/>
        </w:r>
      </w:hyperlink>
    </w:p>
    <w:p w14:paraId="69D0B143" w14:textId="4F584018" w:rsidR="006D6083" w:rsidRDefault="00875D99">
      <w:pPr>
        <w:pStyle w:val="TOC2"/>
        <w:rPr>
          <w:rFonts w:asciiTheme="minorHAnsi" w:eastAsiaTheme="minorEastAsia" w:hAnsiTheme="minorHAnsi" w:cstheme="minorBidi"/>
          <w:sz w:val="22"/>
          <w:szCs w:val="22"/>
          <w:lang w:eastAsia="en-AU"/>
        </w:rPr>
      </w:pPr>
      <w:hyperlink w:anchor="_Toc78287294" w:history="1">
        <w:r w:rsidR="006D6083" w:rsidRPr="00837DC1">
          <w:rPr>
            <w:rStyle w:val="Hyperlink"/>
            <w:lang w:eastAsia="en-AU"/>
          </w:rPr>
          <w:t>Undeclared occupants, residents or squatters</w:t>
        </w:r>
        <w:r w:rsidR="006D6083">
          <w:rPr>
            <w:webHidden/>
          </w:rPr>
          <w:tab/>
        </w:r>
        <w:r w:rsidR="006D6083">
          <w:rPr>
            <w:webHidden/>
          </w:rPr>
          <w:fldChar w:fldCharType="begin"/>
        </w:r>
        <w:r w:rsidR="006D6083">
          <w:rPr>
            <w:webHidden/>
          </w:rPr>
          <w:instrText xml:space="preserve"> PAGEREF _Toc78287294 \h </w:instrText>
        </w:r>
        <w:r w:rsidR="006D6083">
          <w:rPr>
            <w:webHidden/>
          </w:rPr>
        </w:r>
        <w:r w:rsidR="006D6083">
          <w:rPr>
            <w:webHidden/>
          </w:rPr>
          <w:fldChar w:fldCharType="separate"/>
        </w:r>
        <w:r w:rsidR="006D6083">
          <w:rPr>
            <w:webHidden/>
          </w:rPr>
          <w:t>16</w:t>
        </w:r>
        <w:r w:rsidR="006D6083">
          <w:rPr>
            <w:webHidden/>
          </w:rPr>
          <w:fldChar w:fldCharType="end"/>
        </w:r>
      </w:hyperlink>
    </w:p>
    <w:p w14:paraId="062D4257" w14:textId="05FA145A" w:rsidR="006D6083" w:rsidRDefault="00875D99">
      <w:pPr>
        <w:pStyle w:val="TOC1"/>
        <w:rPr>
          <w:rFonts w:asciiTheme="minorHAnsi" w:eastAsiaTheme="minorEastAsia" w:hAnsiTheme="minorHAnsi" w:cstheme="minorBidi"/>
          <w:b w:val="0"/>
          <w:sz w:val="22"/>
          <w:szCs w:val="22"/>
          <w:lang w:eastAsia="en-AU"/>
        </w:rPr>
      </w:pPr>
      <w:hyperlink w:anchor="_Toc78287295" w:history="1">
        <w:r w:rsidR="006D6083" w:rsidRPr="00837DC1">
          <w:rPr>
            <w:rStyle w:val="Hyperlink"/>
            <w:lang w:eastAsia="en-AU"/>
          </w:rPr>
          <w:t>Transferring the movable unit</w:t>
        </w:r>
        <w:r w:rsidR="006D6083">
          <w:rPr>
            <w:webHidden/>
          </w:rPr>
          <w:tab/>
        </w:r>
        <w:r w:rsidR="006D6083">
          <w:rPr>
            <w:webHidden/>
          </w:rPr>
          <w:fldChar w:fldCharType="begin"/>
        </w:r>
        <w:r w:rsidR="006D6083">
          <w:rPr>
            <w:webHidden/>
          </w:rPr>
          <w:instrText xml:space="preserve"> PAGEREF _Toc78287295 \h </w:instrText>
        </w:r>
        <w:r w:rsidR="006D6083">
          <w:rPr>
            <w:webHidden/>
          </w:rPr>
        </w:r>
        <w:r w:rsidR="006D6083">
          <w:rPr>
            <w:webHidden/>
          </w:rPr>
          <w:fldChar w:fldCharType="separate"/>
        </w:r>
        <w:r w:rsidR="006D6083">
          <w:rPr>
            <w:webHidden/>
          </w:rPr>
          <w:t>16</w:t>
        </w:r>
        <w:r w:rsidR="006D6083">
          <w:rPr>
            <w:webHidden/>
          </w:rPr>
          <w:fldChar w:fldCharType="end"/>
        </w:r>
      </w:hyperlink>
    </w:p>
    <w:p w14:paraId="1156C5C5" w14:textId="653F341B" w:rsidR="006D6083" w:rsidRDefault="00875D99">
      <w:pPr>
        <w:pStyle w:val="TOC1"/>
        <w:rPr>
          <w:rFonts w:asciiTheme="minorHAnsi" w:eastAsiaTheme="minorEastAsia" w:hAnsiTheme="minorHAnsi" w:cstheme="minorBidi"/>
          <w:b w:val="0"/>
          <w:sz w:val="22"/>
          <w:szCs w:val="22"/>
          <w:lang w:eastAsia="en-AU"/>
        </w:rPr>
      </w:pPr>
      <w:hyperlink w:anchor="_Toc78287296" w:history="1">
        <w:r w:rsidR="006D6083" w:rsidRPr="00837DC1">
          <w:rPr>
            <w:rStyle w:val="Hyperlink"/>
            <w:lang w:eastAsia="en-AU"/>
          </w:rPr>
          <w:t>Ending the movable unit hiring agreement</w:t>
        </w:r>
        <w:r w:rsidR="006D6083">
          <w:rPr>
            <w:webHidden/>
          </w:rPr>
          <w:tab/>
        </w:r>
        <w:r w:rsidR="006D6083">
          <w:rPr>
            <w:webHidden/>
          </w:rPr>
          <w:fldChar w:fldCharType="begin"/>
        </w:r>
        <w:r w:rsidR="006D6083">
          <w:rPr>
            <w:webHidden/>
          </w:rPr>
          <w:instrText xml:space="preserve"> PAGEREF _Toc78287296 \h </w:instrText>
        </w:r>
        <w:r w:rsidR="006D6083">
          <w:rPr>
            <w:webHidden/>
          </w:rPr>
        </w:r>
        <w:r w:rsidR="006D6083">
          <w:rPr>
            <w:webHidden/>
          </w:rPr>
          <w:fldChar w:fldCharType="separate"/>
        </w:r>
        <w:r w:rsidR="006D6083">
          <w:rPr>
            <w:webHidden/>
          </w:rPr>
          <w:t>17</w:t>
        </w:r>
        <w:r w:rsidR="006D6083">
          <w:rPr>
            <w:webHidden/>
          </w:rPr>
          <w:fldChar w:fldCharType="end"/>
        </w:r>
      </w:hyperlink>
    </w:p>
    <w:p w14:paraId="48EDD8F4" w14:textId="62B38D18" w:rsidR="006D6083" w:rsidRDefault="00875D99">
      <w:pPr>
        <w:pStyle w:val="TOC2"/>
        <w:rPr>
          <w:rFonts w:asciiTheme="minorHAnsi" w:eastAsiaTheme="minorEastAsia" w:hAnsiTheme="minorHAnsi" w:cstheme="minorBidi"/>
          <w:sz w:val="22"/>
          <w:szCs w:val="22"/>
          <w:lang w:eastAsia="en-AU"/>
        </w:rPr>
      </w:pPr>
      <w:hyperlink w:anchor="_Toc78287297" w:history="1">
        <w:r w:rsidR="006D6083" w:rsidRPr="00837DC1">
          <w:rPr>
            <w:rStyle w:val="Hyperlink"/>
            <w:lang w:eastAsia="en-AU"/>
          </w:rPr>
          <w:t>Initiated by the applicant</w:t>
        </w:r>
        <w:r w:rsidR="006D6083">
          <w:rPr>
            <w:webHidden/>
          </w:rPr>
          <w:tab/>
        </w:r>
        <w:r w:rsidR="006D6083">
          <w:rPr>
            <w:webHidden/>
          </w:rPr>
          <w:fldChar w:fldCharType="begin"/>
        </w:r>
        <w:r w:rsidR="006D6083">
          <w:rPr>
            <w:webHidden/>
          </w:rPr>
          <w:instrText xml:space="preserve"> PAGEREF _Toc78287297 \h </w:instrText>
        </w:r>
        <w:r w:rsidR="006D6083">
          <w:rPr>
            <w:webHidden/>
          </w:rPr>
        </w:r>
        <w:r w:rsidR="006D6083">
          <w:rPr>
            <w:webHidden/>
          </w:rPr>
          <w:fldChar w:fldCharType="separate"/>
        </w:r>
        <w:r w:rsidR="006D6083">
          <w:rPr>
            <w:webHidden/>
          </w:rPr>
          <w:t>17</w:t>
        </w:r>
        <w:r w:rsidR="006D6083">
          <w:rPr>
            <w:webHidden/>
          </w:rPr>
          <w:fldChar w:fldCharType="end"/>
        </w:r>
      </w:hyperlink>
    </w:p>
    <w:p w14:paraId="67A8DFEE" w14:textId="56FDF824" w:rsidR="006D6083" w:rsidRDefault="00875D99">
      <w:pPr>
        <w:pStyle w:val="TOC2"/>
        <w:rPr>
          <w:rFonts w:asciiTheme="minorHAnsi" w:eastAsiaTheme="minorEastAsia" w:hAnsiTheme="minorHAnsi" w:cstheme="minorBidi"/>
          <w:sz w:val="22"/>
          <w:szCs w:val="22"/>
          <w:lang w:eastAsia="en-AU"/>
        </w:rPr>
      </w:pPr>
      <w:hyperlink w:anchor="_Toc78287298" w:history="1">
        <w:r w:rsidR="006D6083" w:rsidRPr="00837DC1">
          <w:rPr>
            <w:rStyle w:val="Hyperlink"/>
            <w:lang w:eastAsia="en-AU"/>
          </w:rPr>
          <w:t>Initiated by the property host</w:t>
        </w:r>
        <w:r w:rsidR="006D6083">
          <w:rPr>
            <w:webHidden/>
          </w:rPr>
          <w:tab/>
        </w:r>
        <w:r w:rsidR="006D6083">
          <w:rPr>
            <w:webHidden/>
          </w:rPr>
          <w:fldChar w:fldCharType="begin"/>
        </w:r>
        <w:r w:rsidR="006D6083">
          <w:rPr>
            <w:webHidden/>
          </w:rPr>
          <w:instrText xml:space="preserve"> PAGEREF _Toc78287298 \h </w:instrText>
        </w:r>
        <w:r w:rsidR="006D6083">
          <w:rPr>
            <w:webHidden/>
          </w:rPr>
        </w:r>
        <w:r w:rsidR="006D6083">
          <w:rPr>
            <w:webHidden/>
          </w:rPr>
          <w:fldChar w:fldCharType="separate"/>
        </w:r>
        <w:r w:rsidR="006D6083">
          <w:rPr>
            <w:webHidden/>
          </w:rPr>
          <w:t>17</w:t>
        </w:r>
        <w:r w:rsidR="006D6083">
          <w:rPr>
            <w:webHidden/>
          </w:rPr>
          <w:fldChar w:fldCharType="end"/>
        </w:r>
      </w:hyperlink>
    </w:p>
    <w:p w14:paraId="54A39EC0" w14:textId="4E142317" w:rsidR="006D6083" w:rsidRDefault="00875D99">
      <w:pPr>
        <w:pStyle w:val="TOC2"/>
        <w:rPr>
          <w:rFonts w:asciiTheme="minorHAnsi" w:eastAsiaTheme="minorEastAsia" w:hAnsiTheme="minorHAnsi" w:cstheme="minorBidi"/>
          <w:sz w:val="22"/>
          <w:szCs w:val="22"/>
          <w:lang w:eastAsia="en-AU"/>
        </w:rPr>
      </w:pPr>
      <w:hyperlink w:anchor="_Toc78287299" w:history="1">
        <w:r w:rsidR="006D6083" w:rsidRPr="00837DC1">
          <w:rPr>
            <w:rStyle w:val="Hyperlink"/>
            <w:lang w:eastAsia="en-AU"/>
          </w:rPr>
          <w:t>Initiated by the department</w:t>
        </w:r>
        <w:r w:rsidR="006D6083">
          <w:rPr>
            <w:webHidden/>
          </w:rPr>
          <w:tab/>
        </w:r>
        <w:r w:rsidR="006D6083">
          <w:rPr>
            <w:webHidden/>
          </w:rPr>
          <w:fldChar w:fldCharType="begin"/>
        </w:r>
        <w:r w:rsidR="006D6083">
          <w:rPr>
            <w:webHidden/>
          </w:rPr>
          <w:instrText xml:space="preserve"> PAGEREF _Toc78287299 \h </w:instrText>
        </w:r>
        <w:r w:rsidR="006D6083">
          <w:rPr>
            <w:webHidden/>
          </w:rPr>
        </w:r>
        <w:r w:rsidR="006D6083">
          <w:rPr>
            <w:webHidden/>
          </w:rPr>
          <w:fldChar w:fldCharType="separate"/>
        </w:r>
        <w:r w:rsidR="006D6083">
          <w:rPr>
            <w:webHidden/>
          </w:rPr>
          <w:t>17</w:t>
        </w:r>
        <w:r w:rsidR="006D6083">
          <w:rPr>
            <w:webHidden/>
          </w:rPr>
          <w:fldChar w:fldCharType="end"/>
        </w:r>
      </w:hyperlink>
    </w:p>
    <w:p w14:paraId="240E1E2B" w14:textId="5EE5840B" w:rsidR="006D6083" w:rsidRDefault="00875D99">
      <w:pPr>
        <w:pStyle w:val="TOC1"/>
        <w:rPr>
          <w:rFonts w:asciiTheme="minorHAnsi" w:eastAsiaTheme="minorEastAsia" w:hAnsiTheme="minorHAnsi" w:cstheme="minorBidi"/>
          <w:b w:val="0"/>
          <w:sz w:val="22"/>
          <w:szCs w:val="22"/>
          <w:lang w:eastAsia="en-AU"/>
        </w:rPr>
      </w:pPr>
      <w:hyperlink w:anchor="_Toc78287300" w:history="1">
        <w:r w:rsidR="006D6083" w:rsidRPr="00837DC1">
          <w:rPr>
            <w:rStyle w:val="Hyperlink"/>
            <w:lang w:eastAsia="en-AU"/>
          </w:rPr>
          <w:t>Removal of the movable unit</w:t>
        </w:r>
        <w:r w:rsidR="006D6083">
          <w:rPr>
            <w:webHidden/>
          </w:rPr>
          <w:tab/>
        </w:r>
        <w:r w:rsidR="006D6083">
          <w:rPr>
            <w:webHidden/>
          </w:rPr>
          <w:fldChar w:fldCharType="begin"/>
        </w:r>
        <w:r w:rsidR="006D6083">
          <w:rPr>
            <w:webHidden/>
          </w:rPr>
          <w:instrText xml:space="preserve"> PAGEREF _Toc78287300 \h </w:instrText>
        </w:r>
        <w:r w:rsidR="006D6083">
          <w:rPr>
            <w:webHidden/>
          </w:rPr>
        </w:r>
        <w:r w:rsidR="006D6083">
          <w:rPr>
            <w:webHidden/>
          </w:rPr>
          <w:fldChar w:fldCharType="separate"/>
        </w:r>
        <w:r w:rsidR="006D6083">
          <w:rPr>
            <w:webHidden/>
          </w:rPr>
          <w:t>17</w:t>
        </w:r>
        <w:r w:rsidR="006D6083">
          <w:rPr>
            <w:webHidden/>
          </w:rPr>
          <w:fldChar w:fldCharType="end"/>
        </w:r>
      </w:hyperlink>
    </w:p>
    <w:p w14:paraId="4CA8191C" w14:textId="084728C2" w:rsidR="006D6083" w:rsidRDefault="00875D99">
      <w:pPr>
        <w:pStyle w:val="TOC1"/>
        <w:rPr>
          <w:rFonts w:asciiTheme="minorHAnsi" w:eastAsiaTheme="minorEastAsia" w:hAnsiTheme="minorHAnsi" w:cstheme="minorBidi"/>
          <w:b w:val="0"/>
          <w:sz w:val="22"/>
          <w:szCs w:val="22"/>
          <w:lang w:eastAsia="en-AU"/>
        </w:rPr>
      </w:pPr>
      <w:hyperlink w:anchor="_Toc78287301" w:history="1">
        <w:r w:rsidR="006D6083" w:rsidRPr="00837DC1">
          <w:rPr>
            <w:rStyle w:val="Hyperlink"/>
            <w:lang w:eastAsia="en-AU"/>
          </w:rPr>
          <w:t>Movable units and emergency management</w:t>
        </w:r>
        <w:r w:rsidR="006D6083">
          <w:rPr>
            <w:webHidden/>
          </w:rPr>
          <w:tab/>
        </w:r>
        <w:r w:rsidR="006D6083">
          <w:rPr>
            <w:webHidden/>
          </w:rPr>
          <w:fldChar w:fldCharType="begin"/>
        </w:r>
        <w:r w:rsidR="006D6083">
          <w:rPr>
            <w:webHidden/>
          </w:rPr>
          <w:instrText xml:space="preserve"> PAGEREF _Toc78287301 \h </w:instrText>
        </w:r>
        <w:r w:rsidR="006D6083">
          <w:rPr>
            <w:webHidden/>
          </w:rPr>
        </w:r>
        <w:r w:rsidR="006D6083">
          <w:rPr>
            <w:webHidden/>
          </w:rPr>
          <w:fldChar w:fldCharType="separate"/>
        </w:r>
        <w:r w:rsidR="006D6083">
          <w:rPr>
            <w:webHidden/>
          </w:rPr>
          <w:t>18</w:t>
        </w:r>
        <w:r w:rsidR="006D6083">
          <w:rPr>
            <w:webHidden/>
          </w:rPr>
          <w:fldChar w:fldCharType="end"/>
        </w:r>
      </w:hyperlink>
    </w:p>
    <w:p w14:paraId="03C0E761" w14:textId="67D81791" w:rsidR="00FB1F6E" w:rsidRDefault="00AD784C" w:rsidP="00D079AA">
      <w:pPr>
        <w:pStyle w:val="Body"/>
      </w:pPr>
      <w:r>
        <w:fldChar w:fldCharType="end"/>
      </w:r>
    </w:p>
    <w:p w14:paraId="0B875C54" w14:textId="26723515" w:rsidR="00501145" w:rsidRPr="00501145" w:rsidRDefault="00501145" w:rsidP="00501145">
      <w:pPr>
        <w:pStyle w:val="Heading1"/>
        <w:rPr>
          <w:lang w:eastAsia="en-AU"/>
        </w:rPr>
      </w:pPr>
      <w:bookmarkStart w:id="0" w:name="_Toc462059701"/>
      <w:bookmarkStart w:id="1" w:name="_Toc485812929"/>
      <w:bookmarkStart w:id="2" w:name="_Toc78287270"/>
      <w:r w:rsidRPr="00501145">
        <w:rPr>
          <w:lang w:eastAsia="en-AU"/>
        </w:rPr>
        <w:lastRenderedPageBreak/>
        <w:t>When do these operational guidelines apply?</w:t>
      </w:r>
      <w:bookmarkEnd w:id="0"/>
      <w:bookmarkEnd w:id="1"/>
      <w:bookmarkEnd w:id="2"/>
    </w:p>
    <w:p w14:paraId="62EDC413" w14:textId="12036722" w:rsidR="00501145" w:rsidRPr="00501145" w:rsidRDefault="00501145" w:rsidP="00501145">
      <w:pPr>
        <w:pStyle w:val="Body"/>
        <w:rPr>
          <w:lang w:eastAsia="en-AU"/>
        </w:rPr>
      </w:pPr>
      <w:r w:rsidRPr="00501145">
        <w:rPr>
          <w:lang w:eastAsia="en-AU"/>
        </w:rPr>
        <w:t xml:space="preserve">These operational guidelines outline the requirements and considerations for staff managing the applications, </w:t>
      </w:r>
      <w:r w:rsidR="00932A09" w:rsidRPr="00501145">
        <w:rPr>
          <w:lang w:eastAsia="en-AU"/>
        </w:rPr>
        <w:t>allocations,</w:t>
      </w:r>
      <w:r w:rsidRPr="00501145">
        <w:rPr>
          <w:lang w:eastAsia="en-AU"/>
        </w:rPr>
        <w:t xml:space="preserve"> and ongoing management of movable units.</w:t>
      </w:r>
    </w:p>
    <w:p w14:paraId="56880AA2" w14:textId="77777777" w:rsidR="00501145" w:rsidRPr="00501145" w:rsidRDefault="00501145" w:rsidP="00501145">
      <w:pPr>
        <w:pStyle w:val="Heading1"/>
        <w:rPr>
          <w:lang w:eastAsia="en-AU"/>
        </w:rPr>
      </w:pPr>
      <w:bookmarkStart w:id="3" w:name="_Toc462059702"/>
      <w:bookmarkStart w:id="4" w:name="_Toc485812930"/>
      <w:bookmarkStart w:id="5" w:name="_Toc78287271"/>
      <w:r w:rsidRPr="00501145">
        <w:rPr>
          <w:lang w:eastAsia="en-AU"/>
        </w:rPr>
        <w:t>Human rights considerations</w:t>
      </w:r>
      <w:bookmarkEnd w:id="3"/>
      <w:bookmarkEnd w:id="4"/>
      <w:bookmarkEnd w:id="5"/>
    </w:p>
    <w:p w14:paraId="3C0CBAC0" w14:textId="77777777" w:rsidR="00501145" w:rsidRPr="00501145" w:rsidRDefault="00501145" w:rsidP="00501145">
      <w:pPr>
        <w:pStyle w:val="Body"/>
        <w:rPr>
          <w:lang w:eastAsia="en-AU"/>
        </w:rPr>
      </w:pPr>
      <w:r w:rsidRPr="00501145">
        <w:rPr>
          <w:lang w:eastAsia="en-AU"/>
        </w:rPr>
        <w:t xml:space="preserve">In deciding what action to take, staff will consider the potential impact of proposed action taken through these operational guidelines on the person’s (and their household’s) rights under the </w:t>
      </w:r>
      <w:r w:rsidRPr="00501145">
        <w:rPr>
          <w:i/>
          <w:lang w:eastAsia="en-AU"/>
        </w:rPr>
        <w:t xml:space="preserve">Charter of Human Rights and Responsibilities </w:t>
      </w:r>
      <w:r w:rsidRPr="00501145">
        <w:rPr>
          <w:lang w:eastAsia="en-AU"/>
        </w:rPr>
        <w:t xml:space="preserve">(2006).  </w:t>
      </w:r>
    </w:p>
    <w:p w14:paraId="4F651FAE" w14:textId="77777777" w:rsidR="00501145" w:rsidRPr="00501145" w:rsidRDefault="00501145" w:rsidP="00501145">
      <w:pPr>
        <w:pStyle w:val="Body"/>
        <w:rPr>
          <w:lang w:eastAsia="en-AU"/>
        </w:rPr>
      </w:pPr>
      <w:r w:rsidRPr="00501145">
        <w:rPr>
          <w:lang w:eastAsia="en-AU"/>
        </w:rPr>
        <w:t>Any person taking action in line with these operational guidelines must:</w:t>
      </w:r>
    </w:p>
    <w:p w14:paraId="757D3E6F" w14:textId="77777777" w:rsidR="00501145" w:rsidRPr="00501145" w:rsidRDefault="00501145" w:rsidP="00501145">
      <w:pPr>
        <w:pStyle w:val="Bullet1"/>
      </w:pPr>
      <w:r w:rsidRPr="00501145">
        <w:t>understand the objective and rationale of the actions they are taking under these operational guidelines</w:t>
      </w:r>
    </w:p>
    <w:p w14:paraId="60D11B90" w14:textId="77777777" w:rsidR="00501145" w:rsidRPr="00501145" w:rsidRDefault="00501145" w:rsidP="00501145">
      <w:pPr>
        <w:pStyle w:val="Bullet1"/>
      </w:pPr>
      <w:r w:rsidRPr="00501145">
        <w:t>consider the impact of proposed action on the person’s Charter rights</w:t>
      </w:r>
    </w:p>
    <w:p w14:paraId="511B4B3D" w14:textId="77777777" w:rsidR="00501145" w:rsidRPr="00501145" w:rsidRDefault="00501145" w:rsidP="00501145">
      <w:pPr>
        <w:pStyle w:val="Bullet1"/>
      </w:pPr>
      <w:r w:rsidRPr="00501145">
        <w:t>consider whether the proposed impact is balanced and proportionate and necessary to achieve that objective, and</w:t>
      </w:r>
    </w:p>
    <w:p w14:paraId="1F223A87" w14:textId="77777777" w:rsidR="00501145" w:rsidRPr="00501145" w:rsidRDefault="00501145" w:rsidP="00501145">
      <w:pPr>
        <w:pStyle w:val="Bullet1"/>
        <w:rPr>
          <w:lang w:eastAsia="en-AU"/>
        </w:rPr>
      </w:pPr>
      <w:r w:rsidRPr="00501145">
        <w:t>choose the least restrictive measures available.</w:t>
      </w:r>
    </w:p>
    <w:p w14:paraId="7F2C1EF0" w14:textId="77777777" w:rsidR="00501145" w:rsidRPr="00501145" w:rsidRDefault="00501145" w:rsidP="00501145">
      <w:pPr>
        <w:pStyle w:val="Heading1"/>
        <w:rPr>
          <w:lang w:eastAsia="en-AU"/>
        </w:rPr>
      </w:pPr>
      <w:bookmarkStart w:id="6" w:name="_Toc462059703"/>
      <w:bookmarkStart w:id="7" w:name="_Toc485812931"/>
      <w:bookmarkStart w:id="8" w:name="_Toc78287272"/>
      <w:r w:rsidRPr="00501145">
        <w:rPr>
          <w:lang w:eastAsia="en-AU"/>
        </w:rPr>
        <w:t>Overview</w:t>
      </w:r>
      <w:bookmarkEnd w:id="6"/>
      <w:bookmarkEnd w:id="7"/>
      <w:bookmarkEnd w:id="8"/>
    </w:p>
    <w:p w14:paraId="5AABCB7B" w14:textId="77777777" w:rsidR="00501145" w:rsidRPr="00501145" w:rsidRDefault="00501145" w:rsidP="00501145">
      <w:pPr>
        <w:pStyle w:val="Body"/>
        <w:rPr>
          <w:lang w:eastAsia="en-AU"/>
        </w:rPr>
      </w:pPr>
      <w:r w:rsidRPr="00501145">
        <w:rPr>
          <w:lang w:eastAsia="en-AU"/>
        </w:rPr>
        <w:t>A movable unit is a dependent person’s unit situated on a property where a person in the main (or co-located) dwelling provides assistance or support to the person living in the movable unit.</w:t>
      </w:r>
    </w:p>
    <w:p w14:paraId="0BAA15EA" w14:textId="77777777" w:rsidR="00501145" w:rsidRPr="00501145" w:rsidRDefault="00501145" w:rsidP="00501145">
      <w:pPr>
        <w:pStyle w:val="Body"/>
        <w:rPr>
          <w:lang w:eastAsia="en-AU"/>
        </w:rPr>
      </w:pPr>
      <w:r w:rsidRPr="00501145">
        <w:rPr>
          <w:lang w:eastAsia="en-AU"/>
        </w:rPr>
        <w:t>A movable unit must be located on site containing a Class 1A building as defined in the Building Code of Australia (2010): “a single dwelling being a detached house or one or more attached dwelling”.</w:t>
      </w:r>
    </w:p>
    <w:p w14:paraId="17175886" w14:textId="77777777" w:rsidR="00501145" w:rsidRPr="00501145" w:rsidRDefault="00501145" w:rsidP="00501145">
      <w:pPr>
        <w:pStyle w:val="Body"/>
        <w:rPr>
          <w:lang w:eastAsia="en-AU"/>
        </w:rPr>
      </w:pPr>
      <w:r w:rsidRPr="00501145">
        <w:rPr>
          <w:lang w:eastAsia="en-AU"/>
        </w:rPr>
        <w:t>Movable units are free-standing and cannot be attached or joined to the existing main dwelling.</w:t>
      </w:r>
    </w:p>
    <w:p w14:paraId="75ABCE17" w14:textId="77777777" w:rsidR="00501145" w:rsidRPr="00501145" w:rsidRDefault="00501145" w:rsidP="00501145">
      <w:pPr>
        <w:pStyle w:val="Body"/>
        <w:rPr>
          <w:lang w:eastAsia="en-AU"/>
        </w:rPr>
      </w:pPr>
      <w:r w:rsidRPr="00501145">
        <w:rPr>
          <w:lang w:eastAsia="en-AU"/>
        </w:rPr>
        <w:t>Movable units can be located on sites of privately-owned or rented dwellings, community housing and on sites owned by the Director of Housing.</w:t>
      </w:r>
    </w:p>
    <w:p w14:paraId="5B0E3826" w14:textId="77777777" w:rsidR="00501145" w:rsidRPr="00501145" w:rsidRDefault="00501145" w:rsidP="00501145">
      <w:pPr>
        <w:pStyle w:val="Body"/>
        <w:rPr>
          <w:lang w:eastAsia="en-AU"/>
        </w:rPr>
      </w:pPr>
      <w:r w:rsidRPr="00501145">
        <w:rPr>
          <w:lang w:eastAsia="en-AU"/>
        </w:rPr>
        <w:t xml:space="preserve">Movable units must be hired for a minimum of 12 months and is governed by a Construction and Hiring Agreement under s. 18: </w:t>
      </w:r>
      <w:r w:rsidRPr="00501145">
        <w:rPr>
          <w:i/>
          <w:lang w:eastAsia="en-AU"/>
        </w:rPr>
        <w:t>Provision of movable units</w:t>
      </w:r>
      <w:r w:rsidRPr="00501145">
        <w:rPr>
          <w:lang w:eastAsia="en-AU"/>
        </w:rPr>
        <w:t xml:space="preserve"> of the </w:t>
      </w:r>
      <w:r w:rsidRPr="00501145">
        <w:rPr>
          <w:i/>
          <w:lang w:eastAsia="en-AU"/>
        </w:rPr>
        <w:t>Housing Act</w:t>
      </w:r>
      <w:r w:rsidRPr="00501145">
        <w:rPr>
          <w:lang w:eastAsia="en-AU"/>
        </w:rPr>
        <w:t xml:space="preserve"> (1983).</w:t>
      </w:r>
    </w:p>
    <w:p w14:paraId="4B8CE3F1" w14:textId="77777777" w:rsidR="00501145" w:rsidRPr="00501145" w:rsidRDefault="00501145" w:rsidP="00501145">
      <w:pPr>
        <w:pStyle w:val="Body"/>
        <w:rPr>
          <w:lang w:eastAsia="en-AU"/>
        </w:rPr>
      </w:pPr>
      <w:r w:rsidRPr="00501145">
        <w:rPr>
          <w:lang w:eastAsia="en-AU"/>
        </w:rPr>
        <w:t>The assessment and approval process for movable unit applications is a two-tier process.</w:t>
      </w:r>
    </w:p>
    <w:p w14:paraId="77118218" w14:textId="77777777" w:rsidR="00501145" w:rsidRPr="00501145" w:rsidRDefault="00501145" w:rsidP="00501145">
      <w:pPr>
        <w:pStyle w:val="Heading1"/>
        <w:rPr>
          <w:lang w:eastAsia="en-AU"/>
        </w:rPr>
      </w:pPr>
      <w:bookmarkStart w:id="9" w:name="_Toc462059704"/>
      <w:bookmarkStart w:id="10" w:name="_Toc485812932"/>
      <w:bookmarkStart w:id="11" w:name="_Toc78287273"/>
      <w:r w:rsidRPr="00501145">
        <w:rPr>
          <w:lang w:eastAsia="en-AU"/>
        </w:rPr>
        <w:t>Tier one</w:t>
      </w:r>
      <w:bookmarkEnd w:id="9"/>
      <w:bookmarkEnd w:id="10"/>
      <w:bookmarkEnd w:id="11"/>
    </w:p>
    <w:p w14:paraId="75B8C1FC" w14:textId="19590834" w:rsidR="00501145" w:rsidRPr="00501145" w:rsidRDefault="00501145" w:rsidP="00501145">
      <w:pPr>
        <w:pStyle w:val="Body"/>
        <w:rPr>
          <w:lang w:eastAsia="en-AU"/>
        </w:rPr>
      </w:pPr>
      <w:r w:rsidRPr="00501145">
        <w:rPr>
          <w:lang w:eastAsia="en-AU"/>
        </w:rPr>
        <w:t>Tier one examines the eligibility of the individual who will be living in the movable unit (applicant). Tier one also includes information about the owner or tenant of the main or co-located dwelling (property host) and confirms receipt of the required property information.</w:t>
      </w:r>
    </w:p>
    <w:p w14:paraId="4BF6D6B5" w14:textId="77777777" w:rsidR="00501145" w:rsidRPr="00501145" w:rsidRDefault="00501145" w:rsidP="00501145">
      <w:pPr>
        <w:pStyle w:val="Body"/>
        <w:rPr>
          <w:lang w:eastAsia="en-AU"/>
        </w:rPr>
      </w:pPr>
      <w:r w:rsidRPr="00501145">
        <w:rPr>
          <w:lang w:eastAsia="en-AU"/>
        </w:rPr>
        <w:lastRenderedPageBreak/>
        <w:t>A two-bedroom movable unit may be approved where extra room is required for medical support purposes or in exceptional circumstances such as a single parent who has access arrangements in place for their children.</w:t>
      </w:r>
    </w:p>
    <w:p w14:paraId="5797C8D3" w14:textId="77777777" w:rsidR="00501145" w:rsidRPr="00501145" w:rsidRDefault="00501145" w:rsidP="00501145">
      <w:pPr>
        <w:pStyle w:val="Body"/>
        <w:rPr>
          <w:lang w:eastAsia="en-AU"/>
        </w:rPr>
      </w:pPr>
      <w:r w:rsidRPr="00501145">
        <w:rPr>
          <w:lang w:eastAsia="en-AU"/>
        </w:rPr>
        <w:t>Whilst not intended for family housing, under certain circumstances, such as when a demonstrated need is identified which can be met by construction of a movable unit, staff will seek line management consideration and guidance.  Line management may take these contributing factors into account prior to determining Tier one eligibility.</w:t>
      </w:r>
    </w:p>
    <w:p w14:paraId="75003625" w14:textId="77777777" w:rsidR="00501145" w:rsidRPr="00501145" w:rsidRDefault="00501145" w:rsidP="00501145">
      <w:pPr>
        <w:pStyle w:val="Heading1"/>
        <w:rPr>
          <w:lang w:eastAsia="en-AU"/>
        </w:rPr>
      </w:pPr>
      <w:bookmarkStart w:id="12" w:name="_Toc462059705"/>
      <w:bookmarkStart w:id="13" w:name="_Toc485812933"/>
      <w:bookmarkStart w:id="14" w:name="_Toc78287274"/>
      <w:r w:rsidRPr="00501145">
        <w:rPr>
          <w:lang w:eastAsia="en-AU"/>
        </w:rPr>
        <w:t>Tier two</w:t>
      </w:r>
      <w:bookmarkEnd w:id="12"/>
      <w:bookmarkEnd w:id="13"/>
      <w:bookmarkEnd w:id="14"/>
    </w:p>
    <w:p w14:paraId="242A0E12" w14:textId="079C67B8" w:rsidR="00501145" w:rsidRPr="00501145" w:rsidRDefault="00501145" w:rsidP="00501145">
      <w:pPr>
        <w:pStyle w:val="Body"/>
        <w:rPr>
          <w:lang w:eastAsia="en-AU"/>
        </w:rPr>
      </w:pPr>
      <w:r w:rsidRPr="00501145">
        <w:rPr>
          <w:lang w:eastAsia="en-AU"/>
        </w:rPr>
        <w:t>Tier two assesses whether the proposed site meets the requirements to support the installation of the movable unit. This function is performed by Movable Units program, Property and Asset Services.</w:t>
      </w:r>
    </w:p>
    <w:p w14:paraId="7C6AA047" w14:textId="77777777" w:rsidR="00501145" w:rsidRPr="00501145" w:rsidRDefault="00501145" w:rsidP="00501145">
      <w:pPr>
        <w:pStyle w:val="Body"/>
        <w:rPr>
          <w:lang w:eastAsia="en-AU"/>
        </w:rPr>
      </w:pPr>
      <w:r w:rsidRPr="00501145">
        <w:rPr>
          <w:lang w:eastAsia="en-AU"/>
        </w:rPr>
        <w:t>When a movable unit is no longer required by the occupant, it is removed from the site.</w:t>
      </w:r>
    </w:p>
    <w:p w14:paraId="2193B889" w14:textId="77777777" w:rsidR="00501145" w:rsidRPr="00501145" w:rsidRDefault="00501145" w:rsidP="00501145">
      <w:pPr>
        <w:pStyle w:val="Body"/>
        <w:rPr>
          <w:lang w:eastAsia="en-AU"/>
        </w:rPr>
      </w:pPr>
      <w:r w:rsidRPr="00501145">
        <w:rPr>
          <w:lang w:eastAsia="en-AU"/>
        </w:rPr>
        <w:t xml:space="preserve">These operational guidelines, as well as other relevant operational guidelines and departmental policies, seek to assist staff to comply with the </w:t>
      </w:r>
      <w:r w:rsidRPr="00501145">
        <w:rPr>
          <w:i/>
          <w:lang w:eastAsia="en-AU"/>
        </w:rPr>
        <w:t>Residential Tenancies Act 1997</w:t>
      </w:r>
      <w:r w:rsidRPr="00501145">
        <w:rPr>
          <w:lang w:eastAsia="en-AU"/>
        </w:rPr>
        <w:t>. The objectives of these operational guidelines are to:</w:t>
      </w:r>
    </w:p>
    <w:p w14:paraId="3B1B133F" w14:textId="77777777" w:rsidR="00501145" w:rsidRPr="00501145" w:rsidRDefault="00501145" w:rsidP="00501145">
      <w:pPr>
        <w:pStyle w:val="Numberdigit"/>
      </w:pPr>
      <w:r w:rsidRPr="00501145">
        <w:t>provide an alternative and affordable housing option for clients in need, and</w:t>
      </w:r>
    </w:p>
    <w:p w14:paraId="18BE2990" w14:textId="77777777" w:rsidR="00501145" w:rsidRPr="00501145" w:rsidRDefault="00501145" w:rsidP="00501145">
      <w:pPr>
        <w:pStyle w:val="Numberdigit"/>
      </w:pPr>
      <w:r w:rsidRPr="00501145">
        <w:t>provide greater access to transitional housing for clients requiring support.</w:t>
      </w:r>
    </w:p>
    <w:p w14:paraId="524D2C56" w14:textId="77777777" w:rsidR="00501145" w:rsidRPr="00501145" w:rsidRDefault="00501145" w:rsidP="00501145">
      <w:pPr>
        <w:pStyle w:val="Body"/>
        <w:rPr>
          <w:lang w:eastAsia="en-AU"/>
        </w:rPr>
      </w:pPr>
      <w:r w:rsidRPr="00501145">
        <w:rPr>
          <w:lang w:eastAsia="en-AU"/>
        </w:rPr>
        <w:t>Staff will record all actions undertaken in relation to movable units in the centralised housing system, Housing integrated information Program (HiiP).</w:t>
      </w:r>
    </w:p>
    <w:p w14:paraId="75AAD3D4" w14:textId="77777777" w:rsidR="00501145" w:rsidRPr="00501145" w:rsidRDefault="00501145" w:rsidP="00501145">
      <w:pPr>
        <w:pStyle w:val="Heading1"/>
        <w:rPr>
          <w:lang w:eastAsia="en-AU"/>
        </w:rPr>
      </w:pPr>
      <w:bookmarkStart w:id="15" w:name="_Toc435718200"/>
      <w:bookmarkStart w:id="16" w:name="_Toc462059706"/>
      <w:bookmarkStart w:id="17" w:name="_Toc485812934"/>
      <w:bookmarkStart w:id="18" w:name="_Toc78287275"/>
      <w:r w:rsidRPr="00501145">
        <w:rPr>
          <w:lang w:eastAsia="en-AU"/>
        </w:rPr>
        <w:lastRenderedPageBreak/>
        <w:t>Movable unit process</w:t>
      </w:r>
      <w:bookmarkEnd w:id="15"/>
      <w:bookmarkEnd w:id="16"/>
      <w:r w:rsidRPr="00501145">
        <w:rPr>
          <w:lang w:eastAsia="en-AU"/>
        </w:rPr>
        <w:t xml:space="preserve"> flowchart</w:t>
      </w:r>
      <w:bookmarkEnd w:id="17"/>
      <w:bookmarkEnd w:id="18"/>
    </w:p>
    <w:p w14:paraId="358D5E22" w14:textId="57C43A82" w:rsidR="00501145" w:rsidRPr="00501145" w:rsidRDefault="00501145" w:rsidP="00501145">
      <w:pPr>
        <w:spacing w:line="270" w:lineRule="atLeast"/>
        <w:ind w:left="720" w:firstLine="720"/>
        <w:rPr>
          <w:rFonts w:eastAsia="Times"/>
          <w:sz w:val="20"/>
          <w:lang w:eastAsia="en-AU"/>
        </w:rPr>
      </w:pPr>
      <w:r w:rsidRPr="00501145">
        <w:rPr>
          <w:rFonts w:eastAsia="Times"/>
          <w:sz w:val="20"/>
        </w:rPr>
        <w:object w:dxaOrig="5074" w:dyaOrig="9370" w14:anchorId="4C3DE8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ovable unit application process flowchart. Movable unit application received, proceed to tier 1 eligibility assessment property host and applicant. Meets tier 1 criteria, move to tier 2 eligibility assessment. Does not meet tier 1 criteria, application is closed. Tier 2 eligibility assessment, site suitability. Meets site requirements move to applying for building permits. Does not meet site requirements, application is cancelled. If building permits are approved move to creation of hiring agreement and signing by property host, applicant and Director of Housing. Movable unit is constructed. Movable unit handed over to local office. Notice of tenancy commencement signed by local office staff. Ongoing tenancy management by local office staff. Tenancy ends, account is terminated by local office staff. Movable unit deconstructed and remove from site. End of flowchart. " style="width:236.7pt;height:438.2pt" o:ole="">
            <v:imagedata r:id="rId21" o:title=""/>
          </v:shape>
          <o:OLEObject Type="Embed" ProgID="Visio.Drawing.11" ShapeID="_x0000_i1025" DrawAspect="Content" ObjectID="_1688901184" r:id="rId22"/>
        </w:object>
      </w:r>
      <w:r w:rsidRPr="00501145">
        <w:rPr>
          <w:rFonts w:eastAsia="Times"/>
          <w:sz w:val="20"/>
        </w:rPr>
        <w:tab/>
      </w:r>
      <w:r w:rsidR="00F235A4" w:rsidRPr="00501145">
        <w:rPr>
          <w:rFonts w:eastAsia="Times"/>
          <w:sz w:val="20"/>
        </w:rPr>
        <w:object w:dxaOrig="5157" w:dyaOrig="4308" w14:anchorId="7E1B2B71">
          <v:shape id="_x0000_i1026" type="#_x0000_t75" alt="Movable unit application process flowchart. Movable unit application received, proceed to tier 1 eligibility assessment property host and applicant. Meets tier 1 criteria, move to tier 2 eligibility assessment. Does not meet tier 1 criteria, application is closed. Tier 2 eligibility assessment, site suitability. Meets site requirements move to applying for building permits. Does not meet site requirements, application is cancelled. If building permits are approved move to creation of hiring agreement and signing by property host, applicant and Director of Housing. Movable unit is constructed. Movable unit handed over to local office. Notice of tenancy commencement signed by local office staff. Ongoing tenancy management by local office staff. Tenancy ends, account is terminated by local office staff. Movable unit deconstructed and remove from site. End of flowchart. " style="width:238.8pt;height:199.4pt;mso-position-vertical:absolute" o:ole="">
            <v:imagedata r:id="rId23" o:title=""/>
          </v:shape>
          <o:OLEObject Type="Embed" ProgID="Visio.Drawing.11" ShapeID="_x0000_i1026" DrawAspect="Content" ObjectID="_1688901185" r:id="rId24"/>
        </w:object>
      </w:r>
    </w:p>
    <w:p w14:paraId="0B610A68" w14:textId="77777777" w:rsidR="00501145" w:rsidRPr="00501145" w:rsidRDefault="00501145" w:rsidP="00501145">
      <w:pPr>
        <w:pStyle w:val="Heading1"/>
        <w:rPr>
          <w:lang w:eastAsia="en-AU"/>
        </w:rPr>
      </w:pPr>
      <w:bookmarkStart w:id="19" w:name="_Toc462059707"/>
      <w:bookmarkStart w:id="20" w:name="_Toc485812935"/>
      <w:bookmarkStart w:id="21" w:name="_Toc78287276"/>
      <w:r w:rsidRPr="00501145">
        <w:rPr>
          <w:lang w:eastAsia="en-AU"/>
        </w:rPr>
        <w:lastRenderedPageBreak/>
        <w:t>Tier one – property host suitability</w:t>
      </w:r>
      <w:bookmarkEnd w:id="19"/>
      <w:r w:rsidRPr="00501145">
        <w:rPr>
          <w:lang w:eastAsia="en-AU"/>
        </w:rPr>
        <w:t xml:space="preserve"> and applicant eligibility</w:t>
      </w:r>
      <w:bookmarkEnd w:id="20"/>
      <w:bookmarkEnd w:id="21"/>
    </w:p>
    <w:p w14:paraId="24D8F945" w14:textId="77777777" w:rsidR="00501145" w:rsidRPr="00501145" w:rsidRDefault="00501145" w:rsidP="00501145">
      <w:pPr>
        <w:pStyle w:val="Heading2"/>
        <w:rPr>
          <w:rFonts w:eastAsia="MS Gothic"/>
          <w:lang w:eastAsia="en-AU"/>
        </w:rPr>
      </w:pPr>
      <w:bookmarkStart w:id="22" w:name="_Toc485812936"/>
      <w:bookmarkStart w:id="23" w:name="_Toc78287277"/>
      <w:r w:rsidRPr="00501145">
        <w:rPr>
          <w:rFonts w:eastAsia="MS Gothic"/>
          <w:lang w:eastAsia="en-AU"/>
        </w:rPr>
        <w:t>Property host</w:t>
      </w:r>
      <w:bookmarkEnd w:id="22"/>
      <w:bookmarkEnd w:id="23"/>
    </w:p>
    <w:p w14:paraId="32DF9C77" w14:textId="77777777" w:rsidR="00501145" w:rsidRPr="00501145" w:rsidRDefault="00501145" w:rsidP="00501145">
      <w:pPr>
        <w:pStyle w:val="Body"/>
        <w:rPr>
          <w:lang w:eastAsia="en-AU"/>
        </w:rPr>
      </w:pPr>
      <w:r w:rsidRPr="00501145">
        <w:rPr>
          <w:lang w:eastAsia="en-AU"/>
        </w:rPr>
        <w:t>The property host will include the following documentation with their completed application as required:</w:t>
      </w:r>
    </w:p>
    <w:p w14:paraId="4782573F" w14:textId="77777777" w:rsidR="00501145" w:rsidRPr="00501145" w:rsidRDefault="00501145" w:rsidP="00501145">
      <w:pPr>
        <w:pStyle w:val="Bullet1"/>
        <w:rPr>
          <w:lang w:eastAsia="en-AU"/>
        </w:rPr>
      </w:pPr>
      <w:r w:rsidRPr="00501145">
        <w:rPr>
          <w:lang w:eastAsia="en-AU"/>
        </w:rPr>
        <w:t>consent letter from the owner of the property (if not the property host)</w:t>
      </w:r>
    </w:p>
    <w:p w14:paraId="6E59F9CE" w14:textId="77777777" w:rsidR="00501145" w:rsidRPr="00501145" w:rsidRDefault="00501145" w:rsidP="00501145">
      <w:pPr>
        <w:pStyle w:val="Bullet1"/>
        <w:rPr>
          <w:lang w:eastAsia="en-AU"/>
        </w:rPr>
      </w:pPr>
      <w:r w:rsidRPr="00501145">
        <w:rPr>
          <w:lang w:eastAsia="en-AU"/>
        </w:rPr>
        <w:t>certificate of property title of property with details of any covenants or caveats (for privately owned properties)</w:t>
      </w:r>
    </w:p>
    <w:p w14:paraId="0CD13F96" w14:textId="3E49C4B6" w:rsidR="00501145" w:rsidRPr="00501145" w:rsidRDefault="00501145" w:rsidP="00501145">
      <w:pPr>
        <w:pStyle w:val="Bullet1"/>
        <w:rPr>
          <w:lang w:eastAsia="en-AU"/>
        </w:rPr>
      </w:pPr>
      <w:r w:rsidRPr="00501145">
        <w:rPr>
          <w:lang w:eastAsia="en-AU"/>
        </w:rPr>
        <w:t xml:space="preserve">occupancy certificate (for new or </w:t>
      </w:r>
      <w:r w:rsidR="00932A09" w:rsidRPr="00501145">
        <w:rPr>
          <w:lang w:eastAsia="en-AU"/>
        </w:rPr>
        <w:t>recently purchased</w:t>
      </w:r>
      <w:r w:rsidRPr="00501145">
        <w:rPr>
          <w:lang w:eastAsia="en-AU"/>
        </w:rPr>
        <w:t xml:space="preserve"> properties)</w:t>
      </w:r>
    </w:p>
    <w:p w14:paraId="528118C2" w14:textId="77777777" w:rsidR="00501145" w:rsidRPr="00501145" w:rsidRDefault="00501145" w:rsidP="00501145">
      <w:pPr>
        <w:pStyle w:val="Bullet1"/>
        <w:rPr>
          <w:lang w:eastAsia="en-AU"/>
        </w:rPr>
      </w:pPr>
      <w:r w:rsidRPr="00501145">
        <w:rPr>
          <w:lang w:eastAsia="en-AU"/>
        </w:rPr>
        <w:t>property sewerage plan (with plan number) or for septic properties an approval to connect to existing septic letter from the local Council/Shire, and</w:t>
      </w:r>
    </w:p>
    <w:p w14:paraId="3D9FBE51" w14:textId="2F0C4F16" w:rsidR="00501145" w:rsidRPr="00501145" w:rsidRDefault="00501145" w:rsidP="00501145">
      <w:pPr>
        <w:pStyle w:val="Bullet1"/>
        <w:rPr>
          <w:lang w:eastAsia="en-AU"/>
        </w:rPr>
      </w:pPr>
      <w:r w:rsidRPr="00501145">
        <w:rPr>
          <w:lang w:eastAsia="en-AU"/>
        </w:rPr>
        <w:t>100 points of identification.</w:t>
      </w:r>
    </w:p>
    <w:p w14:paraId="3454FC39" w14:textId="77777777" w:rsidR="00501145" w:rsidRPr="00501145" w:rsidRDefault="00501145" w:rsidP="00501145">
      <w:pPr>
        <w:pStyle w:val="Body"/>
        <w:rPr>
          <w:lang w:eastAsia="en-AU"/>
        </w:rPr>
      </w:pPr>
      <w:r w:rsidRPr="00501145">
        <w:rPr>
          <w:lang w:eastAsia="en-AU"/>
        </w:rPr>
        <w:t>The property host must be able to provide support to the applicant. As part of the building classification, the property host is expected to provide a level of support to the applicant. This may be in addition to other external supports accessed by the applicant.</w:t>
      </w:r>
    </w:p>
    <w:p w14:paraId="3B5CE588" w14:textId="4D687658" w:rsidR="00501145" w:rsidRPr="00501145" w:rsidRDefault="00501145" w:rsidP="00501145">
      <w:pPr>
        <w:pStyle w:val="Body"/>
        <w:rPr>
          <w:lang w:eastAsia="en-AU"/>
        </w:rPr>
      </w:pPr>
      <w:r w:rsidRPr="00501145">
        <w:rPr>
          <w:lang w:eastAsia="en-AU"/>
        </w:rPr>
        <w:t>Eligibility of the applicant and the property host cannot be confirmed until all required documents are received.</w:t>
      </w:r>
    </w:p>
    <w:p w14:paraId="75DE6F8A" w14:textId="3B90EA35" w:rsidR="00501145" w:rsidRPr="00501145" w:rsidRDefault="00501145" w:rsidP="00501145">
      <w:pPr>
        <w:pStyle w:val="Body"/>
        <w:rPr>
          <w:lang w:eastAsia="en-AU"/>
        </w:rPr>
      </w:pPr>
      <w:r w:rsidRPr="00501145">
        <w:rPr>
          <w:lang w:eastAsia="en-AU"/>
        </w:rPr>
        <w:t>Staff will seek line management advice and guidance in the event complex requirements are identified during the Tier one assessment. Under certain circumstances, such as when a demonstrated need is identified and can be met appropriately by installation of a movable unit, line management may take these contributing factors into account prior to determining Tier one eligibility.</w:t>
      </w:r>
    </w:p>
    <w:p w14:paraId="7169F8DE" w14:textId="77777777" w:rsidR="00501145" w:rsidRPr="00501145" w:rsidRDefault="00501145" w:rsidP="00501145">
      <w:pPr>
        <w:pStyle w:val="Body"/>
        <w:rPr>
          <w:lang w:eastAsia="en-AU"/>
        </w:rPr>
      </w:pPr>
      <w:r w:rsidRPr="00501145">
        <w:rPr>
          <w:lang w:eastAsia="en-AU"/>
        </w:rPr>
        <w:t>Where exceptional circumstances for Tier one eligibility exist, staff will seek advice from line management.</w:t>
      </w:r>
    </w:p>
    <w:p w14:paraId="097D40AE" w14:textId="77777777" w:rsidR="00501145" w:rsidRPr="00501145" w:rsidRDefault="00501145" w:rsidP="00501145">
      <w:pPr>
        <w:pStyle w:val="Body"/>
        <w:rPr>
          <w:lang w:eastAsia="en-AU"/>
        </w:rPr>
      </w:pPr>
      <w:r w:rsidRPr="00501145">
        <w:rPr>
          <w:lang w:eastAsia="en-AU"/>
        </w:rPr>
        <w:t>Staff undertaking the Tier one assessment are to collect and sight the required property information from the property host.  Suitability of the property and review of the associated documentation is undertaken as part of the Tier two assessment as detailed in these operational guidelines.</w:t>
      </w:r>
    </w:p>
    <w:p w14:paraId="25271992" w14:textId="77777777" w:rsidR="00501145" w:rsidRPr="00501145" w:rsidRDefault="00501145" w:rsidP="00501145">
      <w:pPr>
        <w:pStyle w:val="Body"/>
        <w:rPr>
          <w:lang w:eastAsia="en-AU"/>
        </w:rPr>
      </w:pPr>
      <w:r w:rsidRPr="00501145">
        <w:rPr>
          <w:lang w:eastAsia="en-AU"/>
        </w:rPr>
        <w:t>In the event that not all of the required documentation is received, staff will notify the property host or applicant within five days of receipt of the documentation that:</w:t>
      </w:r>
    </w:p>
    <w:p w14:paraId="680CBF04" w14:textId="77777777" w:rsidR="00501145" w:rsidRPr="00501145" w:rsidRDefault="00501145" w:rsidP="00501145">
      <w:pPr>
        <w:pStyle w:val="Bullet1"/>
        <w:rPr>
          <w:lang w:eastAsia="en-AU"/>
        </w:rPr>
      </w:pPr>
      <w:r w:rsidRPr="00501145">
        <w:rPr>
          <w:lang w:eastAsia="en-AU"/>
        </w:rPr>
        <w:t>additional documentation is required and the specifics of that documentation, and</w:t>
      </w:r>
    </w:p>
    <w:p w14:paraId="4C08F982" w14:textId="77777777" w:rsidR="00501145" w:rsidRPr="00501145" w:rsidRDefault="00501145" w:rsidP="00501145">
      <w:pPr>
        <w:pStyle w:val="Bullet1"/>
        <w:rPr>
          <w:lang w:eastAsia="en-AU"/>
        </w:rPr>
      </w:pPr>
      <w:r w:rsidRPr="00501145">
        <w:rPr>
          <w:lang w:eastAsia="en-AU"/>
        </w:rPr>
        <w:t>the application will be closed in the event the additional documentation is not received within 28 days.</w:t>
      </w:r>
    </w:p>
    <w:p w14:paraId="0F58D023" w14:textId="77777777" w:rsidR="00501145" w:rsidRPr="00501145" w:rsidRDefault="00501145" w:rsidP="00153DE9">
      <w:pPr>
        <w:pStyle w:val="Bodyafterbullets"/>
        <w:rPr>
          <w:lang w:eastAsia="en-AU"/>
        </w:rPr>
      </w:pPr>
      <w:r w:rsidRPr="00501145">
        <w:rPr>
          <w:lang w:eastAsia="en-AU"/>
        </w:rPr>
        <w:t>Staff will notify the property host and applicant in writing within 28 days of receipt of the application and all documentation of the outcome of the Tier one application assessment.</w:t>
      </w:r>
    </w:p>
    <w:p w14:paraId="5D35955F" w14:textId="77777777" w:rsidR="00501145" w:rsidRPr="00501145" w:rsidRDefault="00501145" w:rsidP="00501145">
      <w:pPr>
        <w:pStyle w:val="Body"/>
        <w:rPr>
          <w:lang w:eastAsia="en-AU"/>
        </w:rPr>
      </w:pPr>
      <w:r w:rsidRPr="00501145">
        <w:rPr>
          <w:lang w:eastAsia="en-AU"/>
        </w:rPr>
        <w:t>The applicant must be deemed eligible and all required documentation provided in relation to the property for the movable unit application to be approved to move to Tier two assessment.</w:t>
      </w:r>
    </w:p>
    <w:p w14:paraId="6BB0425D" w14:textId="77777777" w:rsidR="00501145" w:rsidRPr="00501145" w:rsidRDefault="00501145" w:rsidP="00501145">
      <w:pPr>
        <w:pStyle w:val="Body"/>
        <w:rPr>
          <w:lang w:eastAsia="en-AU"/>
        </w:rPr>
      </w:pPr>
      <w:r w:rsidRPr="00501145">
        <w:rPr>
          <w:lang w:eastAsia="en-AU"/>
        </w:rPr>
        <w:t>If Tier one requirements are deemed to be met, staff will include in the notification:</w:t>
      </w:r>
    </w:p>
    <w:p w14:paraId="63EED65B" w14:textId="77777777" w:rsidR="00501145" w:rsidRPr="00501145" w:rsidRDefault="00501145" w:rsidP="00501145">
      <w:pPr>
        <w:pStyle w:val="Bullet1"/>
        <w:rPr>
          <w:lang w:eastAsia="en-AU"/>
        </w:rPr>
      </w:pPr>
      <w:r w:rsidRPr="00501145">
        <w:rPr>
          <w:lang w:eastAsia="en-AU"/>
        </w:rPr>
        <w:t>that the application is deemed eligible pending site assessment</w:t>
      </w:r>
    </w:p>
    <w:p w14:paraId="5CA2428A" w14:textId="77777777" w:rsidR="00501145" w:rsidRPr="00501145" w:rsidRDefault="00501145" w:rsidP="00501145">
      <w:pPr>
        <w:pStyle w:val="Bullet1"/>
        <w:rPr>
          <w:lang w:eastAsia="en-AU"/>
        </w:rPr>
      </w:pPr>
      <w:r w:rsidRPr="00501145">
        <w:rPr>
          <w:lang w:eastAsia="en-AU"/>
        </w:rPr>
        <w:t>the next steps of the movable unit application and allocation process</w:t>
      </w:r>
    </w:p>
    <w:p w14:paraId="57DF8E09" w14:textId="196ABE7A" w:rsidR="00501145" w:rsidRPr="00501145" w:rsidRDefault="00501145" w:rsidP="00501145">
      <w:pPr>
        <w:pStyle w:val="Bullet1"/>
        <w:rPr>
          <w:lang w:eastAsia="en-AU"/>
        </w:rPr>
      </w:pPr>
      <w:r w:rsidRPr="00501145">
        <w:rPr>
          <w:lang w:eastAsia="en-AU"/>
        </w:rPr>
        <w:lastRenderedPageBreak/>
        <w:t>that a contractor will arrange a time for the site assessment, and</w:t>
      </w:r>
    </w:p>
    <w:p w14:paraId="3658CA4F" w14:textId="77777777" w:rsidR="00501145" w:rsidRPr="00501145" w:rsidRDefault="00501145" w:rsidP="00501145">
      <w:pPr>
        <w:pStyle w:val="Bullet1"/>
        <w:rPr>
          <w:lang w:eastAsia="en-AU"/>
        </w:rPr>
      </w:pPr>
      <w:r w:rsidRPr="00501145">
        <w:rPr>
          <w:lang w:eastAsia="en-AU"/>
        </w:rPr>
        <w:t>any modifications that have been approved.</w:t>
      </w:r>
    </w:p>
    <w:p w14:paraId="075606C7" w14:textId="4175BDBC" w:rsidR="00501145" w:rsidRPr="00501145" w:rsidRDefault="00501145" w:rsidP="00501145">
      <w:pPr>
        <w:pStyle w:val="Body"/>
      </w:pPr>
      <w:r w:rsidRPr="00501145">
        <w:t>Staff will then refer the application and relevant files to Property and Asset Services for Tier two assessment.</w:t>
      </w:r>
    </w:p>
    <w:p w14:paraId="0A4EBE1D" w14:textId="77777777" w:rsidR="00501145" w:rsidRPr="00501145" w:rsidRDefault="00501145" w:rsidP="00501145">
      <w:pPr>
        <w:pStyle w:val="Body"/>
      </w:pPr>
      <w:r w:rsidRPr="00501145">
        <w:t>If Tier one requirements are not deemed to be met, staff will include in the notification:</w:t>
      </w:r>
    </w:p>
    <w:p w14:paraId="09E00C65" w14:textId="77777777" w:rsidR="00501145" w:rsidRPr="00501145" w:rsidRDefault="00501145" w:rsidP="00501145">
      <w:pPr>
        <w:pStyle w:val="Bullet1"/>
        <w:rPr>
          <w:lang w:eastAsia="en-AU"/>
        </w:rPr>
      </w:pPr>
      <w:r w:rsidRPr="00501145">
        <w:rPr>
          <w:lang w:eastAsia="en-AU"/>
        </w:rPr>
        <w:t>the rationale for the decision</w:t>
      </w:r>
    </w:p>
    <w:p w14:paraId="73483875" w14:textId="77777777" w:rsidR="00501145" w:rsidRPr="00501145" w:rsidRDefault="00501145" w:rsidP="00501145">
      <w:pPr>
        <w:pStyle w:val="Bullet1"/>
        <w:rPr>
          <w:lang w:eastAsia="en-AU"/>
        </w:rPr>
      </w:pPr>
      <w:r w:rsidRPr="00501145">
        <w:rPr>
          <w:lang w:eastAsia="en-AU"/>
        </w:rPr>
        <w:t>alternative housing options that may be suitable for the applicant, and</w:t>
      </w:r>
    </w:p>
    <w:p w14:paraId="34AAE26E" w14:textId="77777777" w:rsidR="00501145" w:rsidRPr="00501145" w:rsidRDefault="00501145" w:rsidP="00501145">
      <w:pPr>
        <w:pStyle w:val="Bullet1"/>
        <w:rPr>
          <w:lang w:eastAsia="en-AU"/>
        </w:rPr>
      </w:pPr>
      <w:r w:rsidRPr="00501145">
        <w:rPr>
          <w:lang w:eastAsia="en-AU"/>
        </w:rPr>
        <w:t>information on the appeals process.</w:t>
      </w:r>
    </w:p>
    <w:p w14:paraId="1ABD6E9B" w14:textId="77777777" w:rsidR="00501145" w:rsidRPr="00501145" w:rsidRDefault="00501145" w:rsidP="00153DE9">
      <w:pPr>
        <w:pStyle w:val="Bodyafterbullets"/>
        <w:rPr>
          <w:lang w:eastAsia="en-AU"/>
        </w:rPr>
      </w:pPr>
      <w:r w:rsidRPr="00501145">
        <w:rPr>
          <w:lang w:eastAsia="en-AU"/>
        </w:rPr>
        <w:t>Staff will then close the application.</w:t>
      </w:r>
    </w:p>
    <w:p w14:paraId="7048DF36" w14:textId="77777777" w:rsidR="00501145" w:rsidRPr="00501145" w:rsidRDefault="00501145" w:rsidP="00501145">
      <w:pPr>
        <w:pStyle w:val="Heading2"/>
        <w:rPr>
          <w:rFonts w:eastAsia="MS Gothic"/>
          <w:lang w:eastAsia="en-AU"/>
        </w:rPr>
      </w:pPr>
      <w:bookmarkStart w:id="24" w:name="_Toc485812937"/>
      <w:bookmarkStart w:id="25" w:name="_Toc78287278"/>
      <w:r w:rsidRPr="00501145">
        <w:rPr>
          <w:rFonts w:eastAsia="MS Gothic"/>
          <w:lang w:eastAsia="en-AU"/>
        </w:rPr>
        <w:t>Applicant</w:t>
      </w:r>
      <w:bookmarkEnd w:id="24"/>
      <w:bookmarkEnd w:id="25"/>
    </w:p>
    <w:p w14:paraId="36A80F95" w14:textId="77777777" w:rsidR="00501145" w:rsidRPr="00501145" w:rsidRDefault="00501145" w:rsidP="00153DE9">
      <w:pPr>
        <w:pStyle w:val="Body"/>
        <w:rPr>
          <w:lang w:eastAsia="en-AU"/>
        </w:rPr>
      </w:pPr>
      <w:r w:rsidRPr="00501145">
        <w:rPr>
          <w:lang w:eastAsia="en-AU"/>
        </w:rPr>
        <w:t>The applicant must meet the eligibility criteria for the Victorian Housing Register (the register) – Register of Interest and Transfer income and asset limits.</w:t>
      </w:r>
    </w:p>
    <w:p w14:paraId="686A8F6F" w14:textId="77777777" w:rsidR="00501145" w:rsidRPr="00501145" w:rsidRDefault="00501145" w:rsidP="00153DE9">
      <w:pPr>
        <w:pStyle w:val="Body"/>
        <w:rPr>
          <w:lang w:eastAsia="en-AU"/>
        </w:rPr>
      </w:pPr>
      <w:r w:rsidRPr="00501145">
        <w:rPr>
          <w:lang w:eastAsia="en-AU"/>
        </w:rPr>
        <w:t xml:space="preserve">The applicant must also meet </w:t>
      </w:r>
      <w:r w:rsidRPr="00501145">
        <w:rPr>
          <w:u w:val="single"/>
          <w:lang w:eastAsia="en-AU"/>
        </w:rPr>
        <w:t>one or more</w:t>
      </w:r>
      <w:r w:rsidRPr="00501145">
        <w:rPr>
          <w:lang w:eastAsia="en-AU"/>
        </w:rPr>
        <w:t xml:space="preserve"> of the criteria below:</w:t>
      </w:r>
    </w:p>
    <w:p w14:paraId="5B0D7A07" w14:textId="77777777" w:rsidR="00501145" w:rsidRPr="00501145" w:rsidRDefault="00501145" w:rsidP="00153DE9">
      <w:pPr>
        <w:pStyle w:val="Bullet1"/>
        <w:rPr>
          <w:lang w:eastAsia="en-AU"/>
        </w:rPr>
      </w:pPr>
      <w:r w:rsidRPr="00501145">
        <w:rPr>
          <w:lang w:eastAsia="en-AU"/>
        </w:rPr>
        <w:t>in receipt of ongoing support from the department or a registered community service organisation, or</w:t>
      </w:r>
    </w:p>
    <w:p w14:paraId="2F0F3D2E" w14:textId="77777777" w:rsidR="00501145" w:rsidRPr="00501145" w:rsidRDefault="00501145" w:rsidP="00153DE9">
      <w:pPr>
        <w:pStyle w:val="Bullet1"/>
        <w:rPr>
          <w:lang w:eastAsia="en-AU"/>
        </w:rPr>
      </w:pPr>
      <w:r w:rsidRPr="00501145">
        <w:rPr>
          <w:lang w:eastAsia="en-AU"/>
        </w:rPr>
        <w:t>in receipt of a Disability Support Pension, or</w:t>
      </w:r>
    </w:p>
    <w:p w14:paraId="76AAD0FE" w14:textId="77777777" w:rsidR="00501145" w:rsidRPr="00501145" w:rsidRDefault="00501145" w:rsidP="00153DE9">
      <w:pPr>
        <w:pStyle w:val="Bullet1"/>
        <w:rPr>
          <w:lang w:eastAsia="en-AU"/>
        </w:rPr>
      </w:pPr>
      <w:r w:rsidRPr="00501145">
        <w:rPr>
          <w:lang w:eastAsia="en-AU"/>
        </w:rPr>
        <w:t>be over 55 years of age.</w:t>
      </w:r>
    </w:p>
    <w:p w14:paraId="1220A4D3" w14:textId="77777777" w:rsidR="00501145" w:rsidRPr="00501145" w:rsidRDefault="00501145" w:rsidP="00153DE9">
      <w:pPr>
        <w:pStyle w:val="Body"/>
        <w:rPr>
          <w:lang w:eastAsia="en-AU"/>
        </w:rPr>
      </w:pPr>
      <w:r w:rsidRPr="00501145">
        <w:rPr>
          <w:lang w:eastAsia="en-AU"/>
        </w:rPr>
        <w:t xml:space="preserve">The applicant must include the following documentation with their completed </w:t>
      </w:r>
      <w:r w:rsidRPr="00501145">
        <w:rPr>
          <w:i/>
          <w:lang w:eastAsia="en-AU"/>
        </w:rPr>
        <w:t>application for a movable unit</w:t>
      </w:r>
      <w:r w:rsidRPr="00501145">
        <w:rPr>
          <w:lang w:eastAsia="en-AU"/>
        </w:rPr>
        <w:t xml:space="preserve"> as required:</w:t>
      </w:r>
    </w:p>
    <w:p w14:paraId="095FF292" w14:textId="77777777" w:rsidR="00501145" w:rsidRPr="00501145" w:rsidRDefault="00501145" w:rsidP="00153DE9">
      <w:pPr>
        <w:pStyle w:val="Bullet1"/>
        <w:rPr>
          <w:lang w:eastAsia="en-AU"/>
        </w:rPr>
      </w:pPr>
      <w:r w:rsidRPr="00501145">
        <w:rPr>
          <w:lang w:eastAsia="en-AU"/>
        </w:rPr>
        <w:t>confirmation of assets and income (if applicant does not consent to Centrelink Income Confirmation Scheme)</w:t>
      </w:r>
    </w:p>
    <w:p w14:paraId="40E97C31" w14:textId="77777777" w:rsidR="00501145" w:rsidRPr="00501145" w:rsidRDefault="00501145" w:rsidP="00153DE9">
      <w:pPr>
        <w:pStyle w:val="Bullet1"/>
        <w:rPr>
          <w:lang w:eastAsia="en-AU"/>
        </w:rPr>
      </w:pPr>
      <w:r w:rsidRPr="00501145">
        <w:rPr>
          <w:i/>
          <w:lang w:eastAsia="en-AU"/>
        </w:rPr>
        <w:t xml:space="preserve">Application for special accommodation requirements </w:t>
      </w:r>
      <w:r w:rsidRPr="00501145">
        <w:rPr>
          <w:lang w:eastAsia="en-AU"/>
        </w:rPr>
        <w:t>(should modifications of the unit be required), and</w:t>
      </w:r>
    </w:p>
    <w:p w14:paraId="584E43A2" w14:textId="77777777" w:rsidR="00501145" w:rsidRPr="00501145" w:rsidRDefault="00501145" w:rsidP="00153DE9">
      <w:pPr>
        <w:pStyle w:val="Bullet1"/>
        <w:rPr>
          <w:lang w:eastAsia="en-AU"/>
        </w:rPr>
      </w:pPr>
      <w:r w:rsidRPr="00501145">
        <w:rPr>
          <w:lang w:eastAsia="en-AU"/>
        </w:rPr>
        <w:t>100 points of identification.</w:t>
      </w:r>
    </w:p>
    <w:p w14:paraId="4D8583E7" w14:textId="77777777" w:rsidR="00501145" w:rsidRPr="00501145" w:rsidRDefault="00501145" w:rsidP="00501145">
      <w:pPr>
        <w:pStyle w:val="Heading2"/>
        <w:rPr>
          <w:lang w:eastAsia="en-AU"/>
        </w:rPr>
      </w:pPr>
      <w:bookmarkStart w:id="26" w:name="_Toc462059708"/>
      <w:bookmarkStart w:id="27" w:name="_Toc485812938"/>
      <w:bookmarkStart w:id="28" w:name="_Toc78287279"/>
      <w:r w:rsidRPr="00501145">
        <w:rPr>
          <w:lang w:eastAsia="en-AU"/>
        </w:rPr>
        <w:t>Modification requirements</w:t>
      </w:r>
      <w:bookmarkEnd w:id="26"/>
      <w:bookmarkEnd w:id="27"/>
      <w:bookmarkEnd w:id="28"/>
    </w:p>
    <w:p w14:paraId="16221DE5" w14:textId="77777777" w:rsidR="00501145" w:rsidRPr="00501145" w:rsidRDefault="00501145" w:rsidP="00153DE9">
      <w:pPr>
        <w:pStyle w:val="Body"/>
        <w:rPr>
          <w:lang w:eastAsia="en-AU"/>
        </w:rPr>
      </w:pPr>
      <w:r w:rsidRPr="00501145">
        <w:rPr>
          <w:lang w:eastAsia="en-AU"/>
        </w:rPr>
        <w:t>Movable units may be modified in order to meet an applicant’s support needs including providing ramp access.</w:t>
      </w:r>
    </w:p>
    <w:p w14:paraId="35E1A007" w14:textId="5CFC9DE7" w:rsidR="00501145" w:rsidRPr="00501145" w:rsidRDefault="00501145" w:rsidP="00153DE9">
      <w:pPr>
        <w:pStyle w:val="Body"/>
        <w:rPr>
          <w:lang w:eastAsia="en-AU"/>
        </w:rPr>
      </w:pPr>
      <w:r w:rsidRPr="00501145">
        <w:rPr>
          <w:lang w:eastAsia="en-AU"/>
        </w:rPr>
        <w:t>Movable units can support non-structural modifications only. These include:</w:t>
      </w:r>
    </w:p>
    <w:p w14:paraId="2BC4EB1C" w14:textId="77777777" w:rsidR="00501145" w:rsidRPr="00501145" w:rsidRDefault="00501145" w:rsidP="00153DE9">
      <w:pPr>
        <w:pStyle w:val="Bullet1"/>
        <w:rPr>
          <w:lang w:eastAsia="en-AU"/>
        </w:rPr>
      </w:pPr>
      <w:r w:rsidRPr="00501145">
        <w:rPr>
          <w:lang w:eastAsia="en-AU"/>
        </w:rPr>
        <w:t>ramps for wheelchair access</w:t>
      </w:r>
    </w:p>
    <w:p w14:paraId="3C7C5E59" w14:textId="77777777" w:rsidR="00501145" w:rsidRPr="00501145" w:rsidRDefault="00501145" w:rsidP="00153DE9">
      <w:pPr>
        <w:pStyle w:val="Bullet1"/>
        <w:rPr>
          <w:lang w:eastAsia="en-AU"/>
        </w:rPr>
      </w:pPr>
      <w:r w:rsidRPr="00501145">
        <w:rPr>
          <w:lang w:eastAsia="en-AU"/>
        </w:rPr>
        <w:t>stepless shower</w:t>
      </w:r>
    </w:p>
    <w:p w14:paraId="0A3C599F" w14:textId="77777777" w:rsidR="00501145" w:rsidRPr="00501145" w:rsidRDefault="00501145" w:rsidP="00153DE9">
      <w:pPr>
        <w:pStyle w:val="Bullet1"/>
        <w:rPr>
          <w:lang w:eastAsia="en-AU"/>
        </w:rPr>
      </w:pPr>
      <w:r w:rsidRPr="00501145">
        <w:rPr>
          <w:lang w:eastAsia="en-AU"/>
        </w:rPr>
        <w:t>weighted curtains</w:t>
      </w:r>
    </w:p>
    <w:p w14:paraId="4846E1B5" w14:textId="77777777" w:rsidR="00501145" w:rsidRPr="00501145" w:rsidRDefault="00501145" w:rsidP="00153DE9">
      <w:pPr>
        <w:pStyle w:val="Bullet1"/>
        <w:rPr>
          <w:lang w:eastAsia="en-AU"/>
        </w:rPr>
      </w:pPr>
      <w:r w:rsidRPr="00501145">
        <w:rPr>
          <w:lang w:eastAsia="en-AU"/>
        </w:rPr>
        <w:t>lever taps</w:t>
      </w:r>
    </w:p>
    <w:p w14:paraId="624DB864" w14:textId="62428121" w:rsidR="00501145" w:rsidRPr="00501145" w:rsidRDefault="00501145" w:rsidP="00153DE9">
      <w:pPr>
        <w:pStyle w:val="Bullet1"/>
        <w:rPr>
          <w:lang w:eastAsia="en-AU"/>
        </w:rPr>
      </w:pPr>
      <w:r w:rsidRPr="00501145">
        <w:rPr>
          <w:lang w:eastAsia="en-AU"/>
        </w:rPr>
        <w:t>handrails in the bathroom/shower</w:t>
      </w:r>
    </w:p>
    <w:p w14:paraId="5AA7B3C9" w14:textId="77777777" w:rsidR="00501145" w:rsidRPr="00501145" w:rsidRDefault="00501145" w:rsidP="00153DE9">
      <w:pPr>
        <w:pStyle w:val="Bullet1"/>
        <w:rPr>
          <w:lang w:eastAsia="en-AU"/>
        </w:rPr>
      </w:pPr>
      <w:r w:rsidRPr="00501145">
        <w:rPr>
          <w:lang w:eastAsia="en-AU"/>
        </w:rPr>
        <w:t>vinyl throughout the movable unit.</w:t>
      </w:r>
    </w:p>
    <w:p w14:paraId="6EA90F97" w14:textId="6147C558" w:rsidR="00501145" w:rsidRPr="00501145" w:rsidRDefault="00501145" w:rsidP="00153DE9">
      <w:pPr>
        <w:pStyle w:val="Bodyafterbullets"/>
        <w:rPr>
          <w:lang w:eastAsia="en-AU"/>
        </w:rPr>
      </w:pPr>
      <w:r w:rsidRPr="00501145">
        <w:rPr>
          <w:lang w:eastAsia="en-AU"/>
        </w:rPr>
        <w:t xml:space="preserve">Applicants will submit an </w:t>
      </w:r>
      <w:r w:rsidRPr="00501145">
        <w:rPr>
          <w:i/>
          <w:lang w:eastAsia="en-AU"/>
        </w:rPr>
        <w:t xml:space="preserve">application for special accommodation requirements </w:t>
      </w:r>
      <w:r w:rsidRPr="00501145">
        <w:rPr>
          <w:lang w:eastAsia="en-AU"/>
        </w:rPr>
        <w:t>in the event modifications are required to meet their individual medical needs, including relevant supporting documentation from a treating health practitioner such as an occupational therapist or doctor.</w:t>
      </w:r>
    </w:p>
    <w:p w14:paraId="66C8116F" w14:textId="77777777" w:rsidR="00501145" w:rsidRPr="00501145" w:rsidRDefault="00501145" w:rsidP="00153DE9">
      <w:pPr>
        <w:pStyle w:val="Bodyafterbullets"/>
        <w:rPr>
          <w:i/>
          <w:lang w:eastAsia="en-AU"/>
        </w:rPr>
      </w:pPr>
      <w:r w:rsidRPr="00501145">
        <w:rPr>
          <w:lang w:eastAsia="en-AU"/>
        </w:rPr>
        <w:lastRenderedPageBreak/>
        <w:t xml:space="preserve">The </w:t>
      </w:r>
      <w:r w:rsidRPr="00501145">
        <w:rPr>
          <w:i/>
          <w:lang w:eastAsia="en-AU"/>
        </w:rPr>
        <w:t>application for special accommodation requirements</w:t>
      </w:r>
      <w:r w:rsidRPr="00501145">
        <w:rPr>
          <w:lang w:eastAsia="en-AU"/>
        </w:rPr>
        <w:t xml:space="preserve"> will be assessed in accordance with the </w:t>
      </w:r>
      <w:r w:rsidRPr="00501145">
        <w:t>Matching Clients with Housing and Special Accommodation Requirements operational guidelines</w:t>
      </w:r>
      <w:r w:rsidRPr="00501145">
        <w:rPr>
          <w:i/>
          <w:lang w:eastAsia="en-AU"/>
        </w:rPr>
        <w:t>.</w:t>
      </w:r>
    </w:p>
    <w:p w14:paraId="2451B9A6" w14:textId="77777777" w:rsidR="00501145" w:rsidRPr="00501145" w:rsidRDefault="00501145" w:rsidP="00501145">
      <w:pPr>
        <w:pStyle w:val="Heading2"/>
        <w:rPr>
          <w:lang w:eastAsia="en-AU"/>
        </w:rPr>
      </w:pPr>
      <w:bookmarkStart w:id="29" w:name="_Toc462059709"/>
      <w:bookmarkStart w:id="30" w:name="_Toc485812939"/>
      <w:bookmarkStart w:id="31" w:name="_Toc78287280"/>
      <w:r w:rsidRPr="00501145">
        <w:rPr>
          <w:lang w:eastAsia="en-AU"/>
        </w:rPr>
        <w:t>Outstanding charges</w:t>
      </w:r>
      <w:bookmarkEnd w:id="29"/>
      <w:bookmarkEnd w:id="30"/>
      <w:bookmarkEnd w:id="31"/>
    </w:p>
    <w:p w14:paraId="6E4BE57A" w14:textId="77777777" w:rsidR="00501145" w:rsidRPr="00501145" w:rsidRDefault="00501145" w:rsidP="00153DE9">
      <w:pPr>
        <w:pStyle w:val="Body"/>
      </w:pPr>
      <w:r w:rsidRPr="00501145">
        <w:t xml:space="preserve">If it is identified during the Tier one eligibility process that the applicant has outstanding charges with the department, staff will notify the individual with outstanding charges and organise repayment. </w:t>
      </w:r>
    </w:p>
    <w:p w14:paraId="70AF60CB" w14:textId="77777777" w:rsidR="00501145" w:rsidRPr="00501145" w:rsidRDefault="00501145" w:rsidP="00153DE9">
      <w:pPr>
        <w:pStyle w:val="Body"/>
      </w:pPr>
      <w:r w:rsidRPr="00501145">
        <w:t>Outstanding charges include:</w:t>
      </w:r>
    </w:p>
    <w:p w14:paraId="1321461B" w14:textId="77777777" w:rsidR="00501145" w:rsidRPr="00501145" w:rsidRDefault="00501145" w:rsidP="00153DE9">
      <w:pPr>
        <w:pStyle w:val="Bullet1"/>
      </w:pPr>
      <w:r w:rsidRPr="00501145">
        <w:t>Rental arrears (including service charges)</w:t>
      </w:r>
    </w:p>
    <w:p w14:paraId="7E8B451C" w14:textId="77777777" w:rsidR="00501145" w:rsidRPr="00501145" w:rsidRDefault="00501145" w:rsidP="00153DE9">
      <w:pPr>
        <w:pStyle w:val="Bullet1"/>
      </w:pPr>
      <w:r w:rsidRPr="00501145">
        <w:t>Water consumption charges</w:t>
      </w:r>
    </w:p>
    <w:p w14:paraId="3FE73211" w14:textId="77777777" w:rsidR="00501145" w:rsidRPr="00501145" w:rsidRDefault="00501145" w:rsidP="00153DE9">
      <w:pPr>
        <w:pStyle w:val="Bullet1"/>
      </w:pPr>
      <w:r w:rsidRPr="00501145">
        <w:t>Maintenance arrears</w:t>
      </w:r>
    </w:p>
    <w:p w14:paraId="2378896C" w14:textId="77777777" w:rsidR="00501145" w:rsidRPr="00501145" w:rsidRDefault="00501145" w:rsidP="00153DE9">
      <w:pPr>
        <w:pStyle w:val="Bullet1"/>
      </w:pPr>
      <w:r w:rsidRPr="00501145">
        <w:t>Bond Loan Scheme unless:</w:t>
      </w:r>
    </w:p>
    <w:p w14:paraId="623CC681" w14:textId="77777777" w:rsidR="00501145" w:rsidRPr="00501145" w:rsidRDefault="00501145" w:rsidP="00153DE9">
      <w:pPr>
        <w:pStyle w:val="Numberdigitindent"/>
      </w:pPr>
      <w:r w:rsidRPr="00501145">
        <w:t>it can be demonstrated that the bond has been illegally withheld by the landlord, or</w:t>
      </w:r>
    </w:p>
    <w:p w14:paraId="50982DA3" w14:textId="77777777" w:rsidR="00501145" w:rsidRPr="00501145" w:rsidRDefault="00501145" w:rsidP="00153DE9">
      <w:pPr>
        <w:pStyle w:val="Numberdigitindent"/>
      </w:pPr>
      <w:r w:rsidRPr="00501145">
        <w:t>they are living in the property where the bond was provided and need to move out before it can be repaid.</w:t>
      </w:r>
    </w:p>
    <w:p w14:paraId="791B99D5" w14:textId="77777777" w:rsidR="00501145" w:rsidRPr="00501145" w:rsidRDefault="00501145" w:rsidP="00153DE9">
      <w:pPr>
        <w:pStyle w:val="Bodyafterbullets"/>
      </w:pPr>
      <w:r w:rsidRPr="00501145">
        <w:t>Outstanding charges of up to $200 must be paid in full prior to allocation of a movable unit.</w:t>
      </w:r>
    </w:p>
    <w:p w14:paraId="32E9757E" w14:textId="77777777" w:rsidR="00501145" w:rsidRPr="00501145" w:rsidRDefault="00501145" w:rsidP="00153DE9">
      <w:pPr>
        <w:pStyle w:val="Body"/>
      </w:pPr>
      <w:r w:rsidRPr="00501145">
        <w:t>Outstanding charges over $200 require a pre-allocation repayment agreement:</w:t>
      </w:r>
    </w:p>
    <w:p w14:paraId="414D3904" w14:textId="77777777" w:rsidR="00501145" w:rsidRPr="00501145" w:rsidRDefault="00501145" w:rsidP="00153DE9">
      <w:pPr>
        <w:pStyle w:val="Bullet1"/>
      </w:pPr>
      <w:r w:rsidRPr="00501145">
        <w:t>a minimum lump sum payment of $200, and</w:t>
      </w:r>
    </w:p>
    <w:p w14:paraId="4A912AEA" w14:textId="77777777" w:rsidR="00501145" w:rsidRPr="00501145" w:rsidRDefault="00501145" w:rsidP="00153DE9">
      <w:pPr>
        <w:pStyle w:val="Bullet1"/>
      </w:pPr>
      <w:r w:rsidRPr="00501145">
        <w:t>regular payments at an agreed minimum amount for a minimum of three months prior to the allocation of a unit.</w:t>
      </w:r>
    </w:p>
    <w:p w14:paraId="3E283264" w14:textId="77777777" w:rsidR="00501145" w:rsidRPr="00501145" w:rsidRDefault="00501145" w:rsidP="00153DE9">
      <w:pPr>
        <w:pStyle w:val="Body"/>
      </w:pPr>
      <w:r w:rsidRPr="00501145">
        <w:t>Where the applicant has been making regular payments prior to applying for a movable unit, the time they have been paying is counted in the three-month period.</w:t>
      </w:r>
    </w:p>
    <w:p w14:paraId="272208F0" w14:textId="77777777" w:rsidR="00501145" w:rsidRPr="00501145" w:rsidRDefault="00501145" w:rsidP="00153DE9">
      <w:pPr>
        <w:pStyle w:val="Body"/>
      </w:pPr>
      <w:r w:rsidRPr="00501145">
        <w:t>The repayment agreement must be honoured until all outstanding charges are paid.</w:t>
      </w:r>
    </w:p>
    <w:p w14:paraId="5FBD9429" w14:textId="77777777" w:rsidR="00501145" w:rsidRPr="00501145" w:rsidRDefault="00501145" w:rsidP="00153DE9">
      <w:pPr>
        <w:pStyle w:val="Body"/>
      </w:pPr>
      <w:r w:rsidRPr="00501145">
        <w:t>Staff undertaking the Tier one assessment will monitor repayment of outstanding charges.</w:t>
      </w:r>
    </w:p>
    <w:p w14:paraId="06E9D2D9" w14:textId="77777777" w:rsidR="00501145" w:rsidRPr="00501145" w:rsidRDefault="00501145" w:rsidP="00153DE9">
      <w:pPr>
        <w:pStyle w:val="Body"/>
      </w:pPr>
      <w:r w:rsidRPr="00501145">
        <w:t>While the department may not be able to bring legal proceedings to recover a debt after six years of it having arisen, this does not prevent the department from requiring payment before providing another service, such as a movable unit.</w:t>
      </w:r>
    </w:p>
    <w:p w14:paraId="534A7C2A" w14:textId="77777777" w:rsidR="00501145" w:rsidRPr="00501145" w:rsidRDefault="00501145" w:rsidP="00501145">
      <w:pPr>
        <w:pStyle w:val="Heading1"/>
        <w:rPr>
          <w:lang w:eastAsia="en-AU"/>
        </w:rPr>
      </w:pPr>
      <w:bookmarkStart w:id="32" w:name="_Toc462059710"/>
      <w:bookmarkStart w:id="33" w:name="_Toc485812940"/>
      <w:bookmarkStart w:id="34" w:name="_Toc78287281"/>
      <w:r w:rsidRPr="00501145">
        <w:rPr>
          <w:lang w:eastAsia="en-AU"/>
        </w:rPr>
        <w:t>Tier two - site suitability assessment</w:t>
      </w:r>
      <w:bookmarkEnd w:id="32"/>
      <w:r w:rsidRPr="00501145">
        <w:rPr>
          <w:lang w:eastAsia="en-AU"/>
        </w:rPr>
        <w:t xml:space="preserve"> and handover</w:t>
      </w:r>
      <w:bookmarkEnd w:id="33"/>
      <w:bookmarkEnd w:id="34"/>
    </w:p>
    <w:p w14:paraId="6B8A2CF9" w14:textId="77777777" w:rsidR="00501145" w:rsidRPr="00501145" w:rsidRDefault="00501145" w:rsidP="00153DE9">
      <w:pPr>
        <w:pStyle w:val="Body"/>
        <w:rPr>
          <w:lang w:eastAsia="en-AU"/>
        </w:rPr>
      </w:pPr>
      <w:r w:rsidRPr="00501145">
        <w:rPr>
          <w:lang w:eastAsia="en-AU"/>
        </w:rPr>
        <w:t>Property and Asset Services will engage a contractor to assess the suitability of the proposed site.</w:t>
      </w:r>
    </w:p>
    <w:p w14:paraId="2EEC44DE" w14:textId="77777777" w:rsidR="00501145" w:rsidRPr="00501145" w:rsidRDefault="00501145" w:rsidP="00153DE9">
      <w:pPr>
        <w:pStyle w:val="Body"/>
        <w:rPr>
          <w:lang w:eastAsia="en-AU"/>
        </w:rPr>
      </w:pPr>
      <w:r w:rsidRPr="00501145">
        <w:rPr>
          <w:lang w:eastAsia="en-AU"/>
        </w:rPr>
        <w:t>The assessment of the site considers:</w:t>
      </w:r>
    </w:p>
    <w:p w14:paraId="391ACE98" w14:textId="77777777" w:rsidR="00501145" w:rsidRPr="00501145" w:rsidRDefault="00501145" w:rsidP="00153DE9">
      <w:pPr>
        <w:pStyle w:val="Bullet1"/>
        <w:rPr>
          <w:lang w:eastAsia="en-AU"/>
        </w:rPr>
      </w:pPr>
      <w:r w:rsidRPr="00501145">
        <w:rPr>
          <w:lang w:eastAsia="en-AU"/>
        </w:rPr>
        <w:t>caveats or restrictive covenants on the land</w:t>
      </w:r>
    </w:p>
    <w:p w14:paraId="54745DCE" w14:textId="77777777" w:rsidR="00501145" w:rsidRPr="00501145" w:rsidRDefault="00501145" w:rsidP="00153DE9">
      <w:pPr>
        <w:pStyle w:val="Bullet1"/>
        <w:rPr>
          <w:lang w:eastAsia="en-AU"/>
        </w:rPr>
      </w:pPr>
      <w:r w:rsidRPr="00501145">
        <w:rPr>
          <w:lang w:eastAsia="en-AU"/>
        </w:rPr>
        <w:t>notices or agreements</w:t>
      </w:r>
    </w:p>
    <w:p w14:paraId="0F3F97B5" w14:textId="77777777" w:rsidR="00501145" w:rsidRPr="00501145" w:rsidRDefault="00501145" w:rsidP="00153DE9">
      <w:pPr>
        <w:pStyle w:val="Bullet1"/>
        <w:rPr>
          <w:lang w:eastAsia="en-AU"/>
        </w:rPr>
      </w:pPr>
      <w:r w:rsidRPr="00501145">
        <w:rPr>
          <w:lang w:eastAsia="en-AU"/>
        </w:rPr>
        <w:t>main dwelling services infrastructure</w:t>
      </w:r>
    </w:p>
    <w:p w14:paraId="15ABB580" w14:textId="77777777" w:rsidR="00501145" w:rsidRPr="00501145" w:rsidRDefault="00501145" w:rsidP="00153DE9">
      <w:pPr>
        <w:pStyle w:val="Bullet1"/>
        <w:rPr>
          <w:lang w:eastAsia="en-AU"/>
        </w:rPr>
      </w:pPr>
      <w:r w:rsidRPr="00501145">
        <w:rPr>
          <w:lang w:eastAsia="en-AU"/>
        </w:rPr>
        <w:t>the elevation of the site</w:t>
      </w:r>
    </w:p>
    <w:p w14:paraId="775EB28F" w14:textId="77777777" w:rsidR="00501145" w:rsidRPr="00501145" w:rsidRDefault="00501145" w:rsidP="00153DE9">
      <w:pPr>
        <w:pStyle w:val="Bullet1"/>
        <w:rPr>
          <w:lang w:eastAsia="en-AU"/>
        </w:rPr>
      </w:pPr>
      <w:r w:rsidRPr="00501145">
        <w:rPr>
          <w:lang w:eastAsia="en-AU"/>
        </w:rPr>
        <w:t>the level of access to the rear yard</w:t>
      </w:r>
    </w:p>
    <w:p w14:paraId="06F50799" w14:textId="77777777" w:rsidR="00501145" w:rsidRPr="00501145" w:rsidRDefault="00501145" w:rsidP="00153DE9">
      <w:pPr>
        <w:pStyle w:val="Bullet1"/>
        <w:rPr>
          <w:lang w:eastAsia="en-AU"/>
        </w:rPr>
      </w:pPr>
      <w:r w:rsidRPr="00501145">
        <w:rPr>
          <w:lang w:eastAsia="en-AU"/>
        </w:rPr>
        <w:t>rock excavation</w:t>
      </w:r>
    </w:p>
    <w:p w14:paraId="01311E93" w14:textId="77777777" w:rsidR="00501145" w:rsidRPr="00501145" w:rsidRDefault="00501145" w:rsidP="00153DE9">
      <w:pPr>
        <w:pStyle w:val="Bullet1"/>
        <w:rPr>
          <w:lang w:eastAsia="en-AU"/>
        </w:rPr>
      </w:pPr>
      <w:r w:rsidRPr="00501145">
        <w:rPr>
          <w:lang w:eastAsia="en-AU"/>
        </w:rPr>
        <w:t>overlays (for example, Airport environment, heritage)</w:t>
      </w:r>
    </w:p>
    <w:p w14:paraId="546EA466" w14:textId="77777777" w:rsidR="00501145" w:rsidRPr="00501145" w:rsidRDefault="00501145" w:rsidP="00153DE9">
      <w:pPr>
        <w:pStyle w:val="Bullet1"/>
        <w:rPr>
          <w:lang w:eastAsia="en-AU"/>
        </w:rPr>
      </w:pPr>
      <w:r w:rsidRPr="00501145">
        <w:rPr>
          <w:lang w:eastAsia="en-AU"/>
        </w:rPr>
        <w:lastRenderedPageBreak/>
        <w:t>environmental issues (for example. Bushfire attack level).</w:t>
      </w:r>
    </w:p>
    <w:p w14:paraId="33A5C356" w14:textId="77777777" w:rsidR="00501145" w:rsidRPr="00501145" w:rsidRDefault="00501145" w:rsidP="00153DE9">
      <w:pPr>
        <w:pStyle w:val="Bodyafterbullets"/>
        <w:rPr>
          <w:lang w:eastAsia="en-AU"/>
        </w:rPr>
      </w:pPr>
      <w:r w:rsidRPr="00501145">
        <w:rPr>
          <w:lang w:eastAsia="en-AU"/>
        </w:rPr>
        <w:t>The contractor will notify Property and Asset Services of the outcome of their assessment within 14 days of the contractor’s engagement.</w:t>
      </w:r>
    </w:p>
    <w:p w14:paraId="794376DB" w14:textId="77777777" w:rsidR="00501145" w:rsidRPr="00501145" w:rsidRDefault="00501145" w:rsidP="00153DE9">
      <w:pPr>
        <w:pStyle w:val="Body"/>
        <w:rPr>
          <w:lang w:eastAsia="en-AU"/>
        </w:rPr>
      </w:pPr>
      <w:r w:rsidRPr="00501145">
        <w:rPr>
          <w:lang w:eastAsia="en-AU"/>
        </w:rPr>
        <w:t>If the site is deemed suitable, Property and Asset Services staff will notify the property host and the applicant:</w:t>
      </w:r>
    </w:p>
    <w:p w14:paraId="2C33ADBD" w14:textId="77777777" w:rsidR="00501145" w:rsidRPr="00501145" w:rsidRDefault="00501145" w:rsidP="00153DE9">
      <w:pPr>
        <w:pStyle w:val="Bullet1"/>
        <w:rPr>
          <w:lang w:eastAsia="en-AU"/>
        </w:rPr>
      </w:pPr>
      <w:r w:rsidRPr="00501145">
        <w:rPr>
          <w:lang w:eastAsia="en-AU"/>
        </w:rPr>
        <w:t>that the site is suitable for placement of a movable unit</w:t>
      </w:r>
    </w:p>
    <w:p w14:paraId="559D0101" w14:textId="77777777" w:rsidR="00501145" w:rsidRPr="00501145" w:rsidRDefault="00501145" w:rsidP="00153DE9">
      <w:pPr>
        <w:pStyle w:val="Bullet1"/>
        <w:rPr>
          <w:lang w:eastAsia="en-AU"/>
        </w:rPr>
      </w:pPr>
      <w:r w:rsidRPr="00501145">
        <w:rPr>
          <w:lang w:eastAsia="en-AU"/>
        </w:rPr>
        <w:t>the next steps in the movable unit application and allocation process</w:t>
      </w:r>
    </w:p>
    <w:p w14:paraId="033C58EF" w14:textId="77777777" w:rsidR="00501145" w:rsidRPr="00501145" w:rsidRDefault="00501145" w:rsidP="00153DE9">
      <w:pPr>
        <w:pStyle w:val="Bullet1"/>
        <w:rPr>
          <w:lang w:eastAsia="en-AU"/>
        </w:rPr>
      </w:pPr>
      <w:r w:rsidRPr="00501145">
        <w:rPr>
          <w:lang w:eastAsia="en-AU"/>
        </w:rPr>
        <w:t>details on works to be undertaken by the property host (for privately owned properties)</w:t>
      </w:r>
    </w:p>
    <w:p w14:paraId="3D2C8CEF" w14:textId="77777777" w:rsidR="00501145" w:rsidRPr="00501145" w:rsidRDefault="00501145" w:rsidP="00153DE9">
      <w:pPr>
        <w:pStyle w:val="Bullet1"/>
        <w:rPr>
          <w:lang w:eastAsia="en-AU"/>
        </w:rPr>
      </w:pPr>
      <w:r w:rsidRPr="00501145">
        <w:rPr>
          <w:lang w:eastAsia="en-AU"/>
        </w:rPr>
        <w:t>details of the associated costs to be met by the property host where the movable unit is to be more than 10 meters from the main house, as well as the requirement to complete the enclosed agreement to pay form, and</w:t>
      </w:r>
    </w:p>
    <w:p w14:paraId="71278AEF" w14:textId="77777777" w:rsidR="00501145" w:rsidRPr="00501145" w:rsidRDefault="00501145" w:rsidP="00153DE9">
      <w:pPr>
        <w:pStyle w:val="Bullet1"/>
        <w:rPr>
          <w:lang w:eastAsia="en-AU"/>
        </w:rPr>
      </w:pPr>
      <w:r w:rsidRPr="00501145">
        <w:rPr>
          <w:lang w:eastAsia="en-AU"/>
        </w:rPr>
        <w:t>requirements for signing and returning all copies of the enclosed hiring agreements.</w:t>
      </w:r>
    </w:p>
    <w:p w14:paraId="1509E910" w14:textId="77777777" w:rsidR="00501145" w:rsidRPr="00501145" w:rsidRDefault="00501145" w:rsidP="00153DE9">
      <w:pPr>
        <w:pStyle w:val="Bodyafterbullets"/>
        <w:rPr>
          <w:lang w:eastAsia="en-AU"/>
        </w:rPr>
      </w:pPr>
      <w:r w:rsidRPr="00501145">
        <w:rPr>
          <w:lang w:eastAsia="en-AU"/>
        </w:rPr>
        <w:t>Property and Asset Services will notify the local office when the movable unit is fully completed and ready for occupation.</w:t>
      </w:r>
    </w:p>
    <w:p w14:paraId="383ED691" w14:textId="77777777" w:rsidR="00501145" w:rsidRPr="00501145" w:rsidRDefault="00501145" w:rsidP="00153DE9">
      <w:pPr>
        <w:pStyle w:val="Body"/>
        <w:rPr>
          <w:lang w:eastAsia="en-AU"/>
        </w:rPr>
      </w:pPr>
      <w:r w:rsidRPr="00501145">
        <w:rPr>
          <w:lang w:eastAsia="en-AU"/>
        </w:rPr>
        <w:t>In the event the site is deemed not suitable, Property and Asset Services will notify the property host and the applicant in writing:</w:t>
      </w:r>
    </w:p>
    <w:p w14:paraId="5DBA44A7" w14:textId="77777777" w:rsidR="00501145" w:rsidRPr="00501145" w:rsidRDefault="00501145" w:rsidP="00153DE9">
      <w:pPr>
        <w:pStyle w:val="Bullet1"/>
        <w:rPr>
          <w:lang w:eastAsia="en-AU"/>
        </w:rPr>
      </w:pPr>
      <w:r w:rsidRPr="00501145">
        <w:rPr>
          <w:lang w:eastAsia="en-AU"/>
        </w:rPr>
        <w:t>the reason for why the site is not suitable for placement of a movable unit, and</w:t>
      </w:r>
    </w:p>
    <w:p w14:paraId="4DE89B8D" w14:textId="77777777" w:rsidR="00501145" w:rsidRPr="00501145" w:rsidRDefault="00501145" w:rsidP="00153DE9">
      <w:pPr>
        <w:pStyle w:val="Bullet1"/>
        <w:rPr>
          <w:lang w:eastAsia="en-AU"/>
        </w:rPr>
      </w:pPr>
      <w:r w:rsidRPr="00501145">
        <w:rPr>
          <w:lang w:eastAsia="en-AU"/>
        </w:rPr>
        <w:t>that they should contact the local office to explore alternative housing options.</w:t>
      </w:r>
    </w:p>
    <w:p w14:paraId="6FA444BD" w14:textId="77777777" w:rsidR="00501145" w:rsidRPr="00501145" w:rsidRDefault="00501145" w:rsidP="00153DE9">
      <w:pPr>
        <w:pStyle w:val="Bodyafterbullets"/>
        <w:rPr>
          <w:lang w:eastAsia="en-AU"/>
        </w:rPr>
      </w:pPr>
      <w:r w:rsidRPr="00501145">
        <w:rPr>
          <w:lang w:eastAsia="en-AU"/>
        </w:rPr>
        <w:t>Property and Asset Services will request the application be closed by staff undertaking the Tier one assessment.</w:t>
      </w:r>
    </w:p>
    <w:p w14:paraId="0BEE02AC" w14:textId="77777777" w:rsidR="00501145" w:rsidRPr="00501145" w:rsidRDefault="00501145" w:rsidP="00501145">
      <w:pPr>
        <w:pStyle w:val="Heading2"/>
        <w:rPr>
          <w:lang w:eastAsia="en-AU"/>
        </w:rPr>
      </w:pPr>
      <w:bookmarkStart w:id="35" w:name="_Toc462059711"/>
      <w:bookmarkStart w:id="36" w:name="_Toc485812941"/>
      <w:bookmarkStart w:id="37" w:name="_Toc78287282"/>
      <w:r w:rsidRPr="00501145">
        <w:rPr>
          <w:lang w:eastAsia="en-AU"/>
        </w:rPr>
        <w:t>Service and utility connections</w:t>
      </w:r>
      <w:bookmarkEnd w:id="35"/>
      <w:bookmarkEnd w:id="36"/>
      <w:bookmarkEnd w:id="37"/>
    </w:p>
    <w:p w14:paraId="44E92546" w14:textId="77777777" w:rsidR="00501145" w:rsidRPr="00501145" w:rsidRDefault="00501145" w:rsidP="00153DE9">
      <w:pPr>
        <w:pStyle w:val="Body"/>
        <w:rPr>
          <w:lang w:eastAsia="en-AU"/>
        </w:rPr>
      </w:pPr>
      <w:r w:rsidRPr="00501145">
        <w:rPr>
          <w:lang w:eastAsia="en-AU"/>
        </w:rPr>
        <w:t>Movable units are separately metered for gas and electricity services.  There is no separate meter provided for water; instead a check meter is provided.</w:t>
      </w:r>
    </w:p>
    <w:p w14:paraId="3F47CF63" w14:textId="77777777" w:rsidR="00501145" w:rsidRPr="00501145" w:rsidRDefault="00501145" w:rsidP="00153DE9">
      <w:pPr>
        <w:pStyle w:val="Body"/>
        <w:rPr>
          <w:lang w:eastAsia="en-AU"/>
        </w:rPr>
      </w:pPr>
      <w:r w:rsidRPr="00501145">
        <w:rPr>
          <w:lang w:eastAsia="en-AU"/>
        </w:rPr>
        <w:t>Private property owners may choose not to have a separate gas and electricity meters for the movable unit.</w:t>
      </w:r>
    </w:p>
    <w:p w14:paraId="40EBE474" w14:textId="1738F0A6" w:rsidR="00501145" w:rsidRPr="00501145" w:rsidRDefault="00501145" w:rsidP="00153DE9">
      <w:pPr>
        <w:pStyle w:val="Body"/>
        <w:rPr>
          <w:lang w:eastAsia="en-AU"/>
        </w:rPr>
      </w:pPr>
      <w:r w:rsidRPr="00501145">
        <w:rPr>
          <w:lang w:eastAsia="en-AU"/>
        </w:rPr>
        <w:t>The initial cost for connection of services is met by the department.</w:t>
      </w:r>
    </w:p>
    <w:p w14:paraId="34A807AA" w14:textId="7E74E066" w:rsidR="00501145" w:rsidRPr="00501145" w:rsidRDefault="00501145" w:rsidP="00153DE9">
      <w:pPr>
        <w:pStyle w:val="Body"/>
        <w:rPr>
          <w:lang w:eastAsia="en-AU"/>
        </w:rPr>
      </w:pPr>
      <w:r w:rsidRPr="00501145">
        <w:rPr>
          <w:lang w:eastAsia="en-AU"/>
        </w:rPr>
        <w:t>Where liquid petroleum gas (LPG) is requested, Property and Asset Services will organise for the connection to a regulator. All other associated fittings and costs are to be met by the property host or applicant.</w:t>
      </w:r>
    </w:p>
    <w:p w14:paraId="2D3AD036" w14:textId="77777777" w:rsidR="00501145" w:rsidRPr="00501145" w:rsidRDefault="00501145" w:rsidP="00153DE9">
      <w:pPr>
        <w:pStyle w:val="Body"/>
        <w:rPr>
          <w:lang w:eastAsia="en-AU"/>
        </w:rPr>
      </w:pPr>
      <w:r w:rsidRPr="00501145">
        <w:rPr>
          <w:lang w:eastAsia="en-AU"/>
        </w:rPr>
        <w:t>If a septic tank is requested, the property host will seek local council approval.</w:t>
      </w:r>
    </w:p>
    <w:p w14:paraId="44527E16" w14:textId="77777777" w:rsidR="00501145" w:rsidRPr="00501145" w:rsidRDefault="00501145" w:rsidP="00153DE9">
      <w:pPr>
        <w:pStyle w:val="Body"/>
        <w:rPr>
          <w:lang w:eastAsia="en-AU"/>
        </w:rPr>
      </w:pPr>
      <w:r w:rsidRPr="00501145">
        <w:rPr>
          <w:lang w:eastAsia="en-AU"/>
        </w:rPr>
        <w:t>The property host or applicant is responsible for meeting the costs of upgrading any services.</w:t>
      </w:r>
    </w:p>
    <w:p w14:paraId="2BBBDCFF" w14:textId="77777777" w:rsidR="00501145" w:rsidRPr="00501145" w:rsidRDefault="00501145" w:rsidP="00501145">
      <w:pPr>
        <w:pStyle w:val="Heading2"/>
        <w:rPr>
          <w:lang w:eastAsia="en-AU"/>
        </w:rPr>
      </w:pPr>
      <w:bookmarkStart w:id="38" w:name="_Toc462059712"/>
      <w:bookmarkStart w:id="39" w:name="_Toc485812942"/>
      <w:bookmarkStart w:id="40" w:name="_Toc78287283"/>
      <w:r w:rsidRPr="00501145">
        <w:rPr>
          <w:lang w:eastAsia="en-AU"/>
        </w:rPr>
        <w:t>Council requirements</w:t>
      </w:r>
      <w:bookmarkEnd w:id="38"/>
      <w:bookmarkEnd w:id="39"/>
      <w:bookmarkEnd w:id="40"/>
    </w:p>
    <w:p w14:paraId="6119F5A8" w14:textId="77777777" w:rsidR="00501145" w:rsidRPr="00501145" w:rsidRDefault="00501145" w:rsidP="00153DE9">
      <w:pPr>
        <w:pStyle w:val="Body"/>
        <w:rPr>
          <w:lang w:eastAsia="en-AU"/>
        </w:rPr>
      </w:pPr>
      <w:r w:rsidRPr="00501145">
        <w:rPr>
          <w:lang w:eastAsia="en-AU"/>
        </w:rPr>
        <w:t>Following approval of Tier one and Tier two assessments, Property and Asset Services will engage an approved contractor to commence the application process to seek council approval.</w:t>
      </w:r>
    </w:p>
    <w:p w14:paraId="3BF211C3" w14:textId="77777777" w:rsidR="00501145" w:rsidRPr="00501145" w:rsidRDefault="00501145" w:rsidP="00153DE9">
      <w:pPr>
        <w:pStyle w:val="Body"/>
        <w:rPr>
          <w:lang w:eastAsia="en-AU"/>
        </w:rPr>
      </w:pPr>
      <w:r w:rsidRPr="00501145">
        <w:rPr>
          <w:lang w:eastAsia="en-AU"/>
        </w:rPr>
        <w:t>Construction of the movable unit will not proceed until local council has approved the movable unit and provided the required permits.</w:t>
      </w:r>
    </w:p>
    <w:p w14:paraId="50A0369D" w14:textId="77777777" w:rsidR="00501145" w:rsidRPr="00501145" w:rsidRDefault="00501145" w:rsidP="00153DE9">
      <w:pPr>
        <w:pStyle w:val="Body"/>
        <w:rPr>
          <w:lang w:eastAsia="en-AU"/>
        </w:rPr>
      </w:pPr>
      <w:r w:rsidRPr="00501145">
        <w:rPr>
          <w:lang w:eastAsia="en-AU"/>
        </w:rPr>
        <w:t>Movable units must comply with all relevant planning and/or council requirements.</w:t>
      </w:r>
    </w:p>
    <w:p w14:paraId="2D5BF788" w14:textId="77777777" w:rsidR="00501145" w:rsidRPr="00501145" w:rsidRDefault="00501145" w:rsidP="00501145">
      <w:pPr>
        <w:pStyle w:val="Heading2"/>
        <w:rPr>
          <w:lang w:eastAsia="en-AU"/>
        </w:rPr>
      </w:pPr>
      <w:bookmarkStart w:id="41" w:name="_Toc462059714"/>
      <w:bookmarkStart w:id="42" w:name="_Toc485812943"/>
      <w:bookmarkStart w:id="43" w:name="_Toc78287284"/>
      <w:r w:rsidRPr="00501145">
        <w:rPr>
          <w:lang w:eastAsia="en-AU"/>
        </w:rPr>
        <w:lastRenderedPageBreak/>
        <w:t>Construction of the movable unit</w:t>
      </w:r>
      <w:bookmarkEnd w:id="41"/>
      <w:bookmarkEnd w:id="42"/>
      <w:bookmarkEnd w:id="43"/>
    </w:p>
    <w:p w14:paraId="3C33F5B9" w14:textId="77777777" w:rsidR="00501145" w:rsidRPr="00501145" w:rsidRDefault="00501145" w:rsidP="00153DE9">
      <w:pPr>
        <w:pStyle w:val="Body"/>
      </w:pPr>
      <w:r w:rsidRPr="00501145">
        <w:t>Property and Asset Services will engage an approved contractor to undertake the construction of the movable unit.</w:t>
      </w:r>
    </w:p>
    <w:p w14:paraId="30668177" w14:textId="77777777" w:rsidR="00501145" w:rsidRPr="00501145" w:rsidRDefault="00501145" w:rsidP="00501145">
      <w:pPr>
        <w:pStyle w:val="Heading2"/>
        <w:rPr>
          <w:lang w:eastAsia="en-AU"/>
        </w:rPr>
      </w:pPr>
      <w:bookmarkStart w:id="44" w:name="_Toc462059715"/>
      <w:bookmarkStart w:id="45" w:name="_Toc485812944"/>
      <w:bookmarkStart w:id="46" w:name="_Toc78287285"/>
      <w:r w:rsidRPr="00501145">
        <w:rPr>
          <w:lang w:eastAsia="en-AU"/>
        </w:rPr>
        <w:t>Handover of the movable unit</w:t>
      </w:r>
      <w:bookmarkEnd w:id="44"/>
      <w:bookmarkEnd w:id="45"/>
      <w:bookmarkEnd w:id="46"/>
    </w:p>
    <w:p w14:paraId="6781821A" w14:textId="77777777" w:rsidR="00501145" w:rsidRPr="00501145" w:rsidRDefault="00501145" w:rsidP="00153DE9">
      <w:pPr>
        <w:pStyle w:val="Body"/>
        <w:rPr>
          <w:lang w:eastAsia="en-AU"/>
        </w:rPr>
      </w:pPr>
      <w:r w:rsidRPr="00501145">
        <w:rPr>
          <w:lang w:eastAsia="en-AU"/>
        </w:rPr>
        <w:t>Upon completion of the movable unit construction, Property and Asset Services will organise a handover date within the local office, including:</w:t>
      </w:r>
    </w:p>
    <w:p w14:paraId="6E691169" w14:textId="77777777" w:rsidR="00501145" w:rsidRPr="00501145" w:rsidRDefault="00501145" w:rsidP="00153DE9">
      <w:pPr>
        <w:pStyle w:val="Bullet1"/>
        <w:rPr>
          <w:lang w:eastAsia="en-AU"/>
        </w:rPr>
      </w:pPr>
      <w:r w:rsidRPr="00501145">
        <w:rPr>
          <w:lang w:eastAsia="en-AU"/>
        </w:rPr>
        <w:t xml:space="preserve">initiating the transfer of the movable unit to the relevant local office responsible for creating and signing of the hiring agreement in HiiP, and </w:t>
      </w:r>
    </w:p>
    <w:p w14:paraId="4FCDCD8C" w14:textId="77777777" w:rsidR="00501145" w:rsidRPr="00501145" w:rsidRDefault="00501145" w:rsidP="00153DE9">
      <w:pPr>
        <w:pStyle w:val="Bullet1"/>
        <w:rPr>
          <w:lang w:eastAsia="en-AU"/>
        </w:rPr>
      </w:pPr>
      <w:r w:rsidRPr="00501145">
        <w:rPr>
          <w:lang w:eastAsia="en-AU"/>
        </w:rPr>
        <w:t>notifying the local office (with a minimum of five working days’ notice) of the intended date of handover and request their attendance.</w:t>
      </w:r>
    </w:p>
    <w:p w14:paraId="25535CFC" w14:textId="77777777" w:rsidR="00501145" w:rsidRPr="00501145" w:rsidRDefault="00501145" w:rsidP="00153DE9">
      <w:pPr>
        <w:pStyle w:val="Bodyafterbullets"/>
        <w:rPr>
          <w:lang w:eastAsia="en-AU"/>
        </w:rPr>
      </w:pPr>
      <w:r w:rsidRPr="00501145">
        <w:rPr>
          <w:lang w:eastAsia="en-AU"/>
        </w:rPr>
        <w:t>Property and Asset Services will provide the local office with:</w:t>
      </w:r>
    </w:p>
    <w:p w14:paraId="0A230352" w14:textId="77777777" w:rsidR="00501145" w:rsidRPr="00501145" w:rsidRDefault="00501145" w:rsidP="00153DE9">
      <w:pPr>
        <w:pStyle w:val="Bullet1"/>
        <w:rPr>
          <w:lang w:eastAsia="en-AU"/>
        </w:rPr>
      </w:pPr>
      <w:r w:rsidRPr="00501145">
        <w:rPr>
          <w:lang w:eastAsia="en-AU"/>
        </w:rPr>
        <w:t>keys to the movable unit, and</w:t>
      </w:r>
    </w:p>
    <w:p w14:paraId="7C43171C" w14:textId="77777777" w:rsidR="00501145" w:rsidRPr="00501145" w:rsidRDefault="00501145" w:rsidP="00153DE9">
      <w:pPr>
        <w:pStyle w:val="Bullet1"/>
        <w:rPr>
          <w:lang w:eastAsia="en-AU"/>
        </w:rPr>
      </w:pPr>
      <w:r w:rsidRPr="00501145">
        <w:rPr>
          <w:lang w:eastAsia="en-AU"/>
        </w:rPr>
        <w:t>a copy of the movable unit application file, including the handover certificate, completion of handover notice and a signed copy of the hiring agreement.</w:t>
      </w:r>
    </w:p>
    <w:p w14:paraId="34DA8176" w14:textId="5B56EF23" w:rsidR="00501145" w:rsidRPr="00501145" w:rsidRDefault="00501145" w:rsidP="00153DE9">
      <w:pPr>
        <w:pStyle w:val="Bodyafterbullets"/>
        <w:rPr>
          <w:lang w:eastAsia="en-AU"/>
        </w:rPr>
      </w:pPr>
      <w:r w:rsidRPr="00501145">
        <w:rPr>
          <w:lang w:eastAsia="en-AU"/>
        </w:rPr>
        <w:t xml:space="preserve">The local office will arrange the signing of the </w:t>
      </w:r>
      <w:r w:rsidRPr="00501145">
        <w:rPr>
          <w:i/>
          <w:lang w:eastAsia="en-AU"/>
        </w:rPr>
        <w:t>Notice of tenancy commencement,</w:t>
      </w:r>
      <w:r w:rsidRPr="00501145">
        <w:rPr>
          <w:lang w:eastAsia="en-AU"/>
        </w:rPr>
        <w:t xml:space="preserve"> and ongoing tenancy management of the movable unit will commence by local staff.</w:t>
      </w:r>
    </w:p>
    <w:p w14:paraId="3DA5621C" w14:textId="77777777" w:rsidR="00501145" w:rsidRPr="00501145" w:rsidRDefault="00501145" w:rsidP="00501145">
      <w:pPr>
        <w:pStyle w:val="Heading2"/>
        <w:rPr>
          <w:lang w:eastAsia="en-AU"/>
        </w:rPr>
      </w:pPr>
      <w:bookmarkStart w:id="47" w:name="_Toc462059717"/>
      <w:bookmarkStart w:id="48" w:name="_Toc485812945"/>
      <w:bookmarkStart w:id="49" w:name="_Toc78287286"/>
      <w:bookmarkStart w:id="50" w:name="_Toc462059713"/>
      <w:r w:rsidRPr="00501145">
        <w:rPr>
          <w:lang w:eastAsia="en-AU"/>
        </w:rPr>
        <w:t>Maintenance</w:t>
      </w:r>
      <w:bookmarkEnd w:id="47"/>
      <w:bookmarkEnd w:id="48"/>
      <w:bookmarkEnd w:id="49"/>
    </w:p>
    <w:p w14:paraId="0CB1A8A3" w14:textId="77777777" w:rsidR="00501145" w:rsidRPr="00501145" w:rsidRDefault="00501145" w:rsidP="00153DE9">
      <w:pPr>
        <w:pStyle w:val="Body"/>
        <w:rPr>
          <w:lang w:eastAsia="en-AU"/>
        </w:rPr>
      </w:pPr>
      <w:r w:rsidRPr="00501145">
        <w:rPr>
          <w:lang w:eastAsia="en-AU"/>
        </w:rPr>
        <w:t>Maintenance works required on the movable unit within 26 weeks from the date of handover will be undertaken by the contractor under ‘defects liability’.</w:t>
      </w:r>
    </w:p>
    <w:p w14:paraId="169F2E3D" w14:textId="77777777" w:rsidR="00501145" w:rsidRPr="00501145" w:rsidRDefault="00501145" w:rsidP="00153DE9">
      <w:pPr>
        <w:pStyle w:val="Body"/>
        <w:rPr>
          <w:lang w:eastAsia="en-AU"/>
        </w:rPr>
      </w:pPr>
      <w:r w:rsidRPr="00501145">
        <w:rPr>
          <w:lang w:eastAsia="en-AU"/>
        </w:rPr>
        <w:t>Local staff will notify Property and Asset Services that maintenance works are required in the event it falls within this 26-week period.</w:t>
      </w:r>
    </w:p>
    <w:p w14:paraId="73BD9666" w14:textId="77777777" w:rsidR="00501145" w:rsidRPr="00501145" w:rsidRDefault="00501145" w:rsidP="00153DE9">
      <w:pPr>
        <w:pStyle w:val="Body"/>
        <w:rPr>
          <w:lang w:eastAsia="en-AU"/>
        </w:rPr>
      </w:pPr>
      <w:r w:rsidRPr="00501145">
        <w:rPr>
          <w:lang w:eastAsia="en-AU"/>
        </w:rPr>
        <w:t xml:space="preserve">If the maintenance work is required after this 26-week period, staff will initiate processes in line with </w:t>
      </w:r>
      <w:r w:rsidRPr="00501145">
        <w:rPr>
          <w:i/>
          <w:lang w:eastAsia="en-AU"/>
        </w:rPr>
        <w:t>property management policy</w:t>
      </w:r>
      <w:r w:rsidRPr="00501145">
        <w:rPr>
          <w:lang w:eastAsia="en-AU"/>
        </w:rPr>
        <w:t>.</w:t>
      </w:r>
    </w:p>
    <w:p w14:paraId="4B3FC8C1" w14:textId="77777777" w:rsidR="00501145" w:rsidRPr="00501145" w:rsidRDefault="00501145" w:rsidP="00501145">
      <w:pPr>
        <w:pStyle w:val="Heading2"/>
        <w:rPr>
          <w:lang w:eastAsia="en-AU"/>
        </w:rPr>
      </w:pPr>
      <w:bookmarkStart w:id="51" w:name="_Toc462059718"/>
      <w:bookmarkStart w:id="52" w:name="_Toc485812946"/>
      <w:bookmarkStart w:id="53" w:name="_Toc78287287"/>
      <w:r w:rsidRPr="00501145">
        <w:rPr>
          <w:lang w:eastAsia="en-AU"/>
        </w:rPr>
        <w:t>Insurance</w:t>
      </w:r>
      <w:bookmarkEnd w:id="51"/>
      <w:bookmarkEnd w:id="52"/>
      <w:bookmarkEnd w:id="53"/>
    </w:p>
    <w:p w14:paraId="69057E22" w14:textId="77777777" w:rsidR="00501145" w:rsidRPr="00501145" w:rsidRDefault="00501145" w:rsidP="00153DE9">
      <w:pPr>
        <w:pStyle w:val="Body"/>
        <w:rPr>
          <w:lang w:eastAsia="en-AU"/>
        </w:rPr>
      </w:pPr>
      <w:r w:rsidRPr="00501145">
        <w:rPr>
          <w:lang w:eastAsia="en-AU"/>
        </w:rPr>
        <w:t>General building insurance for movable units is covered by the department.</w:t>
      </w:r>
    </w:p>
    <w:p w14:paraId="12C4DF62" w14:textId="3120FBF7" w:rsidR="00501145" w:rsidRPr="00501145" w:rsidRDefault="00501145" w:rsidP="00153DE9">
      <w:pPr>
        <w:pStyle w:val="Body"/>
        <w:rPr>
          <w:rFonts w:eastAsia="MS Gothic"/>
          <w:lang w:eastAsia="en-AU"/>
        </w:rPr>
      </w:pPr>
      <w:r w:rsidRPr="00501145">
        <w:rPr>
          <w:lang w:eastAsia="en-AU"/>
        </w:rPr>
        <w:t>Applicants in movable units are responsible for insuring the contents of the movable unit</w:t>
      </w:r>
      <w:r w:rsidR="00932A09">
        <w:rPr>
          <w:lang w:eastAsia="en-AU"/>
        </w:rPr>
        <w:t>.</w:t>
      </w:r>
    </w:p>
    <w:p w14:paraId="25BA5DD6" w14:textId="77777777" w:rsidR="00501145" w:rsidRPr="00501145" w:rsidRDefault="00501145" w:rsidP="00501145">
      <w:pPr>
        <w:pStyle w:val="Heading1"/>
        <w:rPr>
          <w:lang w:eastAsia="en-AU"/>
        </w:rPr>
      </w:pPr>
      <w:bookmarkStart w:id="54" w:name="_Toc485812947"/>
      <w:bookmarkStart w:id="55" w:name="_Toc78287288"/>
      <w:r w:rsidRPr="00501145">
        <w:rPr>
          <w:lang w:eastAsia="en-AU"/>
        </w:rPr>
        <w:t>Hiring agreement</w:t>
      </w:r>
      <w:bookmarkEnd w:id="50"/>
      <w:bookmarkEnd w:id="54"/>
      <w:bookmarkEnd w:id="55"/>
    </w:p>
    <w:p w14:paraId="79AEAD29" w14:textId="11C3EB6D" w:rsidR="00501145" w:rsidRPr="00501145" w:rsidRDefault="00501145" w:rsidP="00153DE9">
      <w:pPr>
        <w:pStyle w:val="Body"/>
        <w:rPr>
          <w:lang w:eastAsia="en-AU"/>
        </w:rPr>
      </w:pPr>
      <w:r w:rsidRPr="00501145">
        <w:rPr>
          <w:lang w:eastAsia="en-AU"/>
        </w:rPr>
        <w:t>The hiring agreement is not a residential tenancy agreement as defined under Part 2 Division 1: General requirements for tenancy agreements of the Residential Tenancies Act.</w:t>
      </w:r>
    </w:p>
    <w:p w14:paraId="3D35F69B" w14:textId="77777777" w:rsidR="00501145" w:rsidRPr="00501145" w:rsidRDefault="00501145" w:rsidP="00153DE9">
      <w:pPr>
        <w:pStyle w:val="Body"/>
        <w:rPr>
          <w:lang w:eastAsia="en-AU"/>
        </w:rPr>
      </w:pPr>
      <w:r w:rsidRPr="00501145">
        <w:rPr>
          <w:lang w:eastAsia="en-AU"/>
        </w:rPr>
        <w:t>The Director of Housing enters into the hiring agreement with the property host and applicant.</w:t>
      </w:r>
    </w:p>
    <w:p w14:paraId="5A4263C3" w14:textId="0AF3CAF1" w:rsidR="00501145" w:rsidRPr="00501145" w:rsidRDefault="00501145" w:rsidP="00153DE9">
      <w:pPr>
        <w:pStyle w:val="Body"/>
        <w:rPr>
          <w:lang w:eastAsia="en-AU"/>
        </w:rPr>
      </w:pPr>
      <w:r w:rsidRPr="00501145">
        <w:rPr>
          <w:lang w:eastAsia="en-AU"/>
        </w:rPr>
        <w:t>The applicant undertakes to pay a weekly hiring fee for a minimum period of 12 months. After the expiration of this period the hiring agreement reverts to a week-by-week arrangement.</w:t>
      </w:r>
    </w:p>
    <w:p w14:paraId="3FFA064F" w14:textId="77777777" w:rsidR="00501145" w:rsidRPr="00501145" w:rsidRDefault="00501145" w:rsidP="00153DE9">
      <w:pPr>
        <w:pStyle w:val="Body"/>
        <w:rPr>
          <w:lang w:eastAsia="en-AU"/>
        </w:rPr>
      </w:pPr>
      <w:r w:rsidRPr="00501145">
        <w:rPr>
          <w:lang w:eastAsia="en-AU"/>
        </w:rPr>
        <w:t>A hiring agreement is only provided to the property host and applicant once both Tier one and Tier two assessments are assessed and approved.</w:t>
      </w:r>
    </w:p>
    <w:p w14:paraId="75D0CFB3" w14:textId="77777777" w:rsidR="00501145" w:rsidRPr="00501145" w:rsidRDefault="00501145" w:rsidP="00153DE9">
      <w:pPr>
        <w:pStyle w:val="Body"/>
        <w:rPr>
          <w:lang w:eastAsia="en-AU"/>
        </w:rPr>
      </w:pPr>
      <w:r w:rsidRPr="00501145">
        <w:rPr>
          <w:lang w:eastAsia="en-AU"/>
        </w:rPr>
        <w:lastRenderedPageBreak/>
        <w:t>Property and Asset Services will arrange the signing of the hiring agreement prior to construction of the movable unit.</w:t>
      </w:r>
    </w:p>
    <w:p w14:paraId="66BCFF69" w14:textId="77777777" w:rsidR="00501145" w:rsidRPr="00501145" w:rsidRDefault="00501145" w:rsidP="00501145">
      <w:pPr>
        <w:pStyle w:val="Heading1"/>
        <w:rPr>
          <w:lang w:eastAsia="en-AU"/>
        </w:rPr>
      </w:pPr>
      <w:bookmarkStart w:id="56" w:name="_Toc462059716"/>
      <w:bookmarkStart w:id="57" w:name="_Toc485812948"/>
      <w:bookmarkStart w:id="58" w:name="_Toc78287289"/>
      <w:r w:rsidRPr="00501145">
        <w:rPr>
          <w:lang w:eastAsia="en-AU"/>
        </w:rPr>
        <w:t>Rental rebate</w:t>
      </w:r>
      <w:bookmarkEnd w:id="56"/>
      <w:bookmarkEnd w:id="57"/>
      <w:bookmarkEnd w:id="58"/>
    </w:p>
    <w:p w14:paraId="7B9F42DF" w14:textId="08554E75" w:rsidR="00501145" w:rsidRPr="00501145" w:rsidRDefault="00501145" w:rsidP="00153DE9">
      <w:pPr>
        <w:pStyle w:val="Body"/>
        <w:rPr>
          <w:lang w:eastAsia="en-AU"/>
        </w:rPr>
      </w:pPr>
      <w:r w:rsidRPr="00501145">
        <w:rPr>
          <w:lang w:eastAsia="en-AU"/>
        </w:rPr>
        <w:t>The amount the applicant pays for the weekly hiring rate of the movable unit is determined by their income.</w:t>
      </w:r>
    </w:p>
    <w:p w14:paraId="27D55C26" w14:textId="77777777" w:rsidR="00501145" w:rsidRPr="00501145" w:rsidRDefault="00501145" w:rsidP="00153DE9">
      <w:pPr>
        <w:pStyle w:val="Body"/>
        <w:rPr>
          <w:lang w:eastAsia="en-AU"/>
        </w:rPr>
      </w:pPr>
      <w:r w:rsidRPr="00501145">
        <w:rPr>
          <w:lang w:eastAsia="en-AU"/>
        </w:rPr>
        <w:t xml:space="preserve">In the event the applicant requests a rental rebate, local staff will initiate processes in line with </w:t>
      </w:r>
      <w:r w:rsidRPr="00501145">
        <w:rPr>
          <w:i/>
          <w:lang w:eastAsia="en-AU"/>
        </w:rPr>
        <w:t>rental rebate policy</w:t>
      </w:r>
      <w:r w:rsidRPr="00501145">
        <w:rPr>
          <w:lang w:eastAsia="en-AU"/>
        </w:rPr>
        <w:t>.</w:t>
      </w:r>
    </w:p>
    <w:p w14:paraId="3F3CF073" w14:textId="77777777" w:rsidR="00501145" w:rsidRPr="00501145" w:rsidRDefault="00501145" w:rsidP="00501145">
      <w:pPr>
        <w:pStyle w:val="Heading1"/>
        <w:rPr>
          <w:lang w:eastAsia="en-AU"/>
        </w:rPr>
      </w:pPr>
      <w:bookmarkStart w:id="59" w:name="_Toc462059719"/>
      <w:bookmarkStart w:id="60" w:name="_Toc485812949"/>
      <w:bookmarkStart w:id="61" w:name="_Toc78287290"/>
      <w:r w:rsidRPr="00501145">
        <w:rPr>
          <w:lang w:eastAsia="en-AU"/>
        </w:rPr>
        <w:t>On-going management of the movable unit</w:t>
      </w:r>
      <w:bookmarkEnd w:id="59"/>
      <w:bookmarkEnd w:id="60"/>
      <w:bookmarkEnd w:id="61"/>
    </w:p>
    <w:p w14:paraId="1FE15308" w14:textId="77777777" w:rsidR="00501145" w:rsidRPr="00501145" w:rsidRDefault="00501145" w:rsidP="00153DE9">
      <w:pPr>
        <w:pStyle w:val="Body"/>
        <w:rPr>
          <w:lang w:eastAsia="en-AU"/>
        </w:rPr>
      </w:pPr>
      <w:r w:rsidRPr="00501145">
        <w:rPr>
          <w:lang w:eastAsia="en-AU"/>
        </w:rPr>
        <w:t>The movable unit will be managed by the local office until such time the movable unit is vacated by the applicant.</w:t>
      </w:r>
    </w:p>
    <w:p w14:paraId="223B18EC" w14:textId="77777777" w:rsidR="00501145" w:rsidRPr="00501145" w:rsidRDefault="00501145" w:rsidP="00153DE9">
      <w:pPr>
        <w:pStyle w:val="Body"/>
        <w:rPr>
          <w:lang w:eastAsia="en-AU"/>
        </w:rPr>
      </w:pPr>
      <w:r w:rsidRPr="00501145">
        <w:rPr>
          <w:lang w:eastAsia="en-AU"/>
        </w:rPr>
        <w:t>Once the movable unit is vacated, local staff will notify Property and Asset Services to initiate the deconstruction and removal of the movable unit.</w:t>
      </w:r>
    </w:p>
    <w:p w14:paraId="5037E65B" w14:textId="77777777" w:rsidR="00501145" w:rsidRPr="00501145" w:rsidRDefault="00501145" w:rsidP="00501145">
      <w:pPr>
        <w:pStyle w:val="Heading1"/>
        <w:rPr>
          <w:lang w:eastAsia="en-AU"/>
        </w:rPr>
      </w:pPr>
      <w:bookmarkStart w:id="62" w:name="_Toc462059721"/>
      <w:bookmarkStart w:id="63" w:name="_Toc485812950"/>
      <w:bookmarkStart w:id="64" w:name="_Toc78287291"/>
      <w:r w:rsidRPr="00501145">
        <w:rPr>
          <w:lang w:eastAsia="en-AU"/>
        </w:rPr>
        <w:t>Breaches of the hiring agreement</w:t>
      </w:r>
      <w:bookmarkEnd w:id="62"/>
      <w:bookmarkEnd w:id="63"/>
      <w:bookmarkEnd w:id="64"/>
    </w:p>
    <w:p w14:paraId="0B8D1BFC" w14:textId="77777777" w:rsidR="00501145" w:rsidRPr="00501145" w:rsidRDefault="00501145" w:rsidP="00153DE9">
      <w:pPr>
        <w:pStyle w:val="Body"/>
      </w:pPr>
      <w:r w:rsidRPr="00501145">
        <w:t>In the event the requirements of the hiring agreement are breached by the property host or applicant, staff will immediately issue a Breach notice for movable unit detailing the:</w:t>
      </w:r>
    </w:p>
    <w:p w14:paraId="3F774DBE" w14:textId="77777777" w:rsidR="00501145" w:rsidRPr="00501145" w:rsidRDefault="00501145" w:rsidP="00153DE9">
      <w:pPr>
        <w:pStyle w:val="Bullet1"/>
        <w:rPr>
          <w:lang w:eastAsia="en-AU"/>
        </w:rPr>
      </w:pPr>
      <w:r w:rsidRPr="00501145">
        <w:rPr>
          <w:lang w:eastAsia="en-AU"/>
        </w:rPr>
        <w:t>breach that has occurred</w:t>
      </w:r>
    </w:p>
    <w:p w14:paraId="5EEE3888" w14:textId="77777777" w:rsidR="00501145" w:rsidRPr="00501145" w:rsidRDefault="00501145" w:rsidP="00153DE9">
      <w:pPr>
        <w:pStyle w:val="Bullet1"/>
        <w:rPr>
          <w:lang w:eastAsia="en-AU"/>
        </w:rPr>
      </w:pPr>
      <w:r w:rsidRPr="00501145">
        <w:rPr>
          <w:lang w:eastAsia="en-AU"/>
        </w:rPr>
        <w:t>the clause of the hiring agreement that was breached</w:t>
      </w:r>
    </w:p>
    <w:p w14:paraId="73FB9052" w14:textId="77777777" w:rsidR="00501145" w:rsidRPr="00501145" w:rsidRDefault="00501145" w:rsidP="00153DE9">
      <w:pPr>
        <w:pStyle w:val="Bullet1"/>
        <w:rPr>
          <w:lang w:eastAsia="en-AU"/>
        </w:rPr>
      </w:pPr>
      <w:r w:rsidRPr="00501145">
        <w:rPr>
          <w:lang w:eastAsia="en-AU"/>
        </w:rPr>
        <w:t>required remedy for the breach</w:t>
      </w:r>
    </w:p>
    <w:p w14:paraId="14DC8E9B" w14:textId="77777777" w:rsidR="00501145" w:rsidRPr="00501145" w:rsidRDefault="00501145" w:rsidP="00153DE9">
      <w:pPr>
        <w:pStyle w:val="Bullet1"/>
        <w:rPr>
          <w:lang w:eastAsia="en-AU"/>
        </w:rPr>
      </w:pPr>
      <w:r w:rsidRPr="00501145">
        <w:rPr>
          <w:lang w:eastAsia="en-AU"/>
        </w:rPr>
        <w:t>timeline for remedying the breach (14 days), and</w:t>
      </w:r>
    </w:p>
    <w:p w14:paraId="6C578AAD" w14:textId="77777777" w:rsidR="00501145" w:rsidRPr="00501145" w:rsidRDefault="00501145" w:rsidP="00153DE9">
      <w:pPr>
        <w:pStyle w:val="Bullet1"/>
        <w:rPr>
          <w:lang w:eastAsia="en-AU"/>
        </w:rPr>
      </w:pPr>
      <w:r w:rsidRPr="00501145">
        <w:rPr>
          <w:lang w:eastAsia="en-AU"/>
        </w:rPr>
        <w:t>consequences for not remedying the breach within timelines.</w:t>
      </w:r>
    </w:p>
    <w:p w14:paraId="756FFBCA" w14:textId="77777777" w:rsidR="00501145" w:rsidRPr="00501145" w:rsidRDefault="00501145" w:rsidP="00153DE9">
      <w:pPr>
        <w:pStyle w:val="Bodyafterbullets"/>
        <w:rPr>
          <w:lang w:eastAsia="en-AU"/>
        </w:rPr>
      </w:pPr>
      <w:r w:rsidRPr="00501145">
        <w:rPr>
          <w:lang w:eastAsia="en-AU"/>
        </w:rPr>
        <w:t xml:space="preserve">In the event the property host or applicant does not remedy the breach within the timeline, staff will issue a </w:t>
      </w:r>
      <w:r w:rsidRPr="00501145">
        <w:rPr>
          <w:i/>
          <w:lang w:eastAsia="en-AU"/>
        </w:rPr>
        <w:t>Notice to terminate</w:t>
      </w:r>
      <w:r w:rsidRPr="00501145">
        <w:rPr>
          <w:lang w:eastAsia="en-AU"/>
        </w:rPr>
        <w:t xml:space="preserve"> with a copy of the original </w:t>
      </w:r>
      <w:r w:rsidRPr="00501145">
        <w:rPr>
          <w:i/>
          <w:lang w:eastAsia="en-AU"/>
        </w:rPr>
        <w:t>Movable unit breach notice</w:t>
      </w:r>
      <w:r w:rsidRPr="00501145">
        <w:rPr>
          <w:lang w:eastAsia="en-AU"/>
        </w:rPr>
        <w:t xml:space="preserve"> notifying the property host and applicant:</w:t>
      </w:r>
    </w:p>
    <w:p w14:paraId="641B78C7" w14:textId="77777777" w:rsidR="00501145" w:rsidRPr="00501145" w:rsidRDefault="00501145" w:rsidP="00153DE9">
      <w:pPr>
        <w:pStyle w:val="Bullet1"/>
        <w:rPr>
          <w:lang w:eastAsia="en-AU"/>
        </w:rPr>
      </w:pPr>
      <w:r w:rsidRPr="00501145">
        <w:rPr>
          <w:lang w:eastAsia="en-AU"/>
        </w:rPr>
        <w:t>that the breach was not remedied</w:t>
      </w:r>
    </w:p>
    <w:p w14:paraId="0CF56900" w14:textId="77777777" w:rsidR="00501145" w:rsidRPr="00501145" w:rsidRDefault="00501145" w:rsidP="00153DE9">
      <w:pPr>
        <w:pStyle w:val="Bullet1"/>
        <w:rPr>
          <w:lang w:eastAsia="en-AU"/>
        </w:rPr>
      </w:pPr>
      <w:r w:rsidRPr="00501145">
        <w:rPr>
          <w:lang w:eastAsia="en-AU"/>
        </w:rPr>
        <w:t>that the hiring agreement is to be terminated (include date of termination)</w:t>
      </w:r>
    </w:p>
    <w:p w14:paraId="3DC9DE65" w14:textId="77777777" w:rsidR="00501145" w:rsidRPr="00501145" w:rsidRDefault="00501145" w:rsidP="00153DE9">
      <w:pPr>
        <w:pStyle w:val="Bullet1"/>
        <w:rPr>
          <w:lang w:eastAsia="en-AU"/>
        </w:rPr>
      </w:pPr>
      <w:r w:rsidRPr="00501145">
        <w:rPr>
          <w:lang w:eastAsia="en-AU"/>
        </w:rPr>
        <w:t>that the applicant is to yield up possession of the movable unit, and</w:t>
      </w:r>
    </w:p>
    <w:p w14:paraId="0465A7C8" w14:textId="77777777" w:rsidR="00501145" w:rsidRPr="00501145" w:rsidRDefault="00501145" w:rsidP="00153DE9">
      <w:pPr>
        <w:pStyle w:val="Bullet1"/>
        <w:rPr>
          <w:lang w:eastAsia="en-AU"/>
        </w:rPr>
      </w:pPr>
      <w:r w:rsidRPr="00501145">
        <w:rPr>
          <w:lang w:eastAsia="en-AU"/>
        </w:rPr>
        <w:t>that if they do not yield up possession of the movable unit an application may be made to the Victorian Civil and Administrative Tribunal (VCAT) for an Order for possession and Warrant of possession.</w:t>
      </w:r>
    </w:p>
    <w:p w14:paraId="4AE24406" w14:textId="77777777" w:rsidR="00501145" w:rsidRPr="00501145" w:rsidRDefault="00501145" w:rsidP="00153DE9">
      <w:pPr>
        <w:pStyle w:val="Bodyafterbullets"/>
        <w:rPr>
          <w:lang w:eastAsia="en-AU"/>
        </w:rPr>
      </w:pPr>
      <w:r w:rsidRPr="00501145">
        <w:rPr>
          <w:lang w:eastAsia="en-AU"/>
        </w:rPr>
        <w:t xml:space="preserve">At the same time, staff will send a </w:t>
      </w:r>
      <w:r w:rsidRPr="00501145">
        <w:rPr>
          <w:i/>
          <w:lang w:eastAsia="en-AU"/>
        </w:rPr>
        <w:t xml:space="preserve">Notice to yield up possession of the movable unit </w:t>
      </w:r>
      <w:r w:rsidRPr="00501145">
        <w:rPr>
          <w:lang w:eastAsia="en-AU"/>
        </w:rPr>
        <w:t>indicating the applicant’s timelines for vacating the movable unit (not less than 60 days after the date on which notice to be given).</w:t>
      </w:r>
    </w:p>
    <w:p w14:paraId="65588600" w14:textId="77777777" w:rsidR="00501145" w:rsidRPr="00501145" w:rsidRDefault="00501145" w:rsidP="00153DE9">
      <w:pPr>
        <w:pStyle w:val="Body"/>
        <w:rPr>
          <w:lang w:eastAsia="en-AU"/>
        </w:rPr>
      </w:pPr>
      <w:bookmarkStart w:id="65" w:name="OLE_LINK3"/>
      <w:bookmarkStart w:id="66" w:name="OLE_LINK4"/>
      <w:r w:rsidRPr="00501145">
        <w:rPr>
          <w:lang w:eastAsia="en-AU"/>
        </w:rPr>
        <w:t xml:space="preserve">Staff will ensure authorisation of notices will be done in line with the department’s </w:t>
      </w:r>
      <w:r w:rsidRPr="00501145">
        <w:rPr>
          <w:i/>
          <w:lang w:eastAsia="en-AU"/>
        </w:rPr>
        <w:t>Instrument of Delegation</w:t>
      </w:r>
      <w:r w:rsidRPr="00501145">
        <w:rPr>
          <w:lang w:eastAsia="en-AU"/>
        </w:rPr>
        <w:t>.</w:t>
      </w:r>
    </w:p>
    <w:p w14:paraId="10199674" w14:textId="4BAF9520" w:rsidR="00501145" w:rsidRPr="00501145" w:rsidRDefault="00501145" w:rsidP="00153DE9">
      <w:pPr>
        <w:pStyle w:val="Body"/>
        <w:rPr>
          <w:lang w:eastAsia="en-AU"/>
        </w:rPr>
      </w:pPr>
      <w:r w:rsidRPr="00501145">
        <w:rPr>
          <w:i/>
          <w:lang w:eastAsia="en-AU"/>
        </w:rPr>
        <w:lastRenderedPageBreak/>
        <w:t>S. 18 (3): Provision of movable units of the Housing Act</w:t>
      </w:r>
      <w:r w:rsidRPr="00501145">
        <w:rPr>
          <w:lang w:eastAsia="en-AU"/>
        </w:rPr>
        <w:t xml:space="preserve">  states the Director  may give notice in writing to the applicant requiring them to yield possession of the movable unit.  This same sub section also states that </w:t>
      </w:r>
      <w:r w:rsidRPr="00501145">
        <w:rPr>
          <w:i/>
          <w:lang w:eastAsia="en-AU"/>
        </w:rPr>
        <w:t>Part 7 Regain Possession – Possession Orders and Warrants of the Residential Tenancies Act</w:t>
      </w:r>
      <w:r w:rsidRPr="00501145">
        <w:rPr>
          <w:lang w:eastAsia="en-AU"/>
        </w:rPr>
        <w:t xml:space="preserve"> will apply to any person served under s.18(3) of the Housing Act as if the notice were a Notice to vacate under </w:t>
      </w:r>
      <w:r w:rsidRPr="00501145">
        <w:rPr>
          <w:bCs/>
          <w:i/>
        </w:rPr>
        <w:t xml:space="preserve">s. </w:t>
      </w:r>
      <w:r w:rsidR="00153DE9">
        <w:rPr>
          <w:bCs/>
          <w:i/>
        </w:rPr>
        <w:t>91ZZC</w:t>
      </w:r>
      <w:r w:rsidRPr="00501145">
        <w:rPr>
          <w:bCs/>
          <w:i/>
        </w:rPr>
        <w:t>: Premises required for public purposes of the Residential Tenancies Act</w:t>
      </w:r>
      <w:r w:rsidRPr="00501145">
        <w:rPr>
          <w:b/>
          <w:lang w:eastAsia="en-AU"/>
        </w:rPr>
        <w:t>.</w:t>
      </w:r>
    </w:p>
    <w:p w14:paraId="40AD9B8F" w14:textId="77777777" w:rsidR="00501145" w:rsidRPr="00501145" w:rsidRDefault="00501145" w:rsidP="00153DE9">
      <w:pPr>
        <w:pStyle w:val="Body"/>
        <w:rPr>
          <w:lang w:eastAsia="en-AU"/>
        </w:rPr>
      </w:pPr>
      <w:r w:rsidRPr="00501145">
        <w:rPr>
          <w:lang w:eastAsia="en-AU"/>
        </w:rPr>
        <w:t xml:space="preserve">If the applicant does not yield possession of the movable unit in line with the requirements of the </w:t>
      </w:r>
      <w:r w:rsidRPr="00501145">
        <w:rPr>
          <w:i/>
          <w:lang w:eastAsia="en-AU"/>
        </w:rPr>
        <w:t>Notice to yield possession</w:t>
      </w:r>
      <w:r w:rsidRPr="00501145">
        <w:rPr>
          <w:lang w:eastAsia="en-AU"/>
        </w:rPr>
        <w:t>, staff will make an application to VCAT for an Order for possession.</w:t>
      </w:r>
    </w:p>
    <w:p w14:paraId="5F35985C" w14:textId="77777777" w:rsidR="00501145" w:rsidRPr="00501145" w:rsidRDefault="00501145" w:rsidP="00153DE9">
      <w:pPr>
        <w:pStyle w:val="Body"/>
        <w:rPr>
          <w:lang w:eastAsia="en-AU"/>
        </w:rPr>
      </w:pPr>
      <w:r w:rsidRPr="00501145">
        <w:rPr>
          <w:lang w:eastAsia="en-AU"/>
        </w:rPr>
        <w:t xml:space="preserve">Staff will initiate processes for obtaining an Order for possession and Warrant of possession in line with the </w:t>
      </w:r>
      <w:r w:rsidRPr="00501145">
        <w:rPr>
          <w:i/>
          <w:lang w:eastAsia="en-AU"/>
        </w:rPr>
        <w:t>tenancy breaches operational guidelines</w:t>
      </w:r>
      <w:r w:rsidRPr="00501145">
        <w:rPr>
          <w:lang w:eastAsia="en-AU"/>
        </w:rPr>
        <w:t xml:space="preserve">. </w:t>
      </w:r>
    </w:p>
    <w:bookmarkEnd w:id="65"/>
    <w:bookmarkEnd w:id="66"/>
    <w:p w14:paraId="2622F257" w14:textId="77777777" w:rsidR="00501145" w:rsidRPr="00501145" w:rsidRDefault="00501145" w:rsidP="00153DE9">
      <w:pPr>
        <w:pStyle w:val="Body"/>
        <w:rPr>
          <w:lang w:eastAsia="en-AU"/>
        </w:rPr>
      </w:pPr>
      <w:r w:rsidRPr="00501145">
        <w:rPr>
          <w:lang w:eastAsia="en-AU"/>
        </w:rPr>
        <w:t xml:space="preserve">Staff will manage breaches of the hiring agreement in line with </w:t>
      </w:r>
      <w:r w:rsidRPr="00501145">
        <w:rPr>
          <w:bCs/>
        </w:rPr>
        <w:t>tenancy breaches operational guidelines</w:t>
      </w:r>
      <w:r w:rsidRPr="00501145">
        <w:rPr>
          <w:lang w:eastAsia="en-AU"/>
        </w:rPr>
        <w:t xml:space="preserve"> in reference to:</w:t>
      </w:r>
    </w:p>
    <w:p w14:paraId="25B7C32E" w14:textId="77777777" w:rsidR="00501145" w:rsidRPr="00501145" w:rsidRDefault="00501145" w:rsidP="00153DE9">
      <w:pPr>
        <w:pStyle w:val="Bullet1"/>
        <w:rPr>
          <w:lang w:eastAsia="en-AU"/>
        </w:rPr>
      </w:pPr>
      <w:r w:rsidRPr="00501145">
        <w:rPr>
          <w:lang w:eastAsia="en-AU"/>
        </w:rPr>
        <w:t>the operating principles for managing breaches</w:t>
      </w:r>
    </w:p>
    <w:p w14:paraId="15C791CE" w14:textId="77777777" w:rsidR="00501145" w:rsidRPr="00501145" w:rsidRDefault="00501145" w:rsidP="00153DE9">
      <w:pPr>
        <w:pStyle w:val="Bullet1"/>
        <w:rPr>
          <w:lang w:eastAsia="en-AU"/>
        </w:rPr>
      </w:pPr>
      <w:r w:rsidRPr="00501145">
        <w:rPr>
          <w:lang w:eastAsia="en-AU"/>
        </w:rPr>
        <w:t xml:space="preserve">the VCAT evidence and documentation requirements </w:t>
      </w:r>
    </w:p>
    <w:p w14:paraId="24315A5D" w14:textId="77777777" w:rsidR="00501145" w:rsidRPr="00501145" w:rsidRDefault="00501145" w:rsidP="00153DE9">
      <w:pPr>
        <w:pStyle w:val="Bullet1"/>
        <w:rPr>
          <w:lang w:eastAsia="en-AU"/>
        </w:rPr>
      </w:pPr>
      <w:r w:rsidRPr="00501145">
        <w:rPr>
          <w:lang w:eastAsia="en-AU"/>
        </w:rPr>
        <w:t>managing disputes.</w:t>
      </w:r>
    </w:p>
    <w:p w14:paraId="1464630D" w14:textId="77777777" w:rsidR="00501145" w:rsidRPr="00501145" w:rsidRDefault="00501145" w:rsidP="00153DE9">
      <w:pPr>
        <w:pStyle w:val="Bodyafterbullets"/>
        <w:rPr>
          <w:lang w:eastAsia="en-AU"/>
        </w:rPr>
      </w:pPr>
      <w:r w:rsidRPr="00501145">
        <w:rPr>
          <w:lang w:eastAsia="en-AU"/>
        </w:rPr>
        <w:t>In the event the termination of the movable unit hiring agreement raises significant concerns for a child’s welfare, staff will raise the issue with their line manager.</w:t>
      </w:r>
    </w:p>
    <w:p w14:paraId="6A38A537" w14:textId="77777777" w:rsidR="00501145" w:rsidRPr="00501145" w:rsidRDefault="00501145" w:rsidP="00153DE9">
      <w:pPr>
        <w:pStyle w:val="Body"/>
      </w:pPr>
      <w:r w:rsidRPr="00501145">
        <w:rPr>
          <w:lang w:eastAsia="en-AU"/>
        </w:rPr>
        <w:t xml:space="preserve">The local area manager equivalent to Tenancy and Property management will report and discuss the issue with Child Protection. This will be considered in line with the </w:t>
      </w:r>
      <w:bookmarkStart w:id="67" w:name="_Toc387316866"/>
      <w:r w:rsidRPr="00501145">
        <w:rPr>
          <w:i/>
          <w:lang w:eastAsia="en-AU"/>
        </w:rPr>
        <w:t>E</w:t>
      </w:r>
      <w:r w:rsidRPr="00501145">
        <w:rPr>
          <w:i/>
        </w:rPr>
        <w:t>xchange of information between Child Protection and Public housing</w:t>
      </w:r>
      <w:bookmarkEnd w:id="67"/>
      <w:r w:rsidRPr="00501145">
        <w:rPr>
          <w:i/>
        </w:rPr>
        <w:t xml:space="preserve"> (February 2015)</w:t>
      </w:r>
      <w:r w:rsidRPr="00501145">
        <w:t>.</w:t>
      </w:r>
    </w:p>
    <w:p w14:paraId="1A27115D" w14:textId="77777777" w:rsidR="00501145" w:rsidRPr="00501145" w:rsidRDefault="00501145" w:rsidP="00501145">
      <w:pPr>
        <w:pStyle w:val="Heading2"/>
        <w:rPr>
          <w:lang w:eastAsia="en-AU"/>
        </w:rPr>
      </w:pPr>
      <w:bookmarkStart w:id="68" w:name="_Toc462059722"/>
      <w:bookmarkStart w:id="69" w:name="_Toc485812951"/>
      <w:bookmarkStart w:id="70" w:name="_Toc78287292"/>
      <w:r w:rsidRPr="00501145">
        <w:rPr>
          <w:lang w:eastAsia="en-AU"/>
        </w:rPr>
        <w:lastRenderedPageBreak/>
        <w:t>Breaches, termination of hiring agreement and requirement to yield possession process</w:t>
      </w:r>
      <w:bookmarkEnd w:id="68"/>
      <w:r w:rsidRPr="00501145">
        <w:rPr>
          <w:lang w:eastAsia="en-AU"/>
        </w:rPr>
        <w:t xml:space="preserve"> flowchart</w:t>
      </w:r>
      <w:bookmarkEnd w:id="69"/>
      <w:bookmarkEnd w:id="70"/>
    </w:p>
    <w:p w14:paraId="67D1E337" w14:textId="34816F39" w:rsidR="00501145" w:rsidRPr="00501145" w:rsidRDefault="00153DE9" w:rsidP="00501145">
      <w:pPr>
        <w:spacing w:line="270" w:lineRule="atLeast"/>
        <w:ind w:left="720" w:firstLine="720"/>
        <w:rPr>
          <w:rFonts w:eastAsia="Times"/>
          <w:sz w:val="20"/>
        </w:rPr>
      </w:pPr>
      <w:r w:rsidRPr="00501145">
        <w:rPr>
          <w:rFonts w:eastAsia="Times"/>
          <w:sz w:val="20"/>
        </w:rPr>
        <w:object w:dxaOrig="6301" w:dyaOrig="8445" w14:anchorId="735E80FD">
          <v:shape id="_x0000_i1027" type="#_x0000_t75" alt="Breaches, termination of hiring agreement and requirement to yield possession process flowchart. Breach occurs, breach notice for movable unit issued 14 day timeline to remedy. Breach remedied within timelines, no further action required. Breach not remedied within timelines, notice to termination of movable unit hiring agreement issued with copy of breach notice attached. Sent at the same time but separately, notice to yield up possession of movable unit issued, 60 day timeline to vacate. Tenant does not vacate within timelines, commence VCAT process for evicition. Flowchart end.  " style="width:252.25pt;height:343.4pt" o:ole="">
            <v:imagedata r:id="rId25" o:title=""/>
          </v:shape>
          <o:OLEObject Type="Embed" ProgID="Visio.Drawing.11" ShapeID="_x0000_i1027" DrawAspect="Content" ObjectID="_1688901186" r:id="rId26"/>
        </w:object>
      </w:r>
    </w:p>
    <w:p w14:paraId="7A06AB4A" w14:textId="77777777" w:rsidR="00501145" w:rsidRPr="00501145" w:rsidRDefault="00501145" w:rsidP="00501145">
      <w:pPr>
        <w:pStyle w:val="Heading2"/>
        <w:rPr>
          <w:lang w:eastAsia="en-AU"/>
        </w:rPr>
      </w:pPr>
      <w:bookmarkStart w:id="71" w:name="_Toc462059723"/>
      <w:bookmarkStart w:id="72" w:name="_Toc485812952"/>
      <w:bookmarkStart w:id="73" w:name="_Toc78287293"/>
      <w:r w:rsidRPr="00501145">
        <w:rPr>
          <w:lang w:eastAsia="en-AU"/>
        </w:rPr>
        <w:t>Non-payment of hiring fee</w:t>
      </w:r>
      <w:bookmarkEnd w:id="71"/>
      <w:bookmarkEnd w:id="72"/>
      <w:bookmarkEnd w:id="73"/>
    </w:p>
    <w:p w14:paraId="6CE62ED1" w14:textId="77777777" w:rsidR="00501145" w:rsidRPr="00501145" w:rsidRDefault="00501145" w:rsidP="00153DE9">
      <w:pPr>
        <w:pStyle w:val="Body"/>
        <w:rPr>
          <w:lang w:eastAsia="en-AU"/>
        </w:rPr>
      </w:pPr>
      <w:r w:rsidRPr="00501145">
        <w:rPr>
          <w:lang w:eastAsia="en-AU"/>
        </w:rPr>
        <w:t xml:space="preserve">When an occupant does not pay their hiring fee, staff will initiate processes outlined in the </w:t>
      </w:r>
      <w:r w:rsidRPr="00501145">
        <w:rPr>
          <w:b/>
          <w:bCs/>
        </w:rPr>
        <w:t>Breaches of the hiring agreement</w:t>
      </w:r>
      <w:r w:rsidRPr="00501145">
        <w:rPr>
          <w:i/>
          <w:lang w:eastAsia="en-AU"/>
        </w:rPr>
        <w:t xml:space="preserve"> </w:t>
      </w:r>
      <w:r w:rsidRPr="00501145">
        <w:rPr>
          <w:lang w:eastAsia="en-AU"/>
        </w:rPr>
        <w:t>section of these operational guidelines.</w:t>
      </w:r>
    </w:p>
    <w:p w14:paraId="559EE85C" w14:textId="77777777" w:rsidR="00501145" w:rsidRPr="00501145" w:rsidRDefault="00501145" w:rsidP="00153DE9">
      <w:pPr>
        <w:pStyle w:val="Body"/>
        <w:rPr>
          <w:lang w:eastAsia="en-AU"/>
        </w:rPr>
      </w:pPr>
      <w:r w:rsidRPr="00501145">
        <w:rPr>
          <w:lang w:eastAsia="en-AU"/>
        </w:rPr>
        <w:t>Negotiation of and adherence to a payment agreement is considered sufficient in remedying a breach of the hiring agreement.</w:t>
      </w:r>
    </w:p>
    <w:p w14:paraId="4C44E292" w14:textId="77777777" w:rsidR="00501145" w:rsidRPr="00501145" w:rsidRDefault="00501145" w:rsidP="00153DE9">
      <w:pPr>
        <w:pStyle w:val="Body"/>
        <w:rPr>
          <w:lang w:eastAsia="en-AU"/>
        </w:rPr>
      </w:pPr>
      <w:r w:rsidRPr="00501145">
        <w:rPr>
          <w:lang w:eastAsia="en-AU"/>
        </w:rPr>
        <w:t xml:space="preserve">Staff will develop a payment agreement in line with </w:t>
      </w:r>
      <w:r w:rsidRPr="00501145">
        <w:rPr>
          <w:i/>
          <w:lang w:eastAsia="en-AU"/>
        </w:rPr>
        <w:t>arrears policy</w:t>
      </w:r>
      <w:r w:rsidRPr="00501145">
        <w:rPr>
          <w:lang w:eastAsia="en-AU"/>
        </w:rPr>
        <w:t>.</w:t>
      </w:r>
    </w:p>
    <w:p w14:paraId="09B4CA04" w14:textId="77777777" w:rsidR="00501145" w:rsidRPr="00501145" w:rsidRDefault="00501145" w:rsidP="00501145">
      <w:pPr>
        <w:pStyle w:val="Heading2"/>
        <w:rPr>
          <w:lang w:eastAsia="en-AU"/>
        </w:rPr>
      </w:pPr>
      <w:bookmarkStart w:id="74" w:name="_Toc462059720"/>
      <w:bookmarkStart w:id="75" w:name="_Toc485812953"/>
      <w:bookmarkStart w:id="76" w:name="_Toc78287294"/>
      <w:bookmarkStart w:id="77" w:name="_Toc462059724"/>
      <w:r w:rsidRPr="00501145">
        <w:rPr>
          <w:lang w:eastAsia="en-AU"/>
        </w:rPr>
        <w:t>Undeclared occupants, residents or squatters</w:t>
      </w:r>
      <w:bookmarkEnd w:id="74"/>
      <w:bookmarkEnd w:id="75"/>
      <w:bookmarkEnd w:id="76"/>
    </w:p>
    <w:p w14:paraId="77B6C029" w14:textId="77777777" w:rsidR="00501145" w:rsidRPr="00501145" w:rsidRDefault="00501145" w:rsidP="00153DE9">
      <w:pPr>
        <w:pStyle w:val="Body"/>
        <w:rPr>
          <w:lang w:eastAsia="en-AU"/>
        </w:rPr>
      </w:pPr>
      <w:r w:rsidRPr="00501145">
        <w:rPr>
          <w:lang w:eastAsia="en-AU"/>
        </w:rPr>
        <w:t xml:space="preserve">In the event an undeclared occupant, resident or squatter is suspected in the movable unit, local staff will initiate processes in line with the </w:t>
      </w:r>
      <w:r w:rsidRPr="00501145">
        <w:t>undeclared occupants, sub-letting and squatters operational guidelines</w:t>
      </w:r>
      <w:r w:rsidRPr="00501145">
        <w:rPr>
          <w:lang w:eastAsia="en-AU"/>
        </w:rPr>
        <w:t>.</w:t>
      </w:r>
    </w:p>
    <w:p w14:paraId="38F6D463" w14:textId="77777777" w:rsidR="00501145" w:rsidRPr="00501145" w:rsidRDefault="00501145" w:rsidP="00501145">
      <w:pPr>
        <w:pStyle w:val="Heading1"/>
        <w:rPr>
          <w:lang w:eastAsia="en-AU"/>
        </w:rPr>
      </w:pPr>
      <w:bookmarkStart w:id="78" w:name="_Toc485812954"/>
      <w:bookmarkStart w:id="79" w:name="_Toc78287295"/>
      <w:r w:rsidRPr="00501145">
        <w:rPr>
          <w:lang w:eastAsia="en-AU"/>
        </w:rPr>
        <w:t>Transferring the movable unit</w:t>
      </w:r>
      <w:bookmarkEnd w:id="77"/>
      <w:bookmarkEnd w:id="78"/>
      <w:bookmarkEnd w:id="79"/>
    </w:p>
    <w:p w14:paraId="703EBE97" w14:textId="77777777" w:rsidR="00501145" w:rsidRPr="00501145" w:rsidRDefault="00501145" w:rsidP="006D6083">
      <w:pPr>
        <w:pStyle w:val="Body"/>
        <w:rPr>
          <w:lang w:eastAsia="en-AU"/>
        </w:rPr>
      </w:pPr>
      <w:r w:rsidRPr="00501145">
        <w:rPr>
          <w:lang w:eastAsia="en-AU"/>
        </w:rPr>
        <w:t>Staff will refer any requests for transferring a movable unit to the Tier one assessment process.</w:t>
      </w:r>
    </w:p>
    <w:p w14:paraId="3222A4E3" w14:textId="77777777" w:rsidR="00501145" w:rsidRPr="00501145" w:rsidRDefault="00501145" w:rsidP="006D6083">
      <w:pPr>
        <w:pStyle w:val="Body"/>
        <w:rPr>
          <w:lang w:eastAsia="en-AU"/>
        </w:rPr>
      </w:pPr>
      <w:r w:rsidRPr="00501145">
        <w:rPr>
          <w:lang w:eastAsia="en-AU"/>
        </w:rPr>
        <w:lastRenderedPageBreak/>
        <w:t>Requests to transfer a movable unit to an alternative site will also undergo a Tier two assessment to ensure suitability of the proposed site.</w:t>
      </w:r>
    </w:p>
    <w:p w14:paraId="761C6005" w14:textId="77777777" w:rsidR="00501145" w:rsidRPr="00501145" w:rsidRDefault="00501145" w:rsidP="006D6083">
      <w:pPr>
        <w:pStyle w:val="Body"/>
        <w:rPr>
          <w:lang w:eastAsia="en-AU"/>
        </w:rPr>
      </w:pPr>
      <w:r w:rsidRPr="00501145">
        <w:rPr>
          <w:lang w:eastAsia="en-AU"/>
        </w:rPr>
        <w:t>In the event the proposed transfer is approved, the costs will be paid:</w:t>
      </w:r>
    </w:p>
    <w:p w14:paraId="399C8B90" w14:textId="77777777" w:rsidR="00501145" w:rsidRPr="00501145" w:rsidRDefault="00501145" w:rsidP="006D6083">
      <w:pPr>
        <w:pStyle w:val="Bullet1"/>
        <w:rPr>
          <w:lang w:eastAsia="en-AU"/>
        </w:rPr>
      </w:pPr>
      <w:r w:rsidRPr="00501145">
        <w:rPr>
          <w:lang w:eastAsia="en-AU"/>
        </w:rPr>
        <w:t>by the property host or applicant (if the request to transfer is in the first 12 months of occupancy), or</w:t>
      </w:r>
    </w:p>
    <w:p w14:paraId="45A2F4F2" w14:textId="77777777" w:rsidR="00501145" w:rsidRPr="00501145" w:rsidRDefault="00501145" w:rsidP="006D6083">
      <w:pPr>
        <w:pStyle w:val="Bullet1"/>
        <w:rPr>
          <w:lang w:eastAsia="en-AU"/>
        </w:rPr>
      </w:pPr>
      <w:r w:rsidRPr="00501145">
        <w:rPr>
          <w:lang w:eastAsia="en-AU"/>
        </w:rPr>
        <w:t>through a negotiated agreement between the department and the property host or applicant.</w:t>
      </w:r>
    </w:p>
    <w:p w14:paraId="179BB565" w14:textId="77777777" w:rsidR="00501145" w:rsidRPr="00501145" w:rsidRDefault="00501145" w:rsidP="006D6083">
      <w:pPr>
        <w:pStyle w:val="Bodyafterbullets"/>
        <w:rPr>
          <w:lang w:eastAsia="en-AU"/>
        </w:rPr>
      </w:pPr>
      <w:r w:rsidRPr="00501145">
        <w:rPr>
          <w:lang w:eastAsia="en-AU"/>
        </w:rPr>
        <w:t>Under certain circumstances, such as when multiple requests to transfer a movable unit have been made over a period of time, local management may take this into consideration when determining approval of the transfer request.</w:t>
      </w:r>
    </w:p>
    <w:p w14:paraId="4B8A9020" w14:textId="77777777" w:rsidR="00501145" w:rsidRPr="00501145" w:rsidRDefault="00501145" w:rsidP="00501145">
      <w:pPr>
        <w:pStyle w:val="Heading1"/>
        <w:rPr>
          <w:lang w:eastAsia="en-AU"/>
        </w:rPr>
      </w:pPr>
      <w:bookmarkStart w:id="80" w:name="_Toc462059725"/>
      <w:bookmarkStart w:id="81" w:name="_Toc485812955"/>
      <w:bookmarkStart w:id="82" w:name="_Toc78287296"/>
      <w:r w:rsidRPr="00501145">
        <w:rPr>
          <w:lang w:eastAsia="en-AU"/>
        </w:rPr>
        <w:t>Ending the movable unit hiring agreement</w:t>
      </w:r>
      <w:bookmarkEnd w:id="80"/>
      <w:bookmarkEnd w:id="81"/>
      <w:bookmarkEnd w:id="82"/>
    </w:p>
    <w:p w14:paraId="1DC7EA74" w14:textId="77777777" w:rsidR="00501145" w:rsidRPr="00501145" w:rsidRDefault="00501145" w:rsidP="00501145">
      <w:pPr>
        <w:pStyle w:val="Heading2"/>
        <w:rPr>
          <w:lang w:eastAsia="en-AU"/>
        </w:rPr>
      </w:pPr>
      <w:bookmarkStart w:id="83" w:name="_Toc462059726"/>
      <w:bookmarkStart w:id="84" w:name="_Toc485812956"/>
      <w:bookmarkStart w:id="85" w:name="_Toc78287297"/>
      <w:r w:rsidRPr="00501145">
        <w:rPr>
          <w:lang w:eastAsia="en-AU"/>
        </w:rPr>
        <w:t>Initiated by the applicant</w:t>
      </w:r>
      <w:bookmarkEnd w:id="83"/>
      <w:bookmarkEnd w:id="84"/>
      <w:bookmarkEnd w:id="85"/>
    </w:p>
    <w:p w14:paraId="197A1AEA" w14:textId="77777777" w:rsidR="00501145" w:rsidRPr="00501145" w:rsidRDefault="00501145" w:rsidP="006D6083">
      <w:pPr>
        <w:pStyle w:val="Body"/>
        <w:rPr>
          <w:lang w:eastAsia="en-AU"/>
        </w:rPr>
      </w:pPr>
      <w:r w:rsidRPr="00501145">
        <w:rPr>
          <w:lang w:eastAsia="en-AU"/>
        </w:rPr>
        <w:t>The applicant will complete a Notice of intention to vacate form.</w:t>
      </w:r>
    </w:p>
    <w:p w14:paraId="7C675460" w14:textId="77777777" w:rsidR="00501145" w:rsidRPr="00501145" w:rsidRDefault="00501145" w:rsidP="006D6083">
      <w:pPr>
        <w:pStyle w:val="Body"/>
        <w:rPr>
          <w:lang w:eastAsia="en-AU"/>
        </w:rPr>
      </w:pPr>
      <w:r w:rsidRPr="00501145">
        <w:rPr>
          <w:lang w:eastAsia="en-AU"/>
        </w:rPr>
        <w:t xml:space="preserve">If the applicant chooses to terminate the hiring agreement in the first 12 months, they are liable for the remaining hiring fees under the hiring agreement.  </w:t>
      </w:r>
    </w:p>
    <w:p w14:paraId="231CF11F" w14:textId="77777777" w:rsidR="00501145" w:rsidRPr="00501145" w:rsidRDefault="00501145" w:rsidP="006D6083">
      <w:pPr>
        <w:pStyle w:val="Body"/>
        <w:rPr>
          <w:lang w:eastAsia="en-AU"/>
        </w:rPr>
      </w:pPr>
      <w:r w:rsidRPr="00501145">
        <w:rPr>
          <w:lang w:eastAsia="en-AU"/>
        </w:rPr>
        <w:t>Local staff will undertake recovery of outstanding fees.</w:t>
      </w:r>
    </w:p>
    <w:p w14:paraId="285AEAAF" w14:textId="77777777" w:rsidR="00501145" w:rsidRPr="00501145" w:rsidRDefault="00501145" w:rsidP="00501145">
      <w:pPr>
        <w:pStyle w:val="Heading2"/>
        <w:rPr>
          <w:lang w:eastAsia="en-AU"/>
        </w:rPr>
      </w:pPr>
      <w:bookmarkStart w:id="86" w:name="_Toc462059727"/>
      <w:bookmarkStart w:id="87" w:name="_Toc485812957"/>
      <w:bookmarkStart w:id="88" w:name="_Toc78287298"/>
      <w:r w:rsidRPr="00501145">
        <w:rPr>
          <w:lang w:eastAsia="en-AU"/>
        </w:rPr>
        <w:t>Initiated by the property host</w:t>
      </w:r>
      <w:bookmarkEnd w:id="86"/>
      <w:bookmarkEnd w:id="87"/>
      <w:bookmarkEnd w:id="88"/>
    </w:p>
    <w:p w14:paraId="42EA0CCC" w14:textId="77777777" w:rsidR="00501145" w:rsidRPr="00501145" w:rsidRDefault="00501145" w:rsidP="006D6083">
      <w:pPr>
        <w:pStyle w:val="Body"/>
        <w:rPr>
          <w:lang w:eastAsia="en-AU"/>
        </w:rPr>
      </w:pPr>
      <w:r w:rsidRPr="00501145">
        <w:rPr>
          <w:lang w:eastAsia="en-AU"/>
        </w:rPr>
        <w:t>The property host must notify the local office they no longer consent to have the movable unit on their property.</w:t>
      </w:r>
    </w:p>
    <w:p w14:paraId="27F9C40E" w14:textId="77777777" w:rsidR="00501145" w:rsidRPr="00501145" w:rsidRDefault="00501145" w:rsidP="006D6083">
      <w:pPr>
        <w:pStyle w:val="Body"/>
        <w:rPr>
          <w:lang w:eastAsia="en-AU"/>
        </w:rPr>
      </w:pPr>
      <w:r w:rsidRPr="00501145">
        <w:rPr>
          <w:lang w:eastAsia="en-AU"/>
        </w:rPr>
        <w:t>Local staff will support the occupant to explore alternative housing options, including their eligibility to enter public housing.</w:t>
      </w:r>
    </w:p>
    <w:p w14:paraId="33E30DAD" w14:textId="77777777" w:rsidR="00501145" w:rsidRPr="00501145" w:rsidRDefault="00501145" w:rsidP="006D6083">
      <w:pPr>
        <w:pStyle w:val="Body"/>
        <w:rPr>
          <w:lang w:eastAsia="en-AU"/>
        </w:rPr>
      </w:pPr>
      <w:r w:rsidRPr="00501145">
        <w:rPr>
          <w:lang w:eastAsia="en-AU"/>
        </w:rPr>
        <w:t>In the event the property host chooses to withhold consent in the first 12 months, the remaining hiring fees for the balance for the first 12 months are still due and payable.</w:t>
      </w:r>
    </w:p>
    <w:p w14:paraId="28906F5B" w14:textId="77777777" w:rsidR="00501145" w:rsidRPr="00501145" w:rsidRDefault="00501145" w:rsidP="00501145">
      <w:pPr>
        <w:pStyle w:val="Heading2"/>
        <w:rPr>
          <w:lang w:eastAsia="en-AU"/>
        </w:rPr>
      </w:pPr>
      <w:bookmarkStart w:id="89" w:name="_Toc462059728"/>
      <w:bookmarkStart w:id="90" w:name="_Toc485812958"/>
      <w:bookmarkStart w:id="91" w:name="_Toc78287299"/>
      <w:r w:rsidRPr="00501145">
        <w:rPr>
          <w:lang w:eastAsia="en-AU"/>
        </w:rPr>
        <w:t>Initiated by the department</w:t>
      </w:r>
      <w:bookmarkEnd w:id="89"/>
      <w:bookmarkEnd w:id="90"/>
      <w:bookmarkEnd w:id="91"/>
    </w:p>
    <w:p w14:paraId="480CB0CD" w14:textId="4A46D95B" w:rsidR="00501145" w:rsidRPr="00501145" w:rsidRDefault="00501145" w:rsidP="006D6083">
      <w:pPr>
        <w:pStyle w:val="Body"/>
        <w:rPr>
          <w:lang w:eastAsia="en-AU"/>
        </w:rPr>
      </w:pPr>
      <w:r w:rsidRPr="00501145">
        <w:rPr>
          <w:lang w:eastAsia="en-AU"/>
        </w:rPr>
        <w:t>This scenario applies to movable units on public housing property that is listed for upgrade or demolition.</w:t>
      </w:r>
    </w:p>
    <w:p w14:paraId="29E791E6" w14:textId="77777777" w:rsidR="00501145" w:rsidRPr="00501145" w:rsidRDefault="00501145" w:rsidP="006D6083">
      <w:pPr>
        <w:pStyle w:val="Body"/>
        <w:rPr>
          <w:lang w:eastAsia="en-AU"/>
        </w:rPr>
      </w:pPr>
      <w:r w:rsidRPr="00501145">
        <w:rPr>
          <w:lang w:eastAsia="en-AU"/>
        </w:rPr>
        <w:t xml:space="preserve">Local staff will initiate processes in line with </w:t>
      </w:r>
      <w:r w:rsidRPr="00501145">
        <w:rPr>
          <w:i/>
          <w:lang w:eastAsia="en-AU"/>
        </w:rPr>
        <w:t>relocation policy</w:t>
      </w:r>
      <w:r w:rsidRPr="00501145">
        <w:rPr>
          <w:lang w:eastAsia="en-AU"/>
        </w:rPr>
        <w:t>.</w:t>
      </w:r>
    </w:p>
    <w:p w14:paraId="33D4EDD6" w14:textId="77777777" w:rsidR="00501145" w:rsidRPr="00501145" w:rsidRDefault="00501145" w:rsidP="006D6083">
      <w:pPr>
        <w:pStyle w:val="Body"/>
        <w:rPr>
          <w:lang w:eastAsia="en-AU"/>
        </w:rPr>
      </w:pPr>
      <w:r w:rsidRPr="00501145">
        <w:rPr>
          <w:lang w:eastAsia="en-AU"/>
        </w:rPr>
        <w:t>In all instances, local staff will notify Property and Asset Services of the decision to end the hiring agreement, so removal of the movable unit can commence.</w:t>
      </w:r>
    </w:p>
    <w:p w14:paraId="0AB4F6F3" w14:textId="77777777" w:rsidR="00501145" w:rsidRPr="00501145" w:rsidRDefault="00501145" w:rsidP="00501145">
      <w:pPr>
        <w:pStyle w:val="Heading1"/>
        <w:rPr>
          <w:lang w:eastAsia="en-AU"/>
        </w:rPr>
      </w:pPr>
      <w:bookmarkStart w:id="92" w:name="_Toc462059729"/>
      <w:bookmarkStart w:id="93" w:name="_Toc485812959"/>
      <w:bookmarkStart w:id="94" w:name="_Toc78287300"/>
      <w:r w:rsidRPr="00501145">
        <w:rPr>
          <w:lang w:eastAsia="en-AU"/>
        </w:rPr>
        <w:t>Removal of the movable unit</w:t>
      </w:r>
      <w:bookmarkEnd w:id="92"/>
      <w:bookmarkEnd w:id="93"/>
      <w:bookmarkEnd w:id="94"/>
    </w:p>
    <w:p w14:paraId="5B727156" w14:textId="77777777" w:rsidR="00501145" w:rsidRPr="00501145" w:rsidRDefault="00501145" w:rsidP="006D6083">
      <w:pPr>
        <w:pStyle w:val="Body"/>
        <w:rPr>
          <w:lang w:eastAsia="en-AU"/>
        </w:rPr>
      </w:pPr>
      <w:r w:rsidRPr="00501145">
        <w:rPr>
          <w:lang w:eastAsia="en-AU"/>
        </w:rPr>
        <w:t>Property and Asset Services will engage an approved contractor to undertake the removal of the movable unit.</w:t>
      </w:r>
    </w:p>
    <w:p w14:paraId="5072DEC3" w14:textId="77777777" w:rsidR="00501145" w:rsidRPr="00501145" w:rsidRDefault="00501145" w:rsidP="00501145">
      <w:pPr>
        <w:pStyle w:val="Heading1"/>
        <w:rPr>
          <w:lang w:eastAsia="en-AU"/>
        </w:rPr>
      </w:pPr>
      <w:bookmarkStart w:id="95" w:name="_Toc462059730"/>
      <w:bookmarkStart w:id="96" w:name="_Toc485812960"/>
      <w:bookmarkStart w:id="97" w:name="_Toc78287301"/>
      <w:r w:rsidRPr="00501145">
        <w:rPr>
          <w:lang w:eastAsia="en-AU"/>
        </w:rPr>
        <w:lastRenderedPageBreak/>
        <w:t>Movable units and emergency management</w:t>
      </w:r>
      <w:bookmarkEnd w:id="95"/>
      <w:bookmarkEnd w:id="96"/>
      <w:bookmarkEnd w:id="97"/>
    </w:p>
    <w:p w14:paraId="61D8B59B" w14:textId="77777777" w:rsidR="00501145" w:rsidRPr="00501145" w:rsidRDefault="00501145" w:rsidP="006D6083">
      <w:pPr>
        <w:pStyle w:val="Body"/>
        <w:rPr>
          <w:lang w:eastAsia="en-AU"/>
        </w:rPr>
      </w:pPr>
      <w:r w:rsidRPr="00501145">
        <w:rPr>
          <w:lang w:eastAsia="en-AU"/>
        </w:rPr>
        <w:t xml:space="preserve">Movable units can be utilised in the event a response is required under the </w:t>
      </w:r>
      <w:r w:rsidRPr="00501145">
        <w:rPr>
          <w:bCs/>
        </w:rPr>
        <w:t>Emergency management housing policy and guidelines</w:t>
      </w:r>
      <w:r w:rsidRPr="00501145">
        <w:rPr>
          <w:b/>
          <w:i/>
          <w:lang w:eastAsia="en-AU"/>
        </w:rPr>
        <w:t xml:space="preserve"> </w:t>
      </w:r>
      <w:r w:rsidRPr="00501145">
        <w:rPr>
          <w:i/>
          <w:lang w:eastAsia="en-AU"/>
        </w:rPr>
        <w:t>(January 2014)</w:t>
      </w:r>
      <w:r w:rsidRPr="00501145">
        <w:rPr>
          <w:lang w:eastAsia="en-AU"/>
        </w:rPr>
        <w:t xml:space="preserve"> to house those made homeless by a natural disaster.</w:t>
      </w:r>
    </w:p>
    <w:p w14:paraId="288F8982" w14:textId="7BBDAE6A" w:rsidR="00EB4BC7" w:rsidRDefault="00EB4BC7" w:rsidP="00501145">
      <w:pPr>
        <w:pStyle w:val="Heading1"/>
        <w:spacing w:before="0"/>
      </w:pPr>
    </w:p>
    <w:sectPr w:rsidR="00EB4BC7" w:rsidSect="002C5B7C">
      <w:headerReference w:type="even" r:id="rId27"/>
      <w:headerReference w:type="default" r:id="rId28"/>
      <w:footerReference w:type="even" r:id="rId29"/>
      <w:footerReference w:type="default" r:id="rId30"/>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5BAB3C" w14:textId="77777777" w:rsidR="00501145" w:rsidRDefault="00501145">
      <w:r>
        <w:separator/>
      </w:r>
    </w:p>
    <w:p w14:paraId="6FC50C4A" w14:textId="77777777" w:rsidR="00501145" w:rsidRDefault="00501145"/>
  </w:endnote>
  <w:endnote w:type="continuationSeparator" w:id="0">
    <w:p w14:paraId="31AB1455" w14:textId="77777777" w:rsidR="00501145" w:rsidRDefault="00501145">
      <w:r>
        <w:continuationSeparator/>
      </w:r>
    </w:p>
    <w:p w14:paraId="0B37CF55" w14:textId="77777777" w:rsidR="00501145" w:rsidRDefault="005011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F1CF0" w14:textId="02A2957A" w:rsidR="00501145" w:rsidRDefault="00501145">
    <w:pPr>
      <w:pStyle w:val="Footer"/>
    </w:pPr>
    <w:r>
      <w:rPr>
        <w:noProof/>
      </w:rPr>
      <mc:AlternateContent>
        <mc:Choice Requires="wps">
          <w:drawing>
            <wp:anchor distT="0" distB="0" distL="114300" distR="114300" simplePos="0" relativeHeight="251697664" behindDoc="0" locked="0" layoutInCell="0" allowOverlap="1" wp14:anchorId="324D1F45" wp14:editId="6A7E8264">
              <wp:simplePos x="0" y="0"/>
              <wp:positionH relativeFrom="page">
                <wp:posOffset>0</wp:posOffset>
              </wp:positionH>
              <wp:positionV relativeFrom="page">
                <wp:posOffset>10234930</wp:posOffset>
              </wp:positionV>
              <wp:extent cx="7560310" cy="266700"/>
              <wp:effectExtent l="0" t="0" r="0" b="0"/>
              <wp:wrapNone/>
              <wp:docPr id="9" name="MSIPCM9af44d23a56e5c00bdae50bf"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EA8270" w14:textId="1830D57E" w:rsidR="00501145" w:rsidRPr="00C85031" w:rsidRDefault="00501145" w:rsidP="00C85031">
                          <w:pPr>
                            <w:spacing w:after="0"/>
                            <w:jc w:val="center"/>
                            <w:rPr>
                              <w:rFonts w:ascii="Arial Black" w:hAnsi="Arial Black"/>
                              <w:color w:val="000000"/>
                              <w:sz w:val="20"/>
                            </w:rPr>
                          </w:pPr>
                          <w:r w:rsidRPr="00C8503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24D1F45" id="_x0000_t202" coordsize="21600,21600" o:spt="202" path="m,l,21600r21600,l21600,xe">
              <v:stroke joinstyle="miter"/>
              <v:path gradientshapeok="t" o:connecttype="rect"/>
            </v:shapetype>
            <v:shape id="MSIPCM9af44d23a56e5c00bdae50bf" o:spid="_x0000_s1026" type="#_x0000_t202" alt="{&quot;HashCode&quot;:904758361,&quot;Height&quot;:841.0,&quot;Width&quot;:595.0,&quot;Placement&quot;:&quot;Footer&quot;,&quot;Index&quot;:&quot;OddAndEven&quot;,&quot;Section&quot;:1,&quot;Top&quot;:0.0,&quot;Left&quot;:0.0}" style="position:absolute;margin-left:0;margin-top:805.9pt;width:595.3pt;height:21pt;z-index:2516976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" o:allowincell="f" filled="f" stroked="f" strokeweight=".5pt">
              <v:textbox inset=",0,,0">
                <w:txbxContent>
                  <w:p w14:paraId="71EA8270" w14:textId="1830D57E" w:rsidR="00501145" w:rsidRPr="00C85031" w:rsidRDefault="00501145" w:rsidP="00C85031">
                    <w:pPr>
                      <w:spacing w:after="0"/>
                      <w:jc w:val="center"/>
                      <w:rPr>
                        <w:rFonts w:ascii="Arial Black" w:hAnsi="Arial Black"/>
                        <w:color w:val="000000"/>
                        <w:sz w:val="20"/>
                      </w:rPr>
                    </w:pPr>
                    <w:r w:rsidRPr="00C85031">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C63C8" w14:textId="04B75F63" w:rsidR="00501145" w:rsidRDefault="00501145">
    <w:pPr>
      <w:pStyle w:val="Footer"/>
    </w:pPr>
    <w:r>
      <w:rPr>
        <w:noProof/>
      </w:rPr>
      <mc:AlternateContent>
        <mc:Choice Requires="wps">
          <w:drawing>
            <wp:anchor distT="0" distB="0" distL="114300" distR="114300" simplePos="0" relativeHeight="251696640" behindDoc="0" locked="0" layoutInCell="0" allowOverlap="1" wp14:anchorId="09D3046D" wp14:editId="1EF91706">
              <wp:simplePos x="0" y="0"/>
              <wp:positionH relativeFrom="page">
                <wp:posOffset>0</wp:posOffset>
              </wp:positionH>
              <wp:positionV relativeFrom="page">
                <wp:posOffset>10234930</wp:posOffset>
              </wp:positionV>
              <wp:extent cx="7560310" cy="266700"/>
              <wp:effectExtent l="0" t="0" r="0" b="0"/>
              <wp:wrapNone/>
              <wp:docPr id="3" name="MSIPCM04d04ec7bbbd796be85b24f8"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997C4C" w14:textId="1D2CE629" w:rsidR="00501145" w:rsidRPr="00C85031" w:rsidRDefault="00501145" w:rsidP="00C85031">
                          <w:pPr>
                            <w:spacing w:after="0"/>
                            <w:jc w:val="center"/>
                            <w:rPr>
                              <w:rFonts w:ascii="Arial Black" w:hAnsi="Arial Black"/>
                              <w:color w:val="000000"/>
                              <w:sz w:val="20"/>
                            </w:rPr>
                          </w:pPr>
                          <w:r w:rsidRPr="00C8503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D3046D" id="_x0000_t202" coordsize="21600,21600" o:spt="202" path="m,l,21600r21600,l21600,xe">
              <v:stroke joinstyle="miter"/>
              <v:path gradientshapeok="t" o:connecttype="rect"/>
            </v:shapetype>
            <v:shape id="MSIPCM04d04ec7bbbd796be85b24f8" o:spid="_x0000_s1027" type="#_x0000_t202" alt="{&quot;HashCode&quot;:904758361,&quot;Height&quot;:841.0,&quot;Width&quot;:595.0,&quot;Placement&quot;:&quot;Footer&quot;,&quot;Index&quot;:&quot;Primary&quot;,&quot;Section&quot;:1,&quot;Top&quot;:0.0,&quot;Left&quot;:0.0}" style="position:absolute;margin-left:0;margin-top:805.9pt;width:595.3pt;height:21pt;z-index:2516966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" o:allowincell="f" filled="f" stroked="f" strokeweight=".5pt">
              <v:textbox inset=",0,,0">
                <w:txbxContent>
                  <w:p w14:paraId="42997C4C" w14:textId="1D2CE629" w:rsidR="00501145" w:rsidRPr="00C85031" w:rsidRDefault="00501145" w:rsidP="00C85031">
                    <w:pPr>
                      <w:spacing w:after="0"/>
                      <w:jc w:val="center"/>
                      <w:rPr>
                        <w:rFonts w:ascii="Arial Black" w:hAnsi="Arial Black"/>
                        <w:color w:val="000000"/>
                        <w:sz w:val="20"/>
                      </w:rPr>
                    </w:pPr>
                    <w:r w:rsidRPr="00C85031">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DF4DB" w14:textId="77777777" w:rsidR="00501145" w:rsidRDefault="00501145">
    <w:pPr>
      <w:pStyle w:val="Footer"/>
    </w:pPr>
    <w:r>
      <w:rPr>
        <w:noProof/>
      </w:rPr>
      <mc:AlternateContent>
        <mc:Choice Requires="wps">
          <w:drawing>
            <wp:anchor distT="0" distB="0" distL="114300" distR="114300" simplePos="0" relativeHeight="251686143" behindDoc="0" locked="0" layoutInCell="0" allowOverlap="1" wp14:anchorId="1B2A71EC" wp14:editId="46612B9F">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B77ACF" w14:textId="77777777" w:rsidR="00501145" w:rsidRPr="00EB4BC7" w:rsidRDefault="00501145"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B2A71EC"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margin-left:0;margin-top:802.35pt;width:595.3pt;height:24.55pt;z-index:2516861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CwtsttsAIAAE4FAAAO&#10;AAAAAAAAAAAAAAAAAC4CAABkcnMvZTJvRG9jLnhtbFBLAQItABQABgAIAAAAIQAvkEiX4AAAAAsB&#10;AAAPAAAAAAAAAAAAAAAAAAoFAABkcnMvZG93bnJldi54bWxQSwUGAAAAAAQABADzAAAAFwYAAAAA&#10;" o:allowincell="f" filled="f" stroked="f" strokeweight=".5pt">
              <v:textbox inset=",0,,0">
                <w:txbxContent>
                  <w:p w14:paraId="45B77ACF" w14:textId="77777777" w:rsidR="00501145" w:rsidRPr="00EB4BC7" w:rsidRDefault="00501145"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3F968" w14:textId="637BE5F1" w:rsidR="00501145" w:rsidRDefault="00875D99">
    <w:pPr>
      <w:pStyle w:val="Footer"/>
    </w:pPr>
    <w:r>
      <w:rPr>
        <w:noProof/>
        <w:lang w:eastAsia="en-AU"/>
      </w:rPr>
      <mc:AlternateContent>
        <mc:Choice Requires="wps">
          <w:drawing>
            <wp:anchor distT="0" distB="0" distL="114300" distR="114300" simplePos="0" relativeHeight="251702784" behindDoc="0" locked="0" layoutInCell="0" allowOverlap="1" wp14:anchorId="2331440A" wp14:editId="131E2CE7">
              <wp:simplePos x="0" y="0"/>
              <wp:positionH relativeFrom="page">
                <wp:posOffset>0</wp:posOffset>
              </wp:positionH>
              <wp:positionV relativeFrom="page">
                <wp:posOffset>10234930</wp:posOffset>
              </wp:positionV>
              <wp:extent cx="7560310" cy="266700"/>
              <wp:effectExtent l="0" t="0" r="0" b="0"/>
              <wp:wrapNone/>
              <wp:docPr id="4" name="MSIPCM9c134044a5bd1211a9fd7d83" descr="{&quot;HashCode&quot;:904758361,&quot;Height&quot;:841.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1CC060" w14:textId="083828EF" w:rsidR="00875D99" w:rsidRPr="00875D99" w:rsidRDefault="00875D99" w:rsidP="00875D99">
                          <w:pPr>
                            <w:spacing w:after="0"/>
                            <w:jc w:val="center"/>
                            <w:rPr>
                              <w:rFonts w:ascii="Arial Black" w:hAnsi="Arial Black"/>
                              <w:color w:val="000000"/>
                              <w:sz w:val="20"/>
                            </w:rPr>
                          </w:pPr>
                          <w:r w:rsidRPr="00875D9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331440A" id="_x0000_t202" coordsize="21600,21600" o:spt="202" path="m,l,21600r21600,l21600,xe">
              <v:stroke joinstyle="miter"/>
              <v:path gradientshapeok="t" o:connecttype="rect"/>
            </v:shapetype>
            <v:shape id="MSIPCM9c134044a5bd1211a9fd7d83" o:spid="_x0000_s1029" type="#_x0000_t202" alt="{&quot;HashCode&quot;:904758361,&quot;Height&quot;:841.0,&quot;Width&quot;:595.0,&quot;Placement&quot;:&quot;Footer&quot;,&quot;Index&quot;:&quot;OddAndEven&quot;,&quot;Section&quot;:2,&quot;Top&quot;:0.0,&quot;Left&quot;:0.0}" style="position:absolute;margin-left:0;margin-top:805.9pt;width:595.3pt;height:21pt;z-index:2517027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" o:allowincell="f" filled="f" stroked="f" strokeweight=".5pt">
              <v:fill o:detectmouseclick="t"/>
              <v:textbox inset=",0,,0">
                <w:txbxContent>
                  <w:p w14:paraId="291CC060" w14:textId="083828EF" w:rsidR="00875D99" w:rsidRPr="00875D99" w:rsidRDefault="00875D99" w:rsidP="00875D99">
                    <w:pPr>
                      <w:spacing w:after="0"/>
                      <w:jc w:val="center"/>
                      <w:rPr>
                        <w:rFonts w:ascii="Arial Black" w:hAnsi="Arial Black"/>
                        <w:color w:val="000000"/>
                        <w:sz w:val="20"/>
                      </w:rPr>
                    </w:pPr>
                    <w:r w:rsidRPr="00875D99">
                      <w:rPr>
                        <w:rFonts w:ascii="Arial Black" w:hAnsi="Arial Black"/>
                        <w:color w:val="000000"/>
                        <w:sz w:val="20"/>
                      </w:rPr>
                      <w:t>OFFICIAL</w:t>
                    </w:r>
                  </w:p>
                </w:txbxContent>
              </v:textbox>
              <w10:wrap anchorx="page" anchory="page"/>
            </v:shape>
          </w:pict>
        </mc:Fallback>
      </mc:AlternateContent>
    </w:r>
    <w:r w:rsidR="00501145">
      <w:rPr>
        <w:noProof/>
        <w:lang w:eastAsia="en-AU"/>
      </w:rPr>
      <mc:AlternateContent>
        <mc:Choice Requires="wps">
          <w:drawing>
            <wp:anchor distT="0" distB="0" distL="114300" distR="114300" simplePos="0" relativeHeight="251700736" behindDoc="0" locked="0" layoutInCell="0" allowOverlap="1" wp14:anchorId="342DD152" wp14:editId="6E1977B7">
              <wp:simplePos x="0" y="0"/>
              <wp:positionH relativeFrom="page">
                <wp:posOffset>0</wp:posOffset>
              </wp:positionH>
              <wp:positionV relativeFrom="page">
                <wp:posOffset>10234930</wp:posOffset>
              </wp:positionV>
              <wp:extent cx="7560310" cy="266700"/>
              <wp:effectExtent l="0" t="0" r="0" b="0"/>
              <wp:wrapNone/>
              <wp:docPr id="17" name="MSIPCM8d9944a5859dd55f5e7578e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069EED" w14:textId="652F1CD7" w:rsidR="00501145" w:rsidRPr="00C85031" w:rsidRDefault="00501145" w:rsidP="00C85031">
                          <w:pPr>
                            <w:spacing w:after="0"/>
                            <w:jc w:val="center"/>
                            <w:rPr>
                              <w:rFonts w:ascii="Arial Black" w:hAnsi="Arial Black"/>
                              <w:color w:val="000000"/>
                              <w:sz w:val="20"/>
                            </w:rPr>
                          </w:pPr>
                          <w:r w:rsidRPr="00C8503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42DD152" id="MSIPCM8d9944a5859dd55f5e7578e8" o:spid="_x0000_s1030" type="#_x0000_t202" alt="{&quot;HashCode&quot;:904758361,&quot;Height&quot;:841.0,&quot;Width&quot;:595.0,&quot;Placement&quot;:&quot;Footer&quot;,&quot;Index&quot;:&quot;OddAndEven&quot;,&quot;Section&quot;:3,&quot;Top&quot;:0.0,&quot;Left&quot;:0.0}" style="position:absolute;margin-left:0;margin-top:805.9pt;width:595.3pt;height:21pt;z-index:2517007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" o:allowincell="f" filled="f" stroked="f" strokeweight=".5pt">
              <v:textbox inset=",0,,0">
                <w:txbxContent>
                  <w:p w14:paraId="69069EED" w14:textId="652F1CD7" w:rsidR="00501145" w:rsidRPr="00C85031" w:rsidRDefault="00501145" w:rsidP="00C85031">
                    <w:pPr>
                      <w:spacing w:after="0"/>
                      <w:jc w:val="center"/>
                      <w:rPr>
                        <w:rFonts w:ascii="Arial Black" w:hAnsi="Arial Black"/>
                        <w:color w:val="000000"/>
                        <w:sz w:val="20"/>
                      </w:rPr>
                    </w:pPr>
                    <w:r w:rsidRPr="00C85031">
                      <w:rPr>
                        <w:rFonts w:ascii="Arial Black" w:hAnsi="Arial Black"/>
                        <w:color w:val="000000"/>
                        <w:sz w:val="20"/>
                      </w:rPr>
                      <w:t>OFFICIAL</w:t>
                    </w:r>
                  </w:p>
                </w:txbxContent>
              </v:textbox>
              <w10:wrap anchorx="page" anchory="page"/>
            </v:shape>
          </w:pict>
        </mc:Fallback>
      </mc:AlternateContent>
    </w:r>
    <w:r w:rsidR="00501145">
      <w:rPr>
        <w:noProof/>
        <w:lang w:eastAsia="en-AU"/>
      </w:rPr>
      <w:drawing>
        <wp:anchor distT="0" distB="0" distL="114300" distR="114300" simplePos="0" relativeHeight="251692544" behindDoc="1" locked="1" layoutInCell="1" allowOverlap="1" wp14:anchorId="0B62610D" wp14:editId="5831ED3D">
          <wp:simplePos x="0" y="0"/>
          <wp:positionH relativeFrom="page">
            <wp:align>right</wp:align>
          </wp:positionH>
          <wp:positionV relativeFrom="page">
            <wp:align>bottom</wp:align>
          </wp:positionV>
          <wp:extent cx="7560000" cy="1008000"/>
          <wp:effectExtent l="0" t="0" r="3175" b="1905"/>
          <wp:wrapNone/>
          <wp:docPr id="14" name="Picture 14"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9DD9D3" w14:textId="4EA6DD95" w:rsidR="00501145" w:rsidRDefault="00875D99">
    <w:pPr>
      <w:pStyle w:val="Footer"/>
    </w:pPr>
    <w:r>
      <w:rPr>
        <w:noProof/>
        <w:lang w:eastAsia="en-AU"/>
      </w:rPr>
      <mc:AlternateContent>
        <mc:Choice Requires="wps">
          <w:drawing>
            <wp:anchor distT="0" distB="0" distL="114300" distR="114300" simplePos="0" relativeHeight="251701760" behindDoc="0" locked="0" layoutInCell="0" allowOverlap="1" wp14:anchorId="728F7D42" wp14:editId="68B4530C">
              <wp:simplePos x="0" y="0"/>
              <wp:positionH relativeFrom="page">
                <wp:posOffset>0</wp:posOffset>
              </wp:positionH>
              <wp:positionV relativeFrom="page">
                <wp:posOffset>10234930</wp:posOffset>
              </wp:positionV>
              <wp:extent cx="7560310" cy="266700"/>
              <wp:effectExtent l="0" t="0" r="0" b="0"/>
              <wp:wrapNone/>
              <wp:docPr id="1" name="MSIPCM818a4ab9ae431a8554e297e8"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645F37" w14:textId="4D227ABB" w:rsidR="00875D99" w:rsidRPr="00875D99" w:rsidRDefault="00875D99" w:rsidP="00875D99">
                          <w:pPr>
                            <w:spacing w:after="0"/>
                            <w:jc w:val="center"/>
                            <w:rPr>
                              <w:rFonts w:ascii="Arial Black" w:hAnsi="Arial Black"/>
                              <w:color w:val="000000"/>
                              <w:sz w:val="20"/>
                            </w:rPr>
                          </w:pPr>
                          <w:r w:rsidRPr="00875D9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8F7D42" id="_x0000_t202" coordsize="21600,21600" o:spt="202" path="m,l,21600r21600,l21600,xe">
              <v:stroke joinstyle="miter"/>
              <v:path gradientshapeok="t" o:connecttype="rect"/>
            </v:shapetype>
            <v:shape id="MSIPCM818a4ab9ae431a8554e297e8" o:spid="_x0000_s1031" type="#_x0000_t202" alt="{&quot;HashCode&quot;:904758361,&quot;Height&quot;:841.0,&quot;Width&quot;:595.0,&quot;Placement&quot;:&quot;Footer&quot;,&quot;Index&quot;:&quot;Primary&quot;,&quot;Section&quot;:2,&quot;Top&quot;:0.0,&quot;Left&quot;:0.0}" style="position:absolute;margin-left:0;margin-top:805.9pt;width:595.3pt;height:21pt;z-index:2517017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" o:allowincell="f" filled="f" stroked="f" strokeweight=".5pt">
              <v:fill o:detectmouseclick="t"/>
              <v:textbox inset=",0,,0">
                <w:txbxContent>
                  <w:p w14:paraId="6B645F37" w14:textId="4D227ABB" w:rsidR="00875D99" w:rsidRPr="00875D99" w:rsidRDefault="00875D99" w:rsidP="00875D99">
                    <w:pPr>
                      <w:spacing w:after="0"/>
                      <w:jc w:val="center"/>
                      <w:rPr>
                        <w:rFonts w:ascii="Arial Black" w:hAnsi="Arial Black"/>
                        <w:color w:val="000000"/>
                        <w:sz w:val="20"/>
                      </w:rPr>
                    </w:pPr>
                    <w:r w:rsidRPr="00875D99">
                      <w:rPr>
                        <w:rFonts w:ascii="Arial Black" w:hAnsi="Arial Black"/>
                        <w:color w:val="000000"/>
                        <w:sz w:val="20"/>
                      </w:rPr>
                      <w:t>OFFICIAL</w:t>
                    </w:r>
                  </w:p>
                </w:txbxContent>
              </v:textbox>
              <w10:wrap anchorx="page" anchory="page"/>
            </v:shape>
          </w:pict>
        </mc:Fallback>
      </mc:AlternateContent>
    </w:r>
    <w:r w:rsidR="00501145">
      <w:rPr>
        <w:noProof/>
        <w:lang w:eastAsia="en-AU"/>
      </w:rPr>
      <mc:AlternateContent>
        <mc:Choice Requires="wps">
          <w:drawing>
            <wp:anchor distT="0" distB="0" distL="114300" distR="114300" simplePos="0" relativeHeight="251699712" behindDoc="0" locked="0" layoutInCell="0" allowOverlap="1" wp14:anchorId="03CCEB46" wp14:editId="494F8AD9">
              <wp:simplePos x="0" y="0"/>
              <wp:positionH relativeFrom="page">
                <wp:posOffset>0</wp:posOffset>
              </wp:positionH>
              <wp:positionV relativeFrom="page">
                <wp:posOffset>10234930</wp:posOffset>
              </wp:positionV>
              <wp:extent cx="7560310" cy="266700"/>
              <wp:effectExtent l="0" t="0" r="0" b="0"/>
              <wp:wrapNone/>
              <wp:docPr id="15" name="MSIPCMf1a6453392cd4176d78dcd2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169253" w14:textId="7F5B1E15" w:rsidR="00501145" w:rsidRPr="00C85031" w:rsidRDefault="00501145" w:rsidP="00C85031">
                          <w:pPr>
                            <w:spacing w:after="0"/>
                            <w:jc w:val="center"/>
                            <w:rPr>
                              <w:rFonts w:ascii="Arial Black" w:hAnsi="Arial Black"/>
                              <w:color w:val="000000"/>
                              <w:sz w:val="20"/>
                            </w:rPr>
                          </w:pPr>
                          <w:r w:rsidRPr="00C8503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3CCEB46" id="MSIPCMf1a6453392cd4176d78dcd27" o:spid="_x0000_s1032" type="#_x0000_t202" alt="{&quot;HashCode&quot;:904758361,&quot;Height&quot;:841.0,&quot;Width&quot;:595.0,&quot;Placement&quot;:&quot;Footer&quot;,&quot;Index&quot;:&quot;Primary&quot;,&quot;Section&quot;:3,&quot;Top&quot;:0.0,&quot;Left&quot;:0.0}" style="position:absolute;margin-left:0;margin-top:805.9pt;width:595.3pt;height:21pt;z-index:2516997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" o:allowincell="f" filled="f" stroked="f" strokeweight=".5pt">
              <v:textbox inset=",0,,0">
                <w:txbxContent>
                  <w:p w14:paraId="00169253" w14:textId="7F5B1E15" w:rsidR="00501145" w:rsidRPr="00C85031" w:rsidRDefault="00501145" w:rsidP="00C85031">
                    <w:pPr>
                      <w:spacing w:after="0"/>
                      <w:jc w:val="center"/>
                      <w:rPr>
                        <w:rFonts w:ascii="Arial Black" w:hAnsi="Arial Black"/>
                        <w:color w:val="000000"/>
                        <w:sz w:val="20"/>
                      </w:rPr>
                    </w:pPr>
                    <w:r w:rsidRPr="00C85031">
                      <w:rPr>
                        <w:rFonts w:ascii="Arial Black" w:hAnsi="Arial Black"/>
                        <w:color w:val="000000"/>
                        <w:sz w:val="20"/>
                      </w:rPr>
                      <w:t>OFFICIAL</w:t>
                    </w:r>
                  </w:p>
                </w:txbxContent>
              </v:textbox>
              <w10:wrap anchorx="page" anchory="page"/>
            </v:shape>
          </w:pict>
        </mc:Fallback>
      </mc:AlternateContent>
    </w:r>
    <w:r w:rsidR="00501145">
      <w:rPr>
        <w:noProof/>
        <w:lang w:eastAsia="en-AU"/>
      </w:rPr>
      <w:drawing>
        <wp:anchor distT="0" distB="0" distL="114300" distR="114300" simplePos="0" relativeHeight="251679232" behindDoc="1" locked="1" layoutInCell="1" allowOverlap="1" wp14:anchorId="69A17EC4" wp14:editId="73890BC7">
          <wp:simplePos x="0" y="0"/>
          <wp:positionH relativeFrom="page">
            <wp:align>right</wp:align>
          </wp:positionH>
          <wp:positionV relativeFrom="page">
            <wp:align>bottom</wp:align>
          </wp:positionV>
          <wp:extent cx="7559640" cy="1007280"/>
          <wp:effectExtent l="0" t="0" r="3810" b="2540"/>
          <wp:wrapNone/>
          <wp:docPr id="12" name="Picture 1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Families, Fairness and Housing"/>
                  <pic:cNvPicPr/>
                </pic:nvPicPr>
                <pic:blipFill>
                  <a:blip r:embed="rId1"/>
                  <a:stretch>
                    <a:fillRect/>
                  </a:stretch>
                </pic:blipFill>
                <pic:spPr>
                  <a:xfrm>
                    <a:off x="0" y="0"/>
                    <a:ext cx="7559640" cy="10072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477408" w14:textId="77777777" w:rsidR="00501145" w:rsidRDefault="00501145" w:rsidP="00207717">
      <w:pPr>
        <w:spacing w:before="120"/>
      </w:pPr>
      <w:r>
        <w:separator/>
      </w:r>
    </w:p>
  </w:footnote>
  <w:footnote w:type="continuationSeparator" w:id="0">
    <w:p w14:paraId="217CB293" w14:textId="77777777" w:rsidR="00501145" w:rsidRDefault="00501145">
      <w:r>
        <w:continuationSeparator/>
      </w:r>
    </w:p>
    <w:p w14:paraId="47DB828D" w14:textId="77777777" w:rsidR="00501145" w:rsidRDefault="005011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12335" w14:textId="77777777" w:rsidR="00875D99" w:rsidRDefault="00875D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1196B" w14:textId="77777777" w:rsidR="00875D99" w:rsidRDefault="00875D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212F0" w14:textId="77777777" w:rsidR="00875D99" w:rsidRDefault="00875D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DE1F82" w14:textId="47DDEC26" w:rsidR="00501145" w:rsidRDefault="00501145">
    <w:pPr>
      <w:pStyle w:val="Header"/>
    </w:pPr>
    <w:r w:rsidRPr="00DE6C85">
      <w:rPr>
        <w:b/>
        <w:bCs/>
      </w:rPr>
      <w:fldChar w:fldCharType="begin"/>
    </w:r>
    <w:r w:rsidRPr="00DE6C85">
      <w:rPr>
        <w:b/>
        <w:bCs/>
      </w:rPr>
      <w:instrText xml:space="preserve"> PAGE </w:instrText>
    </w:r>
    <w:r w:rsidRPr="00DE6C85">
      <w:rPr>
        <w:b/>
        <w:bCs/>
      </w:rPr>
      <w:fldChar w:fldCharType="separate"/>
    </w:r>
    <w:r>
      <w:rPr>
        <w:b/>
        <w:bCs/>
      </w:rPr>
      <w:t>11</w:t>
    </w:r>
    <w:r w:rsidRPr="00DE6C85">
      <w:rPr>
        <w:b/>
        <w:bCs/>
      </w:rPr>
      <w:fldChar w:fldCharType="end"/>
    </w:r>
    <w:r>
      <w:rPr>
        <w:b/>
        <w:bCs/>
      </w:rPr>
      <w:ptab w:relativeTo="margin" w:alignment="right" w:leader="none"/>
    </w:r>
    <w:r>
      <w:rPr>
        <w:noProof/>
      </w:rPr>
      <w:drawing>
        <wp:anchor distT="0" distB="0" distL="114300" distR="114300" simplePos="0" relativeHeight="251694592" behindDoc="1" locked="1" layoutInCell="1" allowOverlap="1" wp14:anchorId="528B16F3" wp14:editId="3CFC49E9">
          <wp:simplePos x="828040" y="560705"/>
          <wp:positionH relativeFrom="page">
            <wp:posOffset>0</wp:posOffset>
          </wp:positionH>
          <wp:positionV relativeFrom="page">
            <wp:posOffset>0</wp:posOffset>
          </wp:positionV>
          <wp:extent cx="7560000" cy="270000"/>
          <wp:effectExtent l="0" t="0" r="3175"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t>Movable units operational guidelines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3AA7C" w14:textId="50BB27D3" w:rsidR="00501145" w:rsidRPr="0051568D" w:rsidRDefault="00501145" w:rsidP="0017674D">
    <w:pPr>
      <w:pStyle w:val="Header"/>
    </w:pPr>
    <w:r>
      <w:rPr>
        <w:noProof/>
      </w:rPr>
      <w:drawing>
        <wp:anchor distT="0" distB="0" distL="114300" distR="114300" simplePos="0" relativeHeight="251695616" behindDoc="1" locked="1" layoutInCell="1" allowOverlap="1" wp14:anchorId="35AC3D1F" wp14:editId="2BB1A10F">
          <wp:simplePos x="828040" y="560705"/>
          <wp:positionH relativeFrom="page">
            <wp:posOffset>0</wp:posOffset>
          </wp:positionH>
          <wp:positionV relativeFrom="page">
            <wp:posOffset>0</wp:posOffset>
          </wp:positionV>
          <wp:extent cx="7560000" cy="270000"/>
          <wp:effectExtent l="0" t="0" r="3175" b="0"/>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t>Movable units operational guidelines</w:t>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sidRPr="00DE6C85">
      <w:rPr>
        <w:b/>
        <w:bCs/>
      </w:rPr>
      <w:t>2</w:t>
    </w:r>
    <w:r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B33A2DBC"/>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5"/>
  </w:num>
  <w:num w:numId="25">
    <w:abstractNumId w:val="23"/>
  </w:num>
  <w:num w:numId="26">
    <w:abstractNumId w:val="19"/>
  </w:num>
  <w:num w:numId="27">
    <w:abstractNumId w:val="11"/>
  </w:num>
  <w:num w:numId="28">
    <w:abstractNumId w:val="2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mirrorMargins/>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031"/>
    <w:rsid w:val="00000719"/>
    <w:rsid w:val="00002D68"/>
    <w:rsid w:val="000033F7"/>
    <w:rsid w:val="00003403"/>
    <w:rsid w:val="00005347"/>
    <w:rsid w:val="000072B6"/>
    <w:rsid w:val="0001021B"/>
    <w:rsid w:val="00011D89"/>
    <w:rsid w:val="000154FD"/>
    <w:rsid w:val="00022271"/>
    <w:rsid w:val="000235E8"/>
    <w:rsid w:val="00024D89"/>
    <w:rsid w:val="000250B6"/>
    <w:rsid w:val="00033D81"/>
    <w:rsid w:val="00033DC9"/>
    <w:rsid w:val="00037366"/>
    <w:rsid w:val="00041BF0"/>
    <w:rsid w:val="00042C8A"/>
    <w:rsid w:val="0004536B"/>
    <w:rsid w:val="00046B68"/>
    <w:rsid w:val="000527DD"/>
    <w:rsid w:val="00056EC4"/>
    <w:rsid w:val="000578B2"/>
    <w:rsid w:val="00060959"/>
    <w:rsid w:val="00060C8F"/>
    <w:rsid w:val="0006298A"/>
    <w:rsid w:val="000663CD"/>
    <w:rsid w:val="000733FE"/>
    <w:rsid w:val="00074219"/>
    <w:rsid w:val="00074ED5"/>
    <w:rsid w:val="0008204A"/>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D2ABA"/>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2073"/>
    <w:rsid w:val="00152329"/>
    <w:rsid w:val="00153DE9"/>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244E"/>
    <w:rsid w:val="00186B33"/>
    <w:rsid w:val="00192F9D"/>
    <w:rsid w:val="00196EB8"/>
    <w:rsid w:val="00196EFB"/>
    <w:rsid w:val="001979FF"/>
    <w:rsid w:val="00197B17"/>
    <w:rsid w:val="001A1950"/>
    <w:rsid w:val="001A1C54"/>
    <w:rsid w:val="001A3ACE"/>
    <w:rsid w:val="001A6272"/>
    <w:rsid w:val="001B058F"/>
    <w:rsid w:val="001B6B96"/>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2B95"/>
    <w:rsid w:val="00215CC8"/>
    <w:rsid w:val="00216C03"/>
    <w:rsid w:val="00220A1A"/>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5B7C"/>
    <w:rsid w:val="002D1E0D"/>
    <w:rsid w:val="002D5006"/>
    <w:rsid w:val="002D7C61"/>
    <w:rsid w:val="002E01D0"/>
    <w:rsid w:val="002E161D"/>
    <w:rsid w:val="002E28A2"/>
    <w:rsid w:val="002E3100"/>
    <w:rsid w:val="002E6C95"/>
    <w:rsid w:val="002E7C36"/>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4686"/>
    <w:rsid w:val="00337339"/>
    <w:rsid w:val="00340345"/>
    <w:rsid w:val="003406C6"/>
    <w:rsid w:val="003418CC"/>
    <w:rsid w:val="003434EE"/>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977D4"/>
    <w:rsid w:val="003A0853"/>
    <w:rsid w:val="003A6B67"/>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48F9"/>
    <w:rsid w:val="0042084E"/>
    <w:rsid w:val="00421EEF"/>
    <w:rsid w:val="00424D65"/>
    <w:rsid w:val="00430393"/>
    <w:rsid w:val="00431806"/>
    <w:rsid w:val="00431A70"/>
    <w:rsid w:val="00431F42"/>
    <w:rsid w:val="00442C6C"/>
    <w:rsid w:val="00443CBE"/>
    <w:rsid w:val="00443E8A"/>
    <w:rsid w:val="004441BC"/>
    <w:rsid w:val="004468B4"/>
    <w:rsid w:val="00446D86"/>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0974"/>
    <w:rsid w:val="004B4185"/>
    <w:rsid w:val="004B4770"/>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1145"/>
    <w:rsid w:val="00503DC6"/>
    <w:rsid w:val="00506F5D"/>
    <w:rsid w:val="00510C37"/>
    <w:rsid w:val="005126D0"/>
    <w:rsid w:val="00514667"/>
    <w:rsid w:val="0051568D"/>
    <w:rsid w:val="00515FE2"/>
    <w:rsid w:val="00526AC7"/>
    <w:rsid w:val="00526C15"/>
    <w:rsid w:val="00526DD7"/>
    <w:rsid w:val="00536499"/>
    <w:rsid w:val="00542A03"/>
    <w:rsid w:val="00543903"/>
    <w:rsid w:val="00543BCC"/>
    <w:rsid w:val="00543F11"/>
    <w:rsid w:val="00546305"/>
    <w:rsid w:val="00547A95"/>
    <w:rsid w:val="0055119B"/>
    <w:rsid w:val="00561202"/>
    <w:rsid w:val="00562507"/>
    <w:rsid w:val="00562811"/>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121D"/>
    <w:rsid w:val="005F21EB"/>
    <w:rsid w:val="005F64CF"/>
    <w:rsid w:val="006041AD"/>
    <w:rsid w:val="00605908"/>
    <w:rsid w:val="00607850"/>
    <w:rsid w:val="00607EF7"/>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1B4"/>
    <w:rsid w:val="006557A7"/>
    <w:rsid w:val="00656290"/>
    <w:rsid w:val="006601C9"/>
    <w:rsid w:val="006608D8"/>
    <w:rsid w:val="006621D7"/>
    <w:rsid w:val="0066302A"/>
    <w:rsid w:val="00667770"/>
    <w:rsid w:val="00670597"/>
    <w:rsid w:val="006706D0"/>
    <w:rsid w:val="00677574"/>
    <w:rsid w:val="006812ED"/>
    <w:rsid w:val="00683878"/>
    <w:rsid w:val="00684380"/>
    <w:rsid w:val="0068454C"/>
    <w:rsid w:val="00691B62"/>
    <w:rsid w:val="006933B5"/>
    <w:rsid w:val="00693D14"/>
    <w:rsid w:val="00696F27"/>
    <w:rsid w:val="006A18C2"/>
    <w:rsid w:val="006A3383"/>
    <w:rsid w:val="006B077C"/>
    <w:rsid w:val="006B6803"/>
    <w:rsid w:val="006D0F16"/>
    <w:rsid w:val="006D2A3F"/>
    <w:rsid w:val="006D2FBC"/>
    <w:rsid w:val="006D6083"/>
    <w:rsid w:val="006D6E34"/>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35564"/>
    <w:rsid w:val="00740F22"/>
    <w:rsid w:val="00741CF0"/>
    <w:rsid w:val="00741F1A"/>
    <w:rsid w:val="007447DA"/>
    <w:rsid w:val="007450F8"/>
    <w:rsid w:val="0074696E"/>
    <w:rsid w:val="00750135"/>
    <w:rsid w:val="00750EC2"/>
    <w:rsid w:val="00752B28"/>
    <w:rsid w:val="007536BC"/>
    <w:rsid w:val="007541A9"/>
    <w:rsid w:val="00754E36"/>
    <w:rsid w:val="00762DF1"/>
    <w:rsid w:val="00763139"/>
    <w:rsid w:val="00770F37"/>
    <w:rsid w:val="007711A0"/>
    <w:rsid w:val="00772D5E"/>
    <w:rsid w:val="0077463E"/>
    <w:rsid w:val="0077665E"/>
    <w:rsid w:val="00776928"/>
    <w:rsid w:val="00776D56"/>
    <w:rsid w:val="00776E0F"/>
    <w:rsid w:val="007774B1"/>
    <w:rsid w:val="00777BE1"/>
    <w:rsid w:val="00782222"/>
    <w:rsid w:val="007833D8"/>
    <w:rsid w:val="00785677"/>
    <w:rsid w:val="00786F16"/>
    <w:rsid w:val="00790509"/>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667"/>
    <w:rsid w:val="007E3B98"/>
    <w:rsid w:val="007E417A"/>
    <w:rsid w:val="007F31B6"/>
    <w:rsid w:val="007F546C"/>
    <w:rsid w:val="007F625F"/>
    <w:rsid w:val="007F665E"/>
    <w:rsid w:val="00800412"/>
    <w:rsid w:val="00801561"/>
    <w:rsid w:val="0080587B"/>
    <w:rsid w:val="00806468"/>
    <w:rsid w:val="008119CA"/>
    <w:rsid w:val="008130C4"/>
    <w:rsid w:val="008155F0"/>
    <w:rsid w:val="00816735"/>
    <w:rsid w:val="00820141"/>
    <w:rsid w:val="00820E0C"/>
    <w:rsid w:val="00823275"/>
    <w:rsid w:val="0082366F"/>
    <w:rsid w:val="008338A2"/>
    <w:rsid w:val="00841AA9"/>
    <w:rsid w:val="008474FE"/>
    <w:rsid w:val="00853EE4"/>
    <w:rsid w:val="00855535"/>
    <w:rsid w:val="00857C5A"/>
    <w:rsid w:val="0086255E"/>
    <w:rsid w:val="008633F0"/>
    <w:rsid w:val="00867D9D"/>
    <w:rsid w:val="00872E0A"/>
    <w:rsid w:val="00873594"/>
    <w:rsid w:val="00875285"/>
    <w:rsid w:val="00875D99"/>
    <w:rsid w:val="00884B62"/>
    <w:rsid w:val="0088529C"/>
    <w:rsid w:val="00887903"/>
    <w:rsid w:val="0089270A"/>
    <w:rsid w:val="00893AF6"/>
    <w:rsid w:val="00894BC4"/>
    <w:rsid w:val="00896890"/>
    <w:rsid w:val="008A28A8"/>
    <w:rsid w:val="008A5B32"/>
    <w:rsid w:val="008B2029"/>
    <w:rsid w:val="008B2EE4"/>
    <w:rsid w:val="008B3821"/>
    <w:rsid w:val="008B4D3D"/>
    <w:rsid w:val="008B57C7"/>
    <w:rsid w:val="008C2F92"/>
    <w:rsid w:val="008C3546"/>
    <w:rsid w:val="008C589D"/>
    <w:rsid w:val="008C6D51"/>
    <w:rsid w:val="008D2846"/>
    <w:rsid w:val="008D4236"/>
    <w:rsid w:val="008D462F"/>
    <w:rsid w:val="008D6DCF"/>
    <w:rsid w:val="008E4376"/>
    <w:rsid w:val="008E7A0A"/>
    <w:rsid w:val="008E7B49"/>
    <w:rsid w:val="008F59F6"/>
    <w:rsid w:val="00900719"/>
    <w:rsid w:val="009017AC"/>
    <w:rsid w:val="00902A9A"/>
    <w:rsid w:val="00903770"/>
    <w:rsid w:val="00904A1C"/>
    <w:rsid w:val="00905030"/>
    <w:rsid w:val="00906490"/>
    <w:rsid w:val="009111B2"/>
    <w:rsid w:val="009151F5"/>
    <w:rsid w:val="00924AE1"/>
    <w:rsid w:val="009269B1"/>
    <w:rsid w:val="0092724D"/>
    <w:rsid w:val="009272B3"/>
    <w:rsid w:val="009315BE"/>
    <w:rsid w:val="009326DD"/>
    <w:rsid w:val="00932A09"/>
    <w:rsid w:val="0093338F"/>
    <w:rsid w:val="00937BD9"/>
    <w:rsid w:val="00950E2C"/>
    <w:rsid w:val="00951D50"/>
    <w:rsid w:val="009525EB"/>
    <w:rsid w:val="0095470B"/>
    <w:rsid w:val="00954874"/>
    <w:rsid w:val="0095615A"/>
    <w:rsid w:val="00961400"/>
    <w:rsid w:val="00963646"/>
    <w:rsid w:val="0096632D"/>
    <w:rsid w:val="00967124"/>
    <w:rsid w:val="0097166C"/>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0C62"/>
    <w:rsid w:val="009B2AE8"/>
    <w:rsid w:val="009B5622"/>
    <w:rsid w:val="009B59E9"/>
    <w:rsid w:val="009B70AA"/>
    <w:rsid w:val="009C245E"/>
    <w:rsid w:val="009C5E77"/>
    <w:rsid w:val="009C7A7E"/>
    <w:rsid w:val="009D02E8"/>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24ADA"/>
    <w:rsid w:val="00A32577"/>
    <w:rsid w:val="00A330BB"/>
    <w:rsid w:val="00A446F5"/>
    <w:rsid w:val="00A44882"/>
    <w:rsid w:val="00A45125"/>
    <w:rsid w:val="00A54715"/>
    <w:rsid w:val="00A6061C"/>
    <w:rsid w:val="00A62D44"/>
    <w:rsid w:val="00A67263"/>
    <w:rsid w:val="00A7161C"/>
    <w:rsid w:val="00A71CE4"/>
    <w:rsid w:val="00A77AA3"/>
    <w:rsid w:val="00A8236D"/>
    <w:rsid w:val="00A854EB"/>
    <w:rsid w:val="00A872E5"/>
    <w:rsid w:val="00A91406"/>
    <w:rsid w:val="00A92F16"/>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2E24"/>
    <w:rsid w:val="00B75646"/>
    <w:rsid w:val="00B7629E"/>
    <w:rsid w:val="00B90729"/>
    <w:rsid w:val="00B907DA"/>
    <w:rsid w:val="00B94C5E"/>
    <w:rsid w:val="00B950BC"/>
    <w:rsid w:val="00B9714C"/>
    <w:rsid w:val="00BA29AD"/>
    <w:rsid w:val="00BA33CF"/>
    <w:rsid w:val="00BA3F8D"/>
    <w:rsid w:val="00BB7A10"/>
    <w:rsid w:val="00BC60BE"/>
    <w:rsid w:val="00BC7468"/>
    <w:rsid w:val="00BC7D4F"/>
    <w:rsid w:val="00BC7ED7"/>
    <w:rsid w:val="00BD2850"/>
    <w:rsid w:val="00BE28D2"/>
    <w:rsid w:val="00BE4A64"/>
    <w:rsid w:val="00BE5E43"/>
    <w:rsid w:val="00BF557D"/>
    <w:rsid w:val="00BF658D"/>
    <w:rsid w:val="00BF7F58"/>
    <w:rsid w:val="00C01381"/>
    <w:rsid w:val="00C01AB1"/>
    <w:rsid w:val="00C026A0"/>
    <w:rsid w:val="00C06137"/>
    <w:rsid w:val="00C06929"/>
    <w:rsid w:val="00C079B8"/>
    <w:rsid w:val="00C10037"/>
    <w:rsid w:val="00C115E1"/>
    <w:rsid w:val="00C123EA"/>
    <w:rsid w:val="00C12A49"/>
    <w:rsid w:val="00C133EE"/>
    <w:rsid w:val="00C149D0"/>
    <w:rsid w:val="00C26588"/>
    <w:rsid w:val="00C27DE9"/>
    <w:rsid w:val="00C32989"/>
    <w:rsid w:val="00C33388"/>
    <w:rsid w:val="00C35484"/>
    <w:rsid w:val="00C4173A"/>
    <w:rsid w:val="00C50DED"/>
    <w:rsid w:val="00C52217"/>
    <w:rsid w:val="00C602FF"/>
    <w:rsid w:val="00C60411"/>
    <w:rsid w:val="00C61174"/>
    <w:rsid w:val="00C6148F"/>
    <w:rsid w:val="00C621B1"/>
    <w:rsid w:val="00C62F7A"/>
    <w:rsid w:val="00C63B9C"/>
    <w:rsid w:val="00C6682F"/>
    <w:rsid w:val="00C67BF4"/>
    <w:rsid w:val="00C7275E"/>
    <w:rsid w:val="00C731AF"/>
    <w:rsid w:val="00C74C5D"/>
    <w:rsid w:val="00C85031"/>
    <w:rsid w:val="00C863C4"/>
    <w:rsid w:val="00C90DAB"/>
    <w:rsid w:val="00C920EA"/>
    <w:rsid w:val="00C93C3E"/>
    <w:rsid w:val="00CA12E3"/>
    <w:rsid w:val="00CA1476"/>
    <w:rsid w:val="00CA6611"/>
    <w:rsid w:val="00CA6AE6"/>
    <w:rsid w:val="00CA782F"/>
    <w:rsid w:val="00CB187B"/>
    <w:rsid w:val="00CB2835"/>
    <w:rsid w:val="00CB3285"/>
    <w:rsid w:val="00CB4500"/>
    <w:rsid w:val="00CC0C72"/>
    <w:rsid w:val="00CC2BFD"/>
    <w:rsid w:val="00CC6F40"/>
    <w:rsid w:val="00CD3476"/>
    <w:rsid w:val="00CD64DF"/>
    <w:rsid w:val="00CE225F"/>
    <w:rsid w:val="00CF2F50"/>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13AF"/>
    <w:rsid w:val="00D52D73"/>
    <w:rsid w:val="00D52E58"/>
    <w:rsid w:val="00D56B20"/>
    <w:rsid w:val="00D578B3"/>
    <w:rsid w:val="00D618F4"/>
    <w:rsid w:val="00D63636"/>
    <w:rsid w:val="00D714CC"/>
    <w:rsid w:val="00D75EA7"/>
    <w:rsid w:val="00D81ADF"/>
    <w:rsid w:val="00D81F21"/>
    <w:rsid w:val="00D864F2"/>
    <w:rsid w:val="00D943F8"/>
    <w:rsid w:val="00D95470"/>
    <w:rsid w:val="00D96B55"/>
    <w:rsid w:val="00DA2619"/>
    <w:rsid w:val="00DA4239"/>
    <w:rsid w:val="00DA588C"/>
    <w:rsid w:val="00DA65DE"/>
    <w:rsid w:val="00DB0B61"/>
    <w:rsid w:val="00DB1474"/>
    <w:rsid w:val="00DB2962"/>
    <w:rsid w:val="00DB52FB"/>
    <w:rsid w:val="00DC013B"/>
    <w:rsid w:val="00DC090B"/>
    <w:rsid w:val="00DC1679"/>
    <w:rsid w:val="00DC219B"/>
    <w:rsid w:val="00DC2CF1"/>
    <w:rsid w:val="00DC2DC7"/>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2AC3"/>
    <w:rsid w:val="00EA2F6A"/>
    <w:rsid w:val="00EB00E0"/>
    <w:rsid w:val="00EB05D5"/>
    <w:rsid w:val="00EB4BC7"/>
    <w:rsid w:val="00EC059F"/>
    <w:rsid w:val="00EC1F24"/>
    <w:rsid w:val="00EC22F6"/>
    <w:rsid w:val="00EC3DB9"/>
    <w:rsid w:val="00ED5B9B"/>
    <w:rsid w:val="00ED6BAD"/>
    <w:rsid w:val="00ED7447"/>
    <w:rsid w:val="00ED7762"/>
    <w:rsid w:val="00EE00D6"/>
    <w:rsid w:val="00EE11E7"/>
    <w:rsid w:val="00EE1488"/>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1037"/>
    <w:rsid w:val="00F16F1B"/>
    <w:rsid w:val="00F235A4"/>
    <w:rsid w:val="00F250A9"/>
    <w:rsid w:val="00F267AF"/>
    <w:rsid w:val="00F30FF4"/>
    <w:rsid w:val="00F3122E"/>
    <w:rsid w:val="00F32368"/>
    <w:rsid w:val="00F331AD"/>
    <w:rsid w:val="00F35287"/>
    <w:rsid w:val="00F40A70"/>
    <w:rsid w:val="00F41E5C"/>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1F6E"/>
    <w:rsid w:val="00FB4769"/>
    <w:rsid w:val="00FB4CDA"/>
    <w:rsid w:val="00FB6481"/>
    <w:rsid w:val="00FB6D36"/>
    <w:rsid w:val="00FC0965"/>
    <w:rsid w:val="00FC0F81"/>
    <w:rsid w:val="00FC252F"/>
    <w:rsid w:val="00FC395C"/>
    <w:rsid w:val="00FC5E8E"/>
    <w:rsid w:val="00FD3766"/>
    <w:rsid w:val="00FD3D05"/>
    <w:rsid w:val="00FD47C4"/>
    <w:rsid w:val="00FE2DCF"/>
    <w:rsid w:val="00FE3FA7"/>
    <w:rsid w:val="00FE4081"/>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B52321A"/>
  <w15:docId w15:val="{7BDCD878-A7F8-4B72-9B20-887F41E16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DC2DC7"/>
    <w:pPr>
      <w:keepNext/>
      <w:keepLines/>
      <w:spacing w:before="360" w:after="12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776D56"/>
    <w:pPr>
      <w:keepNext/>
      <w:keepLines/>
      <w:spacing w:before="360" w:after="120" w:line="320" w:lineRule="atLeast"/>
      <w:outlineLvl w:val="2"/>
    </w:pPr>
    <w:rPr>
      <w:rFonts w:ascii="Arial" w:eastAsia="MS Gothic" w:hAnsi="Arial"/>
      <w:bCs/>
      <w:color w:val="201547"/>
      <w:sz w:val="30"/>
      <w:szCs w:val="26"/>
      <w:lang w:eastAsia="en-US"/>
    </w:rPr>
  </w:style>
  <w:style w:type="paragraph" w:styleId="Heading4">
    <w:name w:val="heading 4"/>
    <w:next w:val="Body"/>
    <w:link w:val="Heading4Char"/>
    <w:uiPriority w:val="1"/>
    <w:qFormat/>
    <w:rsid w:val="00ED7762"/>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ED7762"/>
    <w:pPr>
      <w:keepNext/>
      <w:keepLines/>
      <w:spacing w:before="240" w:after="0"/>
      <w:outlineLvl w:val="4"/>
    </w:pPr>
    <w:rPr>
      <w:rFonts w:eastAsia="MS Mincho"/>
      <w:b/>
      <w:bCs/>
      <w:iCs/>
      <w:color w:val="201547"/>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DC2DC7"/>
    <w:rPr>
      <w:rFonts w:ascii="Arial" w:hAnsi="Arial"/>
      <w:b/>
      <w:color w:val="201547"/>
      <w:sz w:val="32"/>
      <w:szCs w:val="28"/>
      <w:lang w:eastAsia="en-US"/>
    </w:rPr>
  </w:style>
  <w:style w:type="character" w:customStyle="1" w:styleId="Heading3Char">
    <w:name w:val="Heading 3 Char"/>
    <w:link w:val="Heading3"/>
    <w:uiPriority w:val="1"/>
    <w:rsid w:val="00776D56"/>
    <w:rPr>
      <w:rFonts w:ascii="Arial" w:eastAsia="MS Gothic" w:hAnsi="Arial"/>
      <w:bCs/>
      <w:color w:val="201547"/>
      <w:sz w:val="30"/>
      <w:szCs w:val="26"/>
      <w:lang w:eastAsia="en-US"/>
    </w:rPr>
  </w:style>
  <w:style w:type="character" w:customStyle="1" w:styleId="Heading4Char">
    <w:name w:val="Heading 4 Char"/>
    <w:link w:val="Heading4"/>
    <w:uiPriority w:val="1"/>
    <w:rsid w:val="00ED7762"/>
    <w:rPr>
      <w:rFonts w:ascii="Arial" w:eastAsia="MS Mincho" w:hAnsi="Arial"/>
      <w:b/>
      <w:bCs/>
      <w:color w:val="201547"/>
      <w:sz w:val="24"/>
      <w:szCs w:val="22"/>
      <w:lang w:eastAsia="en-US"/>
    </w:rPr>
  </w:style>
  <w:style w:type="paragraph" w:styleId="Header">
    <w:name w:val="header"/>
    <w:uiPriority w:val="10"/>
    <w:rsid w:val="009C245E"/>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ED7762"/>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9A3490"/>
    <w:pPr>
      <w:spacing w:after="12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ullet1">
    <w:name w:val="DHHS bullet 1"/>
    <w:basedOn w:val="Normal"/>
    <w:qFormat/>
    <w:rsid w:val="00762DF1"/>
    <w:pPr>
      <w:spacing w:after="40" w:line="270" w:lineRule="atLeast"/>
      <w:ind w:left="284" w:hanging="284"/>
    </w:pPr>
    <w:rPr>
      <w:rFonts w:eastAsia="Times"/>
      <w:sz w:val="20"/>
    </w:rPr>
  </w:style>
  <w:style w:type="paragraph" w:customStyle="1" w:styleId="DHHStabletext">
    <w:name w:val="DHHS table text"/>
    <w:uiPriority w:val="3"/>
    <w:qFormat/>
    <w:rsid w:val="00762DF1"/>
    <w:pPr>
      <w:spacing w:before="80" w:after="60"/>
    </w:pPr>
    <w:rPr>
      <w:rFonts w:ascii="Arial" w:hAnsi="Arial"/>
      <w:lang w:eastAsia="en-US"/>
    </w:rPr>
  </w:style>
  <w:style w:type="paragraph" w:customStyle="1" w:styleId="DHHSbullet2">
    <w:name w:val="DHHS bullet 2"/>
    <w:basedOn w:val="Normal"/>
    <w:uiPriority w:val="2"/>
    <w:qFormat/>
    <w:rsid w:val="00762DF1"/>
    <w:pPr>
      <w:spacing w:after="40" w:line="270" w:lineRule="atLeast"/>
      <w:ind w:left="567" w:hanging="283"/>
    </w:pPr>
    <w:rPr>
      <w:rFonts w:eastAsia="Times"/>
      <w:sz w:val="20"/>
    </w:rPr>
  </w:style>
  <w:style w:type="paragraph" w:customStyle="1" w:styleId="DHHStablecolhead">
    <w:name w:val="DHHS table col head"/>
    <w:uiPriority w:val="3"/>
    <w:qFormat/>
    <w:rsid w:val="00762DF1"/>
    <w:pPr>
      <w:spacing w:before="80" w:after="60"/>
    </w:pPr>
    <w:rPr>
      <w:rFonts w:ascii="Arial" w:hAnsi="Arial"/>
      <w:b/>
      <w:color w:val="004EA8"/>
      <w:lang w:eastAsia="en-US"/>
    </w:rPr>
  </w:style>
  <w:style w:type="paragraph" w:customStyle="1" w:styleId="DHHSbullet1lastline">
    <w:name w:val="DHHS bullet 1 last line"/>
    <w:basedOn w:val="DHHSbullet1"/>
    <w:qFormat/>
    <w:rsid w:val="00762DF1"/>
    <w:pPr>
      <w:spacing w:after="120"/>
    </w:pPr>
  </w:style>
  <w:style w:type="paragraph" w:customStyle="1" w:styleId="DHHSbullet2lastline">
    <w:name w:val="DHHS bullet 2 last line"/>
    <w:basedOn w:val="DHHSbullet2"/>
    <w:uiPriority w:val="2"/>
    <w:qFormat/>
    <w:rsid w:val="00762DF1"/>
    <w:pPr>
      <w:spacing w:after="120"/>
    </w:pPr>
  </w:style>
  <w:style w:type="paragraph" w:customStyle="1" w:styleId="DHHStablebullet">
    <w:name w:val="DHHS table bullet"/>
    <w:basedOn w:val="DHHStabletext"/>
    <w:uiPriority w:val="3"/>
    <w:qFormat/>
    <w:rsid w:val="00762DF1"/>
    <w:pPr>
      <w:ind w:left="227" w:hanging="227"/>
    </w:pPr>
  </w:style>
  <w:style w:type="paragraph" w:customStyle="1" w:styleId="DHHSbulletindent">
    <w:name w:val="DHHS bullet indent"/>
    <w:basedOn w:val="Normal"/>
    <w:uiPriority w:val="4"/>
    <w:rsid w:val="00762DF1"/>
    <w:pPr>
      <w:spacing w:after="40" w:line="270" w:lineRule="atLeast"/>
      <w:ind w:left="680" w:hanging="283"/>
    </w:pPr>
    <w:rPr>
      <w:rFonts w:eastAsia="Times"/>
      <w:sz w:val="20"/>
    </w:rPr>
  </w:style>
  <w:style w:type="paragraph" w:customStyle="1" w:styleId="DHHSbulletindentlastline">
    <w:name w:val="DHHS bullet indent last line"/>
    <w:basedOn w:val="Normal"/>
    <w:uiPriority w:val="4"/>
    <w:rsid w:val="00762DF1"/>
    <w:pPr>
      <w:spacing w:line="270" w:lineRule="atLeast"/>
      <w:ind w:left="680" w:hanging="283"/>
    </w:pPr>
    <w:rPr>
      <w:rFonts w:eastAsia="Time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housing.vic.gov.au/contact-a-housing-office" TargetMode="External"/><Relationship Id="rId26" Type="http://schemas.openxmlformats.org/officeDocument/2006/relationships/oleObject" Target="embeddings/Microsoft_Visio_2003-2010_Drawing2.vsd"/><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viders.dffh.vic.gov.au/"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Microsoft_Visio_2003-2010_Drawing1.vsd"/><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emf"/><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providers.dffh.vic.gov.au/tenancy-management-manual-movable-units-operational-guidelines-word"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oleObject" Target="embeddings/Microsoft_Visio_2003-2010_Drawing.vsd"/><Relationship Id="rId27" Type="http://schemas.openxmlformats.org/officeDocument/2006/relationships/header" Target="header4.xml"/><Relationship Id="rId30" Type="http://schemas.openxmlformats.org/officeDocument/2006/relationships/footer" Target="footer5.xml"/></Relationships>
</file>

<file path=word/_rels/footer4.xml.rels><?xml version="1.0" encoding="UTF-8" standalone="yes"?>
<Relationships xmlns="http://schemas.openxmlformats.org/package/2006/relationships"><Relationship Id="rId1" Type="http://schemas.openxmlformats.org/officeDocument/2006/relationships/image" Target="media/image6.png"/></Relationships>
</file>

<file path=word/_rels/footer5.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DFFH%20visual%20style%202021\DFFH%20Teal%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schemas.microsoft.com/office/infopath/2007/PartnerControls"/>
    <ds:schemaRef ds:uri="http://purl.org/dc/elements/1.1/"/>
    <ds:schemaRef ds:uri="http://schemas.microsoft.com/office/2006/metadata/properties"/>
    <ds:schemaRef ds:uri="71bad440-a7e7-46c6-81bd-18ed54663c6a"/>
    <ds:schemaRef ds:uri="http://purl.org/dc/terms/"/>
    <ds:schemaRef ds:uri="http://schemas.openxmlformats.org/package/2006/metadata/core-properties"/>
    <ds:schemaRef ds:uri="f9efe166-4f28-4f85-8235-ea2c89133434"/>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3E8790CF-F64A-443E-8FCE-7DBCCED793F3}"/>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DFFH Teal report.dotx</Template>
  <TotalTime>116</TotalTime>
  <Pages>18</Pages>
  <Words>3888</Words>
  <Characters>22164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DFFH teal report</vt:lpstr>
    </vt:vector>
  </TitlesOfParts>
  <Company>Victoria State Government, Department of Familes, Fairness and Housing</Company>
  <LinksUpToDate>false</LinksUpToDate>
  <CharactersWithSpaces>26001</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DFFH teal report</dc:title>
  <dc:creator>housingbusiness.support@dffh.vic.gov.au</dc:creator>
  <cp:keywords>Movable units operational guidelines</cp:keywords>
  <dc:description>public housing, Victoria, movable, units, operational, guidelines</dc:description>
  <cp:lastModifiedBy>Neil Rumble (DFFH)</cp:lastModifiedBy>
  <cp:revision>8</cp:revision>
  <cp:lastPrinted>2021-01-29T05:27:00Z</cp:lastPrinted>
  <dcterms:created xsi:type="dcterms:W3CDTF">2021-07-27T02:20:00Z</dcterms:created>
  <dcterms:modified xsi:type="dcterms:W3CDTF">2021-07-27T04:27:00Z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2021-02-19T08:12:31Z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ies>
</file>