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941CE" w14:textId="77777777" w:rsidR="00002990" w:rsidRPr="003072C6" w:rsidRDefault="00581DD5" w:rsidP="00A55989">
      <w:pPr>
        <w:pStyle w:val="DHHSbodynospace"/>
      </w:pPr>
      <w:r>
        <w:rPr>
          <w:noProof/>
          <w:lang w:eastAsia="en-AU"/>
        </w:rPr>
        <w:drawing>
          <wp:anchor distT="0" distB="0" distL="114300" distR="114300" simplePos="0" relativeHeight="251658240" behindDoc="1" locked="1" layoutInCell="0" allowOverlap="1" wp14:anchorId="6D7E7DF5" wp14:editId="28B317AB">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3E2E52FF" w14:textId="77777777" w:rsidTr="00EA5B9B">
        <w:trPr>
          <w:trHeight w:val="3988"/>
          <w:tblHeader/>
        </w:trPr>
        <w:tc>
          <w:tcPr>
            <w:tcW w:w="7938" w:type="dxa"/>
            <w:shd w:val="clear" w:color="auto" w:fill="auto"/>
          </w:tcPr>
          <w:p w14:paraId="608E299E" w14:textId="0C0B186A" w:rsidR="00C416E1" w:rsidRPr="003072C6" w:rsidRDefault="005D2CFB" w:rsidP="00E91933">
            <w:pPr>
              <w:pStyle w:val="DHHSreportmaintitlewhite"/>
            </w:pPr>
            <w:r>
              <w:t xml:space="preserve">Special </w:t>
            </w:r>
            <w:r w:rsidR="00C61C3D">
              <w:t>accommodation</w:t>
            </w:r>
            <w:r>
              <w:t xml:space="preserve"> requirements</w:t>
            </w:r>
            <w:r w:rsidR="00C61C3D">
              <w:t xml:space="preserve"> for public housing </w:t>
            </w:r>
            <w:proofErr w:type="gramStart"/>
            <w:r w:rsidR="00C61C3D">
              <w:t>tenants</w:t>
            </w:r>
            <w:proofErr w:type="gramEnd"/>
            <w:r w:rsidR="00C61C3D">
              <w:t xml:space="preserve"> </w:t>
            </w:r>
            <w:r>
              <w:t>operational guidelines</w:t>
            </w:r>
          </w:p>
          <w:p w14:paraId="48DF6B90" w14:textId="786A0AE9" w:rsidR="00444D82" w:rsidRPr="00F440C4" w:rsidRDefault="00AB12BB" w:rsidP="00F440C4">
            <w:pPr>
              <w:pStyle w:val="DHHSreportsubtitlewhite"/>
            </w:pPr>
            <w:r>
              <w:t xml:space="preserve">Effective date: </w:t>
            </w:r>
            <w:r w:rsidR="00C532D5">
              <w:t xml:space="preserve">October </w:t>
            </w:r>
            <w:r w:rsidR="00C61C3D">
              <w:t>20</w:t>
            </w:r>
            <w:r w:rsidR="00C532D5">
              <w:t>20</w:t>
            </w:r>
          </w:p>
        </w:tc>
      </w:tr>
    </w:tbl>
    <w:p w14:paraId="1232D8C1"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43B22EF7" w14:textId="0582B744" w:rsidR="00AC0C3B" w:rsidRDefault="00AB12BB" w:rsidP="00AB12BB">
      <w:pPr>
        <w:pStyle w:val="Heading1"/>
      </w:pPr>
      <w:bookmarkStart w:id="0" w:name="_Toc62125236"/>
      <w:bookmarkStart w:id="1" w:name="_Toc486842703"/>
      <w:r w:rsidRPr="00AA71AD">
        <w:lastRenderedPageBreak/>
        <w:t>Revision history</w:t>
      </w:r>
      <w:bookmarkEnd w:id="1"/>
      <w:bookmarkEnd w:id="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127"/>
        <w:gridCol w:w="3402"/>
      </w:tblGrid>
      <w:tr w:rsidR="00581DD5" w:rsidRPr="00AA71AD" w14:paraId="6ED23A9B" w14:textId="77777777" w:rsidTr="00581DD5">
        <w:trPr>
          <w:tblHeader/>
        </w:trPr>
        <w:tc>
          <w:tcPr>
            <w:tcW w:w="1701" w:type="dxa"/>
            <w:shd w:val="clear" w:color="auto" w:fill="auto"/>
          </w:tcPr>
          <w:p w14:paraId="25C0A52E" w14:textId="77777777" w:rsidR="00581DD5" w:rsidRPr="00AA71AD" w:rsidRDefault="00581DD5" w:rsidP="001208F1">
            <w:pPr>
              <w:pStyle w:val="DHHStablecolhead"/>
            </w:pPr>
            <w:r w:rsidRPr="00AA71AD">
              <w:t>Version</w:t>
            </w:r>
          </w:p>
        </w:tc>
        <w:tc>
          <w:tcPr>
            <w:tcW w:w="2268" w:type="dxa"/>
          </w:tcPr>
          <w:p w14:paraId="6A8D9B51" w14:textId="77777777" w:rsidR="00581DD5" w:rsidRPr="00AA71AD" w:rsidRDefault="00581DD5" w:rsidP="001208F1">
            <w:pPr>
              <w:pStyle w:val="DHHStablecolhead"/>
            </w:pPr>
            <w:r w:rsidRPr="00AA71AD">
              <w:t>Amended section</w:t>
            </w:r>
          </w:p>
        </w:tc>
        <w:tc>
          <w:tcPr>
            <w:tcW w:w="2127" w:type="dxa"/>
            <w:shd w:val="clear" w:color="auto" w:fill="auto"/>
          </w:tcPr>
          <w:p w14:paraId="558C68D0" w14:textId="77777777" w:rsidR="00581DD5" w:rsidRPr="00AA71AD" w:rsidRDefault="00581DD5" w:rsidP="001208F1">
            <w:pPr>
              <w:pStyle w:val="DHHStablecolhead"/>
            </w:pPr>
            <w:r w:rsidRPr="00AA71AD">
              <w:t>Effective</w:t>
            </w:r>
          </w:p>
        </w:tc>
        <w:tc>
          <w:tcPr>
            <w:tcW w:w="3402" w:type="dxa"/>
          </w:tcPr>
          <w:p w14:paraId="069DCD1B" w14:textId="77777777" w:rsidR="00581DD5" w:rsidRPr="00AA71AD" w:rsidRDefault="00581DD5" w:rsidP="001208F1">
            <w:pPr>
              <w:pStyle w:val="DHHStablecolhead"/>
            </w:pPr>
            <w:r w:rsidRPr="00AA71AD">
              <w:t>Details</w:t>
            </w:r>
          </w:p>
        </w:tc>
      </w:tr>
      <w:tr w:rsidR="00581DD5" w:rsidRPr="00AA71AD" w14:paraId="699C16F6" w14:textId="77777777" w:rsidTr="00581DD5">
        <w:tc>
          <w:tcPr>
            <w:tcW w:w="1701" w:type="dxa"/>
            <w:shd w:val="clear" w:color="auto" w:fill="auto"/>
          </w:tcPr>
          <w:p w14:paraId="121F362F" w14:textId="77777777" w:rsidR="00581DD5" w:rsidRPr="001208F1" w:rsidRDefault="00581DD5" w:rsidP="001208F1">
            <w:pPr>
              <w:pStyle w:val="DHHStabletext"/>
            </w:pPr>
            <w:r>
              <w:t>1.0</w:t>
            </w:r>
          </w:p>
        </w:tc>
        <w:tc>
          <w:tcPr>
            <w:tcW w:w="2268" w:type="dxa"/>
          </w:tcPr>
          <w:p w14:paraId="526E75E0" w14:textId="77777777" w:rsidR="00581DD5" w:rsidRPr="00AA71AD" w:rsidRDefault="00581DD5" w:rsidP="002060C1">
            <w:pPr>
              <w:spacing w:before="80" w:after="60"/>
              <w:rPr>
                <w:rFonts w:ascii="Arial" w:hAnsi="Arial"/>
              </w:rPr>
            </w:pPr>
          </w:p>
        </w:tc>
        <w:tc>
          <w:tcPr>
            <w:tcW w:w="2127" w:type="dxa"/>
            <w:shd w:val="clear" w:color="auto" w:fill="auto"/>
          </w:tcPr>
          <w:p w14:paraId="72ACF32E" w14:textId="77777777" w:rsidR="00581DD5" w:rsidRPr="001208F1" w:rsidRDefault="00581DD5" w:rsidP="001208F1">
            <w:pPr>
              <w:pStyle w:val="DHHStabletext"/>
            </w:pPr>
            <w:r>
              <w:t>9 February 2015</w:t>
            </w:r>
          </w:p>
        </w:tc>
        <w:tc>
          <w:tcPr>
            <w:tcW w:w="3402" w:type="dxa"/>
          </w:tcPr>
          <w:p w14:paraId="6FFA1F9F" w14:textId="77777777" w:rsidR="00581DD5" w:rsidRPr="00AA71AD" w:rsidRDefault="00581DD5" w:rsidP="002060C1">
            <w:pPr>
              <w:spacing w:before="80" w:after="60"/>
              <w:rPr>
                <w:rFonts w:ascii="Arial" w:hAnsi="Arial"/>
              </w:rPr>
            </w:pPr>
          </w:p>
        </w:tc>
      </w:tr>
      <w:tr w:rsidR="00581DD5" w:rsidRPr="00AA71AD" w14:paraId="1D4052EA" w14:textId="77777777" w:rsidTr="00581DD5">
        <w:tc>
          <w:tcPr>
            <w:tcW w:w="1701" w:type="dxa"/>
            <w:shd w:val="clear" w:color="auto" w:fill="auto"/>
          </w:tcPr>
          <w:p w14:paraId="2429D37B" w14:textId="77777777" w:rsidR="00581DD5" w:rsidRDefault="00581DD5" w:rsidP="001208F1">
            <w:pPr>
              <w:pStyle w:val="DHHStabletext"/>
            </w:pPr>
            <w:r>
              <w:t>1.1</w:t>
            </w:r>
          </w:p>
        </w:tc>
        <w:tc>
          <w:tcPr>
            <w:tcW w:w="2268" w:type="dxa"/>
          </w:tcPr>
          <w:p w14:paraId="73A2CFAD" w14:textId="77777777" w:rsidR="00581DD5" w:rsidRPr="00AA71AD" w:rsidRDefault="00465355" w:rsidP="002060C1">
            <w:pPr>
              <w:spacing w:before="80" w:after="60"/>
              <w:rPr>
                <w:rFonts w:ascii="Arial" w:hAnsi="Arial"/>
              </w:rPr>
            </w:pPr>
            <w:r>
              <w:rPr>
                <w:rFonts w:ascii="Arial" w:hAnsi="Arial"/>
              </w:rPr>
              <w:t>Throughout</w:t>
            </w:r>
          </w:p>
        </w:tc>
        <w:tc>
          <w:tcPr>
            <w:tcW w:w="2127" w:type="dxa"/>
            <w:shd w:val="clear" w:color="auto" w:fill="auto"/>
          </w:tcPr>
          <w:p w14:paraId="48061051" w14:textId="77777777" w:rsidR="00581DD5" w:rsidRDefault="00581DD5" w:rsidP="001208F1">
            <w:pPr>
              <w:pStyle w:val="DHHStabletext"/>
            </w:pPr>
            <w:r>
              <w:t>July 2016</w:t>
            </w:r>
          </w:p>
        </w:tc>
        <w:tc>
          <w:tcPr>
            <w:tcW w:w="3402" w:type="dxa"/>
          </w:tcPr>
          <w:p w14:paraId="2BACBFA1" w14:textId="77777777" w:rsidR="00581DD5" w:rsidRDefault="00465355" w:rsidP="001208F1">
            <w:pPr>
              <w:pStyle w:val="DHHStabletext"/>
            </w:pPr>
            <w:r>
              <w:rPr>
                <w:rFonts w:ascii="Helv" w:hAnsi="Helv" w:cs="Helv"/>
                <w:color w:val="000000"/>
                <w:lang w:eastAsia="en-AU"/>
              </w:rPr>
              <w:t>Accessibility tag and imprint</w:t>
            </w:r>
          </w:p>
        </w:tc>
      </w:tr>
      <w:tr w:rsidR="00581DD5" w:rsidRPr="00AA71AD" w14:paraId="6B500FFB" w14:textId="77777777" w:rsidTr="00581DD5">
        <w:tc>
          <w:tcPr>
            <w:tcW w:w="1701" w:type="dxa"/>
            <w:shd w:val="clear" w:color="auto" w:fill="auto"/>
          </w:tcPr>
          <w:p w14:paraId="47B9A32A" w14:textId="77777777" w:rsidR="00581DD5" w:rsidRPr="00AA71AD" w:rsidRDefault="00581DD5" w:rsidP="001208F1">
            <w:pPr>
              <w:pStyle w:val="DHHStabletext"/>
            </w:pPr>
            <w:r>
              <w:t>2.0</w:t>
            </w:r>
          </w:p>
        </w:tc>
        <w:tc>
          <w:tcPr>
            <w:tcW w:w="2268" w:type="dxa"/>
          </w:tcPr>
          <w:p w14:paraId="37B55907" w14:textId="77777777" w:rsidR="00581DD5" w:rsidRPr="00AA71AD" w:rsidRDefault="00581DD5" w:rsidP="002060C1">
            <w:pPr>
              <w:spacing w:before="80" w:after="60"/>
              <w:rPr>
                <w:rFonts w:ascii="Arial" w:hAnsi="Arial"/>
              </w:rPr>
            </w:pPr>
          </w:p>
        </w:tc>
        <w:tc>
          <w:tcPr>
            <w:tcW w:w="2127" w:type="dxa"/>
            <w:shd w:val="clear" w:color="auto" w:fill="auto"/>
          </w:tcPr>
          <w:p w14:paraId="4325220E" w14:textId="77777777" w:rsidR="00581DD5" w:rsidRPr="00AA71AD" w:rsidRDefault="00581DD5" w:rsidP="001208F1">
            <w:pPr>
              <w:pStyle w:val="DHHStabletext"/>
            </w:pPr>
            <w:r>
              <w:t>J</w:t>
            </w:r>
            <w:r w:rsidR="009E31C0">
              <w:t>uly</w:t>
            </w:r>
            <w:r>
              <w:t xml:space="preserve"> 2017</w:t>
            </w:r>
          </w:p>
        </w:tc>
        <w:tc>
          <w:tcPr>
            <w:tcW w:w="3402" w:type="dxa"/>
          </w:tcPr>
          <w:p w14:paraId="02985BFD" w14:textId="77777777" w:rsidR="00581DD5" w:rsidRDefault="00581DD5" w:rsidP="002060C1">
            <w:pPr>
              <w:spacing w:before="80" w:after="60"/>
              <w:rPr>
                <w:rFonts w:ascii="Arial" w:hAnsi="Arial"/>
              </w:rPr>
            </w:pPr>
            <w:r>
              <w:rPr>
                <w:rFonts w:ascii="Arial" w:hAnsi="Arial"/>
              </w:rPr>
              <w:t>Incorporation of ‘version control table’</w:t>
            </w:r>
          </w:p>
          <w:p w14:paraId="2A0DB7C7" w14:textId="77777777" w:rsidR="009E31C0" w:rsidRPr="00AA71AD" w:rsidRDefault="009E31C0" w:rsidP="00CD7C47">
            <w:pPr>
              <w:spacing w:before="80" w:after="60"/>
              <w:rPr>
                <w:rFonts w:ascii="Arial" w:hAnsi="Arial"/>
              </w:rPr>
            </w:pPr>
            <w:r>
              <w:rPr>
                <w:rFonts w:ascii="Arial" w:hAnsi="Arial"/>
              </w:rPr>
              <w:t xml:space="preserve">Reference to </w:t>
            </w:r>
            <w:r w:rsidR="00CD7C47">
              <w:rPr>
                <w:rFonts w:ascii="Arial" w:hAnsi="Arial"/>
              </w:rPr>
              <w:t>home modifications for NDIS participants</w:t>
            </w:r>
          </w:p>
        </w:tc>
      </w:tr>
      <w:tr w:rsidR="00C61C3D" w:rsidRPr="00AA71AD" w14:paraId="4C231590" w14:textId="77777777" w:rsidTr="00581DD5">
        <w:tc>
          <w:tcPr>
            <w:tcW w:w="1701" w:type="dxa"/>
            <w:shd w:val="clear" w:color="auto" w:fill="auto"/>
          </w:tcPr>
          <w:p w14:paraId="7981F3FC" w14:textId="77777777" w:rsidR="00C61C3D" w:rsidRDefault="00C61C3D" w:rsidP="001208F1">
            <w:pPr>
              <w:pStyle w:val="DHHStabletext"/>
            </w:pPr>
            <w:r>
              <w:t>3.0</w:t>
            </w:r>
          </w:p>
        </w:tc>
        <w:tc>
          <w:tcPr>
            <w:tcW w:w="2268" w:type="dxa"/>
          </w:tcPr>
          <w:p w14:paraId="097A08A8" w14:textId="77777777" w:rsidR="00C61C3D" w:rsidRPr="00AA71AD" w:rsidRDefault="00C61C3D" w:rsidP="002060C1">
            <w:pPr>
              <w:spacing w:before="80" w:after="60"/>
              <w:rPr>
                <w:rFonts w:ascii="Arial" w:hAnsi="Arial"/>
              </w:rPr>
            </w:pPr>
            <w:r>
              <w:rPr>
                <w:rFonts w:ascii="Arial" w:hAnsi="Arial"/>
              </w:rPr>
              <w:t>Throughout</w:t>
            </w:r>
          </w:p>
        </w:tc>
        <w:tc>
          <w:tcPr>
            <w:tcW w:w="2127" w:type="dxa"/>
            <w:shd w:val="clear" w:color="auto" w:fill="auto"/>
          </w:tcPr>
          <w:p w14:paraId="29AABD1F" w14:textId="6BE82546" w:rsidR="00C61C3D" w:rsidRDefault="009C561B" w:rsidP="001208F1">
            <w:pPr>
              <w:pStyle w:val="DHHStabletext"/>
            </w:pPr>
            <w:r>
              <w:t>September</w:t>
            </w:r>
            <w:r w:rsidR="00C61C3D">
              <w:t xml:space="preserve"> 2019</w:t>
            </w:r>
          </w:p>
        </w:tc>
        <w:tc>
          <w:tcPr>
            <w:tcW w:w="3402" w:type="dxa"/>
          </w:tcPr>
          <w:p w14:paraId="1626088F" w14:textId="74A5E0B9" w:rsidR="00C61C3D" w:rsidRDefault="00C61C3D" w:rsidP="002060C1">
            <w:pPr>
              <w:spacing w:before="80" w:after="60"/>
              <w:rPr>
                <w:rFonts w:ascii="Arial" w:hAnsi="Arial"/>
              </w:rPr>
            </w:pPr>
            <w:r>
              <w:rPr>
                <w:rFonts w:ascii="Arial" w:hAnsi="Arial"/>
              </w:rPr>
              <w:t>Special Housing Requirements updated to Special Accommodation Requirements</w:t>
            </w:r>
            <w:r w:rsidR="00691E57">
              <w:rPr>
                <w:rFonts w:ascii="Arial" w:hAnsi="Arial"/>
              </w:rPr>
              <w:t xml:space="preserve"> (SARs)</w:t>
            </w:r>
            <w:r>
              <w:rPr>
                <w:rFonts w:ascii="Arial" w:hAnsi="Arial"/>
              </w:rPr>
              <w:t xml:space="preserve"> to align with treatment of SAR</w:t>
            </w:r>
            <w:r w:rsidR="003509A7">
              <w:rPr>
                <w:rFonts w:ascii="Arial" w:hAnsi="Arial"/>
              </w:rPr>
              <w:t>s</w:t>
            </w:r>
            <w:r>
              <w:rPr>
                <w:rFonts w:ascii="Arial" w:hAnsi="Arial"/>
              </w:rPr>
              <w:t xml:space="preserve"> in </w:t>
            </w:r>
            <w:proofErr w:type="spellStart"/>
            <w:r>
              <w:rPr>
                <w:rFonts w:ascii="Arial" w:hAnsi="Arial"/>
              </w:rPr>
              <w:t>HiiP</w:t>
            </w:r>
            <w:proofErr w:type="spellEnd"/>
          </w:p>
        </w:tc>
      </w:tr>
      <w:tr w:rsidR="00C532D5" w:rsidRPr="00AA71AD" w14:paraId="4C2E0D52" w14:textId="77777777" w:rsidTr="00581DD5">
        <w:tc>
          <w:tcPr>
            <w:tcW w:w="1701" w:type="dxa"/>
            <w:shd w:val="clear" w:color="auto" w:fill="auto"/>
          </w:tcPr>
          <w:p w14:paraId="2A699F27" w14:textId="5CBAC3AD" w:rsidR="00C532D5" w:rsidRDefault="00C532D5" w:rsidP="001208F1">
            <w:pPr>
              <w:pStyle w:val="DHHStabletext"/>
            </w:pPr>
            <w:r>
              <w:t>4.0</w:t>
            </w:r>
          </w:p>
        </w:tc>
        <w:tc>
          <w:tcPr>
            <w:tcW w:w="2268" w:type="dxa"/>
          </w:tcPr>
          <w:p w14:paraId="310B6C64" w14:textId="73CB8D0A" w:rsidR="00C532D5" w:rsidRDefault="00C532D5" w:rsidP="002060C1">
            <w:pPr>
              <w:spacing w:before="80" w:after="60"/>
              <w:rPr>
                <w:rFonts w:ascii="Arial" w:hAnsi="Arial"/>
              </w:rPr>
            </w:pPr>
            <w:r>
              <w:rPr>
                <w:rFonts w:ascii="Arial" w:hAnsi="Arial"/>
              </w:rPr>
              <w:t>Medical Cooling</w:t>
            </w:r>
          </w:p>
        </w:tc>
        <w:tc>
          <w:tcPr>
            <w:tcW w:w="2127" w:type="dxa"/>
            <w:shd w:val="clear" w:color="auto" w:fill="auto"/>
          </w:tcPr>
          <w:p w14:paraId="1E4A0E46" w14:textId="48B6A934" w:rsidR="00C532D5" w:rsidRDefault="00C532D5" w:rsidP="001208F1">
            <w:pPr>
              <w:pStyle w:val="DHHStabletext"/>
            </w:pPr>
            <w:r>
              <w:t>October 2020</w:t>
            </w:r>
          </w:p>
        </w:tc>
        <w:tc>
          <w:tcPr>
            <w:tcW w:w="3402" w:type="dxa"/>
          </w:tcPr>
          <w:p w14:paraId="1A125405" w14:textId="0A252128" w:rsidR="00C532D5" w:rsidRDefault="00C532D5" w:rsidP="002060C1">
            <w:pPr>
              <w:spacing w:before="80" w:after="60"/>
              <w:rPr>
                <w:rFonts w:ascii="Arial" w:hAnsi="Arial"/>
              </w:rPr>
            </w:pPr>
            <w:r>
              <w:rPr>
                <w:rFonts w:ascii="Arial" w:hAnsi="Arial"/>
              </w:rPr>
              <w:t>Redefining the hottest part of Victoria as a zone in which all dwellings are eligible for the installation of air conditioning</w:t>
            </w:r>
          </w:p>
        </w:tc>
      </w:tr>
    </w:tbl>
    <w:p w14:paraId="29A48B83" w14:textId="77777777" w:rsidR="0088552B" w:rsidRDefault="0088552B" w:rsidP="00581DD5">
      <w:pPr>
        <w:pStyle w:val="DHHSaccessibilitypara"/>
      </w:pPr>
    </w:p>
    <w:p w14:paraId="6D2E6EBE" w14:textId="2888D9C3" w:rsidR="00581DD5" w:rsidRPr="0063162C" w:rsidRDefault="0088552B" w:rsidP="00581DD5">
      <w:pPr>
        <w:pStyle w:val="DHHSaccessibilitypara"/>
      </w:pPr>
      <w:r>
        <w:br/>
      </w:r>
      <w:r w:rsidR="00581DD5" w:rsidRPr="0063162C">
        <w:t>To receive this publication in an accessible format</w:t>
      </w:r>
      <w:r w:rsidR="00581DD5">
        <w:t xml:space="preserve"> </w:t>
      </w:r>
      <w:hyperlink r:id="rId18" w:history="1">
        <w:r w:rsidR="00F80695" w:rsidRPr="00F80695">
          <w:rPr>
            <w:rStyle w:val="Hyperlink"/>
          </w:rPr>
          <w:t>contact the department</w:t>
        </w:r>
      </w:hyperlink>
      <w:r w:rsidR="00F80695">
        <w:t xml:space="preserve"> &lt;https://www.dhhs.vic.gov.au/contact&gt; </w:t>
      </w:r>
      <w:r w:rsidR="00581DD5" w:rsidRPr="0063162C">
        <w:t>using the National Relay Service 13 36 77 if required.</w:t>
      </w:r>
    </w:p>
    <w:p w14:paraId="295B53A7" w14:textId="77777777" w:rsidR="00581DD5" w:rsidRPr="0063162C" w:rsidRDefault="00581DD5" w:rsidP="00581DD5">
      <w:pPr>
        <w:pStyle w:val="DHHSaccessibilitypara"/>
        <w:spacing w:after="120"/>
      </w:pPr>
      <w:r w:rsidRPr="0063162C">
        <w:t>Authorised and published by the Victorian Government, 1 Treasury Place, Melbourne.</w:t>
      </w:r>
    </w:p>
    <w:p w14:paraId="2FA50569" w14:textId="28555843" w:rsidR="00581DD5" w:rsidRDefault="00581DD5" w:rsidP="00581DD5">
      <w:pPr>
        <w:pStyle w:val="DHHSaccessibilitypara"/>
        <w:spacing w:after="120"/>
      </w:pPr>
      <w:r w:rsidRPr="0063162C">
        <w:t xml:space="preserve">© State of Victoria, Department of Health and Human </w:t>
      </w:r>
      <w:r>
        <w:t xml:space="preserve">Services, </w:t>
      </w:r>
      <w:r w:rsidR="0088552B">
        <w:t>October 2020</w:t>
      </w:r>
      <w:r w:rsidRPr="0063162C">
        <w:t>.</w:t>
      </w:r>
    </w:p>
    <w:p w14:paraId="68CD5B84" w14:textId="2170A530" w:rsidR="00581DD5" w:rsidRPr="00E85CEE" w:rsidRDefault="00581DD5" w:rsidP="00581DD5">
      <w:pPr>
        <w:pStyle w:val="DHHSaccessibilitypara"/>
        <w:spacing w:after="120"/>
      </w:pPr>
      <w:r>
        <w:t xml:space="preserve">ISBN: </w:t>
      </w:r>
      <w:r w:rsidR="00832C71">
        <w:t xml:space="preserve"> </w:t>
      </w:r>
      <w:r w:rsidR="00B05F86">
        <w:rPr>
          <w:rFonts w:cs="Arial"/>
          <w:color w:val="000000"/>
        </w:rPr>
        <w:t>978-1-76096-316-3</w:t>
      </w:r>
      <w:r w:rsidR="00B05F86">
        <w:rPr>
          <w:rFonts w:cs="Arial"/>
          <w:b/>
          <w:bCs/>
          <w:color w:val="000000"/>
        </w:rPr>
        <w:t xml:space="preserve"> </w:t>
      </w:r>
      <w:r w:rsidR="00E85CEE" w:rsidRPr="00E85CEE">
        <w:rPr>
          <w:rFonts w:cs="Arial"/>
          <w:bCs/>
          <w:color w:val="000000"/>
        </w:rPr>
        <w:t>(pdf/online/MS word)</w:t>
      </w:r>
    </w:p>
    <w:p w14:paraId="293CD702" w14:textId="77777777" w:rsidR="00581DD5" w:rsidRPr="00FE0449" w:rsidRDefault="00581DD5" w:rsidP="00581DD5">
      <w:pPr>
        <w:pStyle w:val="DHHSaccessibilitypara"/>
        <w:spacing w:after="120"/>
      </w:pPr>
      <w:r>
        <w:t xml:space="preserve">Available at the </w:t>
      </w:r>
      <w:hyperlink r:id="rId19" w:history="1">
        <w:r w:rsidR="009605B4" w:rsidRPr="001C14D1">
          <w:rPr>
            <w:rStyle w:val="Hyperlink"/>
          </w:rPr>
          <w:t>Department’s Service Providers website</w:t>
        </w:r>
      </w:hyperlink>
      <w:r>
        <w:t xml:space="preserve"> &lt;</w:t>
      </w:r>
      <w:r w:rsidR="00F21CD5" w:rsidRPr="00FE0449">
        <w:rPr>
          <w:rFonts w:ascii="Helv" w:hAnsi="Helv" w:cs="Helv"/>
          <w:bCs/>
          <w:color w:val="000000"/>
          <w:lang w:eastAsia="en-AU"/>
        </w:rPr>
        <w:t>http://providers.vic.gov.au</w:t>
      </w:r>
      <w:r w:rsidRPr="00FE0449">
        <w:t>&gt;</w:t>
      </w:r>
    </w:p>
    <w:p w14:paraId="1E112B77" w14:textId="77777777" w:rsidR="00ED4D17" w:rsidRPr="003072C6" w:rsidRDefault="00581DD5" w:rsidP="001E53A0">
      <w:pPr>
        <w:pStyle w:val="DHHSaccessibilitypara"/>
        <w:spacing w:after="120"/>
      </w:pPr>
      <w:r>
        <w:br w:type="page"/>
      </w:r>
    </w:p>
    <w:p w14:paraId="13BD2F80" w14:textId="77777777" w:rsidR="00AC0C3B" w:rsidRPr="004D3197" w:rsidRDefault="00AC0C3B" w:rsidP="004D3197">
      <w:pPr>
        <w:pStyle w:val="Heading1"/>
      </w:pPr>
      <w:bookmarkStart w:id="2" w:name="_Toc62125237"/>
      <w:r w:rsidRPr="00636934">
        <w:lastRenderedPageBreak/>
        <w:t>Contents</w:t>
      </w:r>
      <w:bookmarkEnd w:id="2"/>
    </w:p>
    <w:p w14:paraId="13B2EDC3" w14:textId="3822FCB5" w:rsidR="0088552B"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62125236" w:history="1">
        <w:r w:rsidR="0088552B" w:rsidRPr="00AD107B">
          <w:rPr>
            <w:rStyle w:val="Hyperlink"/>
          </w:rPr>
          <w:t>Revision history</w:t>
        </w:r>
        <w:r w:rsidR="0088552B">
          <w:rPr>
            <w:webHidden/>
          </w:rPr>
          <w:tab/>
        </w:r>
        <w:r w:rsidR="0088552B">
          <w:rPr>
            <w:webHidden/>
          </w:rPr>
          <w:fldChar w:fldCharType="begin"/>
        </w:r>
        <w:r w:rsidR="0088552B">
          <w:rPr>
            <w:webHidden/>
          </w:rPr>
          <w:instrText xml:space="preserve"> PAGEREF _Toc62125236 \h </w:instrText>
        </w:r>
        <w:r w:rsidR="0088552B">
          <w:rPr>
            <w:webHidden/>
          </w:rPr>
        </w:r>
        <w:r w:rsidR="0088552B">
          <w:rPr>
            <w:webHidden/>
          </w:rPr>
          <w:fldChar w:fldCharType="separate"/>
        </w:r>
        <w:r w:rsidR="0088552B">
          <w:rPr>
            <w:webHidden/>
          </w:rPr>
          <w:t>2</w:t>
        </w:r>
        <w:r w:rsidR="0088552B">
          <w:rPr>
            <w:webHidden/>
          </w:rPr>
          <w:fldChar w:fldCharType="end"/>
        </w:r>
      </w:hyperlink>
    </w:p>
    <w:p w14:paraId="5258004B" w14:textId="621E4200" w:rsidR="0088552B" w:rsidRDefault="00D46D9B">
      <w:pPr>
        <w:pStyle w:val="TOC1"/>
        <w:rPr>
          <w:rFonts w:asciiTheme="minorHAnsi" w:eastAsiaTheme="minorEastAsia" w:hAnsiTheme="minorHAnsi" w:cstheme="minorBidi"/>
          <w:b w:val="0"/>
          <w:sz w:val="22"/>
          <w:szCs w:val="22"/>
          <w:lang w:eastAsia="en-AU"/>
        </w:rPr>
      </w:pPr>
      <w:hyperlink w:anchor="_Toc62125237" w:history="1">
        <w:r w:rsidR="0088552B" w:rsidRPr="00AD107B">
          <w:rPr>
            <w:rStyle w:val="Hyperlink"/>
          </w:rPr>
          <w:t>Contents</w:t>
        </w:r>
        <w:r w:rsidR="0088552B">
          <w:rPr>
            <w:webHidden/>
          </w:rPr>
          <w:tab/>
        </w:r>
        <w:r w:rsidR="0088552B">
          <w:rPr>
            <w:webHidden/>
          </w:rPr>
          <w:fldChar w:fldCharType="begin"/>
        </w:r>
        <w:r w:rsidR="0088552B">
          <w:rPr>
            <w:webHidden/>
          </w:rPr>
          <w:instrText xml:space="preserve"> PAGEREF _Toc62125237 \h </w:instrText>
        </w:r>
        <w:r w:rsidR="0088552B">
          <w:rPr>
            <w:webHidden/>
          </w:rPr>
        </w:r>
        <w:r w:rsidR="0088552B">
          <w:rPr>
            <w:webHidden/>
          </w:rPr>
          <w:fldChar w:fldCharType="separate"/>
        </w:r>
        <w:r w:rsidR="0088552B">
          <w:rPr>
            <w:webHidden/>
          </w:rPr>
          <w:t>3</w:t>
        </w:r>
        <w:r w:rsidR="0088552B">
          <w:rPr>
            <w:webHidden/>
          </w:rPr>
          <w:fldChar w:fldCharType="end"/>
        </w:r>
      </w:hyperlink>
    </w:p>
    <w:p w14:paraId="15102EC4" w14:textId="71861DCA" w:rsidR="0088552B" w:rsidRDefault="00D46D9B">
      <w:pPr>
        <w:pStyle w:val="TOC1"/>
        <w:rPr>
          <w:rFonts w:asciiTheme="minorHAnsi" w:eastAsiaTheme="minorEastAsia" w:hAnsiTheme="minorHAnsi" w:cstheme="minorBidi"/>
          <w:b w:val="0"/>
          <w:sz w:val="22"/>
          <w:szCs w:val="22"/>
          <w:lang w:eastAsia="en-AU"/>
        </w:rPr>
      </w:pPr>
      <w:hyperlink w:anchor="_Toc62125238" w:history="1">
        <w:r w:rsidR="0088552B" w:rsidRPr="00AD107B">
          <w:rPr>
            <w:rStyle w:val="Hyperlink"/>
          </w:rPr>
          <w:t>When do these operational guidelines apply?</w:t>
        </w:r>
        <w:r w:rsidR="0088552B">
          <w:rPr>
            <w:webHidden/>
          </w:rPr>
          <w:tab/>
        </w:r>
        <w:r w:rsidR="0088552B">
          <w:rPr>
            <w:webHidden/>
          </w:rPr>
          <w:fldChar w:fldCharType="begin"/>
        </w:r>
        <w:r w:rsidR="0088552B">
          <w:rPr>
            <w:webHidden/>
          </w:rPr>
          <w:instrText xml:space="preserve"> PAGEREF _Toc62125238 \h </w:instrText>
        </w:r>
        <w:r w:rsidR="0088552B">
          <w:rPr>
            <w:webHidden/>
          </w:rPr>
        </w:r>
        <w:r w:rsidR="0088552B">
          <w:rPr>
            <w:webHidden/>
          </w:rPr>
          <w:fldChar w:fldCharType="separate"/>
        </w:r>
        <w:r w:rsidR="0088552B">
          <w:rPr>
            <w:webHidden/>
          </w:rPr>
          <w:t>4</w:t>
        </w:r>
        <w:r w:rsidR="0088552B">
          <w:rPr>
            <w:webHidden/>
          </w:rPr>
          <w:fldChar w:fldCharType="end"/>
        </w:r>
      </w:hyperlink>
    </w:p>
    <w:p w14:paraId="28DECFCC" w14:textId="6C6BE85A" w:rsidR="0088552B" w:rsidRDefault="00D46D9B">
      <w:pPr>
        <w:pStyle w:val="TOC2"/>
        <w:rPr>
          <w:rFonts w:asciiTheme="minorHAnsi" w:eastAsiaTheme="minorEastAsia" w:hAnsiTheme="minorHAnsi" w:cstheme="minorBidi"/>
          <w:sz w:val="22"/>
          <w:szCs w:val="22"/>
          <w:lang w:eastAsia="en-AU"/>
        </w:rPr>
      </w:pPr>
      <w:hyperlink w:anchor="_Toc62125239" w:history="1">
        <w:r w:rsidR="0088552B" w:rsidRPr="00AD107B">
          <w:rPr>
            <w:rStyle w:val="Hyperlink"/>
          </w:rPr>
          <w:t>Human rights considerations</w:t>
        </w:r>
        <w:r w:rsidR="0088552B">
          <w:rPr>
            <w:webHidden/>
          </w:rPr>
          <w:tab/>
        </w:r>
        <w:r w:rsidR="0088552B">
          <w:rPr>
            <w:webHidden/>
          </w:rPr>
          <w:fldChar w:fldCharType="begin"/>
        </w:r>
        <w:r w:rsidR="0088552B">
          <w:rPr>
            <w:webHidden/>
          </w:rPr>
          <w:instrText xml:space="preserve"> PAGEREF _Toc62125239 \h </w:instrText>
        </w:r>
        <w:r w:rsidR="0088552B">
          <w:rPr>
            <w:webHidden/>
          </w:rPr>
        </w:r>
        <w:r w:rsidR="0088552B">
          <w:rPr>
            <w:webHidden/>
          </w:rPr>
          <w:fldChar w:fldCharType="separate"/>
        </w:r>
        <w:r w:rsidR="0088552B">
          <w:rPr>
            <w:webHidden/>
          </w:rPr>
          <w:t>4</w:t>
        </w:r>
        <w:r w:rsidR="0088552B">
          <w:rPr>
            <w:webHidden/>
          </w:rPr>
          <w:fldChar w:fldCharType="end"/>
        </w:r>
      </w:hyperlink>
    </w:p>
    <w:p w14:paraId="06D6A09A" w14:textId="37AF9853" w:rsidR="0088552B" w:rsidRDefault="00D46D9B">
      <w:pPr>
        <w:pStyle w:val="TOC2"/>
        <w:rPr>
          <w:rFonts w:asciiTheme="minorHAnsi" w:eastAsiaTheme="minorEastAsia" w:hAnsiTheme="minorHAnsi" w:cstheme="minorBidi"/>
          <w:sz w:val="22"/>
          <w:szCs w:val="22"/>
          <w:lang w:eastAsia="en-AU"/>
        </w:rPr>
      </w:pPr>
      <w:hyperlink w:anchor="_Toc62125240" w:history="1">
        <w:r w:rsidR="0088552B" w:rsidRPr="00AD107B">
          <w:rPr>
            <w:rStyle w:val="Hyperlink"/>
          </w:rPr>
          <w:t>Overview</w:t>
        </w:r>
        <w:r w:rsidR="0088552B">
          <w:rPr>
            <w:webHidden/>
          </w:rPr>
          <w:tab/>
        </w:r>
        <w:r w:rsidR="0088552B">
          <w:rPr>
            <w:webHidden/>
          </w:rPr>
          <w:fldChar w:fldCharType="begin"/>
        </w:r>
        <w:r w:rsidR="0088552B">
          <w:rPr>
            <w:webHidden/>
          </w:rPr>
          <w:instrText xml:space="preserve"> PAGEREF _Toc62125240 \h </w:instrText>
        </w:r>
        <w:r w:rsidR="0088552B">
          <w:rPr>
            <w:webHidden/>
          </w:rPr>
        </w:r>
        <w:r w:rsidR="0088552B">
          <w:rPr>
            <w:webHidden/>
          </w:rPr>
          <w:fldChar w:fldCharType="separate"/>
        </w:r>
        <w:r w:rsidR="0088552B">
          <w:rPr>
            <w:webHidden/>
          </w:rPr>
          <w:t>4</w:t>
        </w:r>
        <w:r w:rsidR="0088552B">
          <w:rPr>
            <w:webHidden/>
          </w:rPr>
          <w:fldChar w:fldCharType="end"/>
        </w:r>
      </w:hyperlink>
    </w:p>
    <w:p w14:paraId="72DBDF1A" w14:textId="53C043D6" w:rsidR="0088552B" w:rsidRDefault="00D46D9B">
      <w:pPr>
        <w:pStyle w:val="TOC2"/>
        <w:rPr>
          <w:rFonts w:asciiTheme="minorHAnsi" w:eastAsiaTheme="minorEastAsia" w:hAnsiTheme="minorHAnsi" w:cstheme="minorBidi"/>
          <w:sz w:val="22"/>
          <w:szCs w:val="22"/>
          <w:lang w:eastAsia="en-AU"/>
        </w:rPr>
      </w:pPr>
      <w:hyperlink w:anchor="_Toc62125241" w:history="1">
        <w:r w:rsidR="0088552B" w:rsidRPr="00AD107B">
          <w:rPr>
            <w:rStyle w:val="Hyperlink"/>
          </w:rPr>
          <w:t>Operating principles: special accommodation requirements</w:t>
        </w:r>
        <w:r w:rsidR="0088552B">
          <w:rPr>
            <w:webHidden/>
          </w:rPr>
          <w:tab/>
        </w:r>
        <w:r w:rsidR="0088552B">
          <w:rPr>
            <w:webHidden/>
          </w:rPr>
          <w:fldChar w:fldCharType="begin"/>
        </w:r>
        <w:r w:rsidR="0088552B">
          <w:rPr>
            <w:webHidden/>
          </w:rPr>
          <w:instrText xml:space="preserve"> PAGEREF _Toc62125241 \h </w:instrText>
        </w:r>
        <w:r w:rsidR="0088552B">
          <w:rPr>
            <w:webHidden/>
          </w:rPr>
        </w:r>
        <w:r w:rsidR="0088552B">
          <w:rPr>
            <w:webHidden/>
          </w:rPr>
          <w:fldChar w:fldCharType="separate"/>
        </w:r>
        <w:r w:rsidR="0088552B">
          <w:rPr>
            <w:webHidden/>
          </w:rPr>
          <w:t>4</w:t>
        </w:r>
        <w:r w:rsidR="0088552B">
          <w:rPr>
            <w:webHidden/>
          </w:rPr>
          <w:fldChar w:fldCharType="end"/>
        </w:r>
      </w:hyperlink>
    </w:p>
    <w:p w14:paraId="780ADA42" w14:textId="2FC5BDC0" w:rsidR="0088552B" w:rsidRDefault="00D46D9B">
      <w:pPr>
        <w:pStyle w:val="TOC2"/>
        <w:rPr>
          <w:rFonts w:asciiTheme="minorHAnsi" w:eastAsiaTheme="minorEastAsia" w:hAnsiTheme="minorHAnsi" w:cstheme="minorBidi"/>
          <w:sz w:val="22"/>
          <w:szCs w:val="22"/>
          <w:lang w:eastAsia="en-AU"/>
        </w:rPr>
      </w:pPr>
      <w:hyperlink w:anchor="_Toc62125242" w:history="1">
        <w:r w:rsidR="0088552B" w:rsidRPr="00AD107B">
          <w:rPr>
            <w:rStyle w:val="Hyperlink"/>
          </w:rPr>
          <w:t>Applying for special accommodation requirements as a current public housing tenant</w:t>
        </w:r>
        <w:r w:rsidR="0088552B">
          <w:rPr>
            <w:webHidden/>
          </w:rPr>
          <w:tab/>
        </w:r>
        <w:r w:rsidR="0088552B">
          <w:rPr>
            <w:webHidden/>
          </w:rPr>
          <w:fldChar w:fldCharType="begin"/>
        </w:r>
        <w:r w:rsidR="0088552B">
          <w:rPr>
            <w:webHidden/>
          </w:rPr>
          <w:instrText xml:space="preserve"> PAGEREF _Toc62125242 \h </w:instrText>
        </w:r>
        <w:r w:rsidR="0088552B">
          <w:rPr>
            <w:webHidden/>
          </w:rPr>
        </w:r>
        <w:r w:rsidR="0088552B">
          <w:rPr>
            <w:webHidden/>
          </w:rPr>
          <w:fldChar w:fldCharType="separate"/>
        </w:r>
        <w:r w:rsidR="0088552B">
          <w:rPr>
            <w:webHidden/>
          </w:rPr>
          <w:t>5</w:t>
        </w:r>
        <w:r w:rsidR="0088552B">
          <w:rPr>
            <w:webHidden/>
          </w:rPr>
          <w:fldChar w:fldCharType="end"/>
        </w:r>
      </w:hyperlink>
    </w:p>
    <w:p w14:paraId="536412E2" w14:textId="18368B12" w:rsidR="0088552B" w:rsidRDefault="00D46D9B">
      <w:pPr>
        <w:pStyle w:val="TOC2"/>
        <w:rPr>
          <w:rFonts w:asciiTheme="minorHAnsi" w:eastAsiaTheme="minorEastAsia" w:hAnsiTheme="minorHAnsi" w:cstheme="minorBidi"/>
          <w:sz w:val="22"/>
          <w:szCs w:val="22"/>
          <w:lang w:eastAsia="en-AU"/>
        </w:rPr>
      </w:pPr>
      <w:hyperlink w:anchor="_Toc62125243" w:history="1">
        <w:r w:rsidR="0088552B" w:rsidRPr="00AD107B">
          <w:rPr>
            <w:rStyle w:val="Hyperlink"/>
            <w:lang w:eastAsia="en-AU"/>
          </w:rPr>
          <w:t>Recommending and approving special accommodation requirements for current public housing tenants</w:t>
        </w:r>
        <w:r w:rsidR="0088552B">
          <w:rPr>
            <w:webHidden/>
          </w:rPr>
          <w:tab/>
        </w:r>
        <w:r w:rsidR="0088552B">
          <w:rPr>
            <w:webHidden/>
          </w:rPr>
          <w:fldChar w:fldCharType="begin"/>
        </w:r>
        <w:r w:rsidR="0088552B">
          <w:rPr>
            <w:webHidden/>
          </w:rPr>
          <w:instrText xml:space="preserve"> PAGEREF _Toc62125243 \h </w:instrText>
        </w:r>
        <w:r w:rsidR="0088552B">
          <w:rPr>
            <w:webHidden/>
          </w:rPr>
        </w:r>
        <w:r w:rsidR="0088552B">
          <w:rPr>
            <w:webHidden/>
          </w:rPr>
          <w:fldChar w:fldCharType="separate"/>
        </w:r>
        <w:r w:rsidR="0088552B">
          <w:rPr>
            <w:webHidden/>
          </w:rPr>
          <w:t>5</w:t>
        </w:r>
        <w:r w:rsidR="0088552B">
          <w:rPr>
            <w:webHidden/>
          </w:rPr>
          <w:fldChar w:fldCharType="end"/>
        </w:r>
      </w:hyperlink>
    </w:p>
    <w:p w14:paraId="41353A26" w14:textId="43B31DD4" w:rsidR="0088552B" w:rsidRDefault="00D46D9B">
      <w:pPr>
        <w:pStyle w:val="TOC2"/>
        <w:rPr>
          <w:rFonts w:asciiTheme="minorHAnsi" w:eastAsiaTheme="minorEastAsia" w:hAnsiTheme="minorHAnsi" w:cstheme="minorBidi"/>
          <w:sz w:val="22"/>
          <w:szCs w:val="22"/>
          <w:lang w:eastAsia="en-AU"/>
        </w:rPr>
      </w:pPr>
      <w:hyperlink w:anchor="_Toc62125244" w:history="1">
        <w:r w:rsidR="0088552B" w:rsidRPr="00AD107B">
          <w:rPr>
            <w:rStyle w:val="Hyperlink"/>
            <w:lang w:eastAsia="en-AU"/>
          </w:rPr>
          <w:t>Installing special accommodation requirements at the current property after they are approved</w:t>
        </w:r>
        <w:r w:rsidR="0088552B">
          <w:rPr>
            <w:webHidden/>
          </w:rPr>
          <w:tab/>
        </w:r>
        <w:r w:rsidR="0088552B">
          <w:rPr>
            <w:webHidden/>
          </w:rPr>
          <w:fldChar w:fldCharType="begin"/>
        </w:r>
        <w:r w:rsidR="0088552B">
          <w:rPr>
            <w:webHidden/>
          </w:rPr>
          <w:instrText xml:space="preserve"> PAGEREF _Toc62125244 \h </w:instrText>
        </w:r>
        <w:r w:rsidR="0088552B">
          <w:rPr>
            <w:webHidden/>
          </w:rPr>
        </w:r>
        <w:r w:rsidR="0088552B">
          <w:rPr>
            <w:webHidden/>
          </w:rPr>
          <w:fldChar w:fldCharType="separate"/>
        </w:r>
        <w:r w:rsidR="0088552B">
          <w:rPr>
            <w:webHidden/>
          </w:rPr>
          <w:t>6</w:t>
        </w:r>
        <w:r w:rsidR="0088552B">
          <w:rPr>
            <w:webHidden/>
          </w:rPr>
          <w:fldChar w:fldCharType="end"/>
        </w:r>
      </w:hyperlink>
    </w:p>
    <w:p w14:paraId="320499AC" w14:textId="64F82AE7" w:rsidR="0088552B" w:rsidRDefault="00D46D9B">
      <w:pPr>
        <w:pStyle w:val="TOC2"/>
        <w:rPr>
          <w:rFonts w:asciiTheme="minorHAnsi" w:eastAsiaTheme="minorEastAsia" w:hAnsiTheme="minorHAnsi" w:cstheme="minorBidi"/>
          <w:sz w:val="22"/>
          <w:szCs w:val="22"/>
          <w:lang w:eastAsia="en-AU"/>
        </w:rPr>
      </w:pPr>
      <w:hyperlink w:anchor="_Toc62125245" w:history="1">
        <w:r w:rsidR="0088552B" w:rsidRPr="00AD107B">
          <w:rPr>
            <w:rStyle w:val="Hyperlink"/>
          </w:rPr>
          <w:t>National Disability Insurance Scheme (NDIS) and home modifications in public housing</w:t>
        </w:r>
        <w:r w:rsidR="0088552B">
          <w:rPr>
            <w:webHidden/>
          </w:rPr>
          <w:tab/>
        </w:r>
        <w:r w:rsidR="0088552B">
          <w:rPr>
            <w:webHidden/>
          </w:rPr>
          <w:fldChar w:fldCharType="begin"/>
        </w:r>
        <w:r w:rsidR="0088552B">
          <w:rPr>
            <w:webHidden/>
          </w:rPr>
          <w:instrText xml:space="preserve"> PAGEREF _Toc62125245 \h </w:instrText>
        </w:r>
        <w:r w:rsidR="0088552B">
          <w:rPr>
            <w:webHidden/>
          </w:rPr>
        </w:r>
        <w:r w:rsidR="0088552B">
          <w:rPr>
            <w:webHidden/>
          </w:rPr>
          <w:fldChar w:fldCharType="separate"/>
        </w:r>
        <w:r w:rsidR="0088552B">
          <w:rPr>
            <w:webHidden/>
          </w:rPr>
          <w:t>6</w:t>
        </w:r>
        <w:r w:rsidR="0088552B">
          <w:rPr>
            <w:webHidden/>
          </w:rPr>
          <w:fldChar w:fldCharType="end"/>
        </w:r>
      </w:hyperlink>
    </w:p>
    <w:p w14:paraId="75883B77" w14:textId="4EC0B7CB" w:rsidR="0088552B" w:rsidRDefault="00D46D9B">
      <w:pPr>
        <w:pStyle w:val="TOC2"/>
        <w:rPr>
          <w:rFonts w:asciiTheme="minorHAnsi" w:eastAsiaTheme="minorEastAsia" w:hAnsiTheme="minorHAnsi" w:cstheme="minorBidi"/>
          <w:sz w:val="22"/>
          <w:szCs w:val="22"/>
          <w:lang w:eastAsia="en-AU"/>
        </w:rPr>
      </w:pPr>
      <w:hyperlink w:anchor="_Toc62125246" w:history="1">
        <w:r w:rsidR="0088552B" w:rsidRPr="00AD107B">
          <w:rPr>
            <w:rStyle w:val="Hyperlink"/>
            <w:lang w:eastAsia="en-AU"/>
          </w:rPr>
          <w:t>Qualifying conditions for medical cooling</w:t>
        </w:r>
        <w:r w:rsidR="0088552B">
          <w:rPr>
            <w:webHidden/>
          </w:rPr>
          <w:tab/>
        </w:r>
        <w:r w:rsidR="0088552B">
          <w:rPr>
            <w:webHidden/>
          </w:rPr>
          <w:fldChar w:fldCharType="begin"/>
        </w:r>
        <w:r w:rsidR="0088552B">
          <w:rPr>
            <w:webHidden/>
          </w:rPr>
          <w:instrText xml:space="preserve"> PAGEREF _Toc62125246 \h </w:instrText>
        </w:r>
        <w:r w:rsidR="0088552B">
          <w:rPr>
            <w:webHidden/>
          </w:rPr>
        </w:r>
        <w:r w:rsidR="0088552B">
          <w:rPr>
            <w:webHidden/>
          </w:rPr>
          <w:fldChar w:fldCharType="separate"/>
        </w:r>
        <w:r w:rsidR="0088552B">
          <w:rPr>
            <w:webHidden/>
          </w:rPr>
          <w:t>6</w:t>
        </w:r>
        <w:r w:rsidR="0088552B">
          <w:rPr>
            <w:webHidden/>
          </w:rPr>
          <w:fldChar w:fldCharType="end"/>
        </w:r>
      </w:hyperlink>
    </w:p>
    <w:p w14:paraId="065E3839" w14:textId="20A8EC20" w:rsidR="0088552B" w:rsidRDefault="00D46D9B">
      <w:pPr>
        <w:pStyle w:val="TOC2"/>
        <w:rPr>
          <w:rFonts w:asciiTheme="minorHAnsi" w:eastAsiaTheme="minorEastAsia" w:hAnsiTheme="minorHAnsi" w:cstheme="minorBidi"/>
          <w:sz w:val="22"/>
          <w:szCs w:val="22"/>
          <w:lang w:eastAsia="en-AU"/>
        </w:rPr>
      </w:pPr>
      <w:hyperlink w:anchor="_Toc62125247" w:history="1">
        <w:r w:rsidR="0088552B" w:rsidRPr="00AD107B">
          <w:rPr>
            <w:rStyle w:val="Hyperlink"/>
          </w:rPr>
          <w:t>Treating health practitioners</w:t>
        </w:r>
        <w:r w:rsidR="0088552B">
          <w:rPr>
            <w:webHidden/>
          </w:rPr>
          <w:tab/>
        </w:r>
        <w:r w:rsidR="0088552B">
          <w:rPr>
            <w:webHidden/>
          </w:rPr>
          <w:fldChar w:fldCharType="begin"/>
        </w:r>
        <w:r w:rsidR="0088552B">
          <w:rPr>
            <w:webHidden/>
          </w:rPr>
          <w:instrText xml:space="preserve"> PAGEREF _Toc62125247 \h </w:instrText>
        </w:r>
        <w:r w:rsidR="0088552B">
          <w:rPr>
            <w:webHidden/>
          </w:rPr>
        </w:r>
        <w:r w:rsidR="0088552B">
          <w:rPr>
            <w:webHidden/>
          </w:rPr>
          <w:fldChar w:fldCharType="separate"/>
        </w:r>
        <w:r w:rsidR="0088552B">
          <w:rPr>
            <w:webHidden/>
          </w:rPr>
          <w:t>8</w:t>
        </w:r>
        <w:r w:rsidR="0088552B">
          <w:rPr>
            <w:webHidden/>
          </w:rPr>
          <w:fldChar w:fldCharType="end"/>
        </w:r>
      </w:hyperlink>
    </w:p>
    <w:p w14:paraId="679F9D13" w14:textId="14051B66" w:rsidR="0088552B" w:rsidRDefault="00D46D9B">
      <w:pPr>
        <w:pStyle w:val="TOC2"/>
        <w:rPr>
          <w:rFonts w:asciiTheme="minorHAnsi" w:eastAsiaTheme="minorEastAsia" w:hAnsiTheme="minorHAnsi" w:cstheme="minorBidi"/>
          <w:sz w:val="22"/>
          <w:szCs w:val="22"/>
          <w:lang w:eastAsia="en-AU"/>
        </w:rPr>
      </w:pPr>
      <w:hyperlink w:anchor="_Toc62125248" w:history="1">
        <w:r w:rsidR="0088552B" w:rsidRPr="00AD107B">
          <w:rPr>
            <w:rStyle w:val="Hyperlink"/>
            <w:lang w:eastAsia="en-AU"/>
          </w:rPr>
          <w:t>Additional supports for tenants during periods of extreme temperatures</w:t>
        </w:r>
        <w:r w:rsidR="0088552B">
          <w:rPr>
            <w:webHidden/>
          </w:rPr>
          <w:tab/>
        </w:r>
        <w:r w:rsidR="0088552B">
          <w:rPr>
            <w:webHidden/>
          </w:rPr>
          <w:fldChar w:fldCharType="begin"/>
        </w:r>
        <w:r w:rsidR="0088552B">
          <w:rPr>
            <w:webHidden/>
          </w:rPr>
          <w:instrText xml:space="preserve"> PAGEREF _Toc62125248 \h </w:instrText>
        </w:r>
        <w:r w:rsidR="0088552B">
          <w:rPr>
            <w:webHidden/>
          </w:rPr>
        </w:r>
        <w:r w:rsidR="0088552B">
          <w:rPr>
            <w:webHidden/>
          </w:rPr>
          <w:fldChar w:fldCharType="separate"/>
        </w:r>
        <w:r w:rsidR="0088552B">
          <w:rPr>
            <w:webHidden/>
          </w:rPr>
          <w:t>8</w:t>
        </w:r>
        <w:r w:rsidR="0088552B">
          <w:rPr>
            <w:webHidden/>
          </w:rPr>
          <w:fldChar w:fldCharType="end"/>
        </w:r>
      </w:hyperlink>
    </w:p>
    <w:p w14:paraId="7159CED8" w14:textId="31B94667" w:rsidR="0088552B" w:rsidRDefault="00D46D9B">
      <w:pPr>
        <w:pStyle w:val="TOC2"/>
        <w:rPr>
          <w:rFonts w:asciiTheme="minorHAnsi" w:eastAsiaTheme="minorEastAsia" w:hAnsiTheme="minorHAnsi" w:cstheme="minorBidi"/>
          <w:sz w:val="22"/>
          <w:szCs w:val="22"/>
          <w:lang w:eastAsia="en-AU"/>
        </w:rPr>
      </w:pPr>
      <w:hyperlink w:anchor="_Toc62125249" w:history="1">
        <w:r w:rsidR="0088552B" w:rsidRPr="00AD107B">
          <w:rPr>
            <w:rStyle w:val="Hyperlink"/>
            <w:lang w:eastAsia="en-AU"/>
          </w:rPr>
          <w:t>Supporting documentation</w:t>
        </w:r>
        <w:r w:rsidR="0088552B">
          <w:rPr>
            <w:webHidden/>
          </w:rPr>
          <w:tab/>
        </w:r>
        <w:r w:rsidR="0088552B">
          <w:rPr>
            <w:webHidden/>
          </w:rPr>
          <w:fldChar w:fldCharType="begin"/>
        </w:r>
        <w:r w:rsidR="0088552B">
          <w:rPr>
            <w:webHidden/>
          </w:rPr>
          <w:instrText xml:space="preserve"> PAGEREF _Toc62125249 \h </w:instrText>
        </w:r>
        <w:r w:rsidR="0088552B">
          <w:rPr>
            <w:webHidden/>
          </w:rPr>
        </w:r>
        <w:r w:rsidR="0088552B">
          <w:rPr>
            <w:webHidden/>
          </w:rPr>
          <w:fldChar w:fldCharType="separate"/>
        </w:r>
        <w:r w:rsidR="0088552B">
          <w:rPr>
            <w:webHidden/>
          </w:rPr>
          <w:t>9</w:t>
        </w:r>
        <w:r w:rsidR="0088552B">
          <w:rPr>
            <w:webHidden/>
          </w:rPr>
          <w:fldChar w:fldCharType="end"/>
        </w:r>
      </w:hyperlink>
    </w:p>
    <w:p w14:paraId="3BFAE3BB" w14:textId="1D6138B8" w:rsidR="003E2E12" w:rsidRPr="003072C6" w:rsidRDefault="00E15DA9" w:rsidP="00213772">
      <w:pPr>
        <w:pStyle w:val="TOC2"/>
        <w:rPr>
          <w:noProof w:val="0"/>
        </w:rPr>
      </w:pPr>
      <w:r w:rsidRPr="003072C6">
        <w:rPr>
          <w:noProof w:val="0"/>
        </w:rPr>
        <w:fldChar w:fldCharType="end"/>
      </w:r>
    </w:p>
    <w:p w14:paraId="22FF5FEA" w14:textId="77777777" w:rsidR="007C5415" w:rsidRDefault="007C5415">
      <w:pPr>
        <w:rPr>
          <w:rFonts w:ascii="Arial" w:eastAsia="Times" w:hAnsi="Arial"/>
        </w:rPr>
      </w:pPr>
      <w:r>
        <w:br w:type="page"/>
      </w:r>
    </w:p>
    <w:p w14:paraId="3A0F6BD3"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7CA852FE" w14:textId="77777777" w:rsidR="00617AFF" w:rsidRPr="00AB50C1" w:rsidRDefault="00617AFF" w:rsidP="00617AFF">
      <w:pPr>
        <w:pStyle w:val="Heading1"/>
        <w:spacing w:before="0"/>
      </w:pPr>
      <w:bookmarkStart w:id="3" w:name="_Toc486842704"/>
      <w:bookmarkStart w:id="4" w:name="_Toc62125238"/>
      <w:r>
        <w:lastRenderedPageBreak/>
        <w:t>When do these operational guidelines apply?</w:t>
      </w:r>
      <w:bookmarkEnd w:id="3"/>
      <w:bookmarkEnd w:id="4"/>
    </w:p>
    <w:p w14:paraId="6F1770EA" w14:textId="7153B572" w:rsidR="009D29E9" w:rsidRDefault="00617AFF" w:rsidP="00617AFF">
      <w:pPr>
        <w:pStyle w:val="DHHSbody"/>
      </w:pPr>
      <w:r>
        <w:t xml:space="preserve">These operational guidelines apply to </w:t>
      </w:r>
      <w:r w:rsidR="00D05DC4">
        <w:t xml:space="preserve">current </w:t>
      </w:r>
      <w:r>
        <w:t>public housing</w:t>
      </w:r>
      <w:r w:rsidR="00C3040D">
        <w:t xml:space="preserve"> tenants (including </w:t>
      </w:r>
      <w:r w:rsidR="00D05DC4">
        <w:t>a</w:t>
      </w:r>
      <w:r>
        <w:t xml:space="preserve"> household member) who have a special </w:t>
      </w:r>
      <w:r w:rsidR="00832C71">
        <w:t>accommodation</w:t>
      </w:r>
      <w:r>
        <w:t xml:space="preserve"> requirement due to a medical condition or disability</w:t>
      </w:r>
      <w:r w:rsidR="009D29E9">
        <w:t xml:space="preserve">. </w:t>
      </w:r>
    </w:p>
    <w:p w14:paraId="6084D634" w14:textId="11590C78" w:rsidR="00617AFF" w:rsidRDefault="009D29E9" w:rsidP="00617AFF">
      <w:pPr>
        <w:pStyle w:val="DHHSbody"/>
      </w:pPr>
      <w:r>
        <w:t>Special provision is also made in these guidelines for the installation of air conditioning in all homes in defined locations where heat risks are elevated without regard to specific medical needs or disability.</w:t>
      </w:r>
    </w:p>
    <w:p w14:paraId="631A7383" w14:textId="77777777" w:rsidR="00617AFF" w:rsidRPr="00F440C4" w:rsidRDefault="00617AFF" w:rsidP="00617AFF">
      <w:pPr>
        <w:pStyle w:val="Heading2"/>
      </w:pPr>
      <w:bookmarkStart w:id="5" w:name="_Toc486842705"/>
      <w:bookmarkStart w:id="6" w:name="_Toc62125239"/>
      <w:r w:rsidRPr="00F440C4">
        <w:t>Human rights considerations</w:t>
      </w:r>
      <w:bookmarkEnd w:id="5"/>
      <w:bookmarkEnd w:id="6"/>
    </w:p>
    <w:p w14:paraId="08CE54A4" w14:textId="77777777" w:rsidR="00617AFF" w:rsidRDefault="00617AFF" w:rsidP="00617AFF">
      <w:pPr>
        <w:pStyle w:val="DHHSbody"/>
      </w:pPr>
      <w:r>
        <w:t xml:space="preserve">In deciding what action to take, staff will consider the potential impact of proposed action taken through these operational guidelines on the person’s (and their household’s) rights under the </w:t>
      </w:r>
      <w:r w:rsidRPr="00E01125">
        <w:rPr>
          <w:i/>
        </w:rPr>
        <w:t>Charter of Human Right</w:t>
      </w:r>
      <w:r>
        <w:rPr>
          <w:i/>
        </w:rPr>
        <w:t>s and Responsibilities 2006</w:t>
      </w:r>
      <w:r>
        <w:t>.</w:t>
      </w:r>
    </w:p>
    <w:p w14:paraId="6E91C834" w14:textId="77777777" w:rsidR="00617AFF" w:rsidRDefault="00617AFF" w:rsidP="00617AFF">
      <w:pPr>
        <w:pStyle w:val="DHHSbody"/>
      </w:pPr>
      <w:r>
        <w:t xml:space="preserve">Any person </w:t>
      </w:r>
      <w:proofErr w:type="gramStart"/>
      <w:r>
        <w:t>taking action</w:t>
      </w:r>
      <w:proofErr w:type="gramEnd"/>
      <w:r>
        <w:t xml:space="preserve"> in line with these operational guidelines must:</w:t>
      </w:r>
    </w:p>
    <w:p w14:paraId="69BA6EAC" w14:textId="77777777" w:rsidR="00617AFF" w:rsidRDefault="00617AFF" w:rsidP="00617AFF">
      <w:pPr>
        <w:pStyle w:val="DHHSbullet1"/>
      </w:pPr>
      <w:r>
        <w:t>understand the objective and rationale of the actions they are taking under these operational guidelines</w:t>
      </w:r>
    </w:p>
    <w:p w14:paraId="30349906" w14:textId="77777777" w:rsidR="00617AFF" w:rsidRDefault="00617AFF" w:rsidP="00617AFF">
      <w:pPr>
        <w:pStyle w:val="DHHSbullet1"/>
      </w:pPr>
      <w:r>
        <w:t>consider the impact of proposed action on the person’s Charter rights</w:t>
      </w:r>
    </w:p>
    <w:p w14:paraId="6CDF3B2B" w14:textId="77777777" w:rsidR="00617AFF" w:rsidRDefault="00617AFF" w:rsidP="00617AFF">
      <w:pPr>
        <w:pStyle w:val="DHHSbullet1"/>
      </w:pPr>
      <w:r>
        <w:t>consider whether the proposed impact is balanced and proportionate and necessary to achieve that objective, and</w:t>
      </w:r>
    </w:p>
    <w:p w14:paraId="4AEDBF1B" w14:textId="77777777" w:rsidR="00617AFF" w:rsidRPr="003072C6" w:rsidRDefault="00617AFF" w:rsidP="00617AFF">
      <w:pPr>
        <w:pStyle w:val="DHHSbullet1"/>
      </w:pPr>
      <w:r>
        <w:t>choose the least restrictive measures available.</w:t>
      </w:r>
    </w:p>
    <w:p w14:paraId="1DC94A99" w14:textId="77777777" w:rsidR="00617AFF" w:rsidRPr="00F85DA1" w:rsidRDefault="00617AFF" w:rsidP="00F85DA1">
      <w:pPr>
        <w:pStyle w:val="Heading2"/>
      </w:pPr>
      <w:bookmarkStart w:id="7" w:name="_Toc62125240"/>
      <w:r>
        <w:t>Overview</w:t>
      </w:r>
      <w:bookmarkEnd w:id="7"/>
    </w:p>
    <w:p w14:paraId="4E3F969D" w14:textId="39A2F2F2" w:rsidR="00617AFF" w:rsidRDefault="00617AFF" w:rsidP="00617AFF">
      <w:pPr>
        <w:pStyle w:val="DHHSbody"/>
      </w:pPr>
      <w:r>
        <w:t xml:space="preserve">Requests to address a special </w:t>
      </w:r>
      <w:r w:rsidR="00832C71">
        <w:t>accommodation</w:t>
      </w:r>
      <w:r>
        <w:t xml:space="preserve"> requirement due to a medical condition or disability are made on the </w:t>
      </w:r>
      <w:r w:rsidRPr="00041282">
        <w:rPr>
          <w:i/>
        </w:rPr>
        <w:t xml:space="preserve">Application for special </w:t>
      </w:r>
      <w:r w:rsidR="00832C71">
        <w:rPr>
          <w:i/>
        </w:rPr>
        <w:t>accommodation</w:t>
      </w:r>
      <w:r w:rsidRPr="00041282">
        <w:rPr>
          <w:i/>
        </w:rPr>
        <w:t xml:space="preserve"> requirements</w:t>
      </w:r>
      <w:r w:rsidR="00832C71">
        <w:rPr>
          <w:i/>
        </w:rPr>
        <w:t xml:space="preserve"> for </w:t>
      </w:r>
      <w:r w:rsidR="004250A5">
        <w:rPr>
          <w:i/>
        </w:rPr>
        <w:t>tenants</w:t>
      </w:r>
      <w:r>
        <w:t xml:space="preserve"> (S</w:t>
      </w:r>
      <w:r w:rsidR="00832C71">
        <w:t>A</w:t>
      </w:r>
      <w:r>
        <w:t>R) form, submitted to the local office</w:t>
      </w:r>
      <w:r w:rsidR="007E628A">
        <w:rPr>
          <w:rStyle w:val="FootnoteReference"/>
        </w:rPr>
        <w:footnoteReference w:id="1"/>
      </w:r>
      <w:r>
        <w:t>.</w:t>
      </w:r>
    </w:p>
    <w:p w14:paraId="7881E65D" w14:textId="62CD6414" w:rsidR="00617AFF" w:rsidRDefault="00617AFF" w:rsidP="00617AFF">
      <w:pPr>
        <w:pStyle w:val="DHHSbody"/>
      </w:pPr>
      <w:r>
        <w:t xml:space="preserve">Local office staff review the completed </w:t>
      </w:r>
      <w:r w:rsidR="00832C71">
        <w:t>SAR</w:t>
      </w:r>
      <w:r>
        <w:t xml:space="preserve"> form and supporting documentation provided by the treating health practitioner, who is registered under the </w:t>
      </w:r>
      <w:r w:rsidRPr="00E01125">
        <w:rPr>
          <w:i/>
        </w:rPr>
        <w:t>Health Practitioner Regulation National Law Act 2009 (VIC)</w:t>
      </w:r>
      <w:r>
        <w:t xml:space="preserve"> to practi</w:t>
      </w:r>
      <w:r w:rsidR="004B5438">
        <w:t>c</w:t>
      </w:r>
      <w:r>
        <w:t>e in a health profession other than as a student.</w:t>
      </w:r>
    </w:p>
    <w:p w14:paraId="2A6F7C1E" w14:textId="7DCBA01F" w:rsidR="00617AFF" w:rsidRDefault="00617AFF" w:rsidP="00617AFF">
      <w:pPr>
        <w:pStyle w:val="DHHSbody"/>
      </w:pPr>
      <w:r>
        <w:t xml:space="preserve">The decision to approve a request for </w:t>
      </w:r>
      <w:r w:rsidR="00D64139">
        <w:t>SAR</w:t>
      </w:r>
      <w:r>
        <w:t xml:space="preserve"> is based on demonstrated need as a result of the specific medical condition or disability</w:t>
      </w:r>
      <w:r w:rsidR="00C71196">
        <w:t>.</w:t>
      </w:r>
      <w:r w:rsidR="008E0715">
        <w:t xml:space="preserve"> </w:t>
      </w:r>
      <w:r>
        <w:t>Approvals for property modifications will require the specific medical condition or disabi</w:t>
      </w:r>
      <w:r w:rsidR="00C3040D">
        <w:t>lity to be of an ongoing nature</w:t>
      </w:r>
      <w:r>
        <w:t xml:space="preserve"> or likely to deteriorate over time.</w:t>
      </w:r>
      <w:r w:rsidR="008E0715" w:rsidRPr="008E0715">
        <w:t xml:space="preserve"> </w:t>
      </w:r>
      <w:r w:rsidR="008E0715">
        <w:t>Outcomes will be recorded in the Housing integrated information Program (</w:t>
      </w:r>
      <w:proofErr w:type="spellStart"/>
      <w:r w:rsidR="008E0715">
        <w:t>HiiP</w:t>
      </w:r>
      <w:proofErr w:type="spellEnd"/>
      <w:r w:rsidR="008E0715">
        <w:t xml:space="preserve">) SARs tab to accurately record </w:t>
      </w:r>
      <w:r w:rsidR="00564B5B">
        <w:t>a tena</w:t>
      </w:r>
      <w:r w:rsidR="000C38D2">
        <w:t>nt’s or the household</w:t>
      </w:r>
      <w:r w:rsidR="00C71196">
        <w:t>’s</w:t>
      </w:r>
      <w:r w:rsidR="000C38D2">
        <w:t xml:space="preserve"> property needs.</w:t>
      </w:r>
    </w:p>
    <w:p w14:paraId="61548A4E" w14:textId="6857801B" w:rsidR="00617AFF" w:rsidRPr="00F85DA1" w:rsidRDefault="00617AFF" w:rsidP="00F85DA1">
      <w:pPr>
        <w:pStyle w:val="Heading2"/>
      </w:pPr>
      <w:bookmarkStart w:id="8" w:name="_Toc62125241"/>
      <w:r w:rsidRPr="00A010FC">
        <w:t xml:space="preserve">Operating principles: special </w:t>
      </w:r>
      <w:r w:rsidR="004D0EEF">
        <w:t>accommodation</w:t>
      </w:r>
      <w:r w:rsidRPr="00A010FC">
        <w:t xml:space="preserve"> requirements</w:t>
      </w:r>
      <w:bookmarkEnd w:id="8"/>
    </w:p>
    <w:p w14:paraId="034ABEE9" w14:textId="77777777" w:rsidR="00617AFF" w:rsidRDefault="00617AFF" w:rsidP="00617AFF">
      <w:pPr>
        <w:pStyle w:val="DHHSbody"/>
      </w:pPr>
      <w:r>
        <w:t>The department is committed to:</w:t>
      </w:r>
    </w:p>
    <w:p w14:paraId="658AABB0" w14:textId="067C006A" w:rsidR="00617AFF" w:rsidRDefault="00617AFF" w:rsidP="00617AFF">
      <w:pPr>
        <w:pStyle w:val="DHHSbullet1"/>
      </w:pPr>
      <w:r>
        <w:t xml:space="preserve">responding to individual need and where possible, providing appropriate modifications to public housing properties to meet </w:t>
      </w:r>
      <w:r w:rsidR="004B5438">
        <w:t xml:space="preserve">the </w:t>
      </w:r>
      <w:r>
        <w:t xml:space="preserve">special </w:t>
      </w:r>
      <w:r w:rsidR="00FF7AF1">
        <w:t>accommodation</w:t>
      </w:r>
      <w:r>
        <w:t xml:space="preserve"> requirements</w:t>
      </w:r>
      <w:r w:rsidR="000C38D2">
        <w:t xml:space="preserve"> of tenants or their </w:t>
      </w:r>
      <w:r w:rsidR="00C71196">
        <w:t>household</w:t>
      </w:r>
      <w:r w:rsidR="004B5438">
        <w:t xml:space="preserve"> members</w:t>
      </w:r>
    </w:p>
    <w:p w14:paraId="13E95DE1" w14:textId="5E289D06" w:rsidR="00617AFF" w:rsidRDefault="00617AFF" w:rsidP="00617AFF">
      <w:pPr>
        <w:pStyle w:val="DHHSbullet1"/>
      </w:pPr>
      <w:r>
        <w:t xml:space="preserve">ensuring fair and transparent decision making, based on demonstrated need, in relation to undertaking </w:t>
      </w:r>
      <w:r w:rsidR="00C71196">
        <w:t xml:space="preserve">works for </w:t>
      </w:r>
      <w:r>
        <w:t>major or full modification of public housing properties</w:t>
      </w:r>
    </w:p>
    <w:p w14:paraId="7AC32A2C" w14:textId="06DE7C96" w:rsidR="00617AFF" w:rsidRDefault="00617AFF" w:rsidP="00617AFF">
      <w:pPr>
        <w:pStyle w:val="DHHSbullet1"/>
      </w:pPr>
      <w:r>
        <w:lastRenderedPageBreak/>
        <w:t xml:space="preserve">maximising the effective use of public monies to address special </w:t>
      </w:r>
      <w:r w:rsidR="00B8653F">
        <w:t>accommodation</w:t>
      </w:r>
      <w:r>
        <w:t xml:space="preserve"> requirements</w:t>
      </w:r>
      <w:r w:rsidR="00C71196">
        <w:t>, including where appropriate, for the National Disability Insurance Scheme (NDIS) to fund certain modification types.</w:t>
      </w:r>
    </w:p>
    <w:p w14:paraId="2C35C4FC" w14:textId="205E3A1F" w:rsidR="00617AFF" w:rsidRPr="00F85DA1" w:rsidRDefault="00617AFF" w:rsidP="00F85DA1">
      <w:pPr>
        <w:pStyle w:val="Heading2"/>
      </w:pPr>
      <w:bookmarkStart w:id="9" w:name="_Toc62125242"/>
      <w:r>
        <w:t xml:space="preserve">Applying for special </w:t>
      </w:r>
      <w:r w:rsidR="005A3C6C">
        <w:t>accommodation</w:t>
      </w:r>
      <w:r>
        <w:t xml:space="preserve"> requirements</w:t>
      </w:r>
      <w:r w:rsidR="005A3C6C">
        <w:t xml:space="preserve"> as a current public housing tenant</w:t>
      </w:r>
      <w:bookmarkEnd w:id="9"/>
    </w:p>
    <w:p w14:paraId="35E35528" w14:textId="629FA7ED" w:rsidR="00F440C4" w:rsidRDefault="00D05DC4">
      <w:pPr>
        <w:pStyle w:val="DHHSbody"/>
      </w:pPr>
      <w:r>
        <w:t xml:space="preserve">Public housing </w:t>
      </w:r>
      <w:r w:rsidR="005A3C6C">
        <w:t>tenant</w:t>
      </w:r>
      <w:r>
        <w:t xml:space="preserve"> r</w:t>
      </w:r>
      <w:r w:rsidR="00617AFF">
        <w:t xml:space="preserve">equests for special </w:t>
      </w:r>
      <w:r w:rsidR="005A3C6C">
        <w:t>accommodation</w:t>
      </w:r>
      <w:r w:rsidR="00617AFF">
        <w:t xml:space="preserve"> requirements </w:t>
      </w:r>
      <w:r w:rsidR="001D59C6">
        <w:t xml:space="preserve">should </w:t>
      </w:r>
      <w:r w:rsidR="00617AFF">
        <w:t xml:space="preserve">be made in writing </w:t>
      </w:r>
      <w:r w:rsidR="00C3040D">
        <w:t xml:space="preserve">by completing </w:t>
      </w:r>
      <w:r>
        <w:t>and submitting</w:t>
      </w:r>
      <w:r w:rsidR="00617AFF">
        <w:t xml:space="preserve"> the </w:t>
      </w:r>
      <w:r w:rsidR="00F37453" w:rsidRPr="002D6177">
        <w:rPr>
          <w:i/>
        </w:rPr>
        <w:t xml:space="preserve">Application for </w:t>
      </w:r>
      <w:r w:rsidR="006D49DB">
        <w:rPr>
          <w:i/>
        </w:rPr>
        <w:t>s</w:t>
      </w:r>
      <w:r w:rsidR="00A718A0" w:rsidRPr="002D6177">
        <w:rPr>
          <w:i/>
        </w:rPr>
        <w:t xml:space="preserve">pecial </w:t>
      </w:r>
      <w:r w:rsidR="006D49DB">
        <w:rPr>
          <w:i/>
        </w:rPr>
        <w:t>a</w:t>
      </w:r>
      <w:r w:rsidR="00A718A0" w:rsidRPr="002D6177">
        <w:rPr>
          <w:i/>
        </w:rPr>
        <w:t xml:space="preserve">ccommodation </w:t>
      </w:r>
      <w:r w:rsidR="006D49DB">
        <w:rPr>
          <w:i/>
        </w:rPr>
        <w:t>r</w:t>
      </w:r>
      <w:r w:rsidR="00A718A0" w:rsidRPr="002D6177">
        <w:rPr>
          <w:i/>
        </w:rPr>
        <w:t xml:space="preserve">equirements for </w:t>
      </w:r>
      <w:proofErr w:type="gramStart"/>
      <w:r w:rsidR="00A718A0" w:rsidRPr="002D6177">
        <w:rPr>
          <w:i/>
        </w:rPr>
        <w:t>tenants</w:t>
      </w:r>
      <w:proofErr w:type="gramEnd"/>
      <w:r w:rsidR="00C3040D">
        <w:t xml:space="preserve"> application</w:t>
      </w:r>
      <w:r w:rsidR="00617AFF">
        <w:t xml:space="preserve"> form</w:t>
      </w:r>
      <w:r w:rsidR="00751DBB">
        <w:t xml:space="preserve"> to the local office</w:t>
      </w:r>
      <w:r w:rsidR="00617AFF">
        <w:t>.</w:t>
      </w:r>
      <w:r w:rsidR="00751DBB">
        <w:t xml:space="preserve"> </w:t>
      </w:r>
      <w:r w:rsidR="004B5438">
        <w:t>Any relevant supporting documentation should also be provided to the local office, such as a report from an Occupational Therapist</w:t>
      </w:r>
      <w:r w:rsidR="0087047F">
        <w:t xml:space="preserve"> for specific SAR types including grabrails. </w:t>
      </w:r>
    </w:p>
    <w:p w14:paraId="378B8FE1" w14:textId="7580D576" w:rsidR="001D59C6" w:rsidRDefault="001D59C6" w:rsidP="001D59C6">
      <w:pPr>
        <w:pStyle w:val="DHHSbody"/>
      </w:pPr>
      <w:r>
        <w:t>Special accommodation requirements include</w:t>
      </w:r>
      <w:r w:rsidR="005655AC">
        <w:t xml:space="preserve"> requests for</w:t>
      </w:r>
      <w:r>
        <w:t>:</w:t>
      </w:r>
    </w:p>
    <w:p w14:paraId="001B6C28" w14:textId="5F7A25ED" w:rsidR="001D59C6" w:rsidRDefault="001D59C6" w:rsidP="001D59C6">
      <w:pPr>
        <w:pStyle w:val="DHHSbullet1"/>
      </w:pPr>
      <w:r>
        <w:t>minor modifications</w:t>
      </w:r>
      <w:r w:rsidR="006A1B41">
        <w:t xml:space="preserve"> that include</w:t>
      </w:r>
      <w:r>
        <w:t xml:space="preserve"> grabrails or lever taps, medical cooling, including air conditioning. </w:t>
      </w:r>
    </w:p>
    <w:p w14:paraId="05B6B413" w14:textId="31D516CA" w:rsidR="006A1B41" w:rsidRDefault="001D59C6" w:rsidP="001D59C6">
      <w:pPr>
        <w:pStyle w:val="DHHSbullet1"/>
      </w:pPr>
      <w:r>
        <w:t xml:space="preserve">major modifications such as </w:t>
      </w:r>
      <w:r w:rsidR="006A1B41">
        <w:t xml:space="preserve">bathroom stepless showers, </w:t>
      </w:r>
      <w:r>
        <w:t xml:space="preserve">and </w:t>
      </w:r>
    </w:p>
    <w:p w14:paraId="3710DD99" w14:textId="4D26F88B" w:rsidR="001D59C6" w:rsidRDefault="001D59C6" w:rsidP="001D59C6">
      <w:pPr>
        <w:pStyle w:val="DHHSbullet1"/>
      </w:pPr>
      <w:r>
        <w:t>full modifications such as fully modified properties that are wheelchair accessible.</w:t>
      </w:r>
    </w:p>
    <w:p w14:paraId="5FF181D4" w14:textId="0DB5A25B" w:rsidR="005A5C24" w:rsidRDefault="005A5C24" w:rsidP="00617AFF">
      <w:pPr>
        <w:pStyle w:val="DHHSbody"/>
      </w:pPr>
      <w:bookmarkStart w:id="10" w:name="_Toc435714541"/>
      <w:bookmarkStart w:id="11" w:name="_Toc486842706"/>
    </w:p>
    <w:p w14:paraId="495BEB4C" w14:textId="1941EBB3" w:rsidR="00F440C4" w:rsidRDefault="008B61B6" w:rsidP="00F440C4">
      <w:pPr>
        <w:pStyle w:val="Heading2"/>
      </w:pPr>
      <w:bookmarkStart w:id="12" w:name="_Toc62125243"/>
      <w:r>
        <w:rPr>
          <w:lang w:eastAsia="en-AU"/>
        </w:rPr>
        <w:t>Recommending and a</w:t>
      </w:r>
      <w:r w:rsidR="00F440C4">
        <w:rPr>
          <w:lang w:eastAsia="en-AU"/>
        </w:rPr>
        <w:t>pproving</w:t>
      </w:r>
      <w:r w:rsidR="00617AFF">
        <w:rPr>
          <w:lang w:eastAsia="en-AU"/>
        </w:rPr>
        <w:t xml:space="preserve"> special </w:t>
      </w:r>
      <w:r w:rsidR="00971C31">
        <w:rPr>
          <w:lang w:eastAsia="en-AU"/>
        </w:rPr>
        <w:t>accommodation</w:t>
      </w:r>
      <w:r w:rsidR="00617AFF">
        <w:rPr>
          <w:lang w:eastAsia="en-AU"/>
        </w:rPr>
        <w:t xml:space="preserve"> </w:t>
      </w:r>
      <w:bookmarkEnd w:id="10"/>
      <w:bookmarkEnd w:id="11"/>
      <w:r w:rsidR="00F440C4">
        <w:rPr>
          <w:lang w:eastAsia="en-AU"/>
        </w:rPr>
        <w:t>requirements</w:t>
      </w:r>
      <w:r w:rsidR="00971C31">
        <w:rPr>
          <w:lang w:eastAsia="en-AU"/>
        </w:rPr>
        <w:t xml:space="preserve"> </w:t>
      </w:r>
      <w:r w:rsidR="00AC6EE7">
        <w:rPr>
          <w:lang w:eastAsia="en-AU"/>
        </w:rPr>
        <w:t>for</w:t>
      </w:r>
      <w:r w:rsidR="00971C31">
        <w:rPr>
          <w:lang w:eastAsia="en-AU"/>
        </w:rPr>
        <w:t xml:space="preserve"> current public housing tenan</w:t>
      </w:r>
      <w:r w:rsidR="00AC6EE7">
        <w:rPr>
          <w:lang w:eastAsia="en-AU"/>
        </w:rPr>
        <w:t>ts</w:t>
      </w:r>
      <w:bookmarkEnd w:id="12"/>
    </w:p>
    <w:p w14:paraId="665E99F9" w14:textId="21E6795E" w:rsidR="00F440C4" w:rsidRDefault="00F440C4" w:rsidP="00617AFF">
      <w:pPr>
        <w:pStyle w:val="DHHSbody"/>
      </w:pPr>
      <w:r>
        <w:t>Local</w:t>
      </w:r>
      <w:r w:rsidR="00F85DA1">
        <w:t xml:space="preserve"> of</w:t>
      </w:r>
      <w:r w:rsidR="00617AFF">
        <w:t xml:space="preserve">fice staff </w:t>
      </w:r>
      <w:r w:rsidR="00326F81">
        <w:t xml:space="preserve">who are </w:t>
      </w:r>
      <w:r w:rsidR="00617AFF">
        <w:t xml:space="preserve">considering a request for special </w:t>
      </w:r>
      <w:r w:rsidR="008A23E3">
        <w:t xml:space="preserve">accommodation </w:t>
      </w:r>
      <w:r w:rsidR="00617AFF">
        <w:t xml:space="preserve">requirements need to ensure the request is based on </w:t>
      </w:r>
      <w:r w:rsidR="0087047F">
        <w:t xml:space="preserve">a </w:t>
      </w:r>
      <w:r w:rsidR="00617AFF">
        <w:t>demonstrated need</w:t>
      </w:r>
      <w:r w:rsidR="0087047F">
        <w:t xml:space="preserve"> which is</w:t>
      </w:r>
      <w:r w:rsidR="00617AFF">
        <w:t xml:space="preserve"> related to the person’s medical condition or disability. Demonstrated need is assessed via the completed </w:t>
      </w:r>
      <w:r w:rsidR="00A718A0" w:rsidRPr="002D6177">
        <w:rPr>
          <w:i/>
        </w:rPr>
        <w:t xml:space="preserve">Application for </w:t>
      </w:r>
      <w:r w:rsidR="006D49DB">
        <w:rPr>
          <w:i/>
        </w:rPr>
        <w:t>s</w:t>
      </w:r>
      <w:r w:rsidR="00A718A0" w:rsidRPr="002D6177">
        <w:rPr>
          <w:i/>
        </w:rPr>
        <w:t xml:space="preserve">pecial </w:t>
      </w:r>
      <w:r w:rsidR="006D49DB">
        <w:rPr>
          <w:i/>
        </w:rPr>
        <w:t>a</w:t>
      </w:r>
      <w:r w:rsidR="00A718A0" w:rsidRPr="002D6177">
        <w:rPr>
          <w:i/>
        </w:rPr>
        <w:t xml:space="preserve">ccommodation </w:t>
      </w:r>
      <w:r w:rsidR="006D49DB">
        <w:rPr>
          <w:i/>
        </w:rPr>
        <w:t>r</w:t>
      </w:r>
      <w:r w:rsidR="00A718A0" w:rsidRPr="002D6177">
        <w:rPr>
          <w:i/>
        </w:rPr>
        <w:t xml:space="preserve">equirements for </w:t>
      </w:r>
      <w:proofErr w:type="gramStart"/>
      <w:r w:rsidR="00A718A0" w:rsidRPr="002D6177">
        <w:rPr>
          <w:i/>
        </w:rPr>
        <w:t>tenants</w:t>
      </w:r>
      <w:proofErr w:type="gramEnd"/>
      <w:r w:rsidR="00617AFF">
        <w:t xml:space="preserve"> form with supporting documentation </w:t>
      </w:r>
      <w:r w:rsidR="00617AFF">
        <w:rPr>
          <w:lang w:eastAsia="en-AU"/>
        </w:rPr>
        <w:t>provided by the treating health practitioner.</w:t>
      </w:r>
      <w:r w:rsidR="003922CF">
        <w:rPr>
          <w:lang w:eastAsia="en-AU"/>
        </w:rPr>
        <w:t xml:space="preserve"> The treating health practitioner must confirm that the special </w:t>
      </w:r>
      <w:r w:rsidR="00EE6A73">
        <w:rPr>
          <w:lang w:eastAsia="en-AU"/>
        </w:rPr>
        <w:t>accommodation</w:t>
      </w:r>
      <w:r w:rsidR="003922CF">
        <w:rPr>
          <w:lang w:eastAsia="en-AU"/>
        </w:rPr>
        <w:t xml:space="preserve"> requirement is essential to the client’s ongoing health and without it their health will deteriorate. </w:t>
      </w:r>
      <w:r w:rsidR="00D50A74">
        <w:t xml:space="preserve">Requests for modifications to the existing public housing property must include evidence of </w:t>
      </w:r>
      <w:r w:rsidR="00D50A74" w:rsidRPr="00D61C0C">
        <w:t xml:space="preserve">the </w:t>
      </w:r>
      <w:r w:rsidR="00AB4355">
        <w:t>specific</w:t>
      </w:r>
      <w:r w:rsidR="00D50A74" w:rsidRPr="00D61C0C">
        <w:t xml:space="preserve"> modifications required for the person’s m</w:t>
      </w:r>
      <w:r w:rsidR="002D0F4C">
        <w:t xml:space="preserve">edical condition or </w:t>
      </w:r>
      <w:r w:rsidR="00F85DA1">
        <w:t>disability</w:t>
      </w:r>
      <w:r w:rsidR="007E628A">
        <w:rPr>
          <w:rStyle w:val="FootnoteReference"/>
        </w:rPr>
        <w:footnoteReference w:id="2"/>
      </w:r>
      <w:r w:rsidR="00F85DA1">
        <w:t>.</w:t>
      </w:r>
    </w:p>
    <w:p w14:paraId="6561D30E" w14:textId="6A2415BC" w:rsidR="00B13164" w:rsidRDefault="00B13164" w:rsidP="00617AFF">
      <w:pPr>
        <w:pStyle w:val="DHHSbody"/>
      </w:pPr>
      <w:r>
        <w:t>Modifications that do not impact on the structure of a property are considered a ‘client’ SAR</w:t>
      </w:r>
      <w:r w:rsidR="0087047F">
        <w:t xml:space="preserve"> (fixtures and fittings)</w:t>
      </w:r>
      <w:r w:rsidR="009174E5">
        <w:t xml:space="preserve"> and</w:t>
      </w:r>
      <w:r w:rsidR="00C402CF">
        <w:t xml:space="preserve"> m</w:t>
      </w:r>
      <w:r>
        <w:t>odifications that require structural changes to a property are considered a ‘property’ SAR.</w:t>
      </w:r>
      <w:r w:rsidR="00F53E48">
        <w:t xml:space="preserve"> </w:t>
      </w:r>
    </w:p>
    <w:p w14:paraId="4C4973C0" w14:textId="3B872556" w:rsidR="008B61B6" w:rsidRDefault="008B61B6" w:rsidP="00617AFF">
      <w:pPr>
        <w:pStyle w:val="DHHSbody"/>
      </w:pPr>
      <w:r>
        <w:t xml:space="preserve">Housing </w:t>
      </w:r>
      <w:r w:rsidR="00F53E48">
        <w:t>Services Officers (HSOs)</w:t>
      </w:r>
      <w:r>
        <w:t xml:space="preserve"> </w:t>
      </w:r>
      <w:r w:rsidR="0087047F">
        <w:t>assess</w:t>
      </w:r>
      <w:r>
        <w:t xml:space="preserve"> the tenant’s</w:t>
      </w:r>
      <w:r w:rsidR="00844A3C">
        <w:t xml:space="preserve"> needs,</w:t>
      </w:r>
      <w:r>
        <w:t xml:space="preserve"> or the</w:t>
      </w:r>
      <w:r w:rsidR="00844A3C">
        <w:t xml:space="preserve"> needs of their</w:t>
      </w:r>
      <w:r>
        <w:t xml:space="preserve"> household</w:t>
      </w:r>
      <w:r w:rsidR="00844A3C">
        <w:t xml:space="preserve"> member,</w:t>
      </w:r>
      <w:r>
        <w:t xml:space="preserve"> and </w:t>
      </w:r>
      <w:r w:rsidR="00B13164">
        <w:t xml:space="preserve">enter a recommendation for the request </w:t>
      </w:r>
      <w:r>
        <w:t xml:space="preserve">in the </w:t>
      </w:r>
      <w:proofErr w:type="spellStart"/>
      <w:r>
        <w:t>HiiP</w:t>
      </w:r>
      <w:proofErr w:type="spellEnd"/>
      <w:r>
        <w:t xml:space="preserve"> </w:t>
      </w:r>
      <w:r w:rsidR="00CE1EC4">
        <w:t xml:space="preserve">tenancy </w:t>
      </w:r>
      <w:r>
        <w:t xml:space="preserve">SARs screen. </w:t>
      </w:r>
    </w:p>
    <w:p w14:paraId="50D950C9" w14:textId="105614B3" w:rsidR="008B61B6" w:rsidRDefault="00F53E48" w:rsidP="008B61B6">
      <w:pPr>
        <w:pStyle w:val="DHHSbody"/>
        <w:rPr>
          <w:rFonts w:cs="Arial"/>
        </w:rPr>
      </w:pPr>
      <w:r>
        <w:rPr>
          <w:rFonts w:cs="Arial"/>
        </w:rPr>
        <w:t xml:space="preserve">’Client’ based SARs can be approved in the </w:t>
      </w:r>
      <w:proofErr w:type="spellStart"/>
      <w:r>
        <w:rPr>
          <w:rFonts w:cs="Arial"/>
        </w:rPr>
        <w:t>HiiP</w:t>
      </w:r>
      <w:proofErr w:type="spellEnd"/>
      <w:r>
        <w:rPr>
          <w:rFonts w:cs="Arial"/>
        </w:rPr>
        <w:t xml:space="preserve"> tenancy SARs screen by a HSO2 or HSO3. ‘Property’ based SARs can only be approved by a VPS4 or VPS5 delegate. </w:t>
      </w:r>
    </w:p>
    <w:p w14:paraId="3BFD0D21" w14:textId="6B1839F2" w:rsidR="008B61B6" w:rsidRDefault="008B61B6" w:rsidP="008B61B6">
      <w:pPr>
        <w:pStyle w:val="DHHSbody"/>
        <w:rPr>
          <w:rFonts w:cs="Arial"/>
        </w:rPr>
      </w:pPr>
      <w:r>
        <w:rPr>
          <w:rFonts w:cs="Arial"/>
        </w:rPr>
        <w:t xml:space="preserve">Approval of a </w:t>
      </w:r>
      <w:r w:rsidR="00B13164">
        <w:rPr>
          <w:rFonts w:cs="Arial"/>
        </w:rPr>
        <w:t>SAR</w:t>
      </w:r>
      <w:r>
        <w:rPr>
          <w:rFonts w:cs="Arial"/>
        </w:rPr>
        <w:t xml:space="preserve"> request for medical cooling</w:t>
      </w:r>
      <w:r w:rsidR="00F53E48">
        <w:rPr>
          <w:rFonts w:cs="Arial"/>
        </w:rPr>
        <w:t>/air conditioning</w:t>
      </w:r>
      <w:r>
        <w:rPr>
          <w:rFonts w:cs="Arial"/>
        </w:rPr>
        <w:t xml:space="preserve"> can </w:t>
      </w:r>
      <w:r>
        <w:rPr>
          <w:rFonts w:cs="Arial"/>
          <w:u w:val="single"/>
        </w:rPr>
        <w:t>only</w:t>
      </w:r>
      <w:r>
        <w:rPr>
          <w:rFonts w:cs="Arial"/>
        </w:rPr>
        <w:t xml:space="preserve"> be made by the VPS5 delegate.</w:t>
      </w:r>
    </w:p>
    <w:p w14:paraId="258BB311" w14:textId="205E32FF" w:rsidR="00C92E61" w:rsidRDefault="00CE1EC4" w:rsidP="008B61B6">
      <w:pPr>
        <w:pStyle w:val="DHHSbody"/>
        <w:rPr>
          <w:rFonts w:cs="Arial"/>
        </w:rPr>
      </w:pPr>
      <w:r>
        <w:rPr>
          <w:rFonts w:cs="Arial"/>
        </w:rPr>
        <w:t>At this stage</w:t>
      </w:r>
      <w:r w:rsidR="005B3A35">
        <w:rPr>
          <w:rFonts w:cs="Arial"/>
        </w:rPr>
        <w:t xml:space="preserve"> of the process</w:t>
      </w:r>
      <w:r>
        <w:rPr>
          <w:rFonts w:cs="Arial"/>
        </w:rPr>
        <w:t>, a decision</w:t>
      </w:r>
      <w:r w:rsidR="00C92E61">
        <w:rPr>
          <w:rFonts w:cs="Arial"/>
        </w:rPr>
        <w:t xml:space="preserve"> </w:t>
      </w:r>
      <w:r w:rsidR="005B3A35">
        <w:rPr>
          <w:rFonts w:cs="Arial"/>
        </w:rPr>
        <w:t xml:space="preserve">to approve a SAR must be solely based on a demonstrated client need. If a tenant (or their household member) has demonstrated that they require a specific modification due to their ongoing disability or medical condition, the SAR should be approved in </w:t>
      </w:r>
      <w:proofErr w:type="spellStart"/>
      <w:r w:rsidR="005B3A35">
        <w:rPr>
          <w:rFonts w:cs="Arial"/>
        </w:rPr>
        <w:t>HiiP</w:t>
      </w:r>
      <w:proofErr w:type="spellEnd"/>
      <w:r w:rsidR="005B3A35">
        <w:rPr>
          <w:rFonts w:cs="Arial"/>
        </w:rPr>
        <w:t xml:space="preserve"> regardless of whether their current public housing property is suitable for the modification. </w:t>
      </w:r>
      <w:r w:rsidR="00B13164">
        <w:rPr>
          <w:rFonts w:cs="Arial"/>
        </w:rPr>
        <w:t>This approach will</w:t>
      </w:r>
      <w:r>
        <w:rPr>
          <w:rFonts w:cs="Arial"/>
        </w:rPr>
        <w:t xml:space="preserve"> ensure</w:t>
      </w:r>
      <w:r w:rsidR="00D11342">
        <w:rPr>
          <w:rFonts w:cs="Arial"/>
        </w:rPr>
        <w:t xml:space="preserve"> </w:t>
      </w:r>
      <w:r w:rsidR="00C402CF">
        <w:rPr>
          <w:rFonts w:cs="Arial"/>
        </w:rPr>
        <w:t>that the needs of public housing clients are</w:t>
      </w:r>
      <w:r w:rsidR="00B13164">
        <w:rPr>
          <w:rFonts w:cs="Arial"/>
        </w:rPr>
        <w:t xml:space="preserve"> </w:t>
      </w:r>
      <w:r w:rsidR="00C402CF">
        <w:rPr>
          <w:rFonts w:cs="Arial"/>
        </w:rPr>
        <w:t>accurately captured</w:t>
      </w:r>
      <w:r>
        <w:rPr>
          <w:rFonts w:cs="Arial"/>
        </w:rPr>
        <w:t xml:space="preserve"> in </w:t>
      </w:r>
      <w:proofErr w:type="spellStart"/>
      <w:r>
        <w:rPr>
          <w:rFonts w:cs="Arial"/>
        </w:rPr>
        <w:t>HiiP</w:t>
      </w:r>
      <w:proofErr w:type="spellEnd"/>
      <w:r w:rsidR="005B3A35">
        <w:rPr>
          <w:rFonts w:cs="Arial"/>
        </w:rPr>
        <w:t xml:space="preserve"> and up-to-date client information is accessible for staff via the tenancy screen as well as through the housing application</w:t>
      </w:r>
      <w:r w:rsidR="00726C74">
        <w:rPr>
          <w:rFonts w:cs="Arial"/>
        </w:rPr>
        <w:t xml:space="preserve"> process. </w:t>
      </w:r>
    </w:p>
    <w:p w14:paraId="54F9037C" w14:textId="34AF672F" w:rsidR="005C3732" w:rsidRDefault="005C3732" w:rsidP="008B61B6">
      <w:pPr>
        <w:pStyle w:val="DHHSbody"/>
        <w:rPr>
          <w:rFonts w:cs="Arial"/>
        </w:rPr>
      </w:pPr>
      <w:r>
        <w:rPr>
          <w:rFonts w:cs="Arial"/>
        </w:rPr>
        <w:t xml:space="preserve">Once a SAR is approved on the system, a letter will be sent to the tenant to advise them of their approved SARs and outline the next steps. The tenant is advised in the letter that a property inspection may need to be conducted to determine the property’s suitability for structural modifications. </w:t>
      </w:r>
    </w:p>
    <w:p w14:paraId="4D40FA90" w14:textId="69D76011" w:rsidR="008B61B6" w:rsidRDefault="008B61B6" w:rsidP="00B05F86">
      <w:pPr>
        <w:pStyle w:val="DHHSbody"/>
        <w:spacing w:after="1080"/>
      </w:pPr>
      <w:r>
        <w:lastRenderedPageBreak/>
        <w:t>Requests for a specific location due to a medical condition or disability are considered in accordance with the Victorian Housing Register’s</w:t>
      </w:r>
      <w:r w:rsidR="00C92E61">
        <w:t xml:space="preserve">, </w:t>
      </w:r>
      <w:r>
        <w:t xml:space="preserve">Clients with Special Accommodation Requirements operational guidelines and will form part of </w:t>
      </w:r>
      <w:r w:rsidR="00D11342">
        <w:t>a transfer application</w:t>
      </w:r>
      <w:r>
        <w:t>.</w:t>
      </w:r>
    </w:p>
    <w:p w14:paraId="2288FF40" w14:textId="20A25281" w:rsidR="00D11342" w:rsidRDefault="00744C5B" w:rsidP="00D11342">
      <w:pPr>
        <w:pStyle w:val="Heading2"/>
      </w:pPr>
      <w:bookmarkStart w:id="13" w:name="_Toc62125244"/>
      <w:r>
        <w:rPr>
          <w:lang w:eastAsia="en-AU"/>
        </w:rPr>
        <w:t>I</w:t>
      </w:r>
      <w:r w:rsidR="00CF779D">
        <w:rPr>
          <w:lang w:eastAsia="en-AU"/>
        </w:rPr>
        <w:t>nstalling</w:t>
      </w:r>
      <w:r w:rsidR="00D11342">
        <w:rPr>
          <w:lang w:eastAsia="en-AU"/>
        </w:rPr>
        <w:t xml:space="preserve"> special accommodation requirements </w:t>
      </w:r>
      <w:r w:rsidR="00CF779D">
        <w:rPr>
          <w:lang w:eastAsia="en-AU"/>
        </w:rPr>
        <w:t>at the current property</w:t>
      </w:r>
      <w:r w:rsidR="009174E5">
        <w:rPr>
          <w:lang w:eastAsia="en-AU"/>
        </w:rPr>
        <w:t xml:space="preserve"> after they are approved</w:t>
      </w:r>
      <w:bookmarkEnd w:id="13"/>
    </w:p>
    <w:p w14:paraId="4908259F" w14:textId="6B4209ED" w:rsidR="007930EE" w:rsidRDefault="007930EE" w:rsidP="007930EE">
      <w:pPr>
        <w:pStyle w:val="DHHSbody"/>
      </w:pPr>
      <w:r>
        <w:t xml:space="preserve">Generally, any </w:t>
      </w:r>
      <w:r w:rsidR="00726C74">
        <w:t>approved SAR requests</w:t>
      </w:r>
      <w:r>
        <w:t xml:space="preserve"> </w:t>
      </w:r>
      <w:r w:rsidR="009174E5">
        <w:t>that are</w:t>
      </w:r>
      <w:r>
        <w:t xml:space="preserve"> minor </w:t>
      </w:r>
      <w:r w:rsidR="000417BF">
        <w:t>‘</w:t>
      </w:r>
      <w:r w:rsidR="006A1B41">
        <w:t>client</w:t>
      </w:r>
      <w:r w:rsidR="000417BF">
        <w:t>’</w:t>
      </w:r>
      <w:r w:rsidR="006A1B41">
        <w:t xml:space="preserve"> based </w:t>
      </w:r>
      <w:r>
        <w:t xml:space="preserve">modifications or access </w:t>
      </w:r>
      <w:r w:rsidR="006A1B41">
        <w:t>requirements</w:t>
      </w:r>
      <w:r>
        <w:t xml:space="preserve"> can be made to any dwelling irrespective of its suitability</w:t>
      </w:r>
      <w:r w:rsidR="00CF779D">
        <w:t xml:space="preserve"> for major </w:t>
      </w:r>
      <w:r w:rsidR="000417BF">
        <w:t>‘</w:t>
      </w:r>
      <w:r w:rsidR="006A1B41">
        <w:t>property</w:t>
      </w:r>
      <w:r w:rsidR="000417BF">
        <w:t>’</w:t>
      </w:r>
      <w:r w:rsidR="006A1B41">
        <w:t xml:space="preserve"> based </w:t>
      </w:r>
      <w:r w:rsidR="00CF779D">
        <w:t>modifications</w:t>
      </w:r>
      <w:r>
        <w:t>.</w:t>
      </w:r>
    </w:p>
    <w:p w14:paraId="7C73D177" w14:textId="47AD9FE6" w:rsidR="000417BF" w:rsidRDefault="00744C5B" w:rsidP="007930EE">
      <w:pPr>
        <w:pStyle w:val="DHHSbody"/>
      </w:pPr>
      <w:r>
        <w:t>When these works are not of a technical nature, such as for lever taps, a</w:t>
      </w:r>
      <w:r w:rsidR="00903907">
        <w:t xml:space="preserve">fter </w:t>
      </w:r>
      <w:r w:rsidR="006B65ED">
        <w:t xml:space="preserve">the SAR is </w:t>
      </w:r>
      <w:r w:rsidR="000417BF">
        <w:t xml:space="preserve">approved </w:t>
      </w:r>
      <w:r w:rsidR="006B65ED">
        <w:t xml:space="preserve">and </w:t>
      </w:r>
      <w:proofErr w:type="gramStart"/>
      <w:r w:rsidR="006B65ED">
        <w:t>entered into</w:t>
      </w:r>
      <w:proofErr w:type="gramEnd"/>
      <w:r w:rsidR="006B65ED">
        <w:t xml:space="preserve"> the </w:t>
      </w:r>
      <w:proofErr w:type="spellStart"/>
      <w:r w:rsidR="006B65ED">
        <w:t>HiiP</w:t>
      </w:r>
      <w:proofErr w:type="spellEnd"/>
      <w:r w:rsidR="006B65ED">
        <w:t xml:space="preserve"> system</w:t>
      </w:r>
      <w:r>
        <w:t xml:space="preserve">, </w:t>
      </w:r>
      <w:r w:rsidR="006B65ED">
        <w:t>an order can be</w:t>
      </w:r>
      <w:r>
        <w:t xml:space="preserve"> raise</w:t>
      </w:r>
      <w:r w:rsidR="006B65ED">
        <w:t>d</w:t>
      </w:r>
      <w:r w:rsidR="000417BF">
        <w:t xml:space="preserve"> </w:t>
      </w:r>
      <w:r>
        <w:t xml:space="preserve">to </w:t>
      </w:r>
      <w:r w:rsidR="00903907">
        <w:t>have these works completed</w:t>
      </w:r>
      <w:r w:rsidR="000417BF">
        <w:t>.</w:t>
      </w:r>
    </w:p>
    <w:p w14:paraId="01A0CF36" w14:textId="3134B513" w:rsidR="009174E5" w:rsidRDefault="00744C5B" w:rsidP="007930EE">
      <w:pPr>
        <w:pStyle w:val="DHHSbody"/>
      </w:pPr>
      <w:r>
        <w:t xml:space="preserve">For requests of a more technical nature or involving </w:t>
      </w:r>
      <w:r w:rsidR="00903907">
        <w:t>major modifications</w:t>
      </w:r>
      <w:r>
        <w:t xml:space="preserve">, </w:t>
      </w:r>
      <w:r w:rsidR="009174E5">
        <w:t>it</w:t>
      </w:r>
      <w:r w:rsidR="005C3732">
        <w:t xml:space="preserve"> i</w:t>
      </w:r>
      <w:r w:rsidR="009174E5">
        <w:t>s likely an inspection will be</w:t>
      </w:r>
      <w:r>
        <w:t xml:space="preserve"> required before</w:t>
      </w:r>
      <w:r w:rsidR="009C293C">
        <w:t xml:space="preserve"> </w:t>
      </w:r>
      <w:r>
        <w:t>decision</w:t>
      </w:r>
      <w:r w:rsidR="009C293C">
        <w:t>s</w:t>
      </w:r>
      <w:r w:rsidR="00903907">
        <w:t xml:space="preserve"> are</w:t>
      </w:r>
      <w:r>
        <w:t xml:space="preserve"> made about whether </w:t>
      </w:r>
      <w:r w:rsidR="009C293C">
        <w:t xml:space="preserve">the </w:t>
      </w:r>
      <w:r w:rsidR="00903907">
        <w:t>SAR</w:t>
      </w:r>
      <w:r>
        <w:t xml:space="preserve"> can be </w:t>
      </w:r>
      <w:r w:rsidR="00423138">
        <w:t xml:space="preserve">installed </w:t>
      </w:r>
      <w:r w:rsidR="009174E5">
        <w:t>at the</w:t>
      </w:r>
      <w:r w:rsidR="009C293C">
        <w:t xml:space="preserve"> property.</w:t>
      </w:r>
      <w:r w:rsidR="006A6048" w:rsidRPr="006A6048">
        <w:t xml:space="preserve"> </w:t>
      </w:r>
    </w:p>
    <w:p w14:paraId="012C658B" w14:textId="4E135864" w:rsidR="00744C5B" w:rsidRDefault="006A6048" w:rsidP="007930EE">
      <w:pPr>
        <w:pStyle w:val="DHHSbody"/>
      </w:pPr>
      <w:r>
        <w:t xml:space="preserve">Consideration should be given to the long-term suitability of the </w:t>
      </w:r>
      <w:r w:rsidR="009174E5">
        <w:t>home</w:t>
      </w:r>
      <w:r>
        <w:t xml:space="preserve"> for such modifications</w:t>
      </w:r>
      <w:r w:rsidR="00903907">
        <w:t>. For e</w:t>
      </w:r>
      <w:r w:rsidR="00532520">
        <w:t>xample, if an elderly couple is</w:t>
      </w:r>
      <w:r w:rsidR="00903907">
        <w:t xml:space="preserve"> </w:t>
      </w:r>
      <w:r w:rsidR="00532520">
        <w:t xml:space="preserve">residing alone </w:t>
      </w:r>
      <w:r w:rsidR="00903907">
        <w:t xml:space="preserve">in a </w:t>
      </w:r>
      <w:r w:rsidR="005C3732">
        <w:t>three-bedroom</w:t>
      </w:r>
      <w:r w:rsidR="009174E5">
        <w:t xml:space="preserve"> property</w:t>
      </w:r>
      <w:r w:rsidR="00903907">
        <w:t xml:space="preserve">, it </w:t>
      </w:r>
      <w:r w:rsidR="009174E5">
        <w:t>may be less</w:t>
      </w:r>
      <w:r w:rsidR="00532520">
        <w:t xml:space="preserve"> reasonable to mod</w:t>
      </w:r>
      <w:r w:rsidR="009174E5">
        <w:t>ify a bathroom by removing the</w:t>
      </w:r>
      <w:r w:rsidR="00532520">
        <w:t xml:space="preserve"> bath to install a stepless walk-in shower</w:t>
      </w:r>
      <w:r>
        <w:t>.</w:t>
      </w:r>
    </w:p>
    <w:p w14:paraId="774A97D1" w14:textId="749478D7" w:rsidR="00E916B5" w:rsidRDefault="00155F35" w:rsidP="00617AFF">
      <w:pPr>
        <w:pStyle w:val="DHHSbody"/>
        <w:rPr>
          <w:rFonts w:cs="Arial"/>
        </w:rPr>
      </w:pPr>
      <w:r>
        <w:t>If</w:t>
      </w:r>
      <w:r w:rsidR="00903907">
        <w:t xml:space="preserve"> it is decided that</w:t>
      </w:r>
      <w:r w:rsidR="007930EE">
        <w:t xml:space="preserve"> </w:t>
      </w:r>
      <w:r w:rsidR="009174E5">
        <w:t>the</w:t>
      </w:r>
      <w:r w:rsidR="00903907">
        <w:t xml:space="preserve"> property </w:t>
      </w:r>
      <w:r w:rsidR="007930EE">
        <w:t xml:space="preserve">cannot </w:t>
      </w:r>
      <w:r w:rsidR="009174E5">
        <w:t xml:space="preserve">suitably </w:t>
      </w:r>
      <w:r w:rsidR="007930EE">
        <w:t>accommodate</w:t>
      </w:r>
      <w:r w:rsidR="00903907">
        <w:t xml:space="preserve"> the</w:t>
      </w:r>
      <w:r w:rsidR="007930EE">
        <w:t xml:space="preserve"> major </w:t>
      </w:r>
      <w:r w:rsidR="00903907">
        <w:t xml:space="preserve">or </w:t>
      </w:r>
      <w:r w:rsidR="009C293C">
        <w:t>other</w:t>
      </w:r>
      <w:r w:rsidR="007930EE">
        <w:t xml:space="preserve"> necessary property modifications, a priority transfer may be considered</w:t>
      </w:r>
      <w:r w:rsidR="00532520">
        <w:t xml:space="preserve"> with the tenant</w:t>
      </w:r>
      <w:r w:rsidR="007930EE">
        <w:t xml:space="preserve">. Priority </w:t>
      </w:r>
      <w:r w:rsidR="00903907">
        <w:t>Transfer</w:t>
      </w:r>
      <w:r w:rsidR="007930EE">
        <w:t xml:space="preserve"> applicants need to satisfy all social housing eligibility requirements as outlined in the Eligibility Policy Framework of the Victorian Housing Register. In instances when a transfer may be </w:t>
      </w:r>
      <w:r w:rsidR="00423138">
        <w:t>needed</w:t>
      </w:r>
      <w:r w:rsidR="007930EE">
        <w:t>, the tenant</w:t>
      </w:r>
      <w:r w:rsidR="00532520">
        <w:t xml:space="preserve"> is required to</w:t>
      </w:r>
      <w:r w:rsidR="007930EE">
        <w:t xml:space="preserve"> </w:t>
      </w:r>
      <w:r w:rsidR="00532520">
        <w:t>lodge an</w:t>
      </w:r>
      <w:r w:rsidR="00903907">
        <w:t xml:space="preserve"> application</w:t>
      </w:r>
      <w:r>
        <w:t xml:space="preserve"> form</w:t>
      </w:r>
      <w:r w:rsidR="00903907">
        <w:t xml:space="preserve"> </w:t>
      </w:r>
      <w:r w:rsidR="00726C74">
        <w:t xml:space="preserve">to </w:t>
      </w:r>
      <w:r w:rsidR="007930EE">
        <w:t xml:space="preserve">their local office. </w:t>
      </w:r>
    </w:p>
    <w:p w14:paraId="3F022421" w14:textId="7BB69F1B" w:rsidR="005655AC" w:rsidRPr="00F85DA1" w:rsidRDefault="005655AC" w:rsidP="005655AC">
      <w:pPr>
        <w:pStyle w:val="Heading2"/>
        <w:rPr>
          <w:rStyle w:val="Heading2Char"/>
          <w:b/>
        </w:rPr>
      </w:pPr>
      <w:bookmarkStart w:id="14" w:name="_Toc62125245"/>
      <w:r>
        <w:t>National Disability Insurance Scheme (NDIS) and home modifications in public housing</w:t>
      </w:r>
      <w:bookmarkEnd w:id="14"/>
    </w:p>
    <w:p w14:paraId="5030EB37" w14:textId="2C43D5E1" w:rsidR="005655AC" w:rsidRDefault="005655AC" w:rsidP="005655AC">
      <w:pPr>
        <w:pStyle w:val="DHHSbody"/>
      </w:pPr>
      <w:r>
        <w:t xml:space="preserve">Social housing applicants and public housing tenants may also be participants in the NDIS. This is important to note when reviewing requests from public housing tenants for home modifications. The Director of Housing is responsible for funding any disability modifications that are considered ‘reasonable adjustments’ while the NDIS is responsible for funding any disability modifications that are considered ‘reasonable and necessary’. The NDIS may be responsible for funding some home modifications required in public housing that are specifically related to a person’s </w:t>
      </w:r>
      <w:r w:rsidR="00D83B6C">
        <w:t>disability,</w:t>
      </w:r>
      <w:r>
        <w:t xml:space="preserve"> but this is done on a case-by-case basis.</w:t>
      </w:r>
    </w:p>
    <w:p w14:paraId="4DAE9E77" w14:textId="7345D24F" w:rsidR="005655AC" w:rsidRPr="00F440C4" w:rsidRDefault="005655AC" w:rsidP="00CF6CCE">
      <w:pPr>
        <w:pStyle w:val="DHHSbody"/>
        <w:spacing w:after="360"/>
        <w:rPr>
          <w:rFonts w:cs="Arial"/>
        </w:rPr>
      </w:pPr>
      <w:r>
        <w:t xml:space="preserve">For more information, staff should refer to the Public Housing and the National Disability Insurance Scheme: Roles and responsibilities operational guidelines and the Home modifications in public housing during the transition to the NDIS operational guidelines.  </w:t>
      </w:r>
    </w:p>
    <w:p w14:paraId="79A88A68" w14:textId="73880746" w:rsidR="00F85DA1" w:rsidRPr="00F85DA1" w:rsidRDefault="00617AFF" w:rsidP="00F85DA1">
      <w:pPr>
        <w:pStyle w:val="Heading2"/>
      </w:pPr>
      <w:bookmarkStart w:id="15" w:name="_Toc435714542"/>
      <w:bookmarkStart w:id="16" w:name="_Toc486842707"/>
      <w:bookmarkStart w:id="17" w:name="_Toc62125246"/>
      <w:r>
        <w:rPr>
          <w:lang w:eastAsia="en-AU"/>
        </w:rPr>
        <w:t>Qualifying conditions for medical cooling</w:t>
      </w:r>
      <w:bookmarkEnd w:id="15"/>
      <w:bookmarkEnd w:id="16"/>
      <w:bookmarkEnd w:id="17"/>
    </w:p>
    <w:p w14:paraId="51D29F8E" w14:textId="77777777" w:rsidR="00617AFF" w:rsidRDefault="00617AFF" w:rsidP="00F85DA1">
      <w:pPr>
        <w:pStyle w:val="DHHSbody"/>
        <w:rPr>
          <w:lang w:eastAsia="en-AU"/>
        </w:rPr>
      </w:pPr>
      <w:r>
        <w:rPr>
          <w:lang w:eastAsia="en-AU"/>
        </w:rPr>
        <w:t xml:space="preserve">Under the </w:t>
      </w:r>
      <w:r>
        <w:rPr>
          <w:i/>
          <w:lang w:eastAsia="en-AU"/>
        </w:rPr>
        <w:t>Residential Tenancies Act 1997,</w:t>
      </w:r>
      <w:r>
        <w:rPr>
          <w:lang w:eastAsia="en-AU"/>
        </w:rPr>
        <w:t xml:space="preserve"> the Director of Housing as a landlord is not required to provide medical cooling, including air conditioners.</w:t>
      </w:r>
    </w:p>
    <w:p w14:paraId="183FFA75" w14:textId="77777777" w:rsidR="00617AFF" w:rsidRDefault="00617AFF" w:rsidP="00617AFF">
      <w:pPr>
        <w:pStyle w:val="DHHSbody"/>
        <w:rPr>
          <w:rFonts w:cs="Arial"/>
          <w:lang w:eastAsia="en-AU"/>
        </w:rPr>
      </w:pPr>
      <w:r>
        <w:rPr>
          <w:rFonts w:cs="Arial"/>
          <w:lang w:eastAsia="en-AU"/>
        </w:rPr>
        <w:t>However, in certain circumstances, medical cooling may be approved for a specific medical condition or disability that requires a stable room temperature to be maintained.</w:t>
      </w:r>
    </w:p>
    <w:p w14:paraId="3ED3FB50" w14:textId="5FDE979F" w:rsidR="00617AFF" w:rsidRDefault="00617AFF" w:rsidP="00617AFF">
      <w:pPr>
        <w:pStyle w:val="DHHSbody"/>
        <w:rPr>
          <w:rFonts w:cs="Arial"/>
          <w:lang w:eastAsia="en-AU"/>
        </w:rPr>
      </w:pPr>
      <w:r>
        <w:rPr>
          <w:rFonts w:cs="Arial"/>
          <w:lang w:eastAsia="en-AU"/>
        </w:rPr>
        <w:t xml:space="preserve">For such cases to be considered, evidence is required of both the medical condition or disability </w:t>
      </w:r>
      <w:r>
        <w:rPr>
          <w:rFonts w:cs="Arial"/>
          <w:u w:val="single"/>
          <w:lang w:eastAsia="en-AU"/>
        </w:rPr>
        <w:t>and</w:t>
      </w:r>
      <w:r>
        <w:rPr>
          <w:rFonts w:cs="Arial"/>
          <w:lang w:eastAsia="en-AU"/>
        </w:rPr>
        <w:t xml:space="preserve"> the requirement to maintain stable room temperature control</w:t>
      </w:r>
      <w:r w:rsidR="00655C33">
        <w:rPr>
          <w:rFonts w:cs="Arial"/>
          <w:lang w:eastAsia="en-AU"/>
        </w:rPr>
        <w:t>.</w:t>
      </w:r>
      <w:r w:rsidR="00B05F86">
        <w:rPr>
          <w:rFonts w:cs="Arial"/>
          <w:lang w:eastAsia="en-AU"/>
        </w:rPr>
        <w:t xml:space="preserve"> </w:t>
      </w:r>
      <w:r>
        <w:rPr>
          <w:rFonts w:cs="Arial"/>
          <w:lang w:eastAsia="en-AU"/>
        </w:rPr>
        <w:t xml:space="preserve">Evidence of these must be provided by the treating health practitioner as part of the </w:t>
      </w:r>
      <w:r w:rsidR="00976DF8">
        <w:rPr>
          <w:rFonts w:cs="Arial"/>
          <w:lang w:eastAsia="en-AU"/>
        </w:rPr>
        <w:t>SAR</w:t>
      </w:r>
      <w:r>
        <w:rPr>
          <w:rFonts w:cs="Arial"/>
          <w:lang w:eastAsia="en-AU"/>
        </w:rPr>
        <w:t xml:space="preserve"> for consideration and/or approval of any medical cooling.</w:t>
      </w:r>
    </w:p>
    <w:p w14:paraId="6DA47FBD" w14:textId="219C9216" w:rsidR="00655C33" w:rsidRDefault="00655C33" w:rsidP="00617AFF">
      <w:pPr>
        <w:pStyle w:val="DHHSbody"/>
        <w:rPr>
          <w:rFonts w:cs="Arial"/>
          <w:lang w:eastAsia="en-AU"/>
        </w:rPr>
      </w:pPr>
      <w:r>
        <w:rPr>
          <w:rFonts w:cs="Arial"/>
          <w:lang w:eastAsia="en-AU"/>
        </w:rPr>
        <w:lastRenderedPageBreak/>
        <w:t xml:space="preserve">For tenants residing in an elevated heat risk zone, evidence of a medical condition or disability is not required. </w:t>
      </w:r>
      <w:r w:rsidR="00A567A1">
        <w:rPr>
          <w:rFonts w:cs="Arial"/>
          <w:lang w:eastAsia="en-AU"/>
        </w:rPr>
        <w:t>Tenants will not need to request the installation of an air conditioner in this zone, t</w:t>
      </w:r>
      <w:r>
        <w:rPr>
          <w:rFonts w:cs="Arial"/>
          <w:lang w:eastAsia="en-AU"/>
        </w:rPr>
        <w:t>he Director of Housing will install an air conditioner in the main living area of these dwellings in a phased program</w:t>
      </w:r>
      <w:r w:rsidR="00A567A1">
        <w:rPr>
          <w:rFonts w:cs="Arial"/>
          <w:lang w:eastAsia="en-AU"/>
        </w:rPr>
        <w:t xml:space="preserve">. Tenants may need to wait until up to </w:t>
      </w:r>
      <w:r>
        <w:rPr>
          <w:rFonts w:cs="Arial"/>
          <w:lang w:eastAsia="en-AU"/>
        </w:rPr>
        <w:t>June 2022</w:t>
      </w:r>
      <w:r w:rsidR="00A567A1">
        <w:rPr>
          <w:rFonts w:cs="Arial"/>
          <w:lang w:eastAsia="en-AU"/>
        </w:rPr>
        <w:t xml:space="preserve"> to receive the air conditioner</w:t>
      </w:r>
      <w:r>
        <w:rPr>
          <w:rFonts w:cs="Arial"/>
          <w:lang w:eastAsia="en-AU"/>
        </w:rPr>
        <w:t>. The Director of Housing has defined Victorian locations falling within the National Construction Code’s Climate Zone 4 as elevated heat risk zones. This includes the following Local Government Areas:</w:t>
      </w:r>
    </w:p>
    <w:p w14:paraId="27E38B53" w14:textId="495D637C" w:rsidR="00655C33" w:rsidRDefault="00655C33" w:rsidP="00B05F86">
      <w:pPr>
        <w:pStyle w:val="DHHSbullet1"/>
        <w:spacing w:line="360" w:lineRule="auto"/>
        <w:rPr>
          <w:lang w:eastAsia="en-AU"/>
        </w:rPr>
      </w:pPr>
      <w:r>
        <w:rPr>
          <w:lang w:eastAsia="en-AU"/>
        </w:rPr>
        <w:t>Mildura</w:t>
      </w:r>
    </w:p>
    <w:p w14:paraId="1EBE7493" w14:textId="6C1C6D3D" w:rsidR="00655C33" w:rsidRDefault="00655C33" w:rsidP="00B05F86">
      <w:pPr>
        <w:pStyle w:val="DHHSbullet1"/>
        <w:spacing w:line="360" w:lineRule="auto"/>
        <w:rPr>
          <w:lang w:eastAsia="en-AU"/>
        </w:rPr>
      </w:pPr>
      <w:r>
        <w:rPr>
          <w:lang w:eastAsia="en-AU"/>
        </w:rPr>
        <w:t>Swan Hill</w:t>
      </w:r>
    </w:p>
    <w:p w14:paraId="19979FFE" w14:textId="67FAFE46" w:rsidR="00655C33" w:rsidRDefault="00655C33" w:rsidP="00B05F86">
      <w:pPr>
        <w:pStyle w:val="DHHSbullet1"/>
        <w:spacing w:line="360" w:lineRule="auto"/>
        <w:rPr>
          <w:lang w:eastAsia="en-AU"/>
        </w:rPr>
      </w:pPr>
      <w:r>
        <w:rPr>
          <w:lang w:eastAsia="en-AU"/>
        </w:rPr>
        <w:t>Hindmarsh</w:t>
      </w:r>
    </w:p>
    <w:p w14:paraId="22F9AC42" w14:textId="6B8503C2" w:rsidR="00655C33" w:rsidRDefault="00655C33" w:rsidP="00B05F86">
      <w:pPr>
        <w:pStyle w:val="DHHSbullet1"/>
        <w:spacing w:line="360" w:lineRule="auto"/>
        <w:rPr>
          <w:lang w:eastAsia="en-AU"/>
        </w:rPr>
      </w:pPr>
      <w:proofErr w:type="spellStart"/>
      <w:r>
        <w:rPr>
          <w:lang w:eastAsia="en-AU"/>
        </w:rPr>
        <w:t>Yarriambiack</w:t>
      </w:r>
      <w:proofErr w:type="spellEnd"/>
    </w:p>
    <w:p w14:paraId="68EE2149" w14:textId="4D8F6372" w:rsidR="00655C33" w:rsidRDefault="00655C33" w:rsidP="00B05F86">
      <w:pPr>
        <w:pStyle w:val="DHHSbullet1"/>
        <w:spacing w:line="360" w:lineRule="auto"/>
        <w:rPr>
          <w:lang w:eastAsia="en-AU"/>
        </w:rPr>
      </w:pPr>
      <w:proofErr w:type="spellStart"/>
      <w:r>
        <w:rPr>
          <w:lang w:eastAsia="en-AU"/>
        </w:rPr>
        <w:t>Buloke</w:t>
      </w:r>
      <w:proofErr w:type="spellEnd"/>
    </w:p>
    <w:p w14:paraId="10E6EE6C" w14:textId="2F15BD54" w:rsidR="00655C33" w:rsidRDefault="00655C33" w:rsidP="00B05F86">
      <w:pPr>
        <w:pStyle w:val="DHHSbullet1"/>
        <w:spacing w:line="360" w:lineRule="auto"/>
        <w:rPr>
          <w:lang w:eastAsia="en-AU"/>
        </w:rPr>
      </w:pPr>
      <w:proofErr w:type="spellStart"/>
      <w:r>
        <w:rPr>
          <w:lang w:eastAsia="en-AU"/>
        </w:rPr>
        <w:t>Gannawarra</w:t>
      </w:r>
      <w:proofErr w:type="spellEnd"/>
    </w:p>
    <w:p w14:paraId="700D12D5" w14:textId="5724AF9D" w:rsidR="00655C33" w:rsidRDefault="00655C33" w:rsidP="00B05F86">
      <w:pPr>
        <w:pStyle w:val="DHHSbullet1"/>
        <w:spacing w:line="360" w:lineRule="auto"/>
        <w:rPr>
          <w:lang w:eastAsia="en-AU"/>
        </w:rPr>
      </w:pPr>
      <w:r>
        <w:rPr>
          <w:lang w:eastAsia="en-AU"/>
        </w:rPr>
        <w:t>Campaspe</w:t>
      </w:r>
    </w:p>
    <w:p w14:paraId="35720C27" w14:textId="1D78C4EE" w:rsidR="00655C33" w:rsidRDefault="00655C33" w:rsidP="00B05F86">
      <w:pPr>
        <w:pStyle w:val="DHHSbullet1"/>
        <w:spacing w:line="360" w:lineRule="auto"/>
        <w:rPr>
          <w:lang w:eastAsia="en-AU"/>
        </w:rPr>
      </w:pPr>
      <w:r>
        <w:rPr>
          <w:lang w:eastAsia="en-AU"/>
        </w:rPr>
        <w:t>Greater Shepparton</w:t>
      </w:r>
    </w:p>
    <w:p w14:paraId="34077D6B" w14:textId="0A16BEA7" w:rsidR="00655C33" w:rsidRDefault="00655C33" w:rsidP="00B05F86">
      <w:pPr>
        <w:pStyle w:val="DHHSbullet1"/>
        <w:spacing w:line="360" w:lineRule="auto"/>
        <w:rPr>
          <w:lang w:eastAsia="en-AU"/>
        </w:rPr>
      </w:pPr>
      <w:r>
        <w:rPr>
          <w:lang w:eastAsia="en-AU"/>
        </w:rPr>
        <w:t>Moira</w:t>
      </w:r>
    </w:p>
    <w:p w14:paraId="259CBE1F" w14:textId="77777777" w:rsidR="00655C33" w:rsidRPr="00655C33" w:rsidRDefault="00655C33" w:rsidP="00655C33">
      <w:pPr>
        <w:pStyle w:val="DHHSbody"/>
        <w:rPr>
          <w:rFonts w:cs="Arial"/>
          <w:lang w:eastAsia="en-AU"/>
        </w:rPr>
      </w:pPr>
    </w:p>
    <w:p w14:paraId="655CF557" w14:textId="77777777" w:rsidR="00617AFF" w:rsidRDefault="00617AFF" w:rsidP="00617AFF">
      <w:pPr>
        <w:pStyle w:val="DHHSbody"/>
        <w:rPr>
          <w:rFonts w:cs="Arial"/>
          <w:lang w:eastAsia="en-AU"/>
        </w:rPr>
      </w:pPr>
      <w:r>
        <w:rPr>
          <w:rFonts w:cs="Arial"/>
          <w:lang w:eastAsia="en-AU"/>
        </w:rPr>
        <w:t>Medical cooling, including air conditioning, can only be provided for a maximum of two rooms, those most utilised by the affected public housing applicant, tenant or household member.</w:t>
      </w:r>
    </w:p>
    <w:p w14:paraId="3A3CFD2C" w14:textId="77777777" w:rsidR="00617AFF" w:rsidRDefault="00617AFF" w:rsidP="00617AFF">
      <w:pPr>
        <w:pStyle w:val="DHHSbody"/>
        <w:rPr>
          <w:rFonts w:cs="Arial"/>
          <w:lang w:eastAsia="en-AU"/>
        </w:rPr>
      </w:pPr>
      <w:r>
        <w:rPr>
          <w:rFonts w:cs="Arial"/>
          <w:lang w:eastAsia="en-AU"/>
        </w:rPr>
        <w:t>Ceiling fans are not provided in public housing properties due to structural limitations and potential hazards.</w:t>
      </w:r>
    </w:p>
    <w:p w14:paraId="50C95068" w14:textId="77777777" w:rsidR="00617AFF" w:rsidRDefault="00617AFF" w:rsidP="00617AFF">
      <w:pPr>
        <w:pStyle w:val="DHHSbody"/>
        <w:rPr>
          <w:rFonts w:cs="Arial"/>
          <w:lang w:eastAsia="en-AU"/>
        </w:rPr>
      </w:pPr>
      <w:r>
        <w:rPr>
          <w:rFonts w:cs="Arial"/>
          <w:lang w:eastAsia="en-AU"/>
        </w:rPr>
        <w:t>The qualifying conditions for the provision of medical cooling are:</w:t>
      </w:r>
    </w:p>
    <w:tbl>
      <w:tblPr>
        <w:tblW w:w="0" w:type="auto"/>
        <w:tblInd w:w="387" w:type="dxa"/>
        <w:tblLook w:val="01E0" w:firstRow="1" w:lastRow="1" w:firstColumn="1" w:lastColumn="1" w:noHBand="0" w:noVBand="0"/>
      </w:tblPr>
      <w:tblGrid>
        <w:gridCol w:w="3700"/>
        <w:gridCol w:w="3300"/>
      </w:tblGrid>
      <w:tr w:rsidR="00617AFF" w14:paraId="2E8A4D8A" w14:textId="77777777" w:rsidTr="00617AFF">
        <w:trPr>
          <w:trHeight w:val="580"/>
        </w:trPr>
        <w:tc>
          <w:tcPr>
            <w:tcW w:w="3700" w:type="dxa"/>
          </w:tcPr>
          <w:p w14:paraId="561E944D" w14:textId="77777777" w:rsidR="00617AFF" w:rsidRDefault="00617AFF" w:rsidP="00617AFF">
            <w:pPr>
              <w:pStyle w:val="DHHSbullet1"/>
              <w:spacing w:after="0"/>
              <w:rPr>
                <w:lang w:eastAsia="en-AU"/>
              </w:rPr>
            </w:pPr>
            <w:r>
              <w:rPr>
                <w:lang w:eastAsia="en-AU"/>
              </w:rPr>
              <w:t>Parkinson’s Disease</w:t>
            </w:r>
          </w:p>
        </w:tc>
        <w:tc>
          <w:tcPr>
            <w:tcW w:w="3300" w:type="dxa"/>
          </w:tcPr>
          <w:p w14:paraId="6E2C24BD" w14:textId="77777777" w:rsidR="00617AFF" w:rsidRDefault="00617AFF" w:rsidP="00617AFF">
            <w:pPr>
              <w:pStyle w:val="DHHSbullet1"/>
              <w:spacing w:after="0"/>
              <w:rPr>
                <w:lang w:eastAsia="en-AU"/>
              </w:rPr>
            </w:pPr>
            <w:r>
              <w:rPr>
                <w:lang w:eastAsia="en-AU"/>
              </w:rPr>
              <w:t>Lymphoedema</w:t>
            </w:r>
          </w:p>
        </w:tc>
      </w:tr>
      <w:tr w:rsidR="00617AFF" w14:paraId="16E96B46" w14:textId="77777777" w:rsidTr="00617AFF">
        <w:trPr>
          <w:trHeight w:val="580"/>
        </w:trPr>
        <w:tc>
          <w:tcPr>
            <w:tcW w:w="3700" w:type="dxa"/>
          </w:tcPr>
          <w:p w14:paraId="0ACD69BF" w14:textId="77777777" w:rsidR="00617AFF" w:rsidRDefault="00617AFF" w:rsidP="00617AFF">
            <w:pPr>
              <w:pStyle w:val="DHHSbullet1"/>
              <w:spacing w:after="0"/>
              <w:rPr>
                <w:lang w:eastAsia="en-AU"/>
              </w:rPr>
            </w:pPr>
            <w:r>
              <w:rPr>
                <w:lang w:eastAsia="en-AU"/>
              </w:rPr>
              <w:t>Multiple Sclerosis</w:t>
            </w:r>
          </w:p>
        </w:tc>
        <w:tc>
          <w:tcPr>
            <w:tcW w:w="3300" w:type="dxa"/>
          </w:tcPr>
          <w:p w14:paraId="055E8A39" w14:textId="77777777" w:rsidR="00617AFF" w:rsidRDefault="00617AFF" w:rsidP="00617AFF">
            <w:pPr>
              <w:pStyle w:val="DHHSbullet1"/>
              <w:spacing w:after="0"/>
              <w:rPr>
                <w:lang w:eastAsia="en-AU"/>
              </w:rPr>
            </w:pPr>
            <w:r>
              <w:rPr>
                <w:lang w:eastAsia="en-AU"/>
              </w:rPr>
              <w:t>Fibromyalgia</w:t>
            </w:r>
          </w:p>
        </w:tc>
      </w:tr>
      <w:tr w:rsidR="00617AFF" w14:paraId="7EBC3286" w14:textId="77777777" w:rsidTr="00617AFF">
        <w:trPr>
          <w:trHeight w:val="580"/>
        </w:trPr>
        <w:tc>
          <w:tcPr>
            <w:tcW w:w="3700" w:type="dxa"/>
          </w:tcPr>
          <w:p w14:paraId="13C5299C" w14:textId="32B57F01" w:rsidR="00617AFF" w:rsidRDefault="00617AFF" w:rsidP="00617AFF">
            <w:pPr>
              <w:pStyle w:val="DHHSbullet1"/>
              <w:spacing w:after="0"/>
              <w:rPr>
                <w:lang w:eastAsia="en-AU"/>
              </w:rPr>
            </w:pPr>
            <w:r>
              <w:rPr>
                <w:lang w:eastAsia="en-AU"/>
              </w:rPr>
              <w:t xml:space="preserve">Systemic Lupus </w:t>
            </w:r>
            <w:r w:rsidR="00FF6821">
              <w:rPr>
                <w:lang w:eastAsia="en-AU"/>
              </w:rPr>
              <w:t>Erythematosus</w:t>
            </w:r>
            <w:r>
              <w:rPr>
                <w:lang w:eastAsia="en-AU"/>
              </w:rPr>
              <w:t xml:space="preserve"> </w:t>
            </w:r>
          </w:p>
        </w:tc>
        <w:tc>
          <w:tcPr>
            <w:tcW w:w="3300" w:type="dxa"/>
          </w:tcPr>
          <w:p w14:paraId="0DD9FC99" w14:textId="77777777" w:rsidR="00617AFF" w:rsidRDefault="00617AFF" w:rsidP="00617AFF">
            <w:pPr>
              <w:pStyle w:val="DHHSbullet1"/>
              <w:spacing w:after="0"/>
              <w:rPr>
                <w:lang w:eastAsia="en-AU"/>
              </w:rPr>
            </w:pPr>
            <w:r>
              <w:rPr>
                <w:lang w:eastAsia="en-AU"/>
              </w:rPr>
              <w:t>Motor Neurone Disease</w:t>
            </w:r>
          </w:p>
        </w:tc>
      </w:tr>
      <w:tr w:rsidR="00617AFF" w14:paraId="1B309391" w14:textId="77777777" w:rsidTr="00617AFF">
        <w:trPr>
          <w:trHeight w:val="580"/>
        </w:trPr>
        <w:tc>
          <w:tcPr>
            <w:tcW w:w="3700" w:type="dxa"/>
          </w:tcPr>
          <w:p w14:paraId="14EB40AF" w14:textId="77777777" w:rsidR="00617AFF" w:rsidRDefault="00617AFF" w:rsidP="00617AFF">
            <w:pPr>
              <w:pStyle w:val="DHHSbullet1"/>
              <w:spacing w:after="0"/>
              <w:rPr>
                <w:lang w:eastAsia="en-AU"/>
              </w:rPr>
            </w:pPr>
            <w:r>
              <w:rPr>
                <w:lang w:eastAsia="en-AU"/>
              </w:rPr>
              <w:t>Quadriplegia</w:t>
            </w:r>
          </w:p>
        </w:tc>
        <w:tc>
          <w:tcPr>
            <w:tcW w:w="3300" w:type="dxa"/>
          </w:tcPr>
          <w:p w14:paraId="201D32BF" w14:textId="77777777" w:rsidR="00617AFF" w:rsidRDefault="00617AFF" w:rsidP="00617AFF">
            <w:pPr>
              <w:pStyle w:val="DHHSbullet1"/>
              <w:spacing w:after="0"/>
              <w:rPr>
                <w:lang w:eastAsia="en-AU"/>
              </w:rPr>
            </w:pPr>
            <w:r>
              <w:rPr>
                <w:lang w:eastAsia="en-AU"/>
              </w:rPr>
              <w:t>Scleroderma</w:t>
            </w:r>
          </w:p>
        </w:tc>
      </w:tr>
      <w:tr w:rsidR="00617AFF" w14:paraId="6D26415A" w14:textId="77777777" w:rsidTr="00617AFF">
        <w:trPr>
          <w:trHeight w:val="580"/>
        </w:trPr>
        <w:tc>
          <w:tcPr>
            <w:tcW w:w="3700" w:type="dxa"/>
          </w:tcPr>
          <w:p w14:paraId="3199F4C6" w14:textId="77777777" w:rsidR="00617AFF" w:rsidRDefault="00617AFF" w:rsidP="00617AFF">
            <w:pPr>
              <w:pStyle w:val="DHHSbullet1"/>
              <w:spacing w:after="0"/>
              <w:rPr>
                <w:lang w:eastAsia="en-AU"/>
              </w:rPr>
            </w:pPr>
            <w:r>
              <w:rPr>
                <w:lang w:eastAsia="en-AU"/>
              </w:rPr>
              <w:t>Muscular Dystrophy</w:t>
            </w:r>
          </w:p>
        </w:tc>
        <w:tc>
          <w:tcPr>
            <w:tcW w:w="3300" w:type="dxa"/>
          </w:tcPr>
          <w:p w14:paraId="7A501443" w14:textId="77777777" w:rsidR="00617AFF" w:rsidRDefault="00617AFF" w:rsidP="00617AFF">
            <w:pPr>
              <w:pStyle w:val="DHHSbullet1"/>
              <w:spacing w:after="0"/>
              <w:rPr>
                <w:lang w:eastAsia="en-AU"/>
              </w:rPr>
            </w:pPr>
            <w:r>
              <w:rPr>
                <w:lang w:eastAsia="en-AU"/>
              </w:rPr>
              <w:t>Poliomyelitis or Post Poliomyelitis Syndrome</w:t>
            </w:r>
          </w:p>
        </w:tc>
      </w:tr>
    </w:tbl>
    <w:p w14:paraId="6FA61300" w14:textId="77777777" w:rsidR="00617AFF" w:rsidRDefault="00617AFF" w:rsidP="00617AFF">
      <w:pPr>
        <w:pStyle w:val="DHHSbody"/>
        <w:rPr>
          <w:rFonts w:cs="Arial"/>
          <w:lang w:eastAsia="en-AU"/>
        </w:rPr>
      </w:pPr>
      <w:r>
        <w:rPr>
          <w:rFonts w:cs="Arial"/>
          <w:lang w:eastAsia="en-AU"/>
        </w:rPr>
        <w:t xml:space="preserve">Please note that people with a qualifying condition may also be eligible for a </w:t>
      </w:r>
      <w:r>
        <w:rPr>
          <w:rFonts w:cs="Arial"/>
          <w:i/>
          <w:lang w:eastAsia="en-AU"/>
        </w:rPr>
        <w:t>Victorian Medical Cooling Concession</w:t>
      </w:r>
      <w:r>
        <w:rPr>
          <w:rFonts w:cs="Arial"/>
          <w:lang w:eastAsia="en-AU"/>
        </w:rPr>
        <w:t>.</w:t>
      </w:r>
    </w:p>
    <w:p w14:paraId="5133EA33" w14:textId="77777777" w:rsidR="00617AFF" w:rsidRDefault="00617AFF" w:rsidP="00617AFF">
      <w:pPr>
        <w:pStyle w:val="DHHSbody"/>
        <w:rPr>
          <w:rFonts w:cs="Arial"/>
          <w:lang w:eastAsia="en-AU"/>
        </w:rPr>
      </w:pPr>
      <w:r>
        <w:rPr>
          <w:rFonts w:cs="Arial"/>
          <w:lang w:eastAsia="en-AU"/>
        </w:rPr>
        <w:t>The below medical conditions or disabilities may also be considered:</w:t>
      </w:r>
    </w:p>
    <w:tbl>
      <w:tblPr>
        <w:tblW w:w="0" w:type="auto"/>
        <w:tblInd w:w="403" w:type="dxa"/>
        <w:tblLook w:val="01E0" w:firstRow="1" w:lastRow="1" w:firstColumn="1" w:lastColumn="1" w:noHBand="0" w:noVBand="0"/>
      </w:tblPr>
      <w:tblGrid>
        <w:gridCol w:w="3700"/>
        <w:gridCol w:w="3300"/>
      </w:tblGrid>
      <w:tr w:rsidR="00617AFF" w:rsidRPr="0049789B" w14:paraId="6AE0519D" w14:textId="77777777" w:rsidTr="00617AFF">
        <w:trPr>
          <w:trHeight w:val="850"/>
        </w:trPr>
        <w:tc>
          <w:tcPr>
            <w:tcW w:w="3700" w:type="dxa"/>
          </w:tcPr>
          <w:p w14:paraId="4FAC8277" w14:textId="77777777" w:rsidR="00617AFF" w:rsidRPr="0049789B" w:rsidRDefault="00617AFF" w:rsidP="0049789B">
            <w:pPr>
              <w:pStyle w:val="DHHSbullet1"/>
            </w:pPr>
            <w:r w:rsidRPr="0049789B">
              <w:t>Chronic Obstructive Pulmonary Disease</w:t>
            </w:r>
          </w:p>
        </w:tc>
        <w:tc>
          <w:tcPr>
            <w:tcW w:w="3300" w:type="dxa"/>
          </w:tcPr>
          <w:p w14:paraId="2815E433" w14:textId="77777777" w:rsidR="00617AFF" w:rsidRPr="0049789B" w:rsidRDefault="00617AFF" w:rsidP="0049789B">
            <w:pPr>
              <w:pStyle w:val="DHHSbullet1"/>
            </w:pPr>
            <w:r w:rsidRPr="0049789B">
              <w:t>Heart Condition (severe)</w:t>
            </w:r>
          </w:p>
        </w:tc>
      </w:tr>
      <w:tr w:rsidR="00617AFF" w:rsidRPr="0049789B" w14:paraId="57672568" w14:textId="77777777" w:rsidTr="00617AFF">
        <w:trPr>
          <w:trHeight w:val="850"/>
        </w:trPr>
        <w:tc>
          <w:tcPr>
            <w:tcW w:w="3700" w:type="dxa"/>
          </w:tcPr>
          <w:p w14:paraId="3AA7F31D" w14:textId="77777777" w:rsidR="00617AFF" w:rsidRPr="0049789B" w:rsidRDefault="00617AFF" w:rsidP="0049789B">
            <w:pPr>
              <w:pStyle w:val="DHHSbullet1"/>
            </w:pPr>
            <w:r w:rsidRPr="0049789B">
              <w:t>Cerebral Palsy</w:t>
            </w:r>
          </w:p>
        </w:tc>
        <w:tc>
          <w:tcPr>
            <w:tcW w:w="3300" w:type="dxa"/>
          </w:tcPr>
          <w:p w14:paraId="58267BC5" w14:textId="77D61D48" w:rsidR="00617AFF" w:rsidRPr="0049789B" w:rsidRDefault="00617AFF" w:rsidP="0049789B">
            <w:pPr>
              <w:pStyle w:val="DHHSbullet1"/>
            </w:pPr>
            <w:r w:rsidRPr="0049789B">
              <w:t xml:space="preserve">Chronic Fatigue Syndrome otherwise known as </w:t>
            </w:r>
            <w:proofErr w:type="spellStart"/>
            <w:r w:rsidRPr="0049789B">
              <w:t>Myalgic</w:t>
            </w:r>
            <w:proofErr w:type="spellEnd"/>
            <w:r w:rsidRPr="0049789B">
              <w:t xml:space="preserve"> Encephalomyelitis</w:t>
            </w:r>
          </w:p>
        </w:tc>
      </w:tr>
      <w:tr w:rsidR="00617AFF" w:rsidRPr="0049789B" w14:paraId="42ADF1E1" w14:textId="77777777" w:rsidTr="00617AFF">
        <w:trPr>
          <w:trHeight w:val="850"/>
        </w:trPr>
        <w:tc>
          <w:tcPr>
            <w:tcW w:w="3700" w:type="dxa"/>
          </w:tcPr>
          <w:p w14:paraId="2B12F5C0" w14:textId="77777777" w:rsidR="00617AFF" w:rsidRPr="0049789B" w:rsidRDefault="00617AFF" w:rsidP="0049789B">
            <w:pPr>
              <w:pStyle w:val="DHHSbullet1"/>
            </w:pPr>
            <w:r w:rsidRPr="0049789B">
              <w:t xml:space="preserve">Stroke otherwise known as </w:t>
            </w:r>
            <w:proofErr w:type="spellStart"/>
            <w:r w:rsidRPr="0049789B">
              <w:t>Cerebro</w:t>
            </w:r>
            <w:proofErr w:type="spellEnd"/>
            <w:r w:rsidRPr="0049789B">
              <w:t xml:space="preserve"> Vascular Accident</w:t>
            </w:r>
          </w:p>
        </w:tc>
        <w:tc>
          <w:tcPr>
            <w:tcW w:w="3300" w:type="dxa"/>
          </w:tcPr>
          <w:p w14:paraId="116AA0F8" w14:textId="77777777" w:rsidR="00617AFF" w:rsidRPr="0049789B" w:rsidRDefault="00617AFF" w:rsidP="0049789B">
            <w:pPr>
              <w:pStyle w:val="DHHSbullet1"/>
            </w:pPr>
            <w:r w:rsidRPr="0049789B">
              <w:t>Emphysema (severe)</w:t>
            </w:r>
          </w:p>
        </w:tc>
      </w:tr>
      <w:tr w:rsidR="00617AFF" w:rsidRPr="0049789B" w14:paraId="66825FD1" w14:textId="77777777" w:rsidTr="00617AFF">
        <w:trPr>
          <w:trHeight w:val="850"/>
        </w:trPr>
        <w:tc>
          <w:tcPr>
            <w:tcW w:w="3700" w:type="dxa"/>
          </w:tcPr>
          <w:p w14:paraId="26252FE3" w14:textId="77777777" w:rsidR="00617AFF" w:rsidRPr="0049789B" w:rsidRDefault="00617AFF" w:rsidP="0049789B">
            <w:pPr>
              <w:pStyle w:val="DHHSbullet1"/>
            </w:pPr>
            <w:r w:rsidRPr="0049789B">
              <w:lastRenderedPageBreak/>
              <w:t>Epilepsy (uncontrolled)</w:t>
            </w:r>
          </w:p>
        </w:tc>
        <w:tc>
          <w:tcPr>
            <w:tcW w:w="3300" w:type="dxa"/>
          </w:tcPr>
          <w:p w14:paraId="7BAAE78F" w14:textId="77777777" w:rsidR="00617AFF" w:rsidRPr="0049789B" w:rsidRDefault="00617AFF" w:rsidP="0049789B">
            <w:pPr>
              <w:pStyle w:val="DHHSbullet1"/>
            </w:pPr>
            <w:r w:rsidRPr="0049789B">
              <w:t>Cystic Fibrosis</w:t>
            </w:r>
          </w:p>
        </w:tc>
      </w:tr>
      <w:tr w:rsidR="00617AFF" w:rsidRPr="0049789B" w14:paraId="210C5369" w14:textId="77777777" w:rsidTr="00617AFF">
        <w:trPr>
          <w:trHeight w:val="850"/>
        </w:trPr>
        <w:tc>
          <w:tcPr>
            <w:tcW w:w="3700" w:type="dxa"/>
          </w:tcPr>
          <w:p w14:paraId="32A2D355" w14:textId="77777777" w:rsidR="00617AFF" w:rsidRPr="0049789B" w:rsidRDefault="00617AFF" w:rsidP="0049789B">
            <w:pPr>
              <w:pStyle w:val="DHHSbullet1"/>
            </w:pPr>
            <w:r w:rsidRPr="0049789B">
              <w:t>Cancer (major organ)</w:t>
            </w:r>
          </w:p>
        </w:tc>
        <w:tc>
          <w:tcPr>
            <w:tcW w:w="3300" w:type="dxa"/>
          </w:tcPr>
          <w:p w14:paraId="2B9227C4" w14:textId="77777777" w:rsidR="00617AFF" w:rsidRPr="0049789B" w:rsidRDefault="00617AFF" w:rsidP="0049789B">
            <w:pPr>
              <w:pStyle w:val="DHHSbullet1"/>
            </w:pPr>
            <w:r w:rsidRPr="0049789B">
              <w:t>Renal failure otherwise known as Kidney failure</w:t>
            </w:r>
          </w:p>
        </w:tc>
      </w:tr>
      <w:tr w:rsidR="00617AFF" w:rsidRPr="0049789B" w14:paraId="46773AE0" w14:textId="77777777" w:rsidTr="00617AFF">
        <w:trPr>
          <w:trHeight w:val="850"/>
        </w:trPr>
        <w:tc>
          <w:tcPr>
            <w:tcW w:w="3700" w:type="dxa"/>
          </w:tcPr>
          <w:p w14:paraId="70E8A860" w14:textId="77777777" w:rsidR="00617AFF" w:rsidRPr="0049789B" w:rsidRDefault="00617AFF" w:rsidP="0049789B">
            <w:pPr>
              <w:pStyle w:val="DHHSbullet1"/>
            </w:pPr>
            <w:r w:rsidRPr="0049789B">
              <w:t>Myasthenia Gravis</w:t>
            </w:r>
          </w:p>
        </w:tc>
        <w:tc>
          <w:tcPr>
            <w:tcW w:w="3300" w:type="dxa"/>
          </w:tcPr>
          <w:p w14:paraId="289064C9" w14:textId="77777777" w:rsidR="00617AFF" w:rsidRPr="0049789B" w:rsidRDefault="00617AFF" w:rsidP="0049789B">
            <w:pPr>
              <w:pStyle w:val="DHHSbullet1"/>
            </w:pPr>
            <w:r w:rsidRPr="0049789B">
              <w:t>Other (where details are provided)</w:t>
            </w:r>
          </w:p>
        </w:tc>
      </w:tr>
    </w:tbl>
    <w:p w14:paraId="671A84A1" w14:textId="77777777" w:rsidR="00617AFF" w:rsidRDefault="00617AFF" w:rsidP="00617AFF">
      <w:pPr>
        <w:pStyle w:val="Heading2"/>
      </w:pPr>
      <w:bookmarkStart w:id="18" w:name="_Toc435714543"/>
      <w:bookmarkStart w:id="19" w:name="_Toc486842708"/>
      <w:bookmarkStart w:id="20" w:name="_Toc62125247"/>
      <w:r>
        <w:t>Treating health practitioners</w:t>
      </w:r>
      <w:bookmarkEnd w:id="18"/>
      <w:bookmarkEnd w:id="19"/>
      <w:bookmarkEnd w:id="20"/>
    </w:p>
    <w:p w14:paraId="7F5F0BD8" w14:textId="77777777" w:rsidR="00617AFF" w:rsidRDefault="00617AFF" w:rsidP="00617AFF">
      <w:pPr>
        <w:pStyle w:val="DHHSbody"/>
        <w:rPr>
          <w:rFonts w:cs="Arial"/>
          <w:lang w:eastAsia="en-AU"/>
        </w:rPr>
      </w:pPr>
      <w:r>
        <w:rPr>
          <w:rFonts w:cs="Arial"/>
          <w:lang w:eastAsia="en-AU"/>
        </w:rPr>
        <w:t xml:space="preserve">Treating health practitioner refers to health practitioners registered under the </w:t>
      </w:r>
      <w:r w:rsidRPr="005300F6">
        <w:rPr>
          <w:rFonts w:cs="Arial"/>
          <w:i/>
          <w:lang w:eastAsia="en-AU"/>
        </w:rPr>
        <w:t>Health Practitio</w:t>
      </w:r>
      <w:r w:rsidR="00FE0449">
        <w:rPr>
          <w:rFonts w:cs="Arial"/>
          <w:i/>
          <w:lang w:eastAsia="en-AU"/>
        </w:rPr>
        <w:t xml:space="preserve">ner Regulation National Law </w:t>
      </w:r>
      <w:r>
        <w:rPr>
          <w:rFonts w:cs="Arial"/>
          <w:lang w:eastAsia="en-AU"/>
        </w:rPr>
        <w:t>(VIC) other than as a student, for any of the following professions:</w:t>
      </w:r>
    </w:p>
    <w:p w14:paraId="7C566B3B" w14:textId="77777777" w:rsidR="00617AFF" w:rsidRDefault="00617AFF" w:rsidP="0049789B">
      <w:pPr>
        <w:pStyle w:val="DHHSbullet1"/>
        <w:spacing w:after="120"/>
        <w:rPr>
          <w:lang w:eastAsia="en-AU"/>
        </w:rPr>
      </w:pPr>
      <w:r>
        <w:t>Aboriginal and Torres Strait Islander health practice</w:t>
      </w:r>
    </w:p>
    <w:p w14:paraId="1A5CA9C0" w14:textId="77777777" w:rsidR="00617AFF" w:rsidRDefault="00617AFF" w:rsidP="0049789B">
      <w:pPr>
        <w:pStyle w:val="DHHSbullet1"/>
        <w:spacing w:after="120"/>
      </w:pPr>
      <w:r>
        <w:t>Chinese medicine</w:t>
      </w:r>
    </w:p>
    <w:p w14:paraId="6FE8F334" w14:textId="77777777" w:rsidR="00617AFF" w:rsidRDefault="00617AFF" w:rsidP="0049789B">
      <w:pPr>
        <w:pStyle w:val="DHHSbullet1"/>
        <w:spacing w:after="120"/>
      </w:pPr>
      <w:r>
        <w:t>chiropractic</w:t>
      </w:r>
    </w:p>
    <w:p w14:paraId="56C70488" w14:textId="77777777" w:rsidR="00617AFF" w:rsidRDefault="00617AFF" w:rsidP="0049789B">
      <w:pPr>
        <w:pStyle w:val="DHHSbullet1"/>
        <w:spacing w:after="120"/>
      </w:pPr>
      <w:r>
        <w:t>dental</w:t>
      </w:r>
    </w:p>
    <w:p w14:paraId="2C05ABF3" w14:textId="77777777" w:rsidR="00617AFF" w:rsidRDefault="00617AFF" w:rsidP="0049789B">
      <w:pPr>
        <w:pStyle w:val="DHHSbullet1"/>
        <w:spacing w:after="120"/>
      </w:pPr>
      <w:r>
        <w:t>medical</w:t>
      </w:r>
    </w:p>
    <w:p w14:paraId="70A25B3F" w14:textId="77777777" w:rsidR="00617AFF" w:rsidRDefault="00617AFF" w:rsidP="0049789B">
      <w:pPr>
        <w:pStyle w:val="DHHSbullet1"/>
        <w:spacing w:after="120"/>
      </w:pPr>
      <w:r>
        <w:t>medical radiation practice</w:t>
      </w:r>
    </w:p>
    <w:p w14:paraId="1F937527" w14:textId="77777777" w:rsidR="00617AFF" w:rsidRDefault="00617AFF" w:rsidP="0049789B">
      <w:pPr>
        <w:pStyle w:val="DHHSbullet1"/>
        <w:spacing w:after="120"/>
      </w:pPr>
      <w:r>
        <w:t>nursing and midwifery</w:t>
      </w:r>
    </w:p>
    <w:p w14:paraId="770216FB" w14:textId="77777777" w:rsidR="00617AFF" w:rsidRDefault="00617AFF" w:rsidP="0049789B">
      <w:pPr>
        <w:pStyle w:val="DHHSbullet1"/>
        <w:spacing w:after="120"/>
      </w:pPr>
      <w:r>
        <w:t>occupational therapy</w:t>
      </w:r>
    </w:p>
    <w:p w14:paraId="263895C5" w14:textId="77777777" w:rsidR="00617AFF" w:rsidRDefault="00617AFF" w:rsidP="0049789B">
      <w:pPr>
        <w:pStyle w:val="DHHSbullet1"/>
        <w:spacing w:after="120"/>
      </w:pPr>
      <w:r>
        <w:t>optometry</w:t>
      </w:r>
    </w:p>
    <w:p w14:paraId="63D66056" w14:textId="77777777" w:rsidR="00617AFF" w:rsidRDefault="00617AFF" w:rsidP="0049789B">
      <w:pPr>
        <w:pStyle w:val="DHHSbullet1"/>
        <w:spacing w:after="120"/>
      </w:pPr>
      <w:r>
        <w:t>osteopathy</w:t>
      </w:r>
    </w:p>
    <w:p w14:paraId="323A9ECE" w14:textId="77777777" w:rsidR="00617AFF" w:rsidRDefault="00617AFF" w:rsidP="0049789B">
      <w:pPr>
        <w:pStyle w:val="DHHSbullet1"/>
        <w:spacing w:after="120"/>
      </w:pPr>
      <w:r>
        <w:t>pharmacy</w:t>
      </w:r>
    </w:p>
    <w:p w14:paraId="0DEB1D54" w14:textId="77777777" w:rsidR="00617AFF" w:rsidRDefault="00617AFF" w:rsidP="0049789B">
      <w:pPr>
        <w:pStyle w:val="DHHSbullet1"/>
        <w:spacing w:after="120"/>
      </w:pPr>
      <w:r>
        <w:t>physiotherapy</w:t>
      </w:r>
    </w:p>
    <w:p w14:paraId="0FD0E6DA" w14:textId="77777777" w:rsidR="00617AFF" w:rsidRDefault="00617AFF" w:rsidP="0049789B">
      <w:pPr>
        <w:pStyle w:val="DHHSbullet1"/>
        <w:spacing w:after="120"/>
      </w:pPr>
      <w:r>
        <w:t>podiatry</w:t>
      </w:r>
    </w:p>
    <w:p w14:paraId="5C34E9AC" w14:textId="77777777" w:rsidR="00617AFF" w:rsidRDefault="00617AFF" w:rsidP="0049789B">
      <w:pPr>
        <w:pStyle w:val="DHHSbullet1"/>
        <w:spacing w:after="120"/>
        <w:rPr>
          <w:lang w:eastAsia="en-AU"/>
        </w:rPr>
      </w:pPr>
      <w:r>
        <w:t>psychology</w:t>
      </w:r>
    </w:p>
    <w:p w14:paraId="74F55954" w14:textId="6C2E3DC7" w:rsidR="00617AFF" w:rsidRDefault="00617AFF" w:rsidP="00617AFF">
      <w:pPr>
        <w:pStyle w:val="DHHSbody"/>
        <w:rPr>
          <w:rFonts w:cs="Arial"/>
          <w:lang w:eastAsia="en-AU"/>
        </w:rPr>
      </w:pPr>
      <w:r>
        <w:rPr>
          <w:rFonts w:cs="Arial"/>
          <w:lang w:eastAsia="en-AU"/>
        </w:rPr>
        <w:t>The treating health practitioner must be treating the public housing</w:t>
      </w:r>
      <w:r w:rsidR="00651F79">
        <w:rPr>
          <w:rFonts w:cs="Arial"/>
          <w:lang w:eastAsia="en-AU"/>
        </w:rPr>
        <w:t xml:space="preserve"> </w:t>
      </w:r>
      <w:r>
        <w:rPr>
          <w:rFonts w:cs="Arial"/>
          <w:lang w:eastAsia="en-AU"/>
        </w:rPr>
        <w:t xml:space="preserve">tenant or household member and registered with a recognised specialty in the treatment of the relevant medical condition or disability. The treating health practitioner is required to provide specific details of the relevant medical condition or disability of the public housing tenant or household member and must also demonstrate that this specific medical condition or disability requires special </w:t>
      </w:r>
      <w:r w:rsidR="00976DF8">
        <w:rPr>
          <w:rFonts w:cs="Arial"/>
          <w:lang w:eastAsia="en-AU"/>
        </w:rPr>
        <w:t>accommodation</w:t>
      </w:r>
      <w:r>
        <w:rPr>
          <w:rFonts w:cs="Arial"/>
          <w:lang w:eastAsia="en-AU"/>
        </w:rPr>
        <w:t xml:space="preserve"> requirements.</w:t>
      </w:r>
    </w:p>
    <w:p w14:paraId="0370D04C" w14:textId="77777777" w:rsidR="00617AFF" w:rsidRPr="00D61C0C" w:rsidRDefault="00617AFF" w:rsidP="00617AFF">
      <w:pPr>
        <w:pStyle w:val="Heading2"/>
      </w:pPr>
      <w:bookmarkStart w:id="21" w:name="_Toc435714544"/>
      <w:bookmarkStart w:id="22" w:name="_Toc486842709"/>
      <w:bookmarkStart w:id="23" w:name="_Toc62125248"/>
      <w:r>
        <w:rPr>
          <w:lang w:eastAsia="en-AU"/>
        </w:rPr>
        <w:t>Additional supports for tenants during periods of extreme temperatures</w:t>
      </w:r>
      <w:bookmarkEnd w:id="21"/>
      <w:bookmarkEnd w:id="22"/>
      <w:bookmarkEnd w:id="23"/>
    </w:p>
    <w:p w14:paraId="19F3B2ED" w14:textId="77777777" w:rsidR="00FE0449" w:rsidRDefault="00617AFF" w:rsidP="00617AFF">
      <w:pPr>
        <w:pStyle w:val="DHHSbody"/>
        <w:rPr>
          <w:rFonts w:eastAsia="Times New Roman" w:cs="Arial"/>
          <w:lang w:eastAsia="en-AU"/>
        </w:rPr>
      </w:pPr>
      <w:r>
        <w:rPr>
          <w:rFonts w:eastAsia="Times New Roman" w:cs="Arial"/>
          <w:lang w:eastAsia="en-AU"/>
        </w:rPr>
        <w:t>Support is provided to tenants and household members during periods of extreme temperatures through the implementation of the Cooler Places program on declared Heat Health Alert days, and the operation of the Keeping in Touch Program for tenants aged over 75</w:t>
      </w:r>
      <w:r w:rsidR="00FE0449">
        <w:rPr>
          <w:rFonts w:eastAsia="Times New Roman" w:cs="Arial"/>
          <w:lang w:eastAsia="en-AU"/>
        </w:rPr>
        <w:t xml:space="preserve"> years of age and living alone.</w:t>
      </w:r>
    </w:p>
    <w:p w14:paraId="3523F43B" w14:textId="77777777" w:rsidR="00617AFF" w:rsidRPr="00FE0449" w:rsidRDefault="00617AFF" w:rsidP="00617AFF">
      <w:pPr>
        <w:pStyle w:val="DHHSbody"/>
        <w:rPr>
          <w:rFonts w:eastAsia="Times New Roman" w:cs="Arial"/>
          <w:lang w:eastAsia="en-AU"/>
        </w:rPr>
      </w:pPr>
      <w:r>
        <w:rPr>
          <w:rFonts w:cs="Arial"/>
        </w:rPr>
        <w:t>In addition, tenants can install air conditioning at their own expense after obtaining permission from the local office</w:t>
      </w:r>
      <w:r w:rsidR="00FE0449">
        <w:rPr>
          <w:rFonts w:cs="Arial"/>
        </w:rPr>
        <w:t xml:space="preserve"> </w:t>
      </w:r>
      <w:r w:rsidR="00A23A67">
        <w:rPr>
          <w:rFonts w:cs="Arial"/>
        </w:rPr>
        <w:t>by completing the Internal/External Works Permit</w:t>
      </w:r>
      <w:r>
        <w:rPr>
          <w:rFonts w:cs="Arial"/>
        </w:rPr>
        <w:t>.</w:t>
      </w:r>
    </w:p>
    <w:p w14:paraId="3F5D55DF" w14:textId="77777777" w:rsidR="00617AFF" w:rsidRDefault="00617AFF" w:rsidP="00617AFF">
      <w:pPr>
        <w:pStyle w:val="Heading2"/>
        <w:rPr>
          <w:lang w:eastAsia="en-AU"/>
        </w:rPr>
      </w:pPr>
      <w:bookmarkStart w:id="24" w:name="_Toc435714545"/>
      <w:bookmarkStart w:id="25" w:name="_Toc486842710"/>
      <w:bookmarkStart w:id="26" w:name="_Toc62125249"/>
      <w:r>
        <w:rPr>
          <w:lang w:eastAsia="en-AU"/>
        </w:rPr>
        <w:lastRenderedPageBreak/>
        <w:t>Supporting documentation</w:t>
      </w:r>
      <w:bookmarkEnd w:id="24"/>
      <w:bookmarkEnd w:id="25"/>
      <w:bookmarkEnd w:id="26"/>
    </w:p>
    <w:p w14:paraId="7AB42F10" w14:textId="4504E76A" w:rsidR="00617AFF" w:rsidRDefault="00617AFF" w:rsidP="00617AFF">
      <w:pPr>
        <w:pStyle w:val="DHHSbody"/>
        <w:rPr>
          <w:rFonts w:cs="Arial"/>
          <w:i/>
          <w:lang w:eastAsia="en-AU"/>
        </w:rPr>
      </w:pPr>
      <w:r>
        <w:rPr>
          <w:rFonts w:cs="Arial"/>
          <w:i/>
          <w:lang w:eastAsia="en-AU"/>
        </w:rPr>
        <w:t xml:space="preserve">Application for special </w:t>
      </w:r>
      <w:r w:rsidR="00976DF8">
        <w:rPr>
          <w:rFonts w:cs="Arial"/>
          <w:i/>
          <w:lang w:eastAsia="en-AU"/>
        </w:rPr>
        <w:t>accommodation</w:t>
      </w:r>
      <w:r>
        <w:rPr>
          <w:rFonts w:cs="Arial"/>
          <w:i/>
          <w:lang w:eastAsia="en-AU"/>
        </w:rPr>
        <w:t xml:space="preserve"> requirements</w:t>
      </w:r>
      <w:r w:rsidR="00976DF8">
        <w:rPr>
          <w:rFonts w:cs="Arial"/>
          <w:i/>
          <w:lang w:eastAsia="en-AU"/>
        </w:rPr>
        <w:t xml:space="preserve"> for </w:t>
      </w:r>
      <w:proofErr w:type="gramStart"/>
      <w:r w:rsidR="00976DF8">
        <w:rPr>
          <w:rFonts w:cs="Arial"/>
          <w:i/>
          <w:lang w:eastAsia="en-AU"/>
        </w:rPr>
        <w:t>tenants</w:t>
      </w:r>
      <w:proofErr w:type="gramEnd"/>
      <w:r>
        <w:rPr>
          <w:rFonts w:cs="Arial"/>
          <w:i/>
          <w:lang w:eastAsia="en-AU"/>
        </w:rPr>
        <w:t xml:space="preserve"> form.</w:t>
      </w:r>
    </w:p>
    <w:sectPr w:rsidR="00617AFF" w:rsidSect="00BA5E47">
      <w:headerReference w:type="even" r:id="rId20"/>
      <w:headerReference w:type="default" r:id="rId21"/>
      <w:footerReference w:type="even" r:id="rId22"/>
      <w:footerReference w:type="default" r:id="rId23"/>
      <w:footerReference w:type="first" r:id="rId2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E502D" w14:textId="77777777" w:rsidR="00F94965" w:rsidRDefault="00F94965">
      <w:r>
        <w:separator/>
      </w:r>
    </w:p>
  </w:endnote>
  <w:endnote w:type="continuationSeparator" w:id="0">
    <w:p w14:paraId="381940F7" w14:textId="77777777" w:rsidR="00F94965" w:rsidRDefault="00F9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altName w:val="Times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458B" w14:textId="51D5E3E5" w:rsidR="00372F69" w:rsidRPr="008114D1" w:rsidRDefault="00372F69" w:rsidP="00D46B54">
    <w:pPr>
      <w:pStyle w:val="DHHSfooter"/>
    </w:pPr>
    <w:r>
      <w:t xml:space="preserve">Page </w:t>
    </w:r>
    <w:r w:rsidRPr="005A39EC">
      <w:fldChar w:fldCharType="begin"/>
    </w:r>
    <w:r w:rsidRPr="005A39EC">
      <w:instrText xml:space="preserve"> PAGE </w:instrText>
    </w:r>
    <w:r w:rsidRPr="005A39EC">
      <w:fldChar w:fldCharType="separate"/>
    </w:r>
    <w:r w:rsidR="005655AC">
      <w:rPr>
        <w:noProof/>
      </w:rPr>
      <w:t>2</w:t>
    </w:r>
    <w:r w:rsidRPr="005A39EC">
      <w:fldChar w:fldCharType="end"/>
    </w:r>
    <w:r>
      <w:tab/>
      <w:t xml:space="preserve">Special accommodation requirement for public housing </w:t>
    </w:r>
    <w:proofErr w:type="gramStart"/>
    <w:r>
      <w:t>tenants</w:t>
    </w:r>
    <w:proofErr w:type="gramEnd"/>
    <w:r>
      <w:t xml:space="preserve"> operational guidelines</w:t>
    </w:r>
  </w:p>
  <w:p w14:paraId="22009E12" w14:textId="77777777" w:rsidR="00372F69" w:rsidRDefault="00372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9DF1" w14:textId="1594B8D0" w:rsidR="00372F69" w:rsidRPr="0031753A" w:rsidRDefault="00372F69" w:rsidP="00D46B54">
    <w:pPr>
      <w:pStyle w:val="DHHSfooter"/>
    </w:pPr>
    <w:r>
      <w:t xml:space="preserve">Special accommodation requirements for public housing </w:t>
    </w:r>
    <w:proofErr w:type="gramStart"/>
    <w:r>
      <w:t>tenants</w:t>
    </w:r>
    <w:proofErr w:type="gramEnd"/>
    <w:r>
      <w:t xml:space="preserve"> operational guidelines</w:t>
    </w:r>
    <w:r w:rsidRPr="0031753A">
      <w:tab/>
      <w:t xml:space="preserve">Page </w:t>
    </w:r>
    <w:r w:rsidRPr="0031753A">
      <w:fldChar w:fldCharType="begin"/>
    </w:r>
    <w:r w:rsidRPr="0031753A">
      <w:instrText xml:space="preserve"> PAGE </w:instrText>
    </w:r>
    <w:r w:rsidRPr="0031753A">
      <w:fldChar w:fldCharType="separate"/>
    </w:r>
    <w:r w:rsidR="009174E5">
      <w:rPr>
        <w:noProof/>
      </w:rPr>
      <w:t>3</w:t>
    </w:r>
    <w:r w:rsidRPr="0031753A">
      <w:fldChar w:fldCharType="end"/>
    </w:r>
  </w:p>
  <w:p w14:paraId="19330E41" w14:textId="77777777" w:rsidR="00372F69" w:rsidRDefault="00372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7600" w14:textId="77777777" w:rsidR="00D46D9B" w:rsidRDefault="00D46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2E95" w14:textId="02BD6BEC" w:rsidR="00372F69" w:rsidRPr="008114D1" w:rsidRDefault="00372F69" w:rsidP="00E969B1">
    <w:pPr>
      <w:pStyle w:val="DHHSfooter"/>
    </w:pPr>
    <w:r>
      <w:t xml:space="preserve">Page </w:t>
    </w:r>
    <w:r w:rsidRPr="005A39EC">
      <w:fldChar w:fldCharType="begin"/>
    </w:r>
    <w:r w:rsidRPr="005A39EC">
      <w:instrText xml:space="preserve"> PAGE </w:instrText>
    </w:r>
    <w:r w:rsidRPr="005A39EC">
      <w:fldChar w:fldCharType="separate"/>
    </w:r>
    <w:r w:rsidR="009174E5">
      <w:rPr>
        <w:noProof/>
      </w:rPr>
      <w:t>6</w:t>
    </w:r>
    <w:r w:rsidRPr="005A39EC">
      <w:fldChar w:fldCharType="end"/>
    </w:r>
    <w:r>
      <w:tab/>
      <w:t xml:space="preserve">Special accommodation requirements for public housing </w:t>
    </w:r>
    <w:proofErr w:type="gramStart"/>
    <w:r>
      <w:t>tenants</w:t>
    </w:r>
    <w:proofErr w:type="gramEnd"/>
    <w:r>
      <w:t xml:space="preserve"> operational guidelines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73EA" w14:textId="37E1E366" w:rsidR="00372F69" w:rsidRPr="0031753A" w:rsidRDefault="00372F69" w:rsidP="00E969B1">
    <w:pPr>
      <w:pStyle w:val="DHHSfooter"/>
    </w:pPr>
    <w:bookmarkStart w:id="27" w:name="_GoBack"/>
    <w:bookmarkEnd w:id="27"/>
    <w:r>
      <w:t>Special accommodation requirements</w:t>
    </w:r>
    <w:r w:rsidR="00904416">
      <w:t xml:space="preserve"> for public housing tenants</w:t>
    </w:r>
    <w:r>
      <w:t xml:space="preserve"> operational guidelines</w:t>
    </w:r>
    <w:r w:rsidRPr="0031753A">
      <w:tab/>
      <w:t xml:space="preserve">Page </w:t>
    </w:r>
    <w:r w:rsidRPr="0031753A">
      <w:fldChar w:fldCharType="begin"/>
    </w:r>
    <w:r w:rsidRPr="0031753A">
      <w:instrText xml:space="preserve"> PAGE </w:instrText>
    </w:r>
    <w:r w:rsidRPr="0031753A">
      <w:fldChar w:fldCharType="separate"/>
    </w:r>
    <w:r w:rsidR="009174E5">
      <w:rPr>
        <w:noProof/>
      </w:rPr>
      <w:t>7</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B1FD" w14:textId="77777777" w:rsidR="00372F69" w:rsidRPr="001A7E04" w:rsidRDefault="00372F69"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7FCE3" w14:textId="77777777" w:rsidR="00F94965" w:rsidRDefault="00F94965">
      <w:r>
        <w:separator/>
      </w:r>
    </w:p>
  </w:footnote>
  <w:footnote w:type="continuationSeparator" w:id="0">
    <w:p w14:paraId="51A88EED" w14:textId="77777777" w:rsidR="00F94965" w:rsidRDefault="00F94965">
      <w:r>
        <w:continuationSeparator/>
      </w:r>
    </w:p>
  </w:footnote>
  <w:footnote w:id="1">
    <w:p w14:paraId="3D82F40C" w14:textId="605197CC" w:rsidR="007E628A" w:rsidRDefault="007E628A" w:rsidP="007E628A">
      <w:pPr>
        <w:pStyle w:val="DHHSbody"/>
      </w:pPr>
      <w:r>
        <w:rPr>
          <w:rStyle w:val="FootnoteReference"/>
        </w:rPr>
        <w:footnoteRef/>
      </w:r>
      <w:r>
        <w:t xml:space="preserve"> </w:t>
      </w:r>
      <w:r w:rsidRPr="00B05F86">
        <w:rPr>
          <w:sz w:val="16"/>
          <w:szCs w:val="16"/>
        </w:rPr>
        <w:t>No application is required for air conditioning where the department has determined t</w:t>
      </w:r>
      <w:r w:rsidR="00655C33">
        <w:rPr>
          <w:sz w:val="16"/>
          <w:szCs w:val="16"/>
        </w:rPr>
        <w:t>hat a given location is in an elevated heat risk zone</w:t>
      </w:r>
      <w:r w:rsidRPr="00B05F86">
        <w:rPr>
          <w:sz w:val="16"/>
          <w:szCs w:val="16"/>
        </w:rPr>
        <w:t xml:space="preserve">. For the purpose of these guidelines, residence in an elevated heat risk location meets the definition of ‘demonstrated need’. </w:t>
      </w:r>
    </w:p>
    <w:p w14:paraId="3B4EF998" w14:textId="63D94986" w:rsidR="007E628A" w:rsidRDefault="007E628A">
      <w:pPr>
        <w:pStyle w:val="FootnoteText"/>
      </w:pPr>
    </w:p>
  </w:footnote>
  <w:footnote w:id="2">
    <w:p w14:paraId="21CABCE7" w14:textId="3FED3141" w:rsidR="007E628A" w:rsidRDefault="007E628A">
      <w:pPr>
        <w:pStyle w:val="FootnoteText"/>
      </w:pPr>
      <w:r>
        <w:rPr>
          <w:rStyle w:val="FootnoteReference"/>
        </w:rPr>
        <w:footnoteRef/>
      </w:r>
      <w:r>
        <w:t xml:space="preserve"> Note that, for the provision of air conditioning, no application is required where a tenant is a resident of a defined elevated heat risk zone.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A273" w14:textId="77777777" w:rsidR="00D46D9B" w:rsidRDefault="00D46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4693" w14:textId="77777777" w:rsidR="00D46D9B" w:rsidRDefault="00D46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275D" w14:textId="77777777" w:rsidR="00D46D9B" w:rsidRDefault="00D46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352A" w14:textId="77777777" w:rsidR="00372F69" w:rsidRPr="0069374A" w:rsidRDefault="00372F69"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7F9B" w14:textId="77777777" w:rsidR="00372F69" w:rsidRDefault="00372F69"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7507"/>
    <w:multiLevelType w:val="hybridMultilevel"/>
    <w:tmpl w:val="A560E182"/>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FEC1146"/>
    <w:multiLevelType w:val="hybridMultilevel"/>
    <w:tmpl w:val="0A920498"/>
    <w:lvl w:ilvl="0" w:tplc="0C090001">
      <w:start w:val="1"/>
      <w:numFmt w:val="bullet"/>
      <w:lvlText w:val=""/>
      <w:lvlJc w:val="left"/>
      <w:pPr>
        <w:tabs>
          <w:tab w:val="num" w:pos="360"/>
        </w:tabs>
        <w:ind w:left="360" w:hanging="360"/>
      </w:pPr>
      <w:rPr>
        <w:rFonts w:ascii="Symbol" w:hAnsi="Symbol" w:hint="default"/>
      </w:rPr>
    </w:lvl>
    <w:lvl w:ilvl="1" w:tplc="2840820A">
      <w:start w:val="1"/>
      <w:numFmt w:val="bullet"/>
      <w:lvlText w:val=""/>
      <w:lvlJc w:val="left"/>
      <w:pPr>
        <w:tabs>
          <w:tab w:val="num" w:pos="1080"/>
        </w:tabs>
        <w:ind w:left="1080" w:hanging="360"/>
      </w:pPr>
      <w:rPr>
        <w:rFonts w:ascii="Symbol" w:hAnsi="Symbol" w:hint="default"/>
        <w:color w:val="auto"/>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20B15DA2"/>
    <w:multiLevelType w:val="hybridMultilevel"/>
    <w:tmpl w:val="6F7A0C2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8D51B47"/>
    <w:multiLevelType w:val="multilevel"/>
    <w:tmpl w:val="4B4E7622"/>
    <w:numStyleLink w:val="ZZNumbers"/>
  </w:abstractNum>
  <w:abstractNum w:abstractNumId="4" w15:restartNumberingAfterBreak="0">
    <w:nsid w:val="341D7481"/>
    <w:multiLevelType w:val="hybridMultilevel"/>
    <w:tmpl w:val="7F1CD9A0"/>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93622CA"/>
    <w:multiLevelType w:val="hybridMultilevel"/>
    <w:tmpl w:val="C748C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315FA2"/>
    <w:multiLevelType w:val="hybridMultilevel"/>
    <w:tmpl w:val="75886906"/>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B3F0A"/>
    <w:multiLevelType w:val="hybridMultilevel"/>
    <w:tmpl w:val="30DA9D6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9"/>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CFB"/>
    <w:rsid w:val="00002990"/>
    <w:rsid w:val="000048AC"/>
    <w:rsid w:val="00014FC4"/>
    <w:rsid w:val="00020AAB"/>
    <w:rsid w:val="000223A4"/>
    <w:rsid w:val="00022E60"/>
    <w:rsid w:val="00026C19"/>
    <w:rsid w:val="00031263"/>
    <w:rsid w:val="000417BF"/>
    <w:rsid w:val="00060E93"/>
    <w:rsid w:val="00064936"/>
    <w:rsid w:val="000734F8"/>
    <w:rsid w:val="000736B8"/>
    <w:rsid w:val="000817CB"/>
    <w:rsid w:val="00085D6A"/>
    <w:rsid w:val="000873EF"/>
    <w:rsid w:val="000B3792"/>
    <w:rsid w:val="000C38D2"/>
    <w:rsid w:val="000C4149"/>
    <w:rsid w:val="000C6242"/>
    <w:rsid w:val="000C68DB"/>
    <w:rsid w:val="000D2C32"/>
    <w:rsid w:val="000D586E"/>
    <w:rsid w:val="000E6F72"/>
    <w:rsid w:val="000F0478"/>
    <w:rsid w:val="000F0A50"/>
    <w:rsid w:val="00103D5E"/>
    <w:rsid w:val="00104EA7"/>
    <w:rsid w:val="00105FAD"/>
    <w:rsid w:val="0011155B"/>
    <w:rsid w:val="00111A6A"/>
    <w:rsid w:val="001208F1"/>
    <w:rsid w:val="00121BF1"/>
    <w:rsid w:val="00127A8B"/>
    <w:rsid w:val="00134BE5"/>
    <w:rsid w:val="001412D1"/>
    <w:rsid w:val="001423E3"/>
    <w:rsid w:val="00144EF8"/>
    <w:rsid w:val="001475EA"/>
    <w:rsid w:val="001504F5"/>
    <w:rsid w:val="001517BD"/>
    <w:rsid w:val="00155F35"/>
    <w:rsid w:val="0017248D"/>
    <w:rsid w:val="00173626"/>
    <w:rsid w:val="0017614A"/>
    <w:rsid w:val="001817CD"/>
    <w:rsid w:val="0018235E"/>
    <w:rsid w:val="00185E91"/>
    <w:rsid w:val="0018768C"/>
    <w:rsid w:val="00192BA0"/>
    <w:rsid w:val="0019541E"/>
    <w:rsid w:val="00197303"/>
    <w:rsid w:val="001A17EA"/>
    <w:rsid w:val="001A1D17"/>
    <w:rsid w:val="001A22AA"/>
    <w:rsid w:val="001A7A18"/>
    <w:rsid w:val="001B1565"/>
    <w:rsid w:val="001B166D"/>
    <w:rsid w:val="001B28B5"/>
    <w:rsid w:val="001B2975"/>
    <w:rsid w:val="001C122D"/>
    <w:rsid w:val="001D2A82"/>
    <w:rsid w:val="001D569B"/>
    <w:rsid w:val="001D59C6"/>
    <w:rsid w:val="001E063B"/>
    <w:rsid w:val="001E0EA3"/>
    <w:rsid w:val="001E4995"/>
    <w:rsid w:val="001E53A0"/>
    <w:rsid w:val="001E7A42"/>
    <w:rsid w:val="001F09DC"/>
    <w:rsid w:val="001F43E6"/>
    <w:rsid w:val="002060C1"/>
    <w:rsid w:val="00213772"/>
    <w:rsid w:val="00220749"/>
    <w:rsid w:val="0022422C"/>
    <w:rsid w:val="0022724E"/>
    <w:rsid w:val="00230666"/>
    <w:rsid w:val="00231153"/>
    <w:rsid w:val="0023252E"/>
    <w:rsid w:val="00240FC6"/>
    <w:rsid w:val="00241C31"/>
    <w:rsid w:val="0024775A"/>
    <w:rsid w:val="002679D5"/>
    <w:rsid w:val="002714FD"/>
    <w:rsid w:val="00275F94"/>
    <w:rsid w:val="00281B9C"/>
    <w:rsid w:val="00284C9B"/>
    <w:rsid w:val="00293E6F"/>
    <w:rsid w:val="002A141B"/>
    <w:rsid w:val="002A26B6"/>
    <w:rsid w:val="002A6A4E"/>
    <w:rsid w:val="002B0E8F"/>
    <w:rsid w:val="002B5A85"/>
    <w:rsid w:val="002B63A7"/>
    <w:rsid w:val="002C5543"/>
    <w:rsid w:val="002D0F4C"/>
    <w:rsid w:val="002D0F7F"/>
    <w:rsid w:val="002D6177"/>
    <w:rsid w:val="002E0198"/>
    <w:rsid w:val="002E1D7C"/>
    <w:rsid w:val="002F1483"/>
    <w:rsid w:val="002F449B"/>
    <w:rsid w:val="002F4D86"/>
    <w:rsid w:val="002F5D69"/>
    <w:rsid w:val="002F7C77"/>
    <w:rsid w:val="00300CB3"/>
    <w:rsid w:val="0030394B"/>
    <w:rsid w:val="003072C6"/>
    <w:rsid w:val="00310D8E"/>
    <w:rsid w:val="00315BBD"/>
    <w:rsid w:val="00316CFC"/>
    <w:rsid w:val="0031753A"/>
    <w:rsid w:val="00320293"/>
    <w:rsid w:val="00322CC2"/>
    <w:rsid w:val="00326F81"/>
    <w:rsid w:val="003271DC"/>
    <w:rsid w:val="00334B54"/>
    <w:rsid w:val="0033739E"/>
    <w:rsid w:val="00343733"/>
    <w:rsid w:val="003509A7"/>
    <w:rsid w:val="00355886"/>
    <w:rsid w:val="00356814"/>
    <w:rsid w:val="00372F69"/>
    <w:rsid w:val="0038019F"/>
    <w:rsid w:val="00382071"/>
    <w:rsid w:val="003922CF"/>
    <w:rsid w:val="003A18B7"/>
    <w:rsid w:val="003A2F25"/>
    <w:rsid w:val="003B2807"/>
    <w:rsid w:val="003C68F2"/>
    <w:rsid w:val="003D34A6"/>
    <w:rsid w:val="003D58B8"/>
    <w:rsid w:val="003D5CFB"/>
    <w:rsid w:val="003E2636"/>
    <w:rsid w:val="003E2E12"/>
    <w:rsid w:val="003F39CE"/>
    <w:rsid w:val="00401108"/>
    <w:rsid w:val="00402927"/>
    <w:rsid w:val="00407993"/>
    <w:rsid w:val="00411833"/>
    <w:rsid w:val="004121FA"/>
    <w:rsid w:val="00412F64"/>
    <w:rsid w:val="00417BEB"/>
    <w:rsid w:val="00423138"/>
    <w:rsid w:val="004250A5"/>
    <w:rsid w:val="00431B92"/>
    <w:rsid w:val="004324FF"/>
    <w:rsid w:val="00432A55"/>
    <w:rsid w:val="00437BD6"/>
    <w:rsid w:val="0044260A"/>
    <w:rsid w:val="00444D82"/>
    <w:rsid w:val="004564C6"/>
    <w:rsid w:val="004610CC"/>
    <w:rsid w:val="00465355"/>
    <w:rsid w:val="00465464"/>
    <w:rsid w:val="00465E87"/>
    <w:rsid w:val="0047786A"/>
    <w:rsid w:val="00477A65"/>
    <w:rsid w:val="00482DB3"/>
    <w:rsid w:val="0049789B"/>
    <w:rsid w:val="004A0236"/>
    <w:rsid w:val="004A369A"/>
    <w:rsid w:val="004A3B3E"/>
    <w:rsid w:val="004B5438"/>
    <w:rsid w:val="004C3316"/>
    <w:rsid w:val="004C5777"/>
    <w:rsid w:val="004D0173"/>
    <w:rsid w:val="004D0EEF"/>
    <w:rsid w:val="004D1056"/>
    <w:rsid w:val="004D3197"/>
    <w:rsid w:val="004D5D1A"/>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32520"/>
    <w:rsid w:val="00541DFE"/>
    <w:rsid w:val="00543E6C"/>
    <w:rsid w:val="00544184"/>
    <w:rsid w:val="005552FD"/>
    <w:rsid w:val="005571BD"/>
    <w:rsid w:val="005600E5"/>
    <w:rsid w:val="00564B5B"/>
    <w:rsid w:val="00564E8F"/>
    <w:rsid w:val="005655AC"/>
    <w:rsid w:val="005728A4"/>
    <w:rsid w:val="005763FC"/>
    <w:rsid w:val="00576EB4"/>
    <w:rsid w:val="00577B30"/>
    <w:rsid w:val="0058190A"/>
    <w:rsid w:val="00581DD5"/>
    <w:rsid w:val="00582768"/>
    <w:rsid w:val="00583461"/>
    <w:rsid w:val="005856A4"/>
    <w:rsid w:val="00590730"/>
    <w:rsid w:val="005A3051"/>
    <w:rsid w:val="005A3C6C"/>
    <w:rsid w:val="005A53FE"/>
    <w:rsid w:val="005A5C24"/>
    <w:rsid w:val="005A5F71"/>
    <w:rsid w:val="005B3A35"/>
    <w:rsid w:val="005B7D22"/>
    <w:rsid w:val="005C029E"/>
    <w:rsid w:val="005C3732"/>
    <w:rsid w:val="005D2CFB"/>
    <w:rsid w:val="005E085D"/>
    <w:rsid w:val="005E3FA7"/>
    <w:rsid w:val="005E7963"/>
    <w:rsid w:val="005F218C"/>
    <w:rsid w:val="005F4523"/>
    <w:rsid w:val="005F6C5D"/>
    <w:rsid w:val="00600284"/>
    <w:rsid w:val="00601D4D"/>
    <w:rsid w:val="006021B4"/>
    <w:rsid w:val="00605B5B"/>
    <w:rsid w:val="006062D8"/>
    <w:rsid w:val="00606827"/>
    <w:rsid w:val="00617AFF"/>
    <w:rsid w:val="00620262"/>
    <w:rsid w:val="0062077F"/>
    <w:rsid w:val="00621B4C"/>
    <w:rsid w:val="00627C52"/>
    <w:rsid w:val="00630937"/>
    <w:rsid w:val="00636934"/>
    <w:rsid w:val="00640716"/>
    <w:rsid w:val="00651F79"/>
    <w:rsid w:val="00652EAA"/>
    <w:rsid w:val="00653B84"/>
    <w:rsid w:val="00653E0D"/>
    <w:rsid w:val="00655C33"/>
    <w:rsid w:val="006865C8"/>
    <w:rsid w:val="00686B48"/>
    <w:rsid w:val="00687038"/>
    <w:rsid w:val="0068714E"/>
    <w:rsid w:val="00691E57"/>
    <w:rsid w:val="006929F7"/>
    <w:rsid w:val="0069374A"/>
    <w:rsid w:val="00694AB8"/>
    <w:rsid w:val="00695EF7"/>
    <w:rsid w:val="0069699D"/>
    <w:rsid w:val="006A1B41"/>
    <w:rsid w:val="006A6048"/>
    <w:rsid w:val="006B2C51"/>
    <w:rsid w:val="006B6361"/>
    <w:rsid w:val="006B65ED"/>
    <w:rsid w:val="006D360C"/>
    <w:rsid w:val="006D49DB"/>
    <w:rsid w:val="006D5AC9"/>
    <w:rsid w:val="006D66ED"/>
    <w:rsid w:val="006E786B"/>
    <w:rsid w:val="007002B1"/>
    <w:rsid w:val="00704EB7"/>
    <w:rsid w:val="00705742"/>
    <w:rsid w:val="007104FE"/>
    <w:rsid w:val="00711B0C"/>
    <w:rsid w:val="007121A2"/>
    <w:rsid w:val="00713981"/>
    <w:rsid w:val="007176D6"/>
    <w:rsid w:val="00726C74"/>
    <w:rsid w:val="00727713"/>
    <w:rsid w:val="00727D54"/>
    <w:rsid w:val="007344C5"/>
    <w:rsid w:val="00734959"/>
    <w:rsid w:val="00735137"/>
    <w:rsid w:val="0073520D"/>
    <w:rsid w:val="0074103D"/>
    <w:rsid w:val="00744C5B"/>
    <w:rsid w:val="0074630F"/>
    <w:rsid w:val="00751DBB"/>
    <w:rsid w:val="00780226"/>
    <w:rsid w:val="00781AB4"/>
    <w:rsid w:val="007923B7"/>
    <w:rsid w:val="00792616"/>
    <w:rsid w:val="007926BB"/>
    <w:rsid w:val="007930EE"/>
    <w:rsid w:val="0079344C"/>
    <w:rsid w:val="007968AE"/>
    <w:rsid w:val="007A0283"/>
    <w:rsid w:val="007A3C88"/>
    <w:rsid w:val="007C02C7"/>
    <w:rsid w:val="007C21EE"/>
    <w:rsid w:val="007C5415"/>
    <w:rsid w:val="007D3A2E"/>
    <w:rsid w:val="007D6652"/>
    <w:rsid w:val="007E343D"/>
    <w:rsid w:val="007E628A"/>
    <w:rsid w:val="007F4383"/>
    <w:rsid w:val="00801601"/>
    <w:rsid w:val="00810991"/>
    <w:rsid w:val="00814A9B"/>
    <w:rsid w:val="00814F66"/>
    <w:rsid w:val="00817C9E"/>
    <w:rsid w:val="008205AF"/>
    <w:rsid w:val="008225E5"/>
    <w:rsid w:val="00831053"/>
    <w:rsid w:val="008314D2"/>
    <w:rsid w:val="0083254D"/>
    <w:rsid w:val="00832C71"/>
    <w:rsid w:val="00836249"/>
    <w:rsid w:val="00836F00"/>
    <w:rsid w:val="008419D8"/>
    <w:rsid w:val="00844A3C"/>
    <w:rsid w:val="00846192"/>
    <w:rsid w:val="008474A9"/>
    <w:rsid w:val="00850806"/>
    <w:rsid w:val="00852E21"/>
    <w:rsid w:val="00855EEB"/>
    <w:rsid w:val="00856A1B"/>
    <w:rsid w:val="008621C3"/>
    <w:rsid w:val="00865486"/>
    <w:rsid w:val="0087047F"/>
    <w:rsid w:val="00876275"/>
    <w:rsid w:val="00882B99"/>
    <w:rsid w:val="0088552B"/>
    <w:rsid w:val="00886121"/>
    <w:rsid w:val="008A23E3"/>
    <w:rsid w:val="008A295B"/>
    <w:rsid w:val="008A6604"/>
    <w:rsid w:val="008B4201"/>
    <w:rsid w:val="008B5482"/>
    <w:rsid w:val="008B61B6"/>
    <w:rsid w:val="008C11F4"/>
    <w:rsid w:val="008C2BEC"/>
    <w:rsid w:val="008C6523"/>
    <w:rsid w:val="008C6D0E"/>
    <w:rsid w:val="008D09D2"/>
    <w:rsid w:val="008D39C5"/>
    <w:rsid w:val="008E0715"/>
    <w:rsid w:val="008E1D89"/>
    <w:rsid w:val="008E2B05"/>
    <w:rsid w:val="008E3E3E"/>
    <w:rsid w:val="008F5F87"/>
    <w:rsid w:val="00900A34"/>
    <w:rsid w:val="00903907"/>
    <w:rsid w:val="00904416"/>
    <w:rsid w:val="00905A0F"/>
    <w:rsid w:val="00907073"/>
    <w:rsid w:val="00907A05"/>
    <w:rsid w:val="009101F7"/>
    <w:rsid w:val="00912B7C"/>
    <w:rsid w:val="009174E5"/>
    <w:rsid w:val="009208F5"/>
    <w:rsid w:val="0092509C"/>
    <w:rsid w:val="00927D51"/>
    <w:rsid w:val="00932272"/>
    <w:rsid w:val="00932862"/>
    <w:rsid w:val="00935D60"/>
    <w:rsid w:val="009447BB"/>
    <w:rsid w:val="00944C48"/>
    <w:rsid w:val="00946335"/>
    <w:rsid w:val="009513C4"/>
    <w:rsid w:val="00955E55"/>
    <w:rsid w:val="00957353"/>
    <w:rsid w:val="009605B4"/>
    <w:rsid w:val="00962200"/>
    <w:rsid w:val="00966F54"/>
    <w:rsid w:val="00971C31"/>
    <w:rsid w:val="00975E61"/>
    <w:rsid w:val="00976DF8"/>
    <w:rsid w:val="00976E31"/>
    <w:rsid w:val="00977C63"/>
    <w:rsid w:val="00980087"/>
    <w:rsid w:val="00980C0B"/>
    <w:rsid w:val="0098524F"/>
    <w:rsid w:val="00987ABE"/>
    <w:rsid w:val="009906C7"/>
    <w:rsid w:val="0099428C"/>
    <w:rsid w:val="009963CD"/>
    <w:rsid w:val="009A70D0"/>
    <w:rsid w:val="009B266D"/>
    <w:rsid w:val="009B5CBF"/>
    <w:rsid w:val="009C184A"/>
    <w:rsid w:val="009C293C"/>
    <w:rsid w:val="009C2CA5"/>
    <w:rsid w:val="009C561B"/>
    <w:rsid w:val="009C6933"/>
    <w:rsid w:val="009D29E9"/>
    <w:rsid w:val="009D3E45"/>
    <w:rsid w:val="009E31C0"/>
    <w:rsid w:val="009E63FA"/>
    <w:rsid w:val="009F351F"/>
    <w:rsid w:val="009F3F89"/>
    <w:rsid w:val="009F480E"/>
    <w:rsid w:val="00A022A2"/>
    <w:rsid w:val="00A02D15"/>
    <w:rsid w:val="00A11403"/>
    <w:rsid w:val="00A23A67"/>
    <w:rsid w:val="00A24D64"/>
    <w:rsid w:val="00A26B0D"/>
    <w:rsid w:val="00A3735A"/>
    <w:rsid w:val="00A42F1B"/>
    <w:rsid w:val="00A546BC"/>
    <w:rsid w:val="00A55989"/>
    <w:rsid w:val="00A567A1"/>
    <w:rsid w:val="00A5694A"/>
    <w:rsid w:val="00A60602"/>
    <w:rsid w:val="00A63DA4"/>
    <w:rsid w:val="00A718A0"/>
    <w:rsid w:val="00A75CD5"/>
    <w:rsid w:val="00A83DF3"/>
    <w:rsid w:val="00A85915"/>
    <w:rsid w:val="00A952AB"/>
    <w:rsid w:val="00A9783D"/>
    <w:rsid w:val="00AA45E6"/>
    <w:rsid w:val="00AA5A37"/>
    <w:rsid w:val="00AB12BB"/>
    <w:rsid w:val="00AB4355"/>
    <w:rsid w:val="00AB489C"/>
    <w:rsid w:val="00AB50C1"/>
    <w:rsid w:val="00AB6936"/>
    <w:rsid w:val="00AC0C3B"/>
    <w:rsid w:val="00AC2D63"/>
    <w:rsid w:val="00AC6EE7"/>
    <w:rsid w:val="00AD03D8"/>
    <w:rsid w:val="00AD0711"/>
    <w:rsid w:val="00AD704E"/>
    <w:rsid w:val="00AE5FE0"/>
    <w:rsid w:val="00AE60B7"/>
    <w:rsid w:val="00AE6166"/>
    <w:rsid w:val="00AF2AB7"/>
    <w:rsid w:val="00AF2B1C"/>
    <w:rsid w:val="00AF4D3F"/>
    <w:rsid w:val="00B0300B"/>
    <w:rsid w:val="00B05457"/>
    <w:rsid w:val="00B05F86"/>
    <w:rsid w:val="00B128A0"/>
    <w:rsid w:val="00B13164"/>
    <w:rsid w:val="00B13241"/>
    <w:rsid w:val="00B20240"/>
    <w:rsid w:val="00B23281"/>
    <w:rsid w:val="00B23F38"/>
    <w:rsid w:val="00B27571"/>
    <w:rsid w:val="00B36077"/>
    <w:rsid w:val="00B4164B"/>
    <w:rsid w:val="00B461C4"/>
    <w:rsid w:val="00B5409A"/>
    <w:rsid w:val="00B55574"/>
    <w:rsid w:val="00B6525D"/>
    <w:rsid w:val="00B65ABA"/>
    <w:rsid w:val="00B6790F"/>
    <w:rsid w:val="00B71B3B"/>
    <w:rsid w:val="00B8653F"/>
    <w:rsid w:val="00B87D61"/>
    <w:rsid w:val="00B93948"/>
    <w:rsid w:val="00BA4BC7"/>
    <w:rsid w:val="00BA55B7"/>
    <w:rsid w:val="00BA5E47"/>
    <w:rsid w:val="00BA724E"/>
    <w:rsid w:val="00BA7D57"/>
    <w:rsid w:val="00BB156E"/>
    <w:rsid w:val="00BB3330"/>
    <w:rsid w:val="00BB47D7"/>
    <w:rsid w:val="00BB4A62"/>
    <w:rsid w:val="00BC01C1"/>
    <w:rsid w:val="00BC5A34"/>
    <w:rsid w:val="00BD17F5"/>
    <w:rsid w:val="00BD6E05"/>
    <w:rsid w:val="00BE54D0"/>
    <w:rsid w:val="00BF0DE9"/>
    <w:rsid w:val="00BF6B6C"/>
    <w:rsid w:val="00BF7251"/>
    <w:rsid w:val="00BF7F28"/>
    <w:rsid w:val="00C01909"/>
    <w:rsid w:val="00C05787"/>
    <w:rsid w:val="00C13059"/>
    <w:rsid w:val="00C156D4"/>
    <w:rsid w:val="00C167A3"/>
    <w:rsid w:val="00C2181C"/>
    <w:rsid w:val="00C2657D"/>
    <w:rsid w:val="00C3040D"/>
    <w:rsid w:val="00C3447A"/>
    <w:rsid w:val="00C402CF"/>
    <w:rsid w:val="00C416E1"/>
    <w:rsid w:val="00C4440D"/>
    <w:rsid w:val="00C47BF8"/>
    <w:rsid w:val="00C51B1C"/>
    <w:rsid w:val="00C532D5"/>
    <w:rsid w:val="00C53DCE"/>
    <w:rsid w:val="00C565C0"/>
    <w:rsid w:val="00C61C3D"/>
    <w:rsid w:val="00C655F2"/>
    <w:rsid w:val="00C65B4C"/>
    <w:rsid w:val="00C65B61"/>
    <w:rsid w:val="00C70E53"/>
    <w:rsid w:val="00C71196"/>
    <w:rsid w:val="00C72979"/>
    <w:rsid w:val="00C75604"/>
    <w:rsid w:val="00C768AE"/>
    <w:rsid w:val="00C81529"/>
    <w:rsid w:val="00C81BA6"/>
    <w:rsid w:val="00C8377C"/>
    <w:rsid w:val="00C877CD"/>
    <w:rsid w:val="00C902E9"/>
    <w:rsid w:val="00C908B7"/>
    <w:rsid w:val="00C91D81"/>
    <w:rsid w:val="00C92A42"/>
    <w:rsid w:val="00C92E61"/>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D78A5"/>
    <w:rsid w:val="00CD7C47"/>
    <w:rsid w:val="00CE0942"/>
    <w:rsid w:val="00CE1EC4"/>
    <w:rsid w:val="00CE7CA5"/>
    <w:rsid w:val="00CF1D81"/>
    <w:rsid w:val="00CF2DC9"/>
    <w:rsid w:val="00CF6CCE"/>
    <w:rsid w:val="00CF779D"/>
    <w:rsid w:val="00CF7CB6"/>
    <w:rsid w:val="00D05DC4"/>
    <w:rsid w:val="00D11342"/>
    <w:rsid w:val="00D311AB"/>
    <w:rsid w:val="00D325A8"/>
    <w:rsid w:val="00D442AD"/>
    <w:rsid w:val="00D45D5F"/>
    <w:rsid w:val="00D46B54"/>
    <w:rsid w:val="00D46D9B"/>
    <w:rsid w:val="00D50A74"/>
    <w:rsid w:val="00D5618A"/>
    <w:rsid w:val="00D5784B"/>
    <w:rsid w:val="00D63EFB"/>
    <w:rsid w:val="00D64139"/>
    <w:rsid w:val="00D658AF"/>
    <w:rsid w:val="00D83B6C"/>
    <w:rsid w:val="00D83DE9"/>
    <w:rsid w:val="00D8450D"/>
    <w:rsid w:val="00D95AF9"/>
    <w:rsid w:val="00DA09C9"/>
    <w:rsid w:val="00DA1822"/>
    <w:rsid w:val="00DB5E1F"/>
    <w:rsid w:val="00DC1988"/>
    <w:rsid w:val="00DC19D8"/>
    <w:rsid w:val="00DC2613"/>
    <w:rsid w:val="00DC4512"/>
    <w:rsid w:val="00DD3691"/>
    <w:rsid w:val="00DD4B55"/>
    <w:rsid w:val="00DE1E90"/>
    <w:rsid w:val="00DE24E6"/>
    <w:rsid w:val="00DE79EF"/>
    <w:rsid w:val="00DF07AD"/>
    <w:rsid w:val="00DF3364"/>
    <w:rsid w:val="00E055BB"/>
    <w:rsid w:val="00E11988"/>
    <w:rsid w:val="00E15DA9"/>
    <w:rsid w:val="00E2095D"/>
    <w:rsid w:val="00E30414"/>
    <w:rsid w:val="00E40769"/>
    <w:rsid w:val="00E42E8B"/>
    <w:rsid w:val="00E5275F"/>
    <w:rsid w:val="00E60F12"/>
    <w:rsid w:val="00E652FB"/>
    <w:rsid w:val="00E66C20"/>
    <w:rsid w:val="00E71C46"/>
    <w:rsid w:val="00E72266"/>
    <w:rsid w:val="00E75ED2"/>
    <w:rsid w:val="00E809AC"/>
    <w:rsid w:val="00E8280C"/>
    <w:rsid w:val="00E83E4C"/>
    <w:rsid w:val="00E85CEE"/>
    <w:rsid w:val="00E916B5"/>
    <w:rsid w:val="00E91933"/>
    <w:rsid w:val="00E92A81"/>
    <w:rsid w:val="00E969B1"/>
    <w:rsid w:val="00EA5B9B"/>
    <w:rsid w:val="00EB3BC8"/>
    <w:rsid w:val="00EB6552"/>
    <w:rsid w:val="00EC18E6"/>
    <w:rsid w:val="00EC1984"/>
    <w:rsid w:val="00EC234C"/>
    <w:rsid w:val="00ED3529"/>
    <w:rsid w:val="00ED4D17"/>
    <w:rsid w:val="00EE6A73"/>
    <w:rsid w:val="00EE6CD3"/>
    <w:rsid w:val="00EF20D7"/>
    <w:rsid w:val="00EF3419"/>
    <w:rsid w:val="00EF4A0E"/>
    <w:rsid w:val="00F0119C"/>
    <w:rsid w:val="00F02BDB"/>
    <w:rsid w:val="00F0441B"/>
    <w:rsid w:val="00F07623"/>
    <w:rsid w:val="00F21CD5"/>
    <w:rsid w:val="00F3136B"/>
    <w:rsid w:val="00F314F1"/>
    <w:rsid w:val="00F327EA"/>
    <w:rsid w:val="00F33641"/>
    <w:rsid w:val="00F37453"/>
    <w:rsid w:val="00F42842"/>
    <w:rsid w:val="00F43D8B"/>
    <w:rsid w:val="00F440C4"/>
    <w:rsid w:val="00F46E40"/>
    <w:rsid w:val="00F4760A"/>
    <w:rsid w:val="00F52B8E"/>
    <w:rsid w:val="00F53CFD"/>
    <w:rsid w:val="00F53E48"/>
    <w:rsid w:val="00F54AF5"/>
    <w:rsid w:val="00F557E3"/>
    <w:rsid w:val="00F61E78"/>
    <w:rsid w:val="00F635C5"/>
    <w:rsid w:val="00F736E3"/>
    <w:rsid w:val="00F767E8"/>
    <w:rsid w:val="00F80695"/>
    <w:rsid w:val="00F85DA1"/>
    <w:rsid w:val="00F86A3F"/>
    <w:rsid w:val="00F91297"/>
    <w:rsid w:val="00F9133B"/>
    <w:rsid w:val="00F93C45"/>
    <w:rsid w:val="00F94965"/>
    <w:rsid w:val="00F97730"/>
    <w:rsid w:val="00FB32A4"/>
    <w:rsid w:val="00FB594D"/>
    <w:rsid w:val="00FC49BB"/>
    <w:rsid w:val="00FD616B"/>
    <w:rsid w:val="00FE0449"/>
    <w:rsid w:val="00FE367F"/>
    <w:rsid w:val="00FF29DC"/>
    <w:rsid w:val="00FF3185"/>
    <w:rsid w:val="00FF6821"/>
    <w:rsid w:val="00FF7AF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9C0C6A"/>
  <w15:docId w15:val="{F79FCD70-599D-4007-8B0D-6781077D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1E53A0"/>
    <w:rPr>
      <w:rFonts w:ascii="Tahoma" w:hAnsi="Tahoma" w:cs="Tahoma"/>
      <w:sz w:val="16"/>
      <w:szCs w:val="16"/>
    </w:rPr>
  </w:style>
  <w:style w:type="character" w:customStyle="1" w:styleId="BalloonTextChar">
    <w:name w:val="Balloon Text Char"/>
    <w:basedOn w:val="DefaultParagraphFont"/>
    <w:link w:val="BalloonText"/>
    <w:uiPriority w:val="99"/>
    <w:semiHidden/>
    <w:rsid w:val="001E53A0"/>
    <w:rPr>
      <w:rFonts w:ascii="Tahoma" w:hAnsi="Tahoma" w:cs="Tahoma"/>
      <w:sz w:val="16"/>
      <w:szCs w:val="16"/>
      <w:lang w:eastAsia="en-US"/>
    </w:rPr>
  </w:style>
  <w:style w:type="character" w:styleId="CommentReference">
    <w:name w:val="annotation reference"/>
    <w:basedOn w:val="DefaultParagraphFont"/>
    <w:uiPriority w:val="99"/>
    <w:semiHidden/>
    <w:unhideWhenUsed/>
    <w:rsid w:val="00751DBB"/>
    <w:rPr>
      <w:sz w:val="16"/>
      <w:szCs w:val="16"/>
    </w:rPr>
  </w:style>
  <w:style w:type="paragraph" w:styleId="CommentText">
    <w:name w:val="annotation text"/>
    <w:basedOn w:val="Normal"/>
    <w:link w:val="CommentTextChar"/>
    <w:uiPriority w:val="99"/>
    <w:semiHidden/>
    <w:unhideWhenUsed/>
    <w:rsid w:val="00751DBB"/>
  </w:style>
  <w:style w:type="character" w:customStyle="1" w:styleId="CommentTextChar">
    <w:name w:val="Comment Text Char"/>
    <w:basedOn w:val="DefaultParagraphFont"/>
    <w:link w:val="CommentText"/>
    <w:uiPriority w:val="99"/>
    <w:semiHidden/>
    <w:rsid w:val="00751DBB"/>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51DBB"/>
    <w:rPr>
      <w:b/>
      <w:bCs/>
    </w:rPr>
  </w:style>
  <w:style w:type="character" w:customStyle="1" w:styleId="CommentSubjectChar">
    <w:name w:val="Comment Subject Char"/>
    <w:basedOn w:val="CommentTextChar"/>
    <w:link w:val="CommentSubject"/>
    <w:uiPriority w:val="99"/>
    <w:semiHidden/>
    <w:rsid w:val="00751DBB"/>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hhs.vic.gov.au/conta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provider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0757-E81E-4D34-ADE0-380A0E4E48C6}">
  <ds:schemaRefs>
    <ds:schemaRef ds:uri="http://schemas.microsoft.com/sharepoint/v3/contenttype/forms"/>
  </ds:schemaRefs>
</ds:datastoreItem>
</file>

<file path=customXml/itemProps2.xml><?xml version="1.0" encoding="utf-8"?>
<ds:datastoreItem xmlns:ds="http://schemas.openxmlformats.org/officeDocument/2006/customXml" ds:itemID="{3A43BC76-F9C4-4CEB-B938-3AC1BF548563}">
  <ds:schemaRefs>
    <ds:schemaRef ds:uri="http://schemas.microsoft.com/office/2006/documentManagement/types"/>
    <ds:schemaRef ds:uri="http://purl.org/dc/dcmitype/"/>
    <ds:schemaRef ds:uri="http://purl.org/dc/elements/1.1/"/>
    <ds:schemaRef ds:uri="http://www.w3.org/XML/1998/namespace"/>
    <ds:schemaRef ds:uri="59098f23-3ca6-4eec-8c4e-6f77ceae2d9e"/>
    <ds:schemaRef ds:uri="http://schemas.microsoft.com/office/infopath/2007/PartnerControls"/>
    <ds:schemaRef ds:uri="http://purl.org/dc/terms/"/>
    <ds:schemaRef ds:uri="http://schemas.microsoft.com/office/2006/metadata/properties"/>
    <ds:schemaRef ds:uri="http://schemas.openxmlformats.org/package/2006/metadata/core-properties"/>
    <ds:schemaRef ds:uri="9bb0acc9-d7bd-4cdf-ad2b-ac1699117d04"/>
    <ds:schemaRef ds:uri="131e7afd-8cb4-4255-a884-cbcde2747e4c"/>
  </ds:schemaRefs>
</ds:datastoreItem>
</file>

<file path=customXml/itemProps3.xml><?xml version="1.0" encoding="utf-8"?>
<ds:datastoreItem xmlns:ds="http://schemas.openxmlformats.org/officeDocument/2006/customXml" ds:itemID="{042D15B4-8662-4AFC-A4E5-CCC3C43D337A}"/>
</file>

<file path=customXml/itemProps4.xml><?xml version="1.0" encoding="utf-8"?>
<ds:datastoreItem xmlns:ds="http://schemas.openxmlformats.org/officeDocument/2006/customXml" ds:itemID="{9AC14648-0236-489D-9164-0745AB0F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2104</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Special accomodation requirements for public housing tenants</vt:lpstr>
    </vt:vector>
  </TitlesOfParts>
  <Company>Department of Health and Human Services</Company>
  <LinksUpToDate>false</LinksUpToDate>
  <CharactersWithSpaces>15574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accomodation requirements for public housing tenants</dc:title>
  <dc:subject>operational guidelines</dc:subject>
  <dc:creator>Housing Practice Support (HPS)</dc:creator>
  <cp:keywords>Special, housing, requirements, medical, conditions, medical cooling, tenant, application</cp:keywords>
  <cp:lastModifiedBy>Alice York (DHHS)</cp:lastModifiedBy>
  <cp:revision>2</cp:revision>
  <cp:lastPrinted>2019-09-09T23:49:00Z</cp:lastPrinted>
  <dcterms:created xsi:type="dcterms:W3CDTF">2021-01-27T01:04:00Z</dcterms:created>
  <dcterms:modified xsi:type="dcterms:W3CDTF">2021-01-27T01:04:00Z</dcterms:modified>
  <cp:category>Operational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DocumentSetDescription">
    <vt:lpwstr/>
  </property>
  <property fmtid="{D5CDD505-2E9C-101B-9397-08002B2CF9AE}" pid="5" name="Send Email To Reviewer">
    <vt:lpwstr/>
  </property>
  <property fmtid="{D5CDD505-2E9C-101B-9397-08002B2CF9AE}" pid="6" name="RequestTitle">
    <vt:lpwstr/>
  </property>
  <property fmtid="{D5CDD505-2E9C-101B-9397-08002B2CF9AE}" pid="7" name="Status">
    <vt:lpwstr/>
  </property>
  <property fmtid="{D5CDD505-2E9C-101B-9397-08002B2CF9AE}" pid="8" name="Send Email To Reviewer(1)">
    <vt:lpwstr/>
  </property>
  <property fmtid="{D5CDD505-2E9C-101B-9397-08002B2CF9AE}" pid="9" name="Update Request Number">
    <vt:lpwstr/>
  </property>
  <property fmtid="{D5CDD505-2E9C-101B-9397-08002B2CF9AE}" pid="10" name="ArchivePath">
    <vt:lpwstr/>
  </property>
  <property fmtid="{D5CDD505-2E9C-101B-9397-08002B2CF9AE}" pid="11" name="ArchiveFlag">
    <vt:lpwstr/>
  </property>
  <property fmtid="{D5CDD505-2E9C-101B-9397-08002B2CF9AE}" pid="12" name="ecm_ItemDeleteBlockHolders">
    <vt:lpwstr/>
  </property>
  <property fmtid="{D5CDD505-2E9C-101B-9397-08002B2CF9AE}" pid="13" name="IconOverlay">
    <vt:lpwstr/>
  </property>
  <property fmtid="{D5CDD505-2E9C-101B-9397-08002B2CF9AE}" pid="14" name="ecm_RecordRestrictions">
    <vt:lpwstr/>
  </property>
  <property fmtid="{D5CDD505-2E9C-101B-9397-08002B2CF9AE}" pid="15" name="ecm_ItemLockHolders">
    <vt:lpwstr/>
  </property>
  <property fmtid="{D5CDD505-2E9C-101B-9397-08002B2CF9AE}" pid="16" name="MSIP_Label_efdf5488-3066-4b6c-8fea-9472b8a1f34c_Enabled">
    <vt:lpwstr>true</vt:lpwstr>
  </property>
  <property fmtid="{D5CDD505-2E9C-101B-9397-08002B2CF9AE}" pid="17" name="MSIP_Label_efdf5488-3066-4b6c-8fea-9472b8a1f34c_SetDate">
    <vt:lpwstr>2021-01-27T01:03:48Z</vt:lpwstr>
  </property>
  <property fmtid="{D5CDD505-2E9C-101B-9397-08002B2CF9AE}" pid="18" name="MSIP_Label_efdf5488-3066-4b6c-8fea-9472b8a1f34c_Method">
    <vt:lpwstr>Privileged</vt:lpwstr>
  </property>
  <property fmtid="{D5CDD505-2E9C-101B-9397-08002B2CF9AE}" pid="19" name="MSIP_Label_efdf5488-3066-4b6c-8fea-9472b8a1f34c_Name">
    <vt:lpwstr>efdf5488-3066-4b6c-8fea-9472b8a1f34c</vt:lpwstr>
  </property>
  <property fmtid="{D5CDD505-2E9C-101B-9397-08002B2CF9AE}" pid="20" name="MSIP_Label_efdf5488-3066-4b6c-8fea-9472b8a1f34c_SiteId">
    <vt:lpwstr>c0e0601f-0fac-449c-9c88-a104c4eb9f28</vt:lpwstr>
  </property>
  <property fmtid="{D5CDD505-2E9C-101B-9397-08002B2CF9AE}" pid="21" name="MSIP_Label_efdf5488-3066-4b6c-8fea-9472b8a1f34c_ActionId">
    <vt:lpwstr>a30347f2-b0b9-457d-aa59-9ce48c6508e5</vt:lpwstr>
  </property>
  <property fmtid="{D5CDD505-2E9C-101B-9397-08002B2CF9AE}" pid="22" name="MSIP_Label_efdf5488-3066-4b6c-8fea-9472b8a1f34c_ContentBits">
    <vt:lpwstr>0</vt:lpwstr>
  </property>
</Properties>
</file>