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F3383"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0F3383" w:rsidP="00E91933">
            <w:pPr>
              <w:pStyle w:val="DHHSreportmaintitlewhite"/>
            </w:pPr>
            <w:r w:rsidRPr="002871E2">
              <w:t>Bankruptcy operational guidelines</w:t>
            </w:r>
          </w:p>
          <w:p w:rsidR="00444D82" w:rsidRPr="003072C6" w:rsidRDefault="000F3383" w:rsidP="00E91933">
            <w:pPr>
              <w:pStyle w:val="DHHSreportsubtitlewhite"/>
            </w:pPr>
            <w:r>
              <w:t>Effective date: July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r w:rsidRPr="003072C6">
              <w:t>.</w:t>
            </w:r>
          </w:p>
        </w:tc>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ED4D17" w:rsidRPr="003072C6" w:rsidRDefault="000F3383" w:rsidP="000F3383">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636934" w:rsidRDefault="00AC0C3B" w:rsidP="00B13241">
      <w:pPr>
        <w:pStyle w:val="DHHSTOCheadingreport"/>
      </w:pPr>
      <w:r w:rsidRPr="00636934">
        <w:t>Contents</w:t>
      </w:r>
    </w:p>
    <w:p w:rsidR="000F3383"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764969" w:history="1">
        <w:r w:rsidR="000F3383" w:rsidRPr="0024615F">
          <w:rPr>
            <w:rStyle w:val="Hyperlink"/>
          </w:rPr>
          <w:t>Revision history</w:t>
        </w:r>
        <w:r w:rsidR="000F3383">
          <w:rPr>
            <w:webHidden/>
          </w:rPr>
          <w:tab/>
        </w:r>
        <w:r w:rsidR="000F3383">
          <w:rPr>
            <w:webHidden/>
          </w:rPr>
          <w:fldChar w:fldCharType="begin"/>
        </w:r>
        <w:r w:rsidR="000F3383">
          <w:rPr>
            <w:webHidden/>
          </w:rPr>
          <w:instrText xml:space="preserve"> PAGEREF _Toc484764969 \h </w:instrText>
        </w:r>
        <w:r w:rsidR="000F3383">
          <w:rPr>
            <w:webHidden/>
          </w:rPr>
        </w:r>
        <w:r w:rsidR="000F3383">
          <w:rPr>
            <w:webHidden/>
          </w:rPr>
          <w:fldChar w:fldCharType="separate"/>
        </w:r>
        <w:r w:rsidR="000F3383">
          <w:rPr>
            <w:webHidden/>
          </w:rPr>
          <w:t>4</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0" w:history="1">
        <w:r w:rsidR="000F3383" w:rsidRPr="0024615F">
          <w:rPr>
            <w:rStyle w:val="Hyperlink"/>
            <w:lang w:eastAsia="en-AU"/>
          </w:rPr>
          <w:t>When do these operational guidelines apply?</w:t>
        </w:r>
        <w:r w:rsidR="000F3383">
          <w:rPr>
            <w:webHidden/>
          </w:rPr>
          <w:tab/>
        </w:r>
        <w:r w:rsidR="000F3383">
          <w:rPr>
            <w:webHidden/>
          </w:rPr>
          <w:fldChar w:fldCharType="begin"/>
        </w:r>
        <w:r w:rsidR="000F3383">
          <w:rPr>
            <w:webHidden/>
          </w:rPr>
          <w:instrText xml:space="preserve"> PAGEREF _Toc484764970 \h </w:instrText>
        </w:r>
        <w:r w:rsidR="000F3383">
          <w:rPr>
            <w:webHidden/>
          </w:rPr>
        </w:r>
        <w:r w:rsidR="000F3383">
          <w:rPr>
            <w:webHidden/>
          </w:rPr>
          <w:fldChar w:fldCharType="separate"/>
        </w:r>
        <w:r w:rsidR="000F3383">
          <w:rPr>
            <w:webHidden/>
          </w:rPr>
          <w:t>5</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1" w:history="1">
        <w:r w:rsidR="000F3383" w:rsidRPr="0024615F">
          <w:rPr>
            <w:rStyle w:val="Hyperlink"/>
            <w:lang w:eastAsia="en-AU"/>
          </w:rPr>
          <w:t>Introduction</w:t>
        </w:r>
        <w:r w:rsidR="000F3383">
          <w:rPr>
            <w:webHidden/>
          </w:rPr>
          <w:tab/>
        </w:r>
        <w:r w:rsidR="000F3383">
          <w:rPr>
            <w:webHidden/>
          </w:rPr>
          <w:fldChar w:fldCharType="begin"/>
        </w:r>
        <w:r w:rsidR="000F3383">
          <w:rPr>
            <w:webHidden/>
          </w:rPr>
          <w:instrText xml:space="preserve"> PAGEREF _Toc484764971 \h </w:instrText>
        </w:r>
        <w:r w:rsidR="000F3383">
          <w:rPr>
            <w:webHidden/>
          </w:rPr>
        </w:r>
        <w:r w:rsidR="000F3383">
          <w:rPr>
            <w:webHidden/>
          </w:rPr>
          <w:fldChar w:fldCharType="separate"/>
        </w:r>
        <w:r w:rsidR="000F3383">
          <w:rPr>
            <w:webHidden/>
          </w:rPr>
          <w:t>5</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2" w:history="1">
        <w:r w:rsidR="000F3383" w:rsidRPr="0024615F">
          <w:rPr>
            <w:rStyle w:val="Hyperlink"/>
            <w:lang w:eastAsia="en-AU"/>
          </w:rPr>
          <w:t>Discretion under these operational guidelines</w:t>
        </w:r>
        <w:r w:rsidR="000F3383">
          <w:rPr>
            <w:webHidden/>
          </w:rPr>
          <w:tab/>
        </w:r>
        <w:r w:rsidR="000F3383">
          <w:rPr>
            <w:webHidden/>
          </w:rPr>
          <w:fldChar w:fldCharType="begin"/>
        </w:r>
        <w:r w:rsidR="000F3383">
          <w:rPr>
            <w:webHidden/>
          </w:rPr>
          <w:instrText xml:space="preserve"> PAGEREF _Toc484764972 \h </w:instrText>
        </w:r>
        <w:r w:rsidR="000F3383">
          <w:rPr>
            <w:webHidden/>
          </w:rPr>
        </w:r>
        <w:r w:rsidR="000F3383">
          <w:rPr>
            <w:webHidden/>
          </w:rPr>
          <w:fldChar w:fldCharType="separate"/>
        </w:r>
        <w:r w:rsidR="000F3383">
          <w:rPr>
            <w:webHidden/>
          </w:rPr>
          <w:t>5</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3" w:history="1">
        <w:r w:rsidR="000F3383" w:rsidRPr="0024615F">
          <w:rPr>
            <w:rStyle w:val="Hyperlink"/>
            <w:lang w:eastAsia="en-AU"/>
          </w:rPr>
          <w:t>Involvement of other programs or supports</w:t>
        </w:r>
        <w:r w:rsidR="000F3383">
          <w:rPr>
            <w:webHidden/>
          </w:rPr>
          <w:tab/>
        </w:r>
        <w:r w:rsidR="000F3383">
          <w:rPr>
            <w:webHidden/>
          </w:rPr>
          <w:fldChar w:fldCharType="begin"/>
        </w:r>
        <w:r w:rsidR="000F3383">
          <w:rPr>
            <w:webHidden/>
          </w:rPr>
          <w:instrText xml:space="preserve"> PAGEREF _Toc484764973 \h </w:instrText>
        </w:r>
        <w:r w:rsidR="000F3383">
          <w:rPr>
            <w:webHidden/>
          </w:rPr>
        </w:r>
        <w:r w:rsidR="000F3383">
          <w:rPr>
            <w:webHidden/>
          </w:rPr>
          <w:fldChar w:fldCharType="separate"/>
        </w:r>
        <w:r w:rsidR="000F3383">
          <w:rPr>
            <w:webHidden/>
          </w:rPr>
          <w:t>6</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4" w:history="1">
        <w:r w:rsidR="000F3383" w:rsidRPr="0024615F">
          <w:rPr>
            <w:rStyle w:val="Hyperlink"/>
            <w:lang w:eastAsia="en-AU"/>
          </w:rPr>
          <w:t>Human rights considerations</w:t>
        </w:r>
        <w:r w:rsidR="000F3383">
          <w:rPr>
            <w:webHidden/>
          </w:rPr>
          <w:tab/>
        </w:r>
        <w:r w:rsidR="000F3383">
          <w:rPr>
            <w:webHidden/>
          </w:rPr>
          <w:fldChar w:fldCharType="begin"/>
        </w:r>
        <w:r w:rsidR="000F3383">
          <w:rPr>
            <w:webHidden/>
          </w:rPr>
          <w:instrText xml:space="preserve"> PAGEREF _Toc484764974 \h </w:instrText>
        </w:r>
        <w:r w:rsidR="000F3383">
          <w:rPr>
            <w:webHidden/>
          </w:rPr>
        </w:r>
        <w:r w:rsidR="000F3383">
          <w:rPr>
            <w:webHidden/>
          </w:rPr>
          <w:fldChar w:fldCharType="separate"/>
        </w:r>
        <w:r w:rsidR="000F3383">
          <w:rPr>
            <w:webHidden/>
          </w:rPr>
          <w:t>6</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5" w:history="1">
        <w:r w:rsidR="000F3383" w:rsidRPr="0024615F">
          <w:rPr>
            <w:rStyle w:val="Hyperlink"/>
            <w:lang w:eastAsia="en-AU"/>
          </w:rPr>
          <w:t xml:space="preserve">Evidence of </w:t>
        </w:r>
        <w:r w:rsidR="000F3383" w:rsidRPr="0024615F">
          <w:rPr>
            <w:rStyle w:val="Hyperlink"/>
          </w:rPr>
          <w:t>bankruptcy</w:t>
        </w:r>
        <w:r w:rsidR="000F3383">
          <w:rPr>
            <w:webHidden/>
          </w:rPr>
          <w:tab/>
        </w:r>
        <w:r w:rsidR="000F3383">
          <w:rPr>
            <w:webHidden/>
          </w:rPr>
          <w:fldChar w:fldCharType="begin"/>
        </w:r>
        <w:r w:rsidR="000F3383">
          <w:rPr>
            <w:webHidden/>
          </w:rPr>
          <w:instrText xml:space="preserve"> PAGEREF _Toc484764975 \h </w:instrText>
        </w:r>
        <w:r w:rsidR="000F3383">
          <w:rPr>
            <w:webHidden/>
          </w:rPr>
        </w:r>
        <w:r w:rsidR="000F3383">
          <w:rPr>
            <w:webHidden/>
          </w:rPr>
          <w:fldChar w:fldCharType="separate"/>
        </w:r>
        <w:r w:rsidR="000F3383">
          <w:rPr>
            <w:webHidden/>
          </w:rPr>
          <w:t>8</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6" w:history="1">
        <w:r w:rsidR="000F3383" w:rsidRPr="0024615F">
          <w:rPr>
            <w:rStyle w:val="Hyperlink"/>
            <w:lang w:eastAsia="en-AU"/>
          </w:rPr>
          <w:t>Bankruptcy and public housing applicants</w:t>
        </w:r>
        <w:r w:rsidR="000F3383">
          <w:rPr>
            <w:webHidden/>
          </w:rPr>
          <w:tab/>
        </w:r>
        <w:r w:rsidR="000F3383">
          <w:rPr>
            <w:webHidden/>
          </w:rPr>
          <w:fldChar w:fldCharType="begin"/>
        </w:r>
        <w:r w:rsidR="000F3383">
          <w:rPr>
            <w:webHidden/>
          </w:rPr>
          <w:instrText xml:space="preserve"> PAGEREF _Toc484764976 \h </w:instrText>
        </w:r>
        <w:r w:rsidR="000F3383">
          <w:rPr>
            <w:webHidden/>
          </w:rPr>
        </w:r>
        <w:r w:rsidR="000F3383">
          <w:rPr>
            <w:webHidden/>
          </w:rPr>
          <w:fldChar w:fldCharType="separate"/>
        </w:r>
        <w:r w:rsidR="000F3383">
          <w:rPr>
            <w:webHidden/>
          </w:rPr>
          <w:t>8</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7" w:history="1">
        <w:r w:rsidR="000F3383" w:rsidRPr="0024615F">
          <w:rPr>
            <w:rStyle w:val="Hyperlink"/>
            <w:lang w:eastAsia="en-AU"/>
          </w:rPr>
          <w:t>Bankruptcy and current tenants</w:t>
        </w:r>
        <w:r w:rsidR="000F3383">
          <w:rPr>
            <w:webHidden/>
          </w:rPr>
          <w:tab/>
        </w:r>
        <w:r w:rsidR="000F3383">
          <w:rPr>
            <w:webHidden/>
          </w:rPr>
          <w:fldChar w:fldCharType="begin"/>
        </w:r>
        <w:r w:rsidR="000F3383">
          <w:rPr>
            <w:webHidden/>
          </w:rPr>
          <w:instrText xml:space="preserve"> PAGEREF _Toc484764977 \h </w:instrText>
        </w:r>
        <w:r w:rsidR="000F3383">
          <w:rPr>
            <w:webHidden/>
          </w:rPr>
        </w:r>
        <w:r w:rsidR="000F3383">
          <w:rPr>
            <w:webHidden/>
          </w:rPr>
          <w:fldChar w:fldCharType="separate"/>
        </w:r>
        <w:r w:rsidR="000F3383">
          <w:rPr>
            <w:webHidden/>
          </w:rPr>
          <w:t>8</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8" w:history="1">
        <w:r w:rsidR="000F3383" w:rsidRPr="0024615F">
          <w:rPr>
            <w:rStyle w:val="Hyperlink"/>
            <w:lang w:eastAsia="en-AU"/>
          </w:rPr>
          <w:t>Bankruptcy and bond loans</w:t>
        </w:r>
        <w:r w:rsidR="000F3383">
          <w:rPr>
            <w:webHidden/>
          </w:rPr>
          <w:tab/>
        </w:r>
        <w:r w:rsidR="000F3383">
          <w:rPr>
            <w:webHidden/>
          </w:rPr>
          <w:fldChar w:fldCharType="begin"/>
        </w:r>
        <w:r w:rsidR="000F3383">
          <w:rPr>
            <w:webHidden/>
          </w:rPr>
          <w:instrText xml:space="preserve"> PAGEREF _Toc484764978 \h </w:instrText>
        </w:r>
        <w:r w:rsidR="000F3383">
          <w:rPr>
            <w:webHidden/>
          </w:rPr>
        </w:r>
        <w:r w:rsidR="000F3383">
          <w:rPr>
            <w:webHidden/>
          </w:rPr>
          <w:fldChar w:fldCharType="separate"/>
        </w:r>
        <w:r w:rsidR="000F3383">
          <w:rPr>
            <w:webHidden/>
          </w:rPr>
          <w:t>9</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79" w:history="1">
        <w:r w:rsidR="000F3383" w:rsidRPr="0024615F">
          <w:rPr>
            <w:rStyle w:val="Hyperlink"/>
            <w:lang w:eastAsia="en-AU"/>
          </w:rPr>
          <w:t>Debt recovery</w:t>
        </w:r>
        <w:r w:rsidR="000F3383">
          <w:rPr>
            <w:webHidden/>
          </w:rPr>
          <w:tab/>
        </w:r>
        <w:r w:rsidR="000F3383">
          <w:rPr>
            <w:webHidden/>
          </w:rPr>
          <w:fldChar w:fldCharType="begin"/>
        </w:r>
        <w:r w:rsidR="000F3383">
          <w:rPr>
            <w:webHidden/>
          </w:rPr>
          <w:instrText xml:space="preserve"> PAGEREF _Toc484764979 \h </w:instrText>
        </w:r>
        <w:r w:rsidR="000F3383">
          <w:rPr>
            <w:webHidden/>
          </w:rPr>
        </w:r>
        <w:r w:rsidR="000F3383">
          <w:rPr>
            <w:webHidden/>
          </w:rPr>
          <w:fldChar w:fldCharType="separate"/>
        </w:r>
        <w:r w:rsidR="000F3383">
          <w:rPr>
            <w:webHidden/>
          </w:rPr>
          <w:t>9</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80" w:history="1">
        <w:r w:rsidR="000F3383" w:rsidRPr="0024615F">
          <w:rPr>
            <w:rStyle w:val="Hyperlink"/>
            <w:lang w:eastAsia="en-AU"/>
          </w:rPr>
          <w:t>Transfer of tenancy if a tenancy is ‘disclaimed’</w:t>
        </w:r>
        <w:r w:rsidR="000F3383">
          <w:rPr>
            <w:webHidden/>
          </w:rPr>
          <w:tab/>
        </w:r>
        <w:r w:rsidR="000F3383">
          <w:rPr>
            <w:webHidden/>
          </w:rPr>
          <w:fldChar w:fldCharType="begin"/>
        </w:r>
        <w:r w:rsidR="000F3383">
          <w:rPr>
            <w:webHidden/>
          </w:rPr>
          <w:instrText xml:space="preserve"> PAGEREF _Toc484764980 \h </w:instrText>
        </w:r>
        <w:r w:rsidR="000F3383">
          <w:rPr>
            <w:webHidden/>
          </w:rPr>
        </w:r>
        <w:r w:rsidR="000F3383">
          <w:rPr>
            <w:webHidden/>
          </w:rPr>
          <w:fldChar w:fldCharType="separate"/>
        </w:r>
        <w:r w:rsidR="000F3383">
          <w:rPr>
            <w:webHidden/>
          </w:rPr>
          <w:t>9</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81" w:history="1">
        <w:r w:rsidR="000F3383" w:rsidRPr="0024615F">
          <w:rPr>
            <w:rStyle w:val="Hyperlink"/>
            <w:lang w:eastAsia="en-AU"/>
          </w:rPr>
          <w:t>Terminating the tenancy</w:t>
        </w:r>
        <w:r w:rsidR="000F3383">
          <w:rPr>
            <w:webHidden/>
          </w:rPr>
          <w:tab/>
        </w:r>
        <w:r w:rsidR="000F3383">
          <w:rPr>
            <w:webHidden/>
          </w:rPr>
          <w:fldChar w:fldCharType="begin"/>
        </w:r>
        <w:r w:rsidR="000F3383">
          <w:rPr>
            <w:webHidden/>
          </w:rPr>
          <w:instrText xml:space="preserve"> PAGEREF _Toc484764981 \h </w:instrText>
        </w:r>
        <w:r w:rsidR="000F3383">
          <w:rPr>
            <w:webHidden/>
          </w:rPr>
        </w:r>
        <w:r w:rsidR="000F3383">
          <w:rPr>
            <w:webHidden/>
          </w:rPr>
          <w:fldChar w:fldCharType="separate"/>
        </w:r>
        <w:r w:rsidR="000F3383">
          <w:rPr>
            <w:webHidden/>
          </w:rPr>
          <w:t>10</w:t>
        </w:r>
        <w:r w:rsidR="000F3383">
          <w:rPr>
            <w:webHidden/>
          </w:rPr>
          <w:fldChar w:fldCharType="end"/>
        </w:r>
      </w:hyperlink>
    </w:p>
    <w:p w:rsidR="000F3383" w:rsidRDefault="00E9027E">
      <w:pPr>
        <w:pStyle w:val="TOC1"/>
        <w:rPr>
          <w:rFonts w:asciiTheme="minorHAnsi" w:eastAsiaTheme="minorEastAsia" w:hAnsiTheme="minorHAnsi" w:cstheme="minorBidi"/>
          <w:b w:val="0"/>
          <w:sz w:val="22"/>
          <w:szCs w:val="22"/>
          <w:lang w:eastAsia="en-AU"/>
        </w:rPr>
      </w:pPr>
      <w:hyperlink w:anchor="_Toc484764982" w:history="1">
        <w:r w:rsidR="000F3383" w:rsidRPr="0024615F">
          <w:rPr>
            <w:rStyle w:val="Hyperlink"/>
            <w:lang w:eastAsia="en-AU"/>
          </w:rPr>
          <w:t>Arrears accrued following date of bankruptcy</w:t>
        </w:r>
        <w:r w:rsidR="000F3383">
          <w:rPr>
            <w:webHidden/>
          </w:rPr>
          <w:tab/>
        </w:r>
        <w:r w:rsidR="000F3383">
          <w:rPr>
            <w:webHidden/>
          </w:rPr>
          <w:fldChar w:fldCharType="begin"/>
        </w:r>
        <w:r w:rsidR="000F3383">
          <w:rPr>
            <w:webHidden/>
          </w:rPr>
          <w:instrText xml:space="preserve"> PAGEREF _Toc484764982 \h </w:instrText>
        </w:r>
        <w:r w:rsidR="000F3383">
          <w:rPr>
            <w:webHidden/>
          </w:rPr>
        </w:r>
        <w:r w:rsidR="000F3383">
          <w:rPr>
            <w:webHidden/>
          </w:rPr>
          <w:fldChar w:fldCharType="separate"/>
        </w:r>
        <w:r w:rsidR="000F3383">
          <w:rPr>
            <w:webHidden/>
          </w:rPr>
          <w:t>10</w:t>
        </w:r>
        <w:r w:rsidR="000F3383">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sectPr w:rsidR="00AC0C3B" w:rsidRPr="003072C6" w:rsidSect="00C51B1C">
          <w:pgSz w:w="11906" w:h="16838"/>
          <w:pgMar w:top="1701" w:right="1304" w:bottom="1134" w:left="1304" w:header="454" w:footer="567" w:gutter="0"/>
          <w:cols w:space="720"/>
          <w:docGrid w:linePitch="360"/>
        </w:sectPr>
      </w:pPr>
      <w:r w:rsidRPr="003072C6">
        <w:br w:type="page"/>
      </w:r>
    </w:p>
    <w:p w:rsidR="000F3383" w:rsidRPr="00180FE3" w:rsidRDefault="000F3383" w:rsidP="000F3383">
      <w:pPr>
        <w:pStyle w:val="Heading1"/>
      </w:pPr>
      <w:bookmarkStart w:id="1" w:name="_Toc472513900"/>
      <w:bookmarkStart w:id="2" w:name="_Toc484764969"/>
      <w:r w:rsidRPr="00180FE3">
        <w:lastRenderedPageBreak/>
        <w:t>Revision history</w:t>
      </w:r>
      <w:bookmarkEnd w:id="1"/>
      <w:bookmarkEnd w:id="2"/>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0F3383" w:rsidRPr="00180FE3" w:rsidTr="002871E2">
        <w:trPr>
          <w:tblHeader/>
        </w:trPr>
        <w:tc>
          <w:tcPr>
            <w:tcW w:w="2552" w:type="dxa"/>
            <w:shd w:val="clear" w:color="auto" w:fill="auto"/>
          </w:tcPr>
          <w:p w:rsidR="000F3383" w:rsidRPr="00180FE3" w:rsidRDefault="000F3383" w:rsidP="002871E2">
            <w:pPr>
              <w:spacing w:before="80" w:after="60"/>
              <w:rPr>
                <w:rFonts w:ascii="Arial" w:hAnsi="Arial"/>
                <w:b/>
              </w:rPr>
            </w:pPr>
            <w:r w:rsidRPr="00180FE3">
              <w:rPr>
                <w:rFonts w:ascii="Arial" w:hAnsi="Arial"/>
                <w:b/>
              </w:rPr>
              <w:t>Version</w:t>
            </w:r>
          </w:p>
        </w:tc>
        <w:tc>
          <w:tcPr>
            <w:tcW w:w="2552" w:type="dxa"/>
          </w:tcPr>
          <w:p w:rsidR="000F3383" w:rsidRPr="00180FE3" w:rsidRDefault="000F3383" w:rsidP="002871E2">
            <w:pPr>
              <w:spacing w:before="80" w:after="60"/>
              <w:rPr>
                <w:rFonts w:ascii="Arial" w:hAnsi="Arial"/>
                <w:b/>
              </w:rPr>
            </w:pPr>
            <w:r w:rsidRPr="00180FE3">
              <w:rPr>
                <w:rFonts w:ascii="Arial" w:hAnsi="Arial"/>
                <w:b/>
              </w:rPr>
              <w:t>Amended section</w:t>
            </w:r>
          </w:p>
        </w:tc>
        <w:tc>
          <w:tcPr>
            <w:tcW w:w="2552" w:type="dxa"/>
            <w:shd w:val="clear" w:color="auto" w:fill="auto"/>
          </w:tcPr>
          <w:p w:rsidR="000F3383" w:rsidRPr="00180FE3" w:rsidRDefault="000F3383" w:rsidP="002871E2">
            <w:pPr>
              <w:spacing w:before="80" w:after="60"/>
              <w:rPr>
                <w:rFonts w:ascii="Arial" w:hAnsi="Arial"/>
                <w:b/>
              </w:rPr>
            </w:pPr>
            <w:r w:rsidRPr="00180FE3">
              <w:rPr>
                <w:rFonts w:ascii="Arial" w:hAnsi="Arial"/>
                <w:b/>
              </w:rPr>
              <w:t>Effective</w:t>
            </w:r>
          </w:p>
        </w:tc>
        <w:tc>
          <w:tcPr>
            <w:tcW w:w="2551" w:type="dxa"/>
          </w:tcPr>
          <w:p w:rsidR="000F3383" w:rsidRPr="00180FE3" w:rsidRDefault="000F3383" w:rsidP="002871E2">
            <w:pPr>
              <w:spacing w:before="80" w:after="60"/>
              <w:rPr>
                <w:rFonts w:ascii="Arial" w:hAnsi="Arial"/>
                <w:b/>
              </w:rPr>
            </w:pPr>
            <w:r w:rsidRPr="00180FE3">
              <w:rPr>
                <w:rFonts w:ascii="Arial" w:hAnsi="Arial"/>
                <w:b/>
              </w:rPr>
              <w:t>Details</w:t>
            </w:r>
          </w:p>
        </w:tc>
      </w:tr>
      <w:tr w:rsidR="000F3383" w:rsidRPr="00180FE3" w:rsidTr="002871E2">
        <w:tc>
          <w:tcPr>
            <w:tcW w:w="2552" w:type="dxa"/>
            <w:shd w:val="clear" w:color="auto" w:fill="auto"/>
          </w:tcPr>
          <w:p w:rsidR="000F3383" w:rsidRPr="00180FE3" w:rsidRDefault="000F3383" w:rsidP="002871E2">
            <w:pPr>
              <w:spacing w:before="80" w:after="60"/>
              <w:rPr>
                <w:rFonts w:ascii="Arial" w:hAnsi="Arial"/>
              </w:rPr>
            </w:pPr>
            <w:r w:rsidRPr="00180FE3">
              <w:rPr>
                <w:rFonts w:ascii="Arial" w:hAnsi="Arial"/>
              </w:rPr>
              <w:t>1.0</w:t>
            </w:r>
          </w:p>
        </w:tc>
        <w:tc>
          <w:tcPr>
            <w:tcW w:w="2552" w:type="dxa"/>
          </w:tcPr>
          <w:p w:rsidR="000F3383" w:rsidRPr="00180FE3" w:rsidRDefault="000F3383" w:rsidP="002871E2">
            <w:pPr>
              <w:spacing w:before="80" w:after="60"/>
              <w:rPr>
                <w:rFonts w:ascii="Arial" w:hAnsi="Arial"/>
              </w:rPr>
            </w:pPr>
          </w:p>
        </w:tc>
        <w:tc>
          <w:tcPr>
            <w:tcW w:w="2552" w:type="dxa"/>
            <w:shd w:val="clear" w:color="auto" w:fill="auto"/>
          </w:tcPr>
          <w:p w:rsidR="000F3383" w:rsidRPr="00180FE3" w:rsidRDefault="000F3383" w:rsidP="002871E2">
            <w:pPr>
              <w:spacing w:before="80" w:after="60"/>
              <w:rPr>
                <w:rFonts w:ascii="Arial" w:hAnsi="Arial"/>
              </w:rPr>
            </w:pPr>
            <w:r w:rsidRPr="00180FE3">
              <w:rPr>
                <w:rFonts w:ascii="Arial" w:hAnsi="Arial"/>
              </w:rPr>
              <w:t>18 March 2016</w:t>
            </w:r>
          </w:p>
        </w:tc>
        <w:tc>
          <w:tcPr>
            <w:tcW w:w="2551" w:type="dxa"/>
          </w:tcPr>
          <w:p w:rsidR="000F3383" w:rsidRPr="00180FE3" w:rsidRDefault="000714C2" w:rsidP="002871E2">
            <w:pPr>
              <w:spacing w:before="80" w:after="60"/>
              <w:rPr>
                <w:rFonts w:ascii="Arial" w:hAnsi="Arial"/>
              </w:rPr>
            </w:pPr>
            <w:r>
              <w:rPr>
                <w:rFonts w:ascii="Arial" w:hAnsi="Arial"/>
              </w:rPr>
              <w:t>Date of issue</w:t>
            </w:r>
          </w:p>
        </w:tc>
      </w:tr>
      <w:tr w:rsidR="000F3383" w:rsidRPr="00180FE3" w:rsidTr="002871E2">
        <w:tc>
          <w:tcPr>
            <w:tcW w:w="2552" w:type="dxa"/>
            <w:shd w:val="clear" w:color="auto" w:fill="auto"/>
          </w:tcPr>
          <w:p w:rsidR="000F3383" w:rsidRPr="00180FE3" w:rsidRDefault="000F3383" w:rsidP="002871E2">
            <w:pPr>
              <w:spacing w:before="80" w:after="60"/>
              <w:rPr>
                <w:rFonts w:ascii="Arial" w:hAnsi="Arial"/>
              </w:rPr>
            </w:pPr>
            <w:r w:rsidRPr="00180FE3">
              <w:rPr>
                <w:rFonts w:ascii="Arial" w:hAnsi="Arial"/>
              </w:rPr>
              <w:t>2.0</w:t>
            </w:r>
          </w:p>
        </w:tc>
        <w:tc>
          <w:tcPr>
            <w:tcW w:w="2552" w:type="dxa"/>
          </w:tcPr>
          <w:p w:rsidR="000F3383" w:rsidRPr="00180FE3" w:rsidRDefault="000F3383" w:rsidP="002871E2">
            <w:pPr>
              <w:spacing w:before="80" w:after="60"/>
              <w:rPr>
                <w:rFonts w:ascii="Arial" w:hAnsi="Arial"/>
              </w:rPr>
            </w:pPr>
          </w:p>
        </w:tc>
        <w:tc>
          <w:tcPr>
            <w:tcW w:w="2552" w:type="dxa"/>
            <w:shd w:val="clear" w:color="auto" w:fill="auto"/>
          </w:tcPr>
          <w:p w:rsidR="000F3383" w:rsidRPr="00180FE3" w:rsidRDefault="000F3383" w:rsidP="002871E2">
            <w:pPr>
              <w:spacing w:before="80" w:after="60"/>
              <w:rPr>
                <w:rFonts w:ascii="Arial" w:hAnsi="Arial"/>
              </w:rPr>
            </w:pPr>
            <w:r>
              <w:rPr>
                <w:rFonts w:ascii="Arial" w:hAnsi="Arial"/>
              </w:rPr>
              <w:t>July 2017</w:t>
            </w:r>
          </w:p>
        </w:tc>
        <w:tc>
          <w:tcPr>
            <w:tcW w:w="2551" w:type="dxa"/>
          </w:tcPr>
          <w:p w:rsidR="000F3383" w:rsidRPr="00180FE3" w:rsidRDefault="000F3383" w:rsidP="002871E2">
            <w:pPr>
              <w:spacing w:before="80" w:after="60"/>
              <w:rPr>
                <w:rFonts w:ascii="Arial" w:hAnsi="Arial"/>
              </w:rPr>
            </w:pPr>
            <w:r w:rsidRPr="00180FE3">
              <w:rPr>
                <w:rFonts w:ascii="Arial" w:hAnsi="Arial"/>
              </w:rPr>
              <w:t>Incorporation of ‘version control table’</w:t>
            </w:r>
          </w:p>
        </w:tc>
      </w:tr>
    </w:tbl>
    <w:p w:rsidR="000F3383" w:rsidRPr="00DF3A5C" w:rsidRDefault="000F3383" w:rsidP="000F3383">
      <w:pPr>
        <w:pStyle w:val="Heading1"/>
      </w:pPr>
      <w:r>
        <w:rPr>
          <w:lang w:eastAsia="en-AU"/>
        </w:rPr>
        <w:br w:type="page"/>
      </w:r>
      <w:bookmarkStart w:id="3" w:name="_Toc484764970"/>
      <w:r w:rsidRPr="009C549A">
        <w:rPr>
          <w:lang w:eastAsia="en-AU"/>
        </w:rPr>
        <w:lastRenderedPageBreak/>
        <w:t>When do these operational guidelines apply?</w:t>
      </w:r>
      <w:bookmarkEnd w:id="3"/>
    </w:p>
    <w:p w:rsidR="000F3383" w:rsidRDefault="000F3383" w:rsidP="000F3383">
      <w:pPr>
        <w:pStyle w:val="DHHSbody"/>
        <w:rPr>
          <w:lang w:eastAsia="en-AU"/>
        </w:rPr>
      </w:pPr>
      <w:r>
        <w:rPr>
          <w:lang w:eastAsia="en-AU"/>
        </w:rPr>
        <w:t xml:space="preserve">These operational guidelines apply when the following groups of people have been declared bankrupt under the </w:t>
      </w:r>
      <w:r w:rsidRPr="00B82410">
        <w:rPr>
          <w:i/>
          <w:lang w:eastAsia="en-AU"/>
        </w:rPr>
        <w:t>Bankruptcy Act</w:t>
      </w:r>
      <w:r>
        <w:rPr>
          <w:lang w:eastAsia="en-AU"/>
        </w:rPr>
        <w:t xml:space="preserve"> </w:t>
      </w:r>
      <w:r w:rsidRPr="003872E6">
        <w:rPr>
          <w:lang w:eastAsia="en-AU"/>
        </w:rPr>
        <w:t>(1966).</w:t>
      </w:r>
    </w:p>
    <w:p w:rsidR="000F3383" w:rsidRDefault="000F3383" w:rsidP="000F3383">
      <w:pPr>
        <w:pStyle w:val="DHHSbullet1"/>
        <w:rPr>
          <w:lang w:eastAsia="en-AU"/>
        </w:rPr>
      </w:pPr>
      <w:r>
        <w:rPr>
          <w:lang w:eastAsia="en-AU"/>
        </w:rPr>
        <w:t>current public housing tenants</w:t>
      </w:r>
    </w:p>
    <w:p w:rsidR="000F3383" w:rsidRDefault="000F3383" w:rsidP="000F3383">
      <w:pPr>
        <w:pStyle w:val="DHHSbullet1"/>
        <w:rPr>
          <w:lang w:eastAsia="en-AU"/>
        </w:rPr>
      </w:pPr>
      <w:r>
        <w:rPr>
          <w:lang w:eastAsia="en-AU"/>
        </w:rPr>
        <w:t>applicants on the public housing waiting list</w:t>
      </w:r>
    </w:p>
    <w:p w:rsidR="000F3383" w:rsidRDefault="000F3383" w:rsidP="000F3383">
      <w:pPr>
        <w:pStyle w:val="DHHSbullet1"/>
        <w:rPr>
          <w:lang w:eastAsia="en-AU"/>
        </w:rPr>
      </w:pPr>
      <w:r>
        <w:rPr>
          <w:lang w:eastAsia="en-AU"/>
        </w:rPr>
        <w:t>clients who have received housing assistance.</w:t>
      </w:r>
    </w:p>
    <w:p w:rsidR="000F3383" w:rsidRPr="00DF3A5C" w:rsidRDefault="000F3383" w:rsidP="000F3383">
      <w:pPr>
        <w:pStyle w:val="Heading1"/>
      </w:pPr>
      <w:bookmarkStart w:id="4" w:name="_Toc472513901"/>
      <w:bookmarkStart w:id="5" w:name="_Toc484764971"/>
      <w:r>
        <w:rPr>
          <w:lang w:eastAsia="en-AU"/>
        </w:rPr>
        <w:t>Introduction</w:t>
      </w:r>
      <w:bookmarkEnd w:id="4"/>
      <w:bookmarkEnd w:id="5"/>
    </w:p>
    <w:p w:rsidR="000F3383" w:rsidRDefault="000F3383" w:rsidP="000F3383">
      <w:pPr>
        <w:pStyle w:val="DHHSbody"/>
        <w:rPr>
          <w:lang w:eastAsia="en-AU"/>
        </w:rPr>
      </w:pPr>
      <w:r>
        <w:t>T</w:t>
      </w:r>
      <w:r>
        <w:rPr>
          <w:lang w:eastAsia="en-AU"/>
        </w:rPr>
        <w:t>hese</w:t>
      </w:r>
      <w:r w:rsidRPr="00917775">
        <w:rPr>
          <w:lang w:eastAsia="en-AU"/>
        </w:rPr>
        <w:t xml:space="preserve"> operational guideline</w:t>
      </w:r>
      <w:r>
        <w:rPr>
          <w:lang w:eastAsia="en-AU"/>
        </w:rPr>
        <w:t>s</w:t>
      </w:r>
      <w:r w:rsidRPr="00917775">
        <w:rPr>
          <w:lang w:eastAsia="en-AU"/>
        </w:rPr>
        <w:t xml:space="preserve"> outline the requirements for staff in the event a </w:t>
      </w:r>
      <w:r>
        <w:rPr>
          <w:lang w:eastAsia="en-AU"/>
        </w:rPr>
        <w:t xml:space="preserve">public housing </w:t>
      </w:r>
      <w:r w:rsidRPr="00917775">
        <w:rPr>
          <w:lang w:eastAsia="en-AU"/>
        </w:rPr>
        <w:t>tenant</w:t>
      </w:r>
      <w:r>
        <w:rPr>
          <w:lang w:eastAsia="en-AU"/>
        </w:rPr>
        <w:t xml:space="preserve">, </w:t>
      </w:r>
      <w:r w:rsidRPr="00917775">
        <w:rPr>
          <w:lang w:eastAsia="en-AU"/>
        </w:rPr>
        <w:t>applicant for public housing</w:t>
      </w:r>
      <w:r>
        <w:rPr>
          <w:lang w:eastAsia="en-AU"/>
        </w:rPr>
        <w:t xml:space="preserve"> or a client who has received housing assistance (such as a bond loan) is declared bankrupt under</w:t>
      </w:r>
      <w:r w:rsidRPr="00917775">
        <w:rPr>
          <w:lang w:eastAsia="en-AU"/>
        </w:rPr>
        <w:t xml:space="preserve"> the </w:t>
      </w:r>
      <w:r w:rsidRPr="00917775">
        <w:rPr>
          <w:i/>
          <w:lang w:eastAsia="en-AU"/>
        </w:rPr>
        <w:t xml:space="preserve">Bankruptcy Act </w:t>
      </w:r>
      <w:r w:rsidRPr="00D107D2">
        <w:rPr>
          <w:lang w:eastAsia="en-AU"/>
        </w:rPr>
        <w:t>(1966)</w:t>
      </w:r>
      <w:r w:rsidRPr="00917775">
        <w:rPr>
          <w:lang w:eastAsia="en-AU"/>
        </w:rPr>
        <w:t>.</w:t>
      </w:r>
      <w:r>
        <w:rPr>
          <w:lang w:eastAsia="en-AU"/>
        </w:rPr>
        <w:t xml:space="preserve"> </w:t>
      </w:r>
    </w:p>
    <w:p w:rsidR="000F3383" w:rsidRPr="00917775" w:rsidRDefault="000F3383" w:rsidP="000F3383">
      <w:pPr>
        <w:pStyle w:val="DHHSbody"/>
        <w:rPr>
          <w:lang w:eastAsia="en-AU"/>
        </w:rPr>
      </w:pPr>
      <w:r w:rsidRPr="00917775">
        <w:rPr>
          <w:lang w:eastAsia="en-AU"/>
        </w:rPr>
        <w:t xml:space="preserve">Tenants, applicants or clients </w:t>
      </w:r>
      <w:r>
        <w:rPr>
          <w:lang w:eastAsia="en-AU"/>
        </w:rPr>
        <w:t>are expected to</w:t>
      </w:r>
      <w:r w:rsidRPr="00917775">
        <w:rPr>
          <w:lang w:eastAsia="en-AU"/>
        </w:rPr>
        <w:t xml:space="preserve"> </w:t>
      </w:r>
      <w:r>
        <w:rPr>
          <w:lang w:eastAsia="en-AU"/>
        </w:rPr>
        <w:t>inform</w:t>
      </w:r>
      <w:r w:rsidRPr="00917775">
        <w:rPr>
          <w:lang w:eastAsia="en-AU"/>
        </w:rPr>
        <w:t xml:space="preserve"> the </w:t>
      </w:r>
      <w:r>
        <w:rPr>
          <w:lang w:eastAsia="en-AU"/>
        </w:rPr>
        <w:t>Department</w:t>
      </w:r>
      <w:r w:rsidRPr="00917775">
        <w:rPr>
          <w:lang w:eastAsia="en-AU"/>
        </w:rPr>
        <w:t xml:space="preserve"> </w:t>
      </w:r>
      <w:r>
        <w:rPr>
          <w:lang w:eastAsia="en-AU"/>
        </w:rPr>
        <w:t xml:space="preserve">of Health and Human Services (the department) as soon as possible </w:t>
      </w:r>
      <w:r w:rsidRPr="00917775">
        <w:rPr>
          <w:lang w:eastAsia="en-AU"/>
        </w:rPr>
        <w:t xml:space="preserve">in the event they </w:t>
      </w:r>
      <w:r>
        <w:rPr>
          <w:lang w:eastAsia="en-AU"/>
        </w:rPr>
        <w:t>are</w:t>
      </w:r>
      <w:r w:rsidRPr="00917775">
        <w:rPr>
          <w:lang w:eastAsia="en-AU"/>
        </w:rPr>
        <w:t xml:space="preserve"> </w:t>
      </w:r>
      <w:r>
        <w:rPr>
          <w:lang w:eastAsia="en-AU"/>
        </w:rPr>
        <w:t xml:space="preserve">declared </w:t>
      </w:r>
      <w:r w:rsidRPr="00917775">
        <w:rPr>
          <w:lang w:eastAsia="en-AU"/>
        </w:rPr>
        <w:t xml:space="preserve">bankrupt.  </w:t>
      </w:r>
      <w:r>
        <w:rPr>
          <w:lang w:eastAsia="en-AU"/>
        </w:rPr>
        <w:t>In discussing the bankruptcy, s</w:t>
      </w:r>
      <w:r w:rsidRPr="00917775">
        <w:rPr>
          <w:lang w:eastAsia="en-AU"/>
        </w:rPr>
        <w:t>taff will seek line management advice and guidance in the event complex tenancy issues are identified.</w:t>
      </w:r>
    </w:p>
    <w:p w:rsidR="000F3383" w:rsidRDefault="000F3383" w:rsidP="000F3383">
      <w:pPr>
        <w:pStyle w:val="DHHSbody"/>
        <w:rPr>
          <w:lang w:eastAsia="en-AU"/>
        </w:rPr>
      </w:pPr>
      <w:r>
        <w:rPr>
          <w:lang w:eastAsia="en-AU"/>
        </w:rPr>
        <w:t xml:space="preserve">Once a tenant or client is declared bankrupt, the Director of Housing (the Director) cannot take debt recovery action for outstanding charges incurred by the tenant or client up to, and including, the date of the bankruptcy.  This includes, for example, debts related to rent and maintenance costs. </w:t>
      </w:r>
      <w:r w:rsidRPr="00012854">
        <w:rPr>
          <w:lang w:eastAsia="en-AU"/>
        </w:rPr>
        <w:t xml:space="preserve">However, </w:t>
      </w:r>
      <w:r>
        <w:rPr>
          <w:lang w:eastAsia="en-AU"/>
        </w:rPr>
        <w:t>staff</w:t>
      </w:r>
      <w:r w:rsidRPr="00012854">
        <w:rPr>
          <w:lang w:eastAsia="en-AU"/>
        </w:rPr>
        <w:t xml:space="preserve"> will liaise with the trustee appointed to manage the bankruptcy </w:t>
      </w:r>
      <w:r>
        <w:rPr>
          <w:lang w:eastAsia="en-AU"/>
        </w:rPr>
        <w:t>and</w:t>
      </w:r>
      <w:r w:rsidRPr="00012854">
        <w:rPr>
          <w:lang w:eastAsia="en-AU"/>
        </w:rPr>
        <w:t xml:space="preserve"> seek </w:t>
      </w:r>
      <w:r>
        <w:rPr>
          <w:lang w:eastAsia="en-AU"/>
        </w:rPr>
        <w:t>payment of</w:t>
      </w:r>
      <w:r w:rsidRPr="00012854">
        <w:rPr>
          <w:lang w:eastAsia="en-AU"/>
        </w:rPr>
        <w:t xml:space="preserve"> all or some of the </w:t>
      </w:r>
      <w:r>
        <w:rPr>
          <w:lang w:eastAsia="en-AU"/>
        </w:rPr>
        <w:t xml:space="preserve">debt </w:t>
      </w:r>
      <w:r w:rsidRPr="00012854">
        <w:rPr>
          <w:lang w:eastAsia="en-AU"/>
        </w:rPr>
        <w:t>incurred</w:t>
      </w:r>
      <w:r>
        <w:rPr>
          <w:lang w:eastAsia="en-AU"/>
        </w:rPr>
        <w:t xml:space="preserve"> where</w:t>
      </w:r>
      <w:r w:rsidRPr="00012854">
        <w:rPr>
          <w:lang w:eastAsia="en-AU"/>
        </w:rPr>
        <w:t xml:space="preserve"> there </w:t>
      </w:r>
      <w:r>
        <w:rPr>
          <w:lang w:eastAsia="en-AU"/>
        </w:rPr>
        <w:t>are</w:t>
      </w:r>
      <w:r w:rsidRPr="00012854">
        <w:rPr>
          <w:lang w:eastAsia="en-AU"/>
        </w:rPr>
        <w:t xml:space="preserve"> sufficient assets</w:t>
      </w:r>
      <w:r>
        <w:rPr>
          <w:lang w:eastAsia="en-AU"/>
        </w:rPr>
        <w:t xml:space="preserve"> and/or </w:t>
      </w:r>
      <w:r w:rsidRPr="00012854">
        <w:rPr>
          <w:lang w:eastAsia="en-AU"/>
        </w:rPr>
        <w:t xml:space="preserve">income to </w:t>
      </w:r>
      <w:r>
        <w:rPr>
          <w:lang w:eastAsia="en-AU"/>
        </w:rPr>
        <w:t>repay the</w:t>
      </w:r>
      <w:r w:rsidRPr="00012854">
        <w:rPr>
          <w:lang w:eastAsia="en-AU"/>
        </w:rPr>
        <w:t xml:space="preserve"> debt </w:t>
      </w:r>
      <w:r>
        <w:rPr>
          <w:lang w:eastAsia="en-AU"/>
        </w:rPr>
        <w:t xml:space="preserve">over the </w:t>
      </w:r>
      <w:r w:rsidRPr="00012854">
        <w:rPr>
          <w:lang w:eastAsia="en-AU"/>
        </w:rPr>
        <w:t xml:space="preserve">period of </w:t>
      </w:r>
      <w:r>
        <w:rPr>
          <w:lang w:eastAsia="en-AU"/>
        </w:rPr>
        <w:t xml:space="preserve">the </w:t>
      </w:r>
      <w:r w:rsidRPr="00012854">
        <w:rPr>
          <w:lang w:eastAsia="en-AU"/>
        </w:rPr>
        <w:t>bankruptcy.</w:t>
      </w:r>
      <w:r>
        <w:rPr>
          <w:lang w:eastAsia="en-AU"/>
        </w:rPr>
        <w:t xml:space="preserve">  The Director’s objectives in managing cases where tenants or clients are declared bankrupt are to:</w:t>
      </w:r>
    </w:p>
    <w:p w:rsidR="000F3383" w:rsidRDefault="000F3383" w:rsidP="000F3383">
      <w:pPr>
        <w:pStyle w:val="DHHSbullet1"/>
        <w:rPr>
          <w:lang w:eastAsia="en-AU"/>
        </w:rPr>
      </w:pPr>
      <w:r>
        <w:rPr>
          <w:lang w:eastAsia="en-AU"/>
        </w:rPr>
        <w:t>assist tenants to sustain their public housing tenancies where possible</w:t>
      </w:r>
    </w:p>
    <w:p w:rsidR="000F3383" w:rsidRDefault="000F3383" w:rsidP="000F3383">
      <w:pPr>
        <w:pStyle w:val="DHHSbullet1"/>
        <w:rPr>
          <w:lang w:eastAsia="en-AU"/>
        </w:rPr>
      </w:pPr>
      <w:r>
        <w:rPr>
          <w:lang w:eastAsia="en-AU"/>
        </w:rPr>
        <w:t>recover the outstanding debts/charges as much as possible, and</w:t>
      </w:r>
    </w:p>
    <w:p w:rsidR="000F3383" w:rsidRDefault="000F3383" w:rsidP="000F3383">
      <w:pPr>
        <w:pStyle w:val="DHHSbullet1"/>
        <w:rPr>
          <w:lang w:eastAsia="en-AU"/>
        </w:rPr>
      </w:pPr>
      <w:r w:rsidRPr="00917775">
        <w:rPr>
          <w:lang w:eastAsia="en-AU"/>
        </w:rPr>
        <w:t>effectively manage outstanding debt</w:t>
      </w:r>
      <w:r>
        <w:rPr>
          <w:lang w:eastAsia="en-AU"/>
        </w:rPr>
        <w:t>.</w:t>
      </w:r>
    </w:p>
    <w:p w:rsidR="000F3383" w:rsidRDefault="000F3383" w:rsidP="000F3383">
      <w:pPr>
        <w:pStyle w:val="DHHSbody"/>
        <w:rPr>
          <w:lang w:eastAsia="en-AU"/>
        </w:rPr>
      </w:pPr>
      <w:r>
        <w:rPr>
          <w:lang w:eastAsia="en-AU"/>
        </w:rPr>
        <w:t>The following sections of these operational guidelines outline:</w:t>
      </w:r>
    </w:p>
    <w:p w:rsidR="000F3383" w:rsidRPr="001257AF" w:rsidRDefault="000F3383" w:rsidP="000F3383">
      <w:pPr>
        <w:pStyle w:val="DHHSbullet1"/>
        <w:rPr>
          <w:lang w:eastAsia="en-AU"/>
        </w:rPr>
      </w:pPr>
      <w:r>
        <w:rPr>
          <w:lang w:eastAsia="en-AU"/>
        </w:rPr>
        <w:t xml:space="preserve">firstly, </w:t>
      </w:r>
      <w:r w:rsidRPr="009B35CE">
        <w:rPr>
          <w:lang w:eastAsia="en-AU"/>
        </w:rPr>
        <w:t xml:space="preserve">the overarching requirements that apply throughout the </w:t>
      </w:r>
      <w:r>
        <w:rPr>
          <w:lang w:eastAsia="en-AU"/>
        </w:rPr>
        <w:t xml:space="preserve">bankruptcy process; </w:t>
      </w:r>
      <w:r w:rsidRPr="009B35CE">
        <w:rPr>
          <w:lang w:eastAsia="en-AU"/>
        </w:rPr>
        <w:t>discretion</w:t>
      </w:r>
      <w:r>
        <w:rPr>
          <w:lang w:eastAsia="en-AU"/>
        </w:rPr>
        <w:t xml:space="preserve"> considerations; links with other departmental supports; natural justice; and, </w:t>
      </w:r>
      <w:r w:rsidRPr="009B35CE">
        <w:rPr>
          <w:lang w:eastAsia="en-AU"/>
        </w:rPr>
        <w:t xml:space="preserve"> human rights</w:t>
      </w:r>
    </w:p>
    <w:p w:rsidR="000F3383" w:rsidRDefault="000F3383" w:rsidP="000F3383">
      <w:pPr>
        <w:pStyle w:val="DHHSbullet1"/>
        <w:rPr>
          <w:lang w:eastAsia="en-AU"/>
        </w:rPr>
      </w:pPr>
      <w:r>
        <w:rPr>
          <w:lang w:eastAsia="en-AU"/>
        </w:rPr>
        <w:t>secondly, the evidence requirements when bankruptcy is declared including for any outstanding debt, and</w:t>
      </w:r>
    </w:p>
    <w:p w:rsidR="000F3383" w:rsidRPr="00CE0C1A" w:rsidRDefault="000F3383" w:rsidP="000F3383">
      <w:pPr>
        <w:pStyle w:val="DHHSbullet1"/>
        <w:rPr>
          <w:lang w:eastAsia="en-AU"/>
        </w:rPr>
      </w:pPr>
      <w:r>
        <w:rPr>
          <w:lang w:eastAsia="en-AU"/>
        </w:rPr>
        <w:t>thirdly, the process and legal requirements for consideration of regaining possession of the property from the tenant following the declaration of bankruptcy.</w:t>
      </w:r>
    </w:p>
    <w:p w:rsidR="000F3383" w:rsidRPr="00DF3A5C" w:rsidRDefault="000F3383" w:rsidP="000F3383">
      <w:pPr>
        <w:pStyle w:val="Heading1"/>
      </w:pPr>
      <w:bookmarkStart w:id="6" w:name="_Toc472513902"/>
      <w:bookmarkStart w:id="7" w:name="_Toc484764972"/>
      <w:r>
        <w:rPr>
          <w:lang w:eastAsia="en-AU"/>
        </w:rPr>
        <w:t>Discretion under these operational guidelines</w:t>
      </w:r>
      <w:bookmarkEnd w:id="6"/>
      <w:bookmarkEnd w:id="7"/>
    </w:p>
    <w:p w:rsidR="000F3383" w:rsidRPr="00917775" w:rsidRDefault="000F3383" w:rsidP="000F3383">
      <w:pPr>
        <w:pStyle w:val="DHHSbody"/>
        <w:rPr>
          <w:lang w:eastAsia="en-AU"/>
        </w:rPr>
      </w:pPr>
      <w:r>
        <w:t>B</w:t>
      </w:r>
      <w:r w:rsidRPr="00917775">
        <w:rPr>
          <w:lang w:eastAsia="en-AU"/>
        </w:rPr>
        <w:t>ankruptcy does not automatically lead to the eviction of an existing tenant</w:t>
      </w:r>
      <w:r>
        <w:rPr>
          <w:lang w:eastAsia="en-AU"/>
        </w:rPr>
        <w:t xml:space="preserve"> </w:t>
      </w:r>
      <w:r w:rsidRPr="00917775">
        <w:rPr>
          <w:lang w:eastAsia="en-AU"/>
        </w:rPr>
        <w:t xml:space="preserve">or removal of the applicant from </w:t>
      </w:r>
      <w:r>
        <w:rPr>
          <w:lang w:eastAsia="en-AU"/>
        </w:rPr>
        <w:t>the public housing waiting list. Under certain circumstances, for example, where mental health, disability or family violence issues have been identified, local area management equivalent to a</w:t>
      </w:r>
      <w:r w:rsidRPr="0003267C">
        <w:rPr>
          <w:lang w:eastAsia="en-AU"/>
        </w:rPr>
        <w:t xml:space="preserve"> Tenancy and Pro</w:t>
      </w:r>
      <w:r>
        <w:rPr>
          <w:lang w:eastAsia="en-AU"/>
        </w:rPr>
        <w:t xml:space="preserve">perty Manager or above may take contributing factors into account prior to determining the next </w:t>
      </w:r>
      <w:r>
        <w:rPr>
          <w:lang w:eastAsia="en-AU"/>
        </w:rPr>
        <w:lastRenderedPageBreak/>
        <w:t xml:space="preserve">course of action, including considerations about the person’s </w:t>
      </w:r>
      <w:r w:rsidRPr="0003267C">
        <w:rPr>
          <w:lang w:eastAsia="en-AU"/>
        </w:rPr>
        <w:t xml:space="preserve"> on-going access and eligibility to public housing</w:t>
      </w:r>
      <w:r>
        <w:rPr>
          <w:lang w:eastAsia="en-AU"/>
        </w:rPr>
        <w:t xml:space="preserve"> or bond loans</w:t>
      </w:r>
      <w:r w:rsidRPr="0003267C">
        <w:rPr>
          <w:lang w:eastAsia="en-AU"/>
        </w:rPr>
        <w:t>.</w:t>
      </w:r>
    </w:p>
    <w:p w:rsidR="000F3383" w:rsidRDefault="000F3383" w:rsidP="000F3383">
      <w:pPr>
        <w:pStyle w:val="DHHSbody"/>
        <w:rPr>
          <w:lang w:eastAsia="en-AU"/>
        </w:rPr>
      </w:pPr>
      <w:r w:rsidRPr="00917775">
        <w:rPr>
          <w:lang w:eastAsia="en-AU"/>
        </w:rPr>
        <w:t>The Tenancy and Property Manager or equivalent will consider:</w:t>
      </w:r>
    </w:p>
    <w:p w:rsidR="000F3383" w:rsidRDefault="000F3383" w:rsidP="000F3383">
      <w:pPr>
        <w:pStyle w:val="DHHSbullet1"/>
        <w:rPr>
          <w:lang w:eastAsia="en-AU"/>
        </w:rPr>
      </w:pPr>
      <w:r w:rsidRPr="00917775">
        <w:rPr>
          <w:lang w:eastAsia="en-AU"/>
        </w:rPr>
        <w:t>the individual circumstances that led to bankruptcy</w:t>
      </w:r>
    </w:p>
    <w:p w:rsidR="000F3383" w:rsidRDefault="000F3383" w:rsidP="000F3383">
      <w:pPr>
        <w:pStyle w:val="DHHSbullet1"/>
        <w:rPr>
          <w:lang w:eastAsia="en-AU"/>
        </w:rPr>
      </w:pPr>
      <w:r w:rsidRPr="00917775">
        <w:rPr>
          <w:lang w:eastAsia="en-AU"/>
        </w:rPr>
        <w:t>the individual’s history of arrears or failure to pay maintenance c</w:t>
      </w:r>
      <w:r>
        <w:rPr>
          <w:lang w:eastAsia="en-AU"/>
        </w:rPr>
        <w:t>harges whilst in public housing</w:t>
      </w:r>
    </w:p>
    <w:p w:rsidR="000F3383" w:rsidRDefault="000F3383" w:rsidP="000F3383">
      <w:pPr>
        <w:pStyle w:val="DHHSbullet1"/>
        <w:rPr>
          <w:lang w:eastAsia="en-AU"/>
        </w:rPr>
      </w:pPr>
      <w:r w:rsidRPr="00917775">
        <w:rPr>
          <w:lang w:eastAsia="en-AU"/>
        </w:rPr>
        <w:t>any support plans or connections with local area support networks in place to mitigate the risk of bankruptcy recurring</w:t>
      </w:r>
      <w:r>
        <w:rPr>
          <w:lang w:eastAsia="en-AU"/>
        </w:rPr>
        <w:t>, and</w:t>
      </w:r>
    </w:p>
    <w:p w:rsidR="000F3383" w:rsidRPr="00A216C8" w:rsidRDefault="000F3383" w:rsidP="000F3383">
      <w:pPr>
        <w:pStyle w:val="DHHSbullet1"/>
        <w:rPr>
          <w:lang w:eastAsia="en-AU"/>
        </w:rPr>
      </w:pPr>
      <w:r w:rsidRPr="00755264">
        <w:rPr>
          <w:lang w:eastAsia="en-AU"/>
        </w:rPr>
        <w:t>human rights</w:t>
      </w:r>
      <w:r>
        <w:rPr>
          <w:lang w:eastAsia="en-AU"/>
        </w:rPr>
        <w:t>,</w:t>
      </w:r>
      <w:r w:rsidRPr="00755264">
        <w:rPr>
          <w:lang w:eastAsia="en-AU"/>
        </w:rPr>
        <w:t xml:space="preserve"> taking into account the individual circumstances </w:t>
      </w:r>
      <w:r>
        <w:rPr>
          <w:lang w:eastAsia="en-AU"/>
        </w:rPr>
        <w:t>of the people involved, the impact the decision will have on the household, and the merit of the proposed decision and action in balancing both the individual rights and the objectives of the Director as mentioned above.</w:t>
      </w:r>
    </w:p>
    <w:p w:rsidR="000F3383" w:rsidRPr="00DF3A5C" w:rsidRDefault="000F3383" w:rsidP="000F3383">
      <w:pPr>
        <w:pStyle w:val="Heading1"/>
      </w:pPr>
      <w:bookmarkStart w:id="8" w:name="_Toc472513903"/>
      <w:bookmarkStart w:id="9" w:name="_Toc484764973"/>
      <w:r>
        <w:rPr>
          <w:lang w:eastAsia="en-AU"/>
        </w:rPr>
        <w:t>Involvement of other programs or supports</w:t>
      </w:r>
      <w:bookmarkEnd w:id="8"/>
      <w:bookmarkEnd w:id="9"/>
    </w:p>
    <w:p w:rsidR="000F3383" w:rsidRPr="00016B92" w:rsidRDefault="000F3383" w:rsidP="000F3383">
      <w:pPr>
        <w:pStyle w:val="DHHSbody"/>
        <w:rPr>
          <w:lang w:eastAsia="en-AU"/>
        </w:rPr>
      </w:pPr>
      <w:r>
        <w:t xml:space="preserve">If </w:t>
      </w:r>
      <w:r>
        <w:rPr>
          <w:lang w:eastAsia="en-AU"/>
        </w:rPr>
        <w:t xml:space="preserve">complex tenancy issues are identified following a tenant or client declaring bankruptcy, staff may identify that access to appropriate services and support may prevent future problems and more sustainable tenancies for existing tenants. Staff should work with the person declaring bankruptcy to identify and link them to supports such as: </w:t>
      </w:r>
    </w:p>
    <w:p w:rsidR="000F3383" w:rsidRPr="00016B92" w:rsidRDefault="000F3383" w:rsidP="000F3383">
      <w:pPr>
        <w:pStyle w:val="DHHSbullet1"/>
        <w:rPr>
          <w:lang w:eastAsia="en-AU"/>
        </w:rPr>
      </w:pPr>
      <w:r>
        <w:rPr>
          <w:lang w:eastAsia="en-AU"/>
        </w:rPr>
        <w:t>Financial counselling services</w:t>
      </w:r>
    </w:p>
    <w:p w:rsidR="000F3383" w:rsidRDefault="000F3383" w:rsidP="000F3383">
      <w:pPr>
        <w:pStyle w:val="DHHSbullet1"/>
        <w:rPr>
          <w:lang w:eastAsia="en-AU"/>
        </w:rPr>
      </w:pPr>
      <w:r w:rsidRPr="00016B92">
        <w:rPr>
          <w:lang w:eastAsia="en-AU"/>
        </w:rPr>
        <w:t xml:space="preserve">Family </w:t>
      </w:r>
      <w:r>
        <w:rPr>
          <w:lang w:eastAsia="en-AU"/>
        </w:rPr>
        <w:t xml:space="preserve">violence </w:t>
      </w:r>
      <w:r w:rsidRPr="00016B92">
        <w:rPr>
          <w:lang w:eastAsia="en-AU"/>
        </w:rPr>
        <w:t>services</w:t>
      </w:r>
    </w:p>
    <w:p w:rsidR="000F3383" w:rsidRPr="00016B92" w:rsidRDefault="000F3383" w:rsidP="000F3383">
      <w:pPr>
        <w:pStyle w:val="DHHSbullet1"/>
        <w:rPr>
          <w:lang w:eastAsia="en-AU"/>
        </w:rPr>
      </w:pPr>
      <w:r>
        <w:rPr>
          <w:lang w:eastAsia="en-AU"/>
        </w:rPr>
        <w:t>Mental health services</w:t>
      </w:r>
    </w:p>
    <w:p w:rsidR="000F3383" w:rsidRDefault="000F3383" w:rsidP="000F3383">
      <w:pPr>
        <w:pStyle w:val="DHHSbullet1"/>
        <w:rPr>
          <w:rFonts w:cs="Tahoma"/>
          <w:lang w:eastAsia="en-AU"/>
        </w:rPr>
      </w:pPr>
      <w:r w:rsidRPr="00117DDF">
        <w:rPr>
          <w:rFonts w:cs="Tahoma"/>
          <w:lang w:eastAsia="en-AU"/>
        </w:rPr>
        <w:t xml:space="preserve">Disability </w:t>
      </w:r>
      <w:r>
        <w:rPr>
          <w:rFonts w:cs="Tahoma"/>
          <w:lang w:eastAsia="en-AU"/>
        </w:rPr>
        <w:t>information and s</w:t>
      </w:r>
      <w:r w:rsidRPr="00117DDF">
        <w:rPr>
          <w:rFonts w:cs="Tahoma"/>
          <w:lang w:eastAsia="en-AU"/>
        </w:rPr>
        <w:t>upport</w:t>
      </w:r>
      <w:r>
        <w:rPr>
          <w:lang w:eastAsia="en-AU"/>
        </w:rPr>
        <w:t>, and/or</w:t>
      </w:r>
    </w:p>
    <w:p w:rsidR="000F3383" w:rsidRDefault="000F3383" w:rsidP="000F3383">
      <w:pPr>
        <w:pStyle w:val="DHHSbullet1"/>
        <w:rPr>
          <w:lang w:eastAsia="en-AU"/>
        </w:rPr>
      </w:pPr>
      <w:r>
        <w:rPr>
          <w:lang w:eastAsia="en-AU"/>
        </w:rPr>
        <w:t>Drug and alcohol services.</w:t>
      </w:r>
    </w:p>
    <w:p w:rsidR="000F3383" w:rsidRDefault="000F3383" w:rsidP="000F3383">
      <w:pPr>
        <w:pStyle w:val="DHHSbody"/>
        <w:rPr>
          <w:lang w:eastAsia="en-AU"/>
        </w:rPr>
      </w:pPr>
      <w:r>
        <w:rPr>
          <w:lang w:eastAsia="en-AU"/>
        </w:rPr>
        <w:t>In the event the tenant refuses to engage with support services or providers, staff should file note attempts to engage with the tenants.</w:t>
      </w:r>
    </w:p>
    <w:p w:rsidR="000F3383" w:rsidRDefault="000F3383" w:rsidP="000F3383">
      <w:pPr>
        <w:pStyle w:val="DHHSbody"/>
        <w:rPr>
          <w:rFonts w:cs="Arial"/>
          <w:i/>
        </w:rPr>
      </w:pPr>
      <w:r>
        <w:rPr>
          <w:rFonts w:cs="Arial"/>
        </w:rPr>
        <w:t xml:space="preserve">During the course of dealing with a bankruptcy matter, should staff learn of, or witness a situation that raises concerns regarding a child’s welfare, staff must report their concerns to their line manager and determine the appropriate course of action in line with the </w:t>
      </w:r>
      <w:r>
        <w:rPr>
          <w:rFonts w:cs="Arial"/>
          <w:i/>
        </w:rPr>
        <w:t>Exchange of information between Child Protection and Public Housing (2015).</w:t>
      </w:r>
    </w:p>
    <w:p w:rsidR="000F3383" w:rsidRDefault="000F3383" w:rsidP="000F3383">
      <w:pPr>
        <w:pStyle w:val="DHHSbody"/>
        <w:rPr>
          <w:rFonts w:cs="Arial"/>
        </w:rPr>
      </w:pPr>
      <w:r>
        <w:rPr>
          <w:rFonts w:cs="Arial"/>
        </w:rPr>
        <w:t>It is mandatory that concerns for a child’s welfare are reported to:</w:t>
      </w:r>
    </w:p>
    <w:p w:rsidR="000F3383" w:rsidRDefault="000F3383" w:rsidP="000F3383">
      <w:pPr>
        <w:pStyle w:val="DHHSbullet1"/>
      </w:pPr>
      <w:r>
        <w:t>Victoria Police if there is a reasonable belief that a crime against a child has been committed, for example, a physical or sexual assault</w:t>
      </w:r>
    </w:p>
    <w:p w:rsidR="000F3383" w:rsidRPr="000A310E" w:rsidRDefault="000F3383" w:rsidP="000F3383">
      <w:pPr>
        <w:pStyle w:val="DHHSbullet1"/>
      </w:pPr>
      <w:r>
        <w:t>Child Protection if there is a reasonable belief that a child is in need of protection</w:t>
      </w:r>
      <w:r w:rsidRPr="000A310E">
        <w:t>.</w:t>
      </w:r>
    </w:p>
    <w:p w:rsidR="000F3383" w:rsidRPr="00DF3A5C" w:rsidRDefault="000F3383" w:rsidP="000F3383">
      <w:pPr>
        <w:pStyle w:val="Heading1"/>
      </w:pPr>
      <w:bookmarkStart w:id="10" w:name="_Toc472513904"/>
      <w:bookmarkStart w:id="11" w:name="_Toc484764974"/>
      <w:r>
        <w:rPr>
          <w:lang w:eastAsia="en-AU"/>
        </w:rPr>
        <w:t>Human rights considerations</w:t>
      </w:r>
      <w:bookmarkEnd w:id="10"/>
      <w:bookmarkEnd w:id="11"/>
    </w:p>
    <w:p w:rsidR="000F3383" w:rsidRDefault="000F3383" w:rsidP="000F3383">
      <w:pPr>
        <w:pStyle w:val="DHHSbody"/>
        <w:rPr>
          <w:lang w:eastAsia="en-AU"/>
        </w:rPr>
      </w:pPr>
      <w:r>
        <w:rPr>
          <w:lang w:eastAsia="en-AU"/>
        </w:rPr>
        <w:t xml:space="preserve">All departmental staff are required to consider the potential impact of any proposed action on the person’s (and their household’s) rights </w:t>
      </w:r>
      <w:r w:rsidRPr="007567BA">
        <w:rPr>
          <w:lang w:eastAsia="en-AU"/>
        </w:rPr>
        <w:t xml:space="preserve">under the </w:t>
      </w:r>
      <w:r w:rsidRPr="007567BA">
        <w:rPr>
          <w:i/>
          <w:lang w:eastAsia="en-AU"/>
        </w:rPr>
        <w:t xml:space="preserve">Charter of Human Rights and Responsibilities </w:t>
      </w:r>
      <w:r w:rsidRPr="007567BA">
        <w:rPr>
          <w:lang w:eastAsia="en-AU"/>
        </w:rPr>
        <w:t>(2006).</w:t>
      </w:r>
    </w:p>
    <w:p w:rsidR="000F3383" w:rsidRDefault="000F3383" w:rsidP="000F3383">
      <w:pPr>
        <w:pStyle w:val="DHHSbody"/>
        <w:rPr>
          <w:lang w:eastAsia="en-AU"/>
        </w:rPr>
      </w:pPr>
      <w:r>
        <w:rPr>
          <w:lang w:eastAsia="en-AU"/>
        </w:rPr>
        <w:t>By taking a human rights-based approach, the department is able to ensure the person is at the centre of all decisions made.  It does not mean that human rights can never be limited.  It means that any decisions made that do limit the person’s human rights must be lawful, necessary, logical, reasonable and proportionate.</w:t>
      </w:r>
    </w:p>
    <w:p w:rsidR="000F3383" w:rsidRPr="007567BA" w:rsidRDefault="000F3383" w:rsidP="000F3383">
      <w:pPr>
        <w:pStyle w:val="DHHSbody"/>
        <w:rPr>
          <w:lang w:eastAsia="en-AU"/>
        </w:rPr>
      </w:pPr>
      <w:r>
        <w:rPr>
          <w:lang w:eastAsia="en-AU"/>
        </w:rPr>
        <w:t>Staff</w:t>
      </w:r>
      <w:r w:rsidRPr="007567BA">
        <w:rPr>
          <w:lang w:eastAsia="en-AU"/>
        </w:rPr>
        <w:t xml:space="preserve"> taking action in line with these operational guidelines must:</w:t>
      </w:r>
    </w:p>
    <w:p w:rsidR="000F3383" w:rsidRDefault="000F3383" w:rsidP="000F3383">
      <w:pPr>
        <w:pStyle w:val="DHHSbullet1"/>
      </w:pPr>
      <w:r w:rsidRPr="007567BA">
        <w:lastRenderedPageBreak/>
        <w:t xml:space="preserve">understand the objective and rationale of the actions they are taking </w:t>
      </w:r>
    </w:p>
    <w:p w:rsidR="000F3383" w:rsidRPr="007567BA" w:rsidRDefault="000F3383" w:rsidP="000F3383">
      <w:pPr>
        <w:pStyle w:val="DHHSbullet1"/>
      </w:pPr>
      <w:r w:rsidRPr="007567BA">
        <w:t xml:space="preserve">consider the impact of </w:t>
      </w:r>
      <w:r>
        <w:t xml:space="preserve">a </w:t>
      </w:r>
      <w:r w:rsidRPr="007567BA">
        <w:t>proposed action on the person’s Charter rights</w:t>
      </w:r>
      <w:r>
        <w:t xml:space="preserve"> (more than one might be relevant)</w:t>
      </w:r>
    </w:p>
    <w:p w:rsidR="000F3383" w:rsidRPr="007567BA" w:rsidRDefault="000F3383" w:rsidP="000F3383">
      <w:pPr>
        <w:pStyle w:val="DHHSbullet1"/>
      </w:pPr>
      <w:r w:rsidRPr="007567BA">
        <w:t>consider whether the proposed impact is balanced and proportionate and necessary to achieve th</w:t>
      </w:r>
      <w:r>
        <w:t>e</w:t>
      </w:r>
      <w:r w:rsidRPr="007567BA">
        <w:t xml:space="preserve"> objective</w:t>
      </w:r>
      <w:r>
        <w:t>s for these operational guidelines, (for example, the decision to evict the tenant and household  with recurring bankruptcy needs to  balance the Director’s aim to recover  debt with the needs of the tenant and other household members who may be affected), and</w:t>
      </w:r>
    </w:p>
    <w:p w:rsidR="000F3383" w:rsidRPr="007567BA" w:rsidRDefault="000F3383" w:rsidP="000F3383">
      <w:pPr>
        <w:pStyle w:val="DHHSbullet1"/>
        <w:rPr>
          <w:lang w:eastAsia="en-AU"/>
        </w:rPr>
      </w:pPr>
      <w:r w:rsidRPr="007567BA">
        <w:t>choos</w:t>
      </w:r>
      <w:r>
        <w:t>e the least restrictive measure</w:t>
      </w:r>
      <w:r w:rsidRPr="007567BA">
        <w:t xml:space="preserve"> available.</w:t>
      </w:r>
    </w:p>
    <w:p w:rsidR="000F3383" w:rsidRDefault="000F3383" w:rsidP="000F3383">
      <w:pPr>
        <w:pStyle w:val="DHHSbodyaftertablefigure"/>
      </w:pPr>
      <w:r>
        <w:t xml:space="preserve">This assessment needs to </w:t>
      </w:r>
      <w:r w:rsidRPr="00E96F67">
        <w:t>be</w:t>
      </w:r>
      <w:r>
        <w:t xml:space="preserve"> individualised for the tenant, and any other affected household members.  It requires staff to follow the process outlined below and ask key questions.</w:t>
      </w:r>
    </w:p>
    <w:p w:rsidR="000F3383" w:rsidRPr="00E96F67" w:rsidRDefault="000F3383" w:rsidP="000F3383">
      <w:pPr>
        <w:pStyle w:val="DHHSbody"/>
      </w:pPr>
    </w:p>
    <w:p w:rsidR="000F3383" w:rsidRDefault="000F3383" w:rsidP="000F3383">
      <w:pPr>
        <w:pStyle w:val="DHHSbody"/>
        <w:ind w:left="1560"/>
      </w:pPr>
      <w:r>
        <w:object w:dxaOrig="9556" w:dyaOrig="9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chart is a guide for The Charter of Human Rights as part of the decision making process." style="width:367.6pt;height:412.6pt" o:ole="">
            <v:imagedata r:id="rId16" o:title=""/>
          </v:shape>
          <o:OLEObject Type="Embed" ProgID="Visio.Drawing.11" ShapeID="_x0000_i1025" DrawAspect="Content" ObjectID="_1563277566" r:id="rId17"/>
        </w:object>
      </w:r>
    </w:p>
    <w:p w:rsidR="000F3383" w:rsidRPr="008B596C" w:rsidRDefault="000F3383" w:rsidP="000F3383">
      <w:pPr>
        <w:pStyle w:val="DHHSbody"/>
        <w:rPr>
          <w:rFonts w:cs="Arial"/>
        </w:rPr>
      </w:pPr>
      <w:r w:rsidRPr="007567BA">
        <w:rPr>
          <w:rFonts w:cs="Arial"/>
          <w:i/>
        </w:rPr>
        <w:t xml:space="preserve">The Charter of Human Rights and Responsibilities – A guide for Victorian public sector workers </w:t>
      </w:r>
      <w:r w:rsidRPr="007567BA">
        <w:rPr>
          <w:rFonts w:cs="Arial"/>
        </w:rPr>
        <w:t>is</w:t>
      </w:r>
      <w:r>
        <w:rPr>
          <w:rFonts w:cs="Arial"/>
        </w:rPr>
        <w:t xml:space="preserve"> also</w:t>
      </w:r>
      <w:r w:rsidRPr="007567BA">
        <w:rPr>
          <w:rFonts w:cs="Arial"/>
        </w:rPr>
        <w:t xml:space="preserve"> available to guide staff and their line management when considering human rights as part of the decision making processes</w:t>
      </w:r>
      <w:r>
        <w:rPr>
          <w:rFonts w:cs="Arial"/>
        </w:rPr>
        <w:t xml:space="preserve"> and is</w:t>
      </w:r>
      <w:r w:rsidRPr="007567BA">
        <w:rPr>
          <w:rFonts w:cs="Arial"/>
          <w:i/>
        </w:rPr>
        <w:t xml:space="preserve"> </w:t>
      </w:r>
      <w:r w:rsidRPr="007567BA">
        <w:rPr>
          <w:rFonts w:cs="Arial"/>
        </w:rPr>
        <w:t>at</w:t>
      </w:r>
      <w:r>
        <w:rPr>
          <w:rFonts w:cs="Arial"/>
        </w:rPr>
        <w:t xml:space="preserve"> &lt;</w:t>
      </w:r>
      <w:hyperlink r:id="rId18" w:history="1">
        <w:r w:rsidRPr="006576AB">
          <w:rPr>
            <w:rStyle w:val="Hyperlink"/>
            <w:rFonts w:cs="Arial"/>
          </w:rPr>
          <w:t>www.humanrightscommission.vic.gov.au</w:t>
        </w:r>
      </w:hyperlink>
      <w:r>
        <w:rPr>
          <w:rFonts w:cs="Arial"/>
        </w:rPr>
        <w:t>&gt;</w:t>
      </w:r>
    </w:p>
    <w:p w:rsidR="000F3383" w:rsidRPr="00DF3A5C" w:rsidRDefault="000F3383" w:rsidP="000F3383">
      <w:pPr>
        <w:pStyle w:val="Heading1"/>
      </w:pPr>
      <w:bookmarkStart w:id="12" w:name="_Toc472513905"/>
      <w:bookmarkStart w:id="13" w:name="_Toc484764975"/>
      <w:r w:rsidRPr="009C549A">
        <w:rPr>
          <w:lang w:eastAsia="en-AU"/>
        </w:rPr>
        <w:lastRenderedPageBreak/>
        <w:t xml:space="preserve">Evidence of </w:t>
      </w:r>
      <w:r w:rsidRPr="00CC0D83">
        <w:t>bankruptcy</w:t>
      </w:r>
      <w:bookmarkEnd w:id="12"/>
      <w:bookmarkEnd w:id="13"/>
    </w:p>
    <w:p w:rsidR="000F3383" w:rsidRDefault="000F3383" w:rsidP="000F3383">
      <w:pPr>
        <w:pStyle w:val="DHHSbody"/>
        <w:rPr>
          <w:lang w:eastAsia="en-AU"/>
        </w:rPr>
      </w:pPr>
      <w:r>
        <w:rPr>
          <w:rFonts w:cs="Arial"/>
          <w:lang w:eastAsia="en-AU"/>
        </w:rPr>
        <w:t xml:space="preserve">Staff must ensure that all information and evidence gathered, as well as the rationale and process steps taken for decisions, is documented on the Housing integrated information Program (HiiP). </w:t>
      </w:r>
      <w:r>
        <w:rPr>
          <w:lang w:eastAsia="en-AU"/>
        </w:rPr>
        <w:t>Staff will record the following information on HiiP.</w:t>
      </w:r>
    </w:p>
    <w:p w:rsidR="000F3383" w:rsidRDefault="000F3383" w:rsidP="000F3383">
      <w:pPr>
        <w:pStyle w:val="DHHSbullet1"/>
        <w:rPr>
          <w:lang w:eastAsia="en-AU"/>
        </w:rPr>
      </w:pPr>
      <w:r>
        <w:rPr>
          <w:lang w:eastAsia="en-AU"/>
        </w:rPr>
        <w:t>the basis upon which the person has become bankrupt, for example:</w:t>
      </w:r>
    </w:p>
    <w:p w:rsidR="000F3383" w:rsidRDefault="000F3383" w:rsidP="000F3383">
      <w:pPr>
        <w:pStyle w:val="DHHSbullet2"/>
        <w:numPr>
          <w:ilvl w:val="0"/>
          <w:numId w:val="15"/>
        </w:numPr>
        <w:rPr>
          <w:lang w:eastAsia="en-AU"/>
        </w:rPr>
      </w:pPr>
      <w:r>
        <w:rPr>
          <w:lang w:eastAsia="en-AU"/>
        </w:rPr>
        <w:t xml:space="preserve">the </w:t>
      </w:r>
      <w:r w:rsidRPr="00F64F7B">
        <w:rPr>
          <w:lang w:eastAsia="en-AU"/>
        </w:rPr>
        <w:t xml:space="preserve">Sequestration Order </w:t>
      </w:r>
      <w:r>
        <w:rPr>
          <w:lang w:eastAsia="en-AU"/>
        </w:rPr>
        <w:t xml:space="preserve">of the Court declaring the person to be bankrupt (where bankruptcy has been declared </w:t>
      </w:r>
      <w:r w:rsidRPr="00F64F7B">
        <w:rPr>
          <w:i/>
          <w:lang w:eastAsia="en-AU"/>
        </w:rPr>
        <w:t>involuntarily</w:t>
      </w:r>
      <w:r>
        <w:rPr>
          <w:i/>
          <w:lang w:eastAsia="en-AU"/>
        </w:rPr>
        <w:t xml:space="preserve"> </w:t>
      </w:r>
      <w:r>
        <w:rPr>
          <w:lang w:eastAsia="en-AU"/>
        </w:rPr>
        <w:t>against the person by the creditor’s petition process)</w:t>
      </w:r>
    </w:p>
    <w:p w:rsidR="000F3383" w:rsidRDefault="000F3383" w:rsidP="000F3383">
      <w:pPr>
        <w:pStyle w:val="DHHSbullet2"/>
        <w:numPr>
          <w:ilvl w:val="0"/>
          <w:numId w:val="15"/>
        </w:numPr>
        <w:rPr>
          <w:lang w:eastAsia="en-AU"/>
        </w:rPr>
      </w:pPr>
      <w:r>
        <w:rPr>
          <w:lang w:eastAsia="en-AU"/>
        </w:rPr>
        <w:t>the Debtor’s Petition submitted by the debtor (</w:t>
      </w:r>
      <w:proofErr w:type="spellStart"/>
      <w:r>
        <w:rPr>
          <w:lang w:eastAsia="en-AU"/>
        </w:rPr>
        <w:t>ie</w:t>
      </w:r>
      <w:proofErr w:type="spellEnd"/>
      <w:r>
        <w:rPr>
          <w:lang w:eastAsia="en-AU"/>
        </w:rPr>
        <w:t xml:space="preserve">. the tenant or client) that initiates </w:t>
      </w:r>
      <w:r w:rsidRPr="00F64F7B">
        <w:rPr>
          <w:i/>
          <w:lang w:eastAsia="en-AU"/>
        </w:rPr>
        <w:t>voluntary</w:t>
      </w:r>
      <w:r>
        <w:rPr>
          <w:lang w:eastAsia="en-AU"/>
        </w:rPr>
        <w:t xml:space="preserve"> bankruptcy, including acceptance of the petition by the Australian Financial Security Authority (AFSA)</w:t>
      </w:r>
    </w:p>
    <w:p w:rsidR="000F3383" w:rsidRDefault="000F3383" w:rsidP="000F3383">
      <w:pPr>
        <w:pStyle w:val="DHHSbullet1"/>
        <w:rPr>
          <w:lang w:eastAsia="en-AU"/>
        </w:rPr>
      </w:pPr>
      <w:r>
        <w:rPr>
          <w:lang w:eastAsia="en-AU"/>
        </w:rPr>
        <w:t xml:space="preserve">any other documents received in relation to a bankruptcy process, for example any bankruptcy notice issued, and </w:t>
      </w:r>
    </w:p>
    <w:p w:rsidR="000F3383" w:rsidRDefault="000F3383" w:rsidP="000F3383">
      <w:pPr>
        <w:pStyle w:val="DHHSbullet1"/>
        <w:rPr>
          <w:lang w:eastAsia="en-AU"/>
        </w:rPr>
      </w:pPr>
      <w:r>
        <w:rPr>
          <w:lang w:eastAsia="en-AU"/>
        </w:rPr>
        <w:t>the income documentation for all household members (tenants or clients).</w:t>
      </w:r>
    </w:p>
    <w:p w:rsidR="000F3383" w:rsidRPr="00012854" w:rsidRDefault="000F3383" w:rsidP="000F3383">
      <w:pPr>
        <w:pStyle w:val="DHHSbodyaftertablefigure"/>
        <w:rPr>
          <w:lang w:eastAsia="en-AU"/>
        </w:rPr>
      </w:pPr>
      <w:r>
        <w:rPr>
          <w:lang w:eastAsia="en-AU"/>
        </w:rPr>
        <w:t xml:space="preserve">Where the above evidence is not provided, the person is not forthcoming on their status of bankruptcy or the situation is unclear, local area management equivalent to a Residential Client Services Manager may approve staff seeking independent confirmation of bankruptcy through completing the </w:t>
      </w:r>
      <w:r w:rsidRPr="0003267C">
        <w:rPr>
          <w:i/>
          <w:lang w:eastAsia="en-AU"/>
        </w:rPr>
        <w:t>Pr</w:t>
      </w:r>
      <w:r>
        <w:rPr>
          <w:i/>
          <w:lang w:eastAsia="en-AU"/>
        </w:rPr>
        <w:t xml:space="preserve">oof </w:t>
      </w:r>
      <w:r w:rsidRPr="00012854">
        <w:rPr>
          <w:i/>
          <w:lang w:eastAsia="en-AU"/>
        </w:rPr>
        <w:t>of debt form</w:t>
      </w:r>
      <w:r w:rsidRPr="00012854">
        <w:rPr>
          <w:lang w:eastAsia="en-AU"/>
        </w:rPr>
        <w:t xml:space="preserve"> available on the AFSA website.</w:t>
      </w:r>
    </w:p>
    <w:p w:rsidR="000F3383" w:rsidRPr="00FD0BD7" w:rsidRDefault="000F3383" w:rsidP="000F3383">
      <w:pPr>
        <w:pStyle w:val="DHHSbody"/>
      </w:pPr>
      <w:r w:rsidRPr="00012854">
        <w:t>Staff</w:t>
      </w:r>
      <w:r>
        <w:t>, via local area management equivalent to the Tenancy and Property Manager will</w:t>
      </w:r>
      <w:r w:rsidRPr="00012854">
        <w:t xml:space="preserve"> notify Financial Services, Financial and Corporate Services Group </w:t>
      </w:r>
      <w:r>
        <w:t>(central office) in</w:t>
      </w:r>
      <w:r w:rsidRPr="00012854">
        <w:t xml:space="preserve"> the event </w:t>
      </w:r>
      <w:r>
        <w:t xml:space="preserve">that </w:t>
      </w:r>
      <w:r w:rsidRPr="00012854">
        <w:t xml:space="preserve">they are </w:t>
      </w:r>
      <w:r>
        <w:t>informed</w:t>
      </w:r>
      <w:r w:rsidRPr="00012854">
        <w:t xml:space="preserve"> that a person who has received housing assistance from the department becomes bankrupt</w:t>
      </w:r>
      <w:r>
        <w:t>.</w:t>
      </w:r>
    </w:p>
    <w:p w:rsidR="000F3383" w:rsidRPr="00DF3A5C" w:rsidRDefault="000F3383" w:rsidP="000F3383">
      <w:pPr>
        <w:pStyle w:val="Heading1"/>
      </w:pPr>
      <w:bookmarkStart w:id="14" w:name="_Toc472513906"/>
      <w:bookmarkStart w:id="15" w:name="_Toc484764976"/>
      <w:r>
        <w:rPr>
          <w:lang w:eastAsia="en-AU"/>
        </w:rPr>
        <w:t>Bankruptcy and public housing applicants</w:t>
      </w:r>
      <w:bookmarkEnd w:id="14"/>
      <w:bookmarkEnd w:id="15"/>
    </w:p>
    <w:p w:rsidR="000F3383" w:rsidRDefault="000F3383" w:rsidP="000F3383">
      <w:pPr>
        <w:pStyle w:val="DHHSbody"/>
        <w:rPr>
          <w:lang w:eastAsia="en-AU"/>
        </w:rPr>
      </w:pPr>
      <w:r>
        <w:rPr>
          <w:lang w:eastAsia="en-AU"/>
        </w:rPr>
        <w:t>Applicants who have outstanding charges that are subject to bankruptcy may still be approved to the waiting list.  Outstanding public housing debts/charges that are subject to bankruptcy are not required to be paid prior to an offer of housing being made.</w:t>
      </w:r>
    </w:p>
    <w:p w:rsidR="000F3383" w:rsidRDefault="000F3383" w:rsidP="000F3383">
      <w:pPr>
        <w:pStyle w:val="DHHSbody"/>
        <w:rPr>
          <w:lang w:eastAsia="en-AU"/>
        </w:rPr>
      </w:pPr>
      <w:r>
        <w:rPr>
          <w:lang w:eastAsia="en-AU"/>
        </w:rPr>
        <w:t xml:space="preserve">Vacated tenants with outstanding public housing debts /charges subject to bankruptcy who require further assistance from the department must provide evidence of their bankruptcy. </w:t>
      </w:r>
    </w:p>
    <w:p w:rsidR="000F3383" w:rsidRPr="00FD0BD7" w:rsidRDefault="000F3383" w:rsidP="000F3383">
      <w:pPr>
        <w:pStyle w:val="DHHSbody"/>
      </w:pPr>
      <w:r>
        <w:rPr>
          <w:lang w:eastAsia="en-AU"/>
        </w:rPr>
        <w:t>If the vacated tenant is no longer bankrupt, they should be asked to confirm that the bankruptcy has been discharged by providing a Certificate of Discharge</w:t>
      </w:r>
      <w:r>
        <w:t>.</w:t>
      </w:r>
    </w:p>
    <w:p w:rsidR="000F3383" w:rsidRPr="00DF3A5C" w:rsidRDefault="000F3383" w:rsidP="000F3383">
      <w:pPr>
        <w:pStyle w:val="Heading1"/>
      </w:pPr>
      <w:bookmarkStart w:id="16" w:name="_Toc472513907"/>
      <w:bookmarkStart w:id="17" w:name="_Toc484764977"/>
      <w:r>
        <w:rPr>
          <w:lang w:eastAsia="en-AU"/>
        </w:rPr>
        <w:t>Bankruptcy and current tenants</w:t>
      </w:r>
      <w:bookmarkEnd w:id="16"/>
      <w:bookmarkEnd w:id="17"/>
    </w:p>
    <w:p w:rsidR="000F3383" w:rsidRPr="00012854" w:rsidRDefault="000F3383" w:rsidP="000F3383">
      <w:pPr>
        <w:pStyle w:val="DHHSbody"/>
        <w:rPr>
          <w:lang w:eastAsia="en-AU"/>
        </w:rPr>
      </w:pPr>
      <w:r w:rsidRPr="00012854">
        <w:rPr>
          <w:lang w:eastAsia="en-AU"/>
        </w:rPr>
        <w:t xml:space="preserve">Where one tenant in a joint tenancy is declared bankrupt, the outstanding </w:t>
      </w:r>
      <w:r>
        <w:rPr>
          <w:lang w:eastAsia="en-AU"/>
        </w:rPr>
        <w:t xml:space="preserve">rental </w:t>
      </w:r>
      <w:r w:rsidRPr="00012854">
        <w:rPr>
          <w:lang w:eastAsia="en-AU"/>
        </w:rPr>
        <w:t>arrears or maintenance debt</w:t>
      </w:r>
      <w:r>
        <w:rPr>
          <w:lang w:eastAsia="en-AU"/>
        </w:rPr>
        <w:t xml:space="preserve"> </w:t>
      </w:r>
      <w:r w:rsidRPr="00012854">
        <w:rPr>
          <w:lang w:eastAsia="en-AU"/>
        </w:rPr>
        <w:t>is generally written off by the Director.</w:t>
      </w:r>
      <w:r>
        <w:rPr>
          <w:lang w:eastAsia="en-AU"/>
        </w:rPr>
        <w:t xml:space="preserve"> T</w:t>
      </w:r>
      <w:r w:rsidRPr="00012854">
        <w:rPr>
          <w:lang w:eastAsia="en-AU"/>
        </w:rPr>
        <w:t xml:space="preserve">his practice recognises the </w:t>
      </w:r>
      <w:r>
        <w:rPr>
          <w:lang w:eastAsia="en-AU"/>
        </w:rPr>
        <w:t xml:space="preserve">difficulties to </w:t>
      </w:r>
      <w:r w:rsidRPr="00012854">
        <w:rPr>
          <w:lang w:eastAsia="en-AU"/>
        </w:rPr>
        <w:t>practical</w:t>
      </w:r>
      <w:r>
        <w:rPr>
          <w:lang w:eastAsia="en-AU"/>
        </w:rPr>
        <w:t>ly</w:t>
      </w:r>
      <w:r w:rsidRPr="00012854">
        <w:rPr>
          <w:lang w:eastAsia="en-AU"/>
        </w:rPr>
        <w:t xml:space="preserve"> pursu</w:t>
      </w:r>
      <w:r>
        <w:rPr>
          <w:lang w:eastAsia="en-AU"/>
        </w:rPr>
        <w:t xml:space="preserve">e </w:t>
      </w:r>
      <w:r w:rsidRPr="00012854">
        <w:rPr>
          <w:lang w:eastAsia="en-AU"/>
        </w:rPr>
        <w:t>a shared debt for rental arrears</w:t>
      </w:r>
      <w:r>
        <w:rPr>
          <w:lang w:eastAsia="en-AU"/>
        </w:rPr>
        <w:t>.</w:t>
      </w:r>
    </w:p>
    <w:p w:rsidR="000F3383" w:rsidRPr="00FD0BD7" w:rsidRDefault="000F3383" w:rsidP="000F3383">
      <w:pPr>
        <w:pStyle w:val="DHHSbody"/>
      </w:pPr>
      <w:r>
        <w:rPr>
          <w:lang w:eastAsia="en-AU"/>
        </w:rPr>
        <w:t xml:space="preserve">In </w:t>
      </w:r>
      <w:r w:rsidRPr="00012854">
        <w:rPr>
          <w:lang w:eastAsia="en-AU"/>
        </w:rPr>
        <w:t>exceptional c</w:t>
      </w:r>
      <w:r>
        <w:rPr>
          <w:lang w:eastAsia="en-AU"/>
        </w:rPr>
        <w:t>ases where</w:t>
      </w:r>
      <w:r w:rsidRPr="00012854">
        <w:rPr>
          <w:lang w:eastAsia="en-AU"/>
        </w:rPr>
        <w:t xml:space="preserve"> staff consider the circumstances warrant p</w:t>
      </w:r>
      <w:r>
        <w:rPr>
          <w:lang w:eastAsia="en-AU"/>
        </w:rPr>
        <w:t xml:space="preserve">ayment </w:t>
      </w:r>
      <w:r w:rsidRPr="00012854">
        <w:rPr>
          <w:lang w:eastAsia="en-AU"/>
        </w:rPr>
        <w:t xml:space="preserve">of </w:t>
      </w:r>
      <w:r>
        <w:rPr>
          <w:lang w:eastAsia="en-AU"/>
        </w:rPr>
        <w:t xml:space="preserve">outstanding debt by </w:t>
      </w:r>
      <w:r w:rsidRPr="00012854">
        <w:rPr>
          <w:lang w:eastAsia="en-AU"/>
        </w:rPr>
        <w:t>the non-bankrupt</w:t>
      </w:r>
      <w:r>
        <w:rPr>
          <w:lang w:eastAsia="en-AU"/>
        </w:rPr>
        <w:t>ed joint</w:t>
      </w:r>
      <w:r w:rsidRPr="00012854">
        <w:rPr>
          <w:lang w:eastAsia="en-AU"/>
        </w:rPr>
        <w:t xml:space="preserve"> tenant, the matter should be discussed with the Tenancy and Property Manager</w:t>
      </w:r>
      <w:r>
        <w:rPr>
          <w:lang w:eastAsia="en-AU"/>
        </w:rPr>
        <w:t>. A</w:t>
      </w:r>
      <w:r w:rsidRPr="00012854">
        <w:rPr>
          <w:lang w:eastAsia="en-AU"/>
        </w:rPr>
        <w:t xml:space="preserve">dvice </w:t>
      </w:r>
      <w:r>
        <w:rPr>
          <w:lang w:eastAsia="en-AU"/>
        </w:rPr>
        <w:t xml:space="preserve">is to be </w:t>
      </w:r>
      <w:r w:rsidRPr="00012854">
        <w:rPr>
          <w:lang w:eastAsia="en-AU"/>
        </w:rPr>
        <w:t>sought from the department’s Legal Services Branch and Financial and Corporate Services Group</w:t>
      </w:r>
      <w:r>
        <w:rPr>
          <w:lang w:eastAsia="en-AU"/>
        </w:rPr>
        <w:t xml:space="preserve"> before proceedings are commenced</w:t>
      </w:r>
      <w:r>
        <w:t>.</w:t>
      </w:r>
    </w:p>
    <w:p w:rsidR="000F3383" w:rsidRPr="00DF3A5C" w:rsidRDefault="000F3383" w:rsidP="000F3383">
      <w:pPr>
        <w:pStyle w:val="Heading1"/>
      </w:pPr>
      <w:bookmarkStart w:id="18" w:name="_Toc472513908"/>
      <w:bookmarkStart w:id="19" w:name="_Toc484764978"/>
      <w:r w:rsidRPr="009C549A">
        <w:rPr>
          <w:lang w:eastAsia="en-AU"/>
        </w:rPr>
        <w:lastRenderedPageBreak/>
        <w:t>Ban</w:t>
      </w:r>
      <w:r>
        <w:rPr>
          <w:lang w:eastAsia="en-AU"/>
        </w:rPr>
        <w:t>kruptcy and bond loans</w:t>
      </w:r>
      <w:bookmarkEnd w:id="18"/>
      <w:bookmarkEnd w:id="19"/>
    </w:p>
    <w:p w:rsidR="000F3383" w:rsidRPr="00FD0BD7" w:rsidRDefault="000F3383" w:rsidP="000F3383">
      <w:pPr>
        <w:pStyle w:val="DHHSbody"/>
      </w:pPr>
      <w:r w:rsidRPr="00086419">
        <w:rPr>
          <w:lang w:eastAsia="en-AU"/>
        </w:rPr>
        <w:t>Where one client in receipt of a bond loan is declared bankrupt, the outstanding debt is generally written off for all joint applicants</w:t>
      </w:r>
      <w:r>
        <w:rPr>
          <w:lang w:eastAsia="en-AU"/>
        </w:rPr>
        <w:t xml:space="preserve"> in </w:t>
      </w:r>
      <w:r w:rsidRPr="00012854">
        <w:rPr>
          <w:lang w:eastAsia="en-AU"/>
        </w:rPr>
        <w:t>recogni</w:t>
      </w:r>
      <w:r>
        <w:rPr>
          <w:lang w:eastAsia="en-AU"/>
        </w:rPr>
        <w:t>tion of</w:t>
      </w:r>
      <w:r w:rsidRPr="00012854">
        <w:rPr>
          <w:lang w:eastAsia="en-AU"/>
        </w:rPr>
        <w:t xml:space="preserve"> the </w:t>
      </w:r>
      <w:r>
        <w:rPr>
          <w:lang w:eastAsia="en-AU"/>
        </w:rPr>
        <w:t xml:space="preserve">difficulties to </w:t>
      </w:r>
      <w:r w:rsidRPr="00012854">
        <w:rPr>
          <w:lang w:eastAsia="en-AU"/>
        </w:rPr>
        <w:t>practical</w:t>
      </w:r>
      <w:r>
        <w:rPr>
          <w:lang w:eastAsia="en-AU"/>
        </w:rPr>
        <w:t>ly</w:t>
      </w:r>
      <w:r w:rsidRPr="00012854">
        <w:rPr>
          <w:lang w:eastAsia="en-AU"/>
        </w:rPr>
        <w:t xml:space="preserve"> pursu</w:t>
      </w:r>
      <w:r>
        <w:rPr>
          <w:lang w:eastAsia="en-AU"/>
        </w:rPr>
        <w:t xml:space="preserve">e </w:t>
      </w:r>
      <w:r w:rsidRPr="00012854">
        <w:rPr>
          <w:lang w:eastAsia="en-AU"/>
        </w:rPr>
        <w:t xml:space="preserve">a shared debt for </w:t>
      </w:r>
      <w:r>
        <w:rPr>
          <w:lang w:eastAsia="en-AU"/>
        </w:rPr>
        <w:t>bond loans</w:t>
      </w:r>
      <w:r>
        <w:t>.</w:t>
      </w:r>
    </w:p>
    <w:p w:rsidR="000F3383" w:rsidRPr="00DF3A5C" w:rsidRDefault="000F3383" w:rsidP="000F3383">
      <w:pPr>
        <w:pStyle w:val="Heading1"/>
      </w:pPr>
      <w:bookmarkStart w:id="20" w:name="_Toc472513909"/>
      <w:bookmarkStart w:id="21" w:name="_Toc484764979"/>
      <w:r>
        <w:rPr>
          <w:lang w:eastAsia="en-AU"/>
        </w:rPr>
        <w:t>Debt recovery</w:t>
      </w:r>
      <w:bookmarkEnd w:id="20"/>
      <w:bookmarkEnd w:id="21"/>
    </w:p>
    <w:p w:rsidR="000F3383" w:rsidRDefault="000F3383" w:rsidP="000F3383">
      <w:pPr>
        <w:pStyle w:val="DHHSbody"/>
        <w:rPr>
          <w:lang w:eastAsia="en-AU"/>
        </w:rPr>
      </w:pPr>
      <w:r>
        <w:rPr>
          <w:lang w:eastAsia="en-AU"/>
        </w:rPr>
        <w:t xml:space="preserve">Once the tenant or clients is declared bankrupt, the Director cannot take debt recovery action for outstanding charges incurred by the tenant or client up to, and including, the date of the bankruptcy.  This includes, for example, debts related to rent and maintenance costs. </w:t>
      </w:r>
      <w:r w:rsidRPr="00012854">
        <w:rPr>
          <w:lang w:eastAsia="en-AU"/>
        </w:rPr>
        <w:t xml:space="preserve">However, </w:t>
      </w:r>
      <w:r>
        <w:rPr>
          <w:lang w:eastAsia="en-AU"/>
        </w:rPr>
        <w:t>staff</w:t>
      </w:r>
      <w:r w:rsidRPr="00012854">
        <w:rPr>
          <w:lang w:eastAsia="en-AU"/>
        </w:rPr>
        <w:t xml:space="preserve"> will liaise with the trustee appointed to manage the bankruptcy </w:t>
      </w:r>
      <w:r>
        <w:rPr>
          <w:lang w:eastAsia="en-AU"/>
        </w:rPr>
        <w:t>and</w:t>
      </w:r>
      <w:r w:rsidRPr="00012854">
        <w:rPr>
          <w:lang w:eastAsia="en-AU"/>
        </w:rPr>
        <w:t xml:space="preserve"> seek </w:t>
      </w:r>
      <w:r>
        <w:rPr>
          <w:lang w:eastAsia="en-AU"/>
        </w:rPr>
        <w:t>payment of</w:t>
      </w:r>
      <w:r w:rsidRPr="00012854">
        <w:rPr>
          <w:lang w:eastAsia="en-AU"/>
        </w:rPr>
        <w:t xml:space="preserve"> all or some of the </w:t>
      </w:r>
      <w:r>
        <w:rPr>
          <w:lang w:eastAsia="en-AU"/>
        </w:rPr>
        <w:t xml:space="preserve">debt </w:t>
      </w:r>
      <w:r w:rsidRPr="00012854">
        <w:rPr>
          <w:lang w:eastAsia="en-AU"/>
        </w:rPr>
        <w:t>incurred</w:t>
      </w:r>
      <w:r>
        <w:rPr>
          <w:lang w:eastAsia="en-AU"/>
        </w:rPr>
        <w:t xml:space="preserve"> where</w:t>
      </w:r>
      <w:r w:rsidRPr="00012854">
        <w:rPr>
          <w:lang w:eastAsia="en-AU"/>
        </w:rPr>
        <w:t xml:space="preserve"> there </w:t>
      </w:r>
      <w:r>
        <w:rPr>
          <w:lang w:eastAsia="en-AU"/>
        </w:rPr>
        <w:t>are</w:t>
      </w:r>
      <w:r w:rsidRPr="00012854">
        <w:rPr>
          <w:lang w:eastAsia="en-AU"/>
        </w:rPr>
        <w:t xml:space="preserve"> sufficient assets</w:t>
      </w:r>
      <w:r>
        <w:rPr>
          <w:lang w:eastAsia="en-AU"/>
        </w:rPr>
        <w:t xml:space="preserve"> and/or </w:t>
      </w:r>
      <w:r w:rsidRPr="00012854">
        <w:rPr>
          <w:lang w:eastAsia="en-AU"/>
        </w:rPr>
        <w:t xml:space="preserve">income to </w:t>
      </w:r>
      <w:r>
        <w:rPr>
          <w:lang w:eastAsia="en-AU"/>
        </w:rPr>
        <w:t>repay the</w:t>
      </w:r>
      <w:r w:rsidRPr="00012854">
        <w:rPr>
          <w:lang w:eastAsia="en-AU"/>
        </w:rPr>
        <w:t xml:space="preserve"> debt </w:t>
      </w:r>
      <w:r>
        <w:rPr>
          <w:lang w:eastAsia="en-AU"/>
        </w:rPr>
        <w:t xml:space="preserve">over the </w:t>
      </w:r>
      <w:r w:rsidRPr="00012854">
        <w:rPr>
          <w:lang w:eastAsia="en-AU"/>
        </w:rPr>
        <w:t xml:space="preserve">period of </w:t>
      </w:r>
      <w:r>
        <w:rPr>
          <w:lang w:eastAsia="en-AU"/>
        </w:rPr>
        <w:t xml:space="preserve">the </w:t>
      </w:r>
      <w:r w:rsidRPr="00012854">
        <w:rPr>
          <w:lang w:eastAsia="en-AU"/>
        </w:rPr>
        <w:t>bankruptcy</w:t>
      </w:r>
      <w:r>
        <w:rPr>
          <w:lang w:eastAsia="en-AU"/>
        </w:rPr>
        <w:t>.</w:t>
      </w:r>
    </w:p>
    <w:p w:rsidR="000F3383" w:rsidRDefault="000F3383" w:rsidP="000F3383">
      <w:pPr>
        <w:pStyle w:val="DHHSbody"/>
      </w:pPr>
      <w:r>
        <w:rPr>
          <w:lang w:eastAsia="en-AU"/>
        </w:rPr>
        <w:t>Tenants must list the department as a creditor in the event they have debt with the department at the time of bankruptcy. Staff should check that this has occurred. In the event that the Director is not declared a creditor and money is owed to the department, staff will advise the Australian Financial Security Authority (</w:t>
      </w:r>
      <w:r>
        <w:t xml:space="preserve">AFSA) via a </w:t>
      </w:r>
      <w:r>
        <w:rPr>
          <w:i/>
        </w:rPr>
        <w:t>P</w:t>
      </w:r>
      <w:r w:rsidRPr="00B82410">
        <w:rPr>
          <w:i/>
        </w:rPr>
        <w:t>roof of debt form</w:t>
      </w:r>
      <w:r>
        <w:t xml:space="preserve">. </w:t>
      </w:r>
    </w:p>
    <w:p w:rsidR="000F3383" w:rsidRPr="00012854" w:rsidRDefault="000F3383" w:rsidP="000F3383">
      <w:pPr>
        <w:pStyle w:val="DHHSbody"/>
      </w:pPr>
      <w:r w:rsidRPr="00012854">
        <w:t xml:space="preserve">Staff and their line management will consult with Legal Services </w:t>
      </w:r>
      <w:r>
        <w:t xml:space="preserve">Branch in relation </w:t>
      </w:r>
      <w:r w:rsidRPr="00012854">
        <w:t>to the Director being paid any monies through the bankruptcy administration process during the period of the bankruptcy (in the event that the tenant is to come into assets or significant income, which is eligible for distribution to creditors).</w:t>
      </w:r>
    </w:p>
    <w:p w:rsidR="000F3383" w:rsidRPr="00917775" w:rsidRDefault="000F3383" w:rsidP="000F3383">
      <w:pPr>
        <w:pStyle w:val="DHHSbody"/>
      </w:pPr>
      <w:r w:rsidRPr="00012854">
        <w:t>Where payment of owed monies through the bankruptcy administration process is made</w:t>
      </w:r>
      <w:r>
        <w:t>,</w:t>
      </w:r>
      <w:r w:rsidRPr="00012854">
        <w:t xml:space="preserve"> staff will contact Financial Services, Financial and Corporate Services Group to ensure the payment is allocated against the previously written off debt.</w:t>
      </w:r>
      <w:r>
        <w:t xml:space="preserve"> </w:t>
      </w:r>
    </w:p>
    <w:p w:rsidR="000F3383" w:rsidRDefault="000F3383" w:rsidP="000F3383">
      <w:pPr>
        <w:pStyle w:val="DHHSbody"/>
        <w:rPr>
          <w:lang w:eastAsia="en-AU"/>
        </w:rPr>
      </w:pPr>
      <w:r>
        <w:rPr>
          <w:lang w:eastAsia="en-AU"/>
        </w:rPr>
        <w:t>Tenants and clients are still liable for payment of any debt accrued after the date of bankruptcy.  Staff will recover any outstanding charges that accrue after the date of bankruptcy in line with relevant policies including the:</w:t>
      </w:r>
    </w:p>
    <w:p w:rsidR="000F3383" w:rsidRDefault="000F3383" w:rsidP="000F3383">
      <w:pPr>
        <w:pStyle w:val="DHHSbullet1"/>
        <w:rPr>
          <w:lang w:eastAsia="en-AU"/>
        </w:rPr>
      </w:pPr>
      <w:r>
        <w:rPr>
          <w:lang w:eastAsia="en-AU"/>
        </w:rPr>
        <w:t>Rental a</w:t>
      </w:r>
      <w:r w:rsidRPr="007D3348">
        <w:rPr>
          <w:lang w:eastAsia="en-AU"/>
        </w:rPr>
        <w:t xml:space="preserve">rrears </w:t>
      </w:r>
      <w:r>
        <w:rPr>
          <w:lang w:eastAsia="en-AU"/>
        </w:rPr>
        <w:t>operational guidelines</w:t>
      </w:r>
    </w:p>
    <w:p w:rsidR="000F3383" w:rsidRPr="007D3348" w:rsidRDefault="000F3383" w:rsidP="000F3383">
      <w:pPr>
        <w:pStyle w:val="DHHSbullet1"/>
        <w:rPr>
          <w:lang w:eastAsia="en-AU"/>
        </w:rPr>
      </w:pPr>
      <w:r>
        <w:rPr>
          <w:lang w:eastAsia="en-AU"/>
        </w:rPr>
        <w:t>Tenancy breaches operational guidelines, and</w:t>
      </w:r>
    </w:p>
    <w:p w:rsidR="000F3383" w:rsidRPr="007E33AF" w:rsidRDefault="000F3383" w:rsidP="000F3383">
      <w:pPr>
        <w:pStyle w:val="DHHSbullet1"/>
        <w:rPr>
          <w:lang w:eastAsia="en-AU"/>
        </w:rPr>
      </w:pPr>
      <w:r>
        <w:rPr>
          <w:lang w:eastAsia="en-AU"/>
        </w:rPr>
        <w:t>Bond loan policy</w:t>
      </w:r>
      <w:r w:rsidRPr="007E33AF">
        <w:rPr>
          <w:lang w:eastAsia="en-AU"/>
        </w:rPr>
        <w:t>.</w:t>
      </w:r>
    </w:p>
    <w:p w:rsidR="000F3383" w:rsidRPr="00DF3A5C" w:rsidRDefault="000F3383" w:rsidP="000F3383">
      <w:pPr>
        <w:pStyle w:val="Heading1"/>
      </w:pPr>
      <w:bookmarkStart w:id="22" w:name="_Toc472513910"/>
      <w:bookmarkStart w:id="23" w:name="_Toc484764980"/>
      <w:r>
        <w:rPr>
          <w:lang w:eastAsia="en-AU"/>
        </w:rPr>
        <w:t>Transfer of tenancy if a tenancy is ‘disclaimed’</w:t>
      </w:r>
      <w:bookmarkEnd w:id="22"/>
      <w:bookmarkEnd w:id="23"/>
    </w:p>
    <w:p w:rsidR="000F3383" w:rsidRDefault="000F3383" w:rsidP="000F3383">
      <w:pPr>
        <w:pStyle w:val="DHHSbody"/>
        <w:rPr>
          <w:lang w:eastAsia="en-AU"/>
        </w:rPr>
      </w:pPr>
      <w:r>
        <w:rPr>
          <w:lang w:eastAsia="en-AU"/>
        </w:rPr>
        <w:t xml:space="preserve">Bankruptcy does not mean automatic ending of tenancy agreements already in place. </w:t>
      </w:r>
    </w:p>
    <w:p w:rsidR="000F3383" w:rsidRDefault="000F3383" w:rsidP="000F3383">
      <w:pPr>
        <w:pStyle w:val="DHHSbody"/>
        <w:rPr>
          <w:lang w:eastAsia="en-AU"/>
        </w:rPr>
      </w:pPr>
      <w:r>
        <w:rPr>
          <w:lang w:eastAsia="en-AU"/>
        </w:rPr>
        <w:t xml:space="preserve">The process to ‘disclaim’ (terminate) a lease is usually commenced by ‘notice’ from the trustee in bankruptcy. If the tenancy agreement is disclaimed through the bankruptcy process ((pursuant to s.225: </w:t>
      </w:r>
      <w:r>
        <w:rPr>
          <w:i/>
          <w:lang w:eastAsia="en-AU"/>
        </w:rPr>
        <w:t>Termination by disclaimer</w:t>
      </w:r>
      <w:r>
        <w:rPr>
          <w:lang w:eastAsia="en-AU"/>
        </w:rPr>
        <w:t xml:space="preserve"> of the</w:t>
      </w:r>
      <w:r w:rsidRPr="00281E0C">
        <w:rPr>
          <w:rFonts w:cs="Tahoma"/>
          <w:i/>
          <w:lang w:eastAsia="en-AU"/>
        </w:rPr>
        <w:t xml:space="preserve"> Residential Tenancies Act (1997)</w:t>
      </w:r>
      <w:r>
        <w:rPr>
          <w:lang w:eastAsia="en-AU"/>
        </w:rPr>
        <w:t xml:space="preserve">) and the Director intends to continue with a tenancy in relation to the bankrupt tenant, a transfer of tenancy process may be undertaken. </w:t>
      </w:r>
    </w:p>
    <w:p w:rsidR="000F3383" w:rsidRPr="00FD0BD7" w:rsidRDefault="000F3383" w:rsidP="000F3383">
      <w:pPr>
        <w:pStyle w:val="DHHSbody"/>
      </w:pPr>
      <w:r>
        <w:rPr>
          <w:lang w:eastAsia="en-AU"/>
        </w:rPr>
        <w:t xml:space="preserve">If a new tenancy agreement is required because the previous tenancy agreement has been disclaimed, staff will seek written approval from the Tenancy and Property Manager or equivalent prior to commencing transfer of the tenant’s tenancy in line with the </w:t>
      </w:r>
      <w:r>
        <w:rPr>
          <w:i/>
          <w:lang w:eastAsia="en-AU"/>
        </w:rPr>
        <w:t>Transfer of tenancy policy</w:t>
      </w:r>
      <w:r>
        <w:t>.</w:t>
      </w:r>
    </w:p>
    <w:p w:rsidR="000F3383" w:rsidRPr="00DF3A5C" w:rsidRDefault="000F3383" w:rsidP="000F3383">
      <w:pPr>
        <w:pStyle w:val="Heading1"/>
      </w:pPr>
      <w:bookmarkStart w:id="24" w:name="_Toc472513911"/>
      <w:bookmarkStart w:id="25" w:name="_Toc484764981"/>
      <w:r>
        <w:rPr>
          <w:lang w:eastAsia="en-AU"/>
        </w:rPr>
        <w:lastRenderedPageBreak/>
        <w:t>Terminating the tenancy</w:t>
      </w:r>
      <w:bookmarkEnd w:id="24"/>
      <w:bookmarkEnd w:id="25"/>
    </w:p>
    <w:p w:rsidR="000F3383" w:rsidRDefault="000F3383" w:rsidP="000F3383">
      <w:pPr>
        <w:pStyle w:val="DHHSbody"/>
        <w:rPr>
          <w:lang w:eastAsia="en-AU"/>
        </w:rPr>
      </w:pPr>
      <w:r>
        <w:rPr>
          <w:lang w:eastAsia="en-AU"/>
        </w:rPr>
        <w:t xml:space="preserve">In some circumstances, the Director may decide to terminate an existing tenancy (or not to proceed with a new tenancy) because of a tenant’s bankruptcy. </w:t>
      </w:r>
    </w:p>
    <w:p w:rsidR="000F3383" w:rsidRDefault="000F3383" w:rsidP="000F3383">
      <w:pPr>
        <w:pStyle w:val="DHHSbody"/>
        <w:rPr>
          <w:rFonts w:cs="Tahoma"/>
          <w:lang w:eastAsia="en-AU"/>
        </w:rPr>
      </w:pPr>
      <w:r>
        <w:rPr>
          <w:lang w:eastAsia="en-AU"/>
        </w:rPr>
        <w:t xml:space="preserve">The Director may instead seek to regain possession of the property. </w:t>
      </w:r>
      <w:r w:rsidRPr="004C3745">
        <w:rPr>
          <w:lang w:eastAsia="en-AU"/>
        </w:rPr>
        <w:t>This may occur in</w:t>
      </w:r>
      <w:r w:rsidRPr="004C3745">
        <w:rPr>
          <w:rFonts w:cs="Tahoma"/>
          <w:lang w:eastAsia="en-AU"/>
        </w:rPr>
        <w:t xml:space="preserve"> situations where a tenant has declared bankruptcy </w:t>
      </w:r>
      <w:r>
        <w:rPr>
          <w:rFonts w:cs="Tahoma"/>
          <w:lang w:eastAsia="en-AU"/>
        </w:rPr>
        <w:t>more than once</w:t>
      </w:r>
      <w:r w:rsidRPr="004C3745">
        <w:rPr>
          <w:rFonts w:cs="Tahoma"/>
          <w:lang w:eastAsia="en-AU"/>
        </w:rPr>
        <w:t xml:space="preserve"> and there </w:t>
      </w:r>
      <w:r w:rsidRPr="004C3745">
        <w:rPr>
          <w:lang w:eastAsia="en-AU"/>
        </w:rPr>
        <w:t>is a</w:t>
      </w:r>
      <w:r w:rsidRPr="004C3745">
        <w:rPr>
          <w:rFonts w:cs="Tahoma"/>
          <w:lang w:eastAsia="en-AU"/>
        </w:rPr>
        <w:t xml:space="preserve"> risk of the tenant continuing to fall into arrears.</w:t>
      </w:r>
    </w:p>
    <w:p w:rsidR="000F3383" w:rsidRDefault="000F3383" w:rsidP="000F3383">
      <w:pPr>
        <w:pStyle w:val="DHHSbody"/>
        <w:rPr>
          <w:rFonts w:cs="Tahoma"/>
          <w:lang w:eastAsia="en-AU"/>
        </w:rPr>
      </w:pPr>
      <w:r>
        <w:rPr>
          <w:rFonts w:cs="Tahoma"/>
          <w:lang w:eastAsia="en-AU"/>
        </w:rPr>
        <w:t xml:space="preserve">Staff will undertake a human rights assessment in line with the </w:t>
      </w:r>
      <w:r>
        <w:rPr>
          <w:rFonts w:cs="Tahoma"/>
          <w:i/>
          <w:lang w:eastAsia="en-AU"/>
        </w:rPr>
        <w:t>human rights considerations</w:t>
      </w:r>
      <w:r>
        <w:rPr>
          <w:rFonts w:cs="Tahoma"/>
          <w:lang w:eastAsia="en-AU"/>
        </w:rPr>
        <w:t xml:space="preserve"> section of these operational guidelines prior to deciding to regain possession of the property. </w:t>
      </w:r>
    </w:p>
    <w:p w:rsidR="000F3383" w:rsidRDefault="000F3383" w:rsidP="000F3383">
      <w:pPr>
        <w:pStyle w:val="DHHSbody"/>
        <w:rPr>
          <w:rFonts w:cs="Tahoma"/>
          <w:lang w:eastAsia="en-AU"/>
        </w:rPr>
      </w:pPr>
      <w:r w:rsidRPr="00165AD0">
        <w:rPr>
          <w:rFonts w:cs="Tahoma"/>
          <w:lang w:eastAsia="en-AU"/>
        </w:rPr>
        <w:t xml:space="preserve">Advice from </w:t>
      </w:r>
      <w:r>
        <w:rPr>
          <w:rFonts w:cs="Tahoma"/>
          <w:lang w:eastAsia="en-AU"/>
        </w:rPr>
        <w:t xml:space="preserve">Legal Services Branch is to </w:t>
      </w:r>
      <w:r w:rsidRPr="00165AD0">
        <w:rPr>
          <w:rFonts w:cs="Tahoma"/>
          <w:lang w:eastAsia="en-AU"/>
        </w:rPr>
        <w:t>be sought in all such cases given the requirement to ensure the department has considered all relevant legislative matters</w:t>
      </w:r>
      <w:r>
        <w:rPr>
          <w:rFonts w:cs="Tahoma"/>
          <w:lang w:eastAsia="en-AU"/>
        </w:rPr>
        <w:t>,</w:t>
      </w:r>
      <w:r w:rsidRPr="00165AD0">
        <w:rPr>
          <w:rFonts w:cs="Tahoma"/>
          <w:lang w:eastAsia="en-AU"/>
        </w:rPr>
        <w:t xml:space="preserve"> including obligations on public authorities under the Charter of Human Rights and Responsibilities.</w:t>
      </w:r>
    </w:p>
    <w:p w:rsidR="000F3383" w:rsidRDefault="000F3383" w:rsidP="000F3383">
      <w:pPr>
        <w:pStyle w:val="DHHSbody"/>
        <w:rPr>
          <w:rFonts w:cs="Tahoma"/>
          <w:lang w:eastAsia="en-AU"/>
        </w:rPr>
      </w:pPr>
      <w:r>
        <w:rPr>
          <w:rFonts w:cs="Tahoma"/>
          <w:lang w:eastAsia="en-AU"/>
        </w:rPr>
        <w:t>Staff will also need to consult Legal Services Branch to identify the appropriate mechanism to be used such as:</w:t>
      </w:r>
    </w:p>
    <w:p w:rsidR="000F3383" w:rsidRDefault="000F3383" w:rsidP="000F3383">
      <w:pPr>
        <w:pStyle w:val="DHHSbullet1"/>
        <w:rPr>
          <w:lang w:eastAsia="en-AU"/>
        </w:rPr>
      </w:pPr>
      <w:r>
        <w:rPr>
          <w:lang w:eastAsia="en-AU"/>
        </w:rPr>
        <w:t xml:space="preserve">issuing a Notice to Vacate under s.246:  </w:t>
      </w:r>
      <w:r>
        <w:rPr>
          <w:i/>
          <w:lang w:eastAsia="en-AU"/>
        </w:rPr>
        <w:t>Non-payment of rent</w:t>
      </w:r>
      <w:r>
        <w:rPr>
          <w:lang w:eastAsia="en-AU"/>
        </w:rPr>
        <w:t xml:space="preserve"> or s.</w:t>
      </w:r>
      <w:r w:rsidRPr="00EE7AAD">
        <w:rPr>
          <w:lang w:eastAsia="en-AU"/>
        </w:rPr>
        <w:t>263</w:t>
      </w:r>
      <w:r>
        <w:rPr>
          <w:lang w:eastAsia="en-AU"/>
        </w:rPr>
        <w:t xml:space="preserve">:  </w:t>
      </w:r>
      <w:r w:rsidRPr="00281E0C">
        <w:rPr>
          <w:lang w:eastAsia="en-AU"/>
        </w:rPr>
        <w:t>Notice to Vacate for no specified reason</w:t>
      </w:r>
      <w:r>
        <w:rPr>
          <w:lang w:eastAsia="en-AU"/>
        </w:rPr>
        <w:t xml:space="preserve"> of the </w:t>
      </w:r>
      <w:r w:rsidRPr="00281E0C">
        <w:rPr>
          <w:i/>
          <w:lang w:eastAsia="en-AU"/>
        </w:rPr>
        <w:t>Residential Tenancies Act (1997)</w:t>
      </w:r>
      <w:r>
        <w:rPr>
          <w:lang w:eastAsia="en-AU"/>
        </w:rPr>
        <w:t>, or</w:t>
      </w:r>
    </w:p>
    <w:p w:rsidR="000F3383" w:rsidRPr="00FD0BD7" w:rsidRDefault="000F3383" w:rsidP="000F3383">
      <w:pPr>
        <w:pStyle w:val="DHHSbullet1"/>
      </w:pPr>
      <w:r>
        <w:rPr>
          <w:lang w:eastAsia="en-AU"/>
        </w:rPr>
        <w:t xml:space="preserve">applying for possession under s 344:  </w:t>
      </w:r>
      <w:r>
        <w:rPr>
          <w:i/>
          <w:lang w:eastAsia="en-AU"/>
        </w:rPr>
        <w:t xml:space="preserve">Application for possession order if premises occupied without consent </w:t>
      </w:r>
      <w:r>
        <w:rPr>
          <w:lang w:eastAsia="en-AU"/>
        </w:rPr>
        <w:t>of the</w:t>
      </w:r>
      <w:r w:rsidRPr="00281E0C">
        <w:rPr>
          <w:i/>
          <w:lang w:eastAsia="en-AU"/>
        </w:rPr>
        <w:t xml:space="preserve"> Residential Tenancies Act (1997)</w:t>
      </w:r>
      <w:r>
        <w:t>.</w:t>
      </w:r>
    </w:p>
    <w:p w:rsidR="000F3383" w:rsidRPr="00DF3A5C" w:rsidRDefault="000F3383" w:rsidP="000F3383">
      <w:pPr>
        <w:pStyle w:val="Heading1"/>
      </w:pPr>
      <w:bookmarkStart w:id="26" w:name="_Toc472513912"/>
      <w:bookmarkStart w:id="27" w:name="_Toc484764982"/>
      <w:r>
        <w:rPr>
          <w:lang w:eastAsia="en-AU"/>
        </w:rPr>
        <w:t>Arrears accrued following date of bankruptcy</w:t>
      </w:r>
      <w:bookmarkEnd w:id="26"/>
      <w:bookmarkEnd w:id="27"/>
    </w:p>
    <w:p w:rsidR="000F3383" w:rsidRDefault="000F3383" w:rsidP="000F3383">
      <w:pPr>
        <w:pStyle w:val="DHHSbody"/>
        <w:rPr>
          <w:rFonts w:cs="Tahoma"/>
          <w:lang w:eastAsia="en-AU"/>
        </w:rPr>
      </w:pPr>
      <w:r>
        <w:rPr>
          <w:rFonts w:cs="Tahoma"/>
        </w:rPr>
        <w:t xml:space="preserve">The tenant is still liable to pay rent and any other charges post the date of bankruptcy. </w:t>
      </w:r>
    </w:p>
    <w:p w:rsidR="000F3383" w:rsidRPr="00FD0BD7" w:rsidRDefault="000F3383" w:rsidP="000F3383">
      <w:pPr>
        <w:pStyle w:val="DHHSbody"/>
      </w:pPr>
      <w:r>
        <w:rPr>
          <w:rFonts w:cs="Tahoma"/>
          <w:lang w:eastAsia="en-AU"/>
        </w:rPr>
        <w:t xml:space="preserve">If a tenant falls into rental arrears again, an additional Notice to Vacate can be issued (after 14 days in arrears) in line with </w:t>
      </w:r>
      <w:r w:rsidRPr="008B62F4">
        <w:rPr>
          <w:rFonts w:cs="Tahoma"/>
          <w:i/>
          <w:lang w:eastAsia="en-AU"/>
        </w:rPr>
        <w:t>Rental rebates policy.</w:t>
      </w: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Default="000F3383" w:rsidP="000F3383">
      <w:pPr>
        <w:pStyle w:val="DHHSbody"/>
      </w:pPr>
    </w:p>
    <w:p w:rsidR="000F3383" w:rsidRPr="00254F58" w:rsidRDefault="000F3383" w:rsidP="000F3383">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rsidR="000F3383" w:rsidRPr="00254F58" w:rsidRDefault="000F3383" w:rsidP="000F3383">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 xml:space="preserve">t, </w:t>
      </w:r>
      <w:smartTag w:uri="urn:schemas-microsoft-com:office:smarttags" w:element="address">
        <w:smartTag w:uri="urn:schemas-microsoft-com:office:smarttags" w:element="State">
          <w:r>
            <w:t>1 Treasury Place</w:t>
          </w:r>
        </w:smartTag>
        <w:r>
          <w:t xml:space="preserve">, </w:t>
        </w:r>
        <w:smartTag w:uri="urn:schemas-microsoft-com:office:smarttags" w:element="place">
          <w:r>
            <w:t>Melbourne</w:t>
          </w:r>
        </w:smartTag>
      </w:smartTag>
      <w:r>
        <w:t>.</w:t>
      </w:r>
    </w:p>
    <w:p w:rsidR="000F3383" w:rsidRDefault="000F3383" w:rsidP="000F3383">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w:t>
      </w:r>
      <w:r>
        <w:t>Services July 2017</w:t>
      </w:r>
      <w:r w:rsidRPr="001159B1">
        <w:t>.</w:t>
      </w:r>
    </w:p>
    <w:p w:rsidR="000F3383" w:rsidRPr="000D46BB" w:rsidRDefault="000F3383" w:rsidP="000F3383">
      <w:pPr>
        <w:pStyle w:val="DHHSbody"/>
        <w:pBdr>
          <w:top w:val="single" w:sz="4" w:space="1" w:color="auto"/>
          <w:left w:val="single" w:sz="4" w:space="4" w:color="auto"/>
          <w:bottom w:val="single" w:sz="4" w:space="1" w:color="auto"/>
          <w:right w:val="single" w:sz="4" w:space="4" w:color="auto"/>
        </w:pBdr>
      </w:pPr>
      <w:r>
        <w:t>ISBN  978-0-7311-7021-0</w:t>
      </w:r>
    </w:p>
    <w:p w:rsidR="000F3383" w:rsidRPr="00DF4A68" w:rsidRDefault="000F3383" w:rsidP="000F3383">
      <w:pPr>
        <w:pBdr>
          <w:top w:val="single" w:sz="4" w:space="1" w:color="auto"/>
          <w:left w:val="single" w:sz="4" w:space="4" w:color="auto"/>
          <w:bottom w:val="single" w:sz="4" w:space="1" w:color="auto"/>
          <w:right w:val="single" w:sz="4" w:space="4" w:color="auto"/>
        </w:pBdr>
        <w:rPr>
          <w:rFonts w:ascii="Arial" w:hAnsi="Arial" w:cs="Arial"/>
        </w:rPr>
      </w:pPr>
      <w:r w:rsidRPr="00E21B87">
        <w:rPr>
          <w:rFonts w:ascii="Arial" w:hAnsi="Arial" w:cs="Arial"/>
          <w:szCs w:val="19"/>
        </w:rPr>
        <w:t xml:space="preserve">Available at </w:t>
      </w:r>
      <w:hyperlink r:id="rId19" w:history="1">
        <w:r>
          <w:rPr>
            <w:rStyle w:val="Hyperlink"/>
            <w:rFonts w:ascii="Helv" w:hAnsi="Helv" w:cs="Helv"/>
            <w:lang w:eastAsia="en-AU"/>
          </w:rPr>
          <w:t>&lt;www.dhs.vic.gov.au&gt;</w:t>
        </w:r>
      </w:hyperlink>
      <w:r>
        <w:rPr>
          <w:rFonts w:ascii="Helv" w:hAnsi="Helv" w:cs="Helv"/>
          <w:color w:val="000000"/>
          <w:lang w:eastAsia="en-AU"/>
        </w:rPr>
        <w:t xml:space="preserve"> </w:t>
      </w:r>
    </w:p>
    <w:sectPr w:rsidR="000F3383" w:rsidRPr="00DF4A68"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83" w:rsidRDefault="000F3383">
      <w:r>
        <w:separator/>
      </w:r>
    </w:p>
  </w:endnote>
  <w:endnote w:type="continuationSeparator" w:id="0">
    <w:p w:rsidR="000F3383" w:rsidRDefault="000F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E9027E">
      <w:rPr>
        <w:noProof/>
      </w:rPr>
      <w:t>8</w:t>
    </w:r>
    <w:r w:rsidRPr="005A39EC">
      <w:fldChar w:fldCharType="end"/>
    </w:r>
    <w:r>
      <w:tab/>
      <w:t>Document title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977C63" w:rsidP="00E969B1">
    <w:pPr>
      <w:pStyle w:val="DHHSfooter"/>
    </w:pPr>
    <w:r w:rsidRPr="0031753A">
      <w:t>Document title</w:t>
    </w:r>
    <w:r w:rsidRPr="0031753A">
      <w:tab/>
      <w:t xml:space="preserve">Page </w:t>
    </w:r>
    <w:r w:rsidRPr="0031753A">
      <w:fldChar w:fldCharType="begin"/>
    </w:r>
    <w:r w:rsidRPr="0031753A">
      <w:instrText xml:space="preserve"> PAGE </w:instrText>
    </w:r>
    <w:r w:rsidRPr="0031753A">
      <w:fldChar w:fldCharType="separate"/>
    </w:r>
    <w:r w:rsidR="00E9027E">
      <w:rPr>
        <w:noProof/>
      </w:rPr>
      <w:t>9</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83" w:rsidRDefault="000F3383">
      <w:r>
        <w:separator/>
      </w:r>
    </w:p>
  </w:footnote>
  <w:footnote w:type="continuationSeparator" w:id="0">
    <w:p w:rsidR="000F3383" w:rsidRDefault="000F3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rsidP="004E380D">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Pr="000223A4" w:rsidRDefault="000223A4" w:rsidP="000223A4">
    <w:pPr>
      <w:pStyle w:val="DHHS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4" w:rsidRDefault="000223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38727D0"/>
    <w:multiLevelType w:val="hybridMultilevel"/>
    <w:tmpl w:val="FC144CE8"/>
    <w:lvl w:ilvl="0" w:tplc="13A020C6">
      <w:start w:val="1"/>
      <w:numFmt w:val="bullet"/>
      <w:lvlText w:val="o"/>
      <w:lvlJc w:val="left"/>
      <w:pPr>
        <w:ind w:left="1004" w:hanging="360"/>
      </w:pPr>
      <w:rPr>
        <w:rFonts w:ascii="Courier New" w:hAnsi="Courier New"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83"/>
    <w:rsid w:val="00002990"/>
    <w:rsid w:val="000048AC"/>
    <w:rsid w:val="00014FC4"/>
    <w:rsid w:val="00020AAB"/>
    <w:rsid w:val="000223A4"/>
    <w:rsid w:val="00022E60"/>
    <w:rsid w:val="00026C19"/>
    <w:rsid w:val="00031263"/>
    <w:rsid w:val="00060E93"/>
    <w:rsid w:val="00064936"/>
    <w:rsid w:val="000714C2"/>
    <w:rsid w:val="000734F8"/>
    <w:rsid w:val="000736B8"/>
    <w:rsid w:val="000817CB"/>
    <w:rsid w:val="000873EF"/>
    <w:rsid w:val="000B3792"/>
    <w:rsid w:val="000C6242"/>
    <w:rsid w:val="000C68DB"/>
    <w:rsid w:val="000D2C32"/>
    <w:rsid w:val="000E6F72"/>
    <w:rsid w:val="000F0478"/>
    <w:rsid w:val="000F0A50"/>
    <w:rsid w:val="000F3383"/>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D5CD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100B"/>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027E"/>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0F3383"/>
    <w:rPr>
      <w:rFonts w:ascii="Arial" w:eastAsia="Times" w:hAnsi="Arial"/>
      <w:sz w:val="24"/>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0F3383"/>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umanrightscommission.vic.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www.dhs.vic.gov.au/about-the-department/documents-and-resources/policies,-guidelines-and-legislation/tenancy-management-manual/bankruptc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28EC79D-A47B-4246-892F-1EAB217029A4}">
  <ds:schemaRefs>
    <ds:schemaRef ds:uri="http://schemas.openxmlformats.org/officeDocument/2006/bibliography"/>
  </ds:schemaRefs>
</ds:datastoreItem>
</file>

<file path=customXml/itemProps2.xml><?xml version="1.0" encoding="utf-8"?>
<ds:datastoreItem xmlns:ds="http://schemas.openxmlformats.org/officeDocument/2006/customXml" ds:itemID="{6BD93189-7727-4201-984F-C8A29457DE37}"/>
</file>

<file path=customXml/itemProps3.xml><?xml version="1.0" encoding="utf-8"?>
<ds:datastoreItem xmlns:ds="http://schemas.openxmlformats.org/officeDocument/2006/customXml" ds:itemID="{F0AC45FE-F223-4E43-9D37-CF611C19F50A}"/>
</file>

<file path=customXml/itemProps4.xml><?xml version="1.0" encoding="utf-8"?>
<ds:datastoreItem xmlns:ds="http://schemas.openxmlformats.org/officeDocument/2006/customXml" ds:itemID="{5AED501F-C136-4A45-8EBD-D95DF646EE02}"/>
</file>

<file path=docProps/app.xml><?xml version="1.0" encoding="utf-8"?>
<Properties xmlns="http://schemas.openxmlformats.org/officeDocument/2006/extended-properties" xmlns:vt="http://schemas.openxmlformats.org/officeDocument/2006/docPropsVTypes">
  <Template>DHHS Report 03 Blue 2945.dot</Template>
  <TotalTime>4</TotalTime>
  <Pages>9</Pages>
  <Words>2232</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15797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 operational guidelines</dc:title>
  <dc:creator>Felicity Redgen</dc:creator>
  <cp:keywords>public housing Victoria</cp:keywords>
  <cp:lastModifiedBy>Chris Biddle</cp:lastModifiedBy>
  <cp:revision>5</cp:revision>
  <cp:lastPrinted>2015-08-24T03:33:00Z</cp:lastPrinted>
  <dcterms:created xsi:type="dcterms:W3CDTF">2017-06-08T23:45:00Z</dcterms:created>
  <dcterms:modified xsi:type="dcterms:W3CDTF">2017-08-03T05:00:00Z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