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System Enablers Family Violence 38024</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providers.dffh.vic.gov.au/personal-safety-initiative-operational-guidelines" TargetMode="External"/>
<Relationship Id="rId12" Type="http://schemas.openxmlformats.org/officeDocument/2006/relationships/hyperlink" Target="http://www.cpmanual.vic.gov.au/advice-and-protocols/service-descriptions/support-services/family-violence-child-protection" TargetMode="External"/>
<Relationship Id="rId13" Type="http://schemas.openxmlformats.org/officeDocument/2006/relationships/hyperlink" Target="https://safeandequal.org.au/working-in-family-violence/service-responses/specialist-family-violence-services/the-code-of-practice/" TargetMode="External"/>
<Relationship Id="rId14" Type="http://schemas.openxmlformats.org/officeDocument/2006/relationships/hyperlink" Target="https://www.vic.gov.au/family-violence-regional-integration-committees-guidelines" TargetMode="External"/>
<Relationship Id="rId15" Type="http://schemas.openxmlformats.org/officeDocument/2006/relationships/hyperlink" Target="http://providers.dffh.vic.gov.au/families-fairness-housing-health-activity-search" TargetMode="External"/>
<Relationship Id="rId16"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System Enablers Family Violence</w:t>
            </w:r>
          </w:p>
          <w:p>
            <w:pPr>
              <w:spacing w:line="560" w:lineRule="atLeast"/>
              <w:rPr>
                <w:rFonts w:ascii="Arial" w:hAnsi="Arial" w:eastAsia="Arial" w:cs="Arial"/>
                <w:color w:val="201547"/>
                <w:sz w:val="44"/>
              </w:rPr>
            </w:pPr>
            <w:r>
              <w:rPr>
                <w:rFonts w:ascii="Arial" w:hAnsi="Arial" w:eastAsia="Arial" w:cs="Arial"/>
                <w:color w:val="201547"/>
                <w:sz w:val="44"/>
              </w:rPr>
              <w:t>38024</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Family Violence Service Delivery</w:t>
            </w:r>
          </w:p>
          <w:p>
            <w:pPr>
              <w:spacing w:after="120"/>
              <w:rPr>
                <w:rFonts w:ascii="Arial" w:hAnsi="Arial" w:eastAsia="Arial" w:cs="Arial"/>
                <w:color w:val="201547"/>
                <w:sz w:val="28"/>
              </w:rPr>
            </w:pPr>
            <w:r>
              <w:rPr>
                <w:rFonts w:ascii="Arial" w:hAnsi="Arial" w:eastAsia="Arial" w:cs="Arial"/>
                <w:color w:val="201547"/>
                <w:sz w:val="28"/>
              </w:rPr>
              <w:t>Output: Family Violence Service Delivery</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To improve the performance, governance and accountability of organisations that provide system enabling functions for family violence services and the family violence specialist sector.</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This activity funds peak bodies, representative groups and the specialist family violence sector to provide system enabling functions for family violence services and the family violence sector. </w:t>
      </w:r>
      <w:r>
        <w:br/>
      </w:r>
      <w:r>
        <w:rPr>
          <w:rFonts w:ascii="Arial" w:hAnsi="Arial" w:eastAsia="Arial" w:cs="Arial"/>
          <w:color w:val="000000"/>
          <w:sz w:val="20"/>
        </w:rPr>
        <w:t>This activity funds specialist family violence services relating to the following program components:</w:t>
      </w:r>
      <w:r>
        <w:br/>
      </w:r>
      <w:r>
        <w:rPr>
          <w:rFonts w:ascii="Arial" w:hAnsi="Arial" w:eastAsia="Arial" w:cs="Arial"/>
          <w:color w:val="000000"/>
          <w:sz w:val="20"/>
        </w:rPr>
        <w:t xml:space="preserve">• Peak bodies and advocacy: Peak bodies are funded to work in partnership with the Department providing strategic advice on government policy and programs, representing sector views, and undertaking systemic advocacy for victim survivors of family violence. Peak bodies and associations also provide leadership, education and training as well as support for the staff, management and volunteers of family violence services. </w:t>
      </w:r>
      <w:r>
        <w:br/>
      </w:r>
      <w:r>
        <w:rPr>
          <w:rFonts w:ascii="Arial" w:hAnsi="Arial" w:eastAsia="Arial" w:cs="Arial"/>
          <w:color w:val="000000"/>
          <w:sz w:val="20"/>
        </w:rPr>
        <w:t>• Family Violence Regional Service Integration: Family violence regional service integration aims to provide leadership, service integration and planning in relation to the integrated family violence service system. This includes promoting, developing and enhancing integrated approaches to services for victim survivors affected by family violence, and for men who use family violence.</w:t>
      </w:r>
      <w:r>
        <w:br/>
      </w:r>
      <w:r>
        <w:rPr>
          <w:rFonts w:ascii="Arial" w:hAnsi="Arial" w:eastAsia="Arial" w:cs="Arial"/>
          <w:color w:val="000000"/>
          <w:sz w:val="20"/>
        </w:rPr>
        <w:t>• Child Protection/Family Violence Partnership: This partnership aims to improve the capacity, confidence and understanding of child protection regarding family violence responses and the service system. It also seeks to develop the local family violence service system’s understanding and collaboration with child protection.</w:t>
      </w:r>
      <w:r>
        <w:br/>
      </w:r>
      <w:r>
        <w:rPr>
          <w:rFonts w:ascii="Arial" w:hAnsi="Arial" w:eastAsia="Arial" w:cs="Arial"/>
          <w:color w:val="000000"/>
          <w:sz w:val="20"/>
        </w:rPr>
        <w:t>• Workforce development and training: This initiative aims to provide training and workforce development to workers and agencies in the family violence sector, and to the broader services sectors that intersect with family violence.</w:t>
      </w:r>
      <w:r>
        <w:br/>
      </w:r>
      <w:r>
        <w:rPr>
          <w:rFonts w:ascii="Arial" w:hAnsi="Arial" w:eastAsia="Arial" w:cs="Arial"/>
          <w:color w:val="000000"/>
          <w:sz w:val="20"/>
        </w:rPr>
        <w:t>• Personal Safety Initiative: Utilises technology and other home modifications to enable victim survivors of family violence to remain safely in their own homes and communities, or to relocate to a new home.</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 Peak bodies and community service organisations engaging with sector stakeholders and with victim survivors and/or perpetrators of family violence, family violence regional service integration service providers, community service organisations, police, courts, and community members. </w:t>
      </w:r>
      <w:r>
        <w:br/>
      </w:r>
      <w:r>
        <w:rPr>
          <w:rFonts w:ascii="Arial" w:hAnsi="Arial" w:eastAsia="Arial" w:cs="Arial"/>
          <w:color w:val="000000"/>
          <w:sz w:val="20"/>
        </w:rPr>
        <w:t>• This is not a client facing activity.</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spacing w:after="40" w:line="270" w:lineRule="atLeast"/>
        <w:ind w:left="111" w:right="105"/>
        <w:rPr>
          <w:rFonts w:ascii="Arial" w:hAnsi="Arial" w:eastAsia="Arial" w:cs="Arial"/>
          <w:color w:val="000000"/>
          <w:sz w:val="20"/>
        </w:rPr>
      </w:pPr>
      <w:r>
        <w:rPr>
          <w:rFonts w:ascii="Arial" w:hAnsi="Arial" w:eastAsia="Arial" w:cs="Arial"/>
          <w:color w:val="000000"/>
          <w:sz w:val="20"/>
        </w:rPr>
        <w:t>N/A</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Personal Safety Initiative Operational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&lt;https://providers.dffh.vic.gov.au/personal-safety-initiative-operational-guidelines&gt;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Family violence child protection partnership operational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&lt;http://www.cpmanual.vic.gov.au/advice-and-protocols/service-descriptions/support-services/family-violence-child-protection&gt;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Code of Practice: Principles and Standards for Specialist Family Violence Services for Victim-Survivors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&lt;https://safeandequal.org.au/working-in-family-violence/service-responses/specialist-family-violence-services/the-code-of-practice/&gt;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Family Violence Regional Integration Committee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&lt;https://www.vic.gov.au/family-violence-regional-integration-committees-guidelines&gt;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1: Number of participants trained</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participants attending training courses delivered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participants who completed a training course delivered during the reporting period. Group-based training should be counted by the number of participants that complete a training course.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Family Violence Training</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‘Participants who completed a training course’ refers to any person who attends and completes a training course.</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2: Development and submission of a project plan</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Funded organisations are required to submit their project plan by 30 September or no later than three months after the commencement of the period of funding.</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Develop a detailed project plan outlining activities and objectives for the following 12-month period of the project.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Project annual report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Project plan: The project plan defines the agreed goals and objectives of the funded activity, the scope of the project, its milestones and major deliverables. It will also define agreed reporting requirements to monitor progress against agreed deliverables and outcomes.</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3: Number of EFTs employed – Child Protection partnership</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ensure that Equivalent Full-Time employees are employed in order to undertake specified work within the Family Violence Child Protection Partnership.</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equivalent full-time employee employed in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EFT Report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An equivalent full-time employee is a person employed for 38 hours p/week to undertake specified work required by the Family Violence Child Protection partnership service model guidelines.</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4: Number of responses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new Personal Safety Initiative (PSI) responses.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new safety and security recommendations provided by PSI coordinators.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Manual Exchange System</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A new response means a new written recommendation from a PSI coordinator to a case manager regarding the implementation of a safety and security audit or safety and security technology and home upgrades.</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Manual Exchange System</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Electronic Data System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PSI responses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Half-yearly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Family Violence Training</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xls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Quarterly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EFT Report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N/A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Annual</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Project annual report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Project Annual report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Annual</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February 2023</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5"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Family Violence Service Delivery 38024 System Enablers Family Violence</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