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System Enablers 31436</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providers.dffh.vic.gov.au/strategic-framework-family-services-pdf" TargetMode="External"/>
<Relationship Id="rId12" Type="http://schemas.openxmlformats.org/officeDocument/2006/relationships/hyperlink" Target="https://dhhs.vic.gov.au/publications/best-interests-case-practice-model-summary-guide" TargetMode="External"/>
<Relationship Id="rId13" Type="http://schemas.openxmlformats.org/officeDocument/2006/relationships/hyperlink" Target="https://providers.dffh.vic.gov.au/best-interests-framework-vulnerable-children-and-youth-pdf" TargetMode="External"/>
<Relationship Id="rId14" Type="http://schemas.openxmlformats.org/officeDocument/2006/relationships/hyperlink" Target="https://providers.dffh.vic.gov.au/human-services-standards-policy" TargetMode="External"/>
<Relationship Id="rId15" Type="http://schemas.openxmlformats.org/officeDocument/2006/relationships/hyperlink" Target="https://providers.dffh.vic.gov.au/program-requirements-family-and-early-parenting-services-victoria-word" TargetMode="External"/>
<Relationship Id="rId16" Type="http://schemas.openxmlformats.org/officeDocument/2006/relationships/hyperlink" Target="http://www.cpmanual.vic.gov.au" TargetMode="External"/>
<Relationship Id="rId17" Type="http://schemas.openxmlformats.org/officeDocument/2006/relationships/hyperlink" Target="http://www.dhs.vic.gov.au/about-the-department/documents-and-resources/policies,-guidelines-and-legislation/flexible-packages-for-child-first-and-family-services" TargetMode="External"/>
<Relationship Id="rId18" Type="http://schemas.openxmlformats.org/officeDocument/2006/relationships/hyperlink" Target="file:/F:/Oracle/Middleware/Oracle_Home/user_projects/domains/bi" TargetMode="External"/>
<Relationship Id="rId19" Type="http://schemas.openxmlformats.org/officeDocument/2006/relationships/hyperlink" Target="file:/F:/Oracle/Middleware/Oracle_Home/user_projects/domains/bi" TargetMode="External"/>
<Relationship Id="rId20" Type="http://schemas.openxmlformats.org/officeDocument/2006/relationships/hyperlink" Target="https://providers.dhhs.vic.gov.au/family-violence-referral-protocol-between-dhhs-family-safety-victoria-and-department-justice-and" TargetMode="External"/>
<Relationship Id="rId21" Type="http://schemas.openxmlformats.org/officeDocument/2006/relationships/hyperlink" Target="file:/F:/Oracle/Middleware/Oracle_Home/user_projects/domains/bi/Early%20childhood%20development%20program%20guidelines%20(word)%20-%20DHHS%20Service%20Providers%20(dffh.vic.gov.au)" TargetMode="External"/>
<Relationship Id="rId22" Type="http://schemas.openxmlformats.org/officeDocument/2006/relationships/hyperlink" Target="http://providers.dffh.vic.gov.au/families-fairness-housing-health-activity-search" TargetMode="External"/>
<Relationship Id="rId23"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System Enablers</w:t>
            </w:r>
          </w:p>
          <w:p>
            <w:pPr>
              <w:spacing w:line="560" w:lineRule="atLeast"/>
              <w:rPr>
                <w:rFonts w:ascii="Arial" w:hAnsi="Arial" w:eastAsia="Arial" w:cs="Arial"/>
                <w:color w:val="201547"/>
                <w:sz w:val="44"/>
              </w:rPr>
            </w:pPr>
            <w:r>
              <w:rPr>
                <w:rFonts w:ascii="Arial" w:hAnsi="Arial" w:eastAsia="Arial" w:cs="Arial"/>
                <w:color w:val="201547"/>
                <w:sz w:val="44"/>
              </w:rPr>
              <w:t>31436</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have capabilities to participate</w:t>
            </w:r>
          </w:p>
          <w:p>
            <w:pPr>
              <w:spacing w:after="120"/>
              <w:rPr>
                <w:rFonts w:ascii="Arial" w:hAnsi="Arial" w:eastAsia="Arial" w:cs="Arial"/>
                <w:color w:val="201547"/>
                <w:sz w:val="28"/>
              </w:rPr>
            </w:pPr>
            <w:r>
              <w:rPr>
                <w:rFonts w:ascii="Arial" w:hAnsi="Arial" w:eastAsia="Arial" w:cs="Arial"/>
                <w:color w:val="201547"/>
                <w:sz w:val="28"/>
              </w:rPr>
              <w:t>Output group: Child Protection and Family Services</w:t>
            </w:r>
          </w:p>
          <w:p>
            <w:pPr>
              <w:spacing w:after="120"/>
              <w:rPr>
                <w:rFonts w:ascii="Arial" w:hAnsi="Arial" w:eastAsia="Arial" w:cs="Arial"/>
                <w:color w:val="201547"/>
                <w:sz w:val="28"/>
              </w:rPr>
            </w:pPr>
            <w:r>
              <w:rPr>
                <w:rFonts w:ascii="Arial" w:hAnsi="Arial" w:eastAsia="Arial" w:cs="Arial"/>
                <w:color w:val="201547"/>
                <w:sz w:val="28"/>
              </w:rPr>
              <w:t>Output: Family And Community Services</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To support the effective operation, performance, governance and accountability of child and family Services.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This activity supports the optimal operation of child and family services at a local level, including maintaining a coordinated interface with The Orange Door (Support and Safety Hubs) and Child protection. Sub activities include:</w:t>
      </w:r>
      <w:r>
        <w:br/>
      </w:r>
      <w:r>
        <w:rPr>
          <w:rFonts w:ascii="Arial" w:hAnsi="Arial" w:eastAsia="Arial" w:cs="Arial"/>
          <w:color w:val="000000"/>
          <w:sz w:val="20"/>
        </w:rPr>
        <w:t>•	Child and family alliance (associated with the previous Child FIRST and Integrated family services funding) and Governance (associated with the previous Stronger families placement prevention funding) both support the effective operation of an integrated and unified child and family services system at an area or catchment level through leadership, service coordination, catchment planning, operational management, strategic planning and advocacy.</w:t>
      </w:r>
      <w:r>
        <w:br/>
      </w:r>
      <w:r>
        <w:rPr>
          <w:rFonts w:ascii="Arial" w:hAnsi="Arial" w:eastAsia="Arial" w:cs="Arial"/>
          <w:color w:val="000000"/>
          <w:sz w:val="20"/>
        </w:rPr>
        <w:t>•	Program development supports and facilitates workforce development and training in family services</w:t>
      </w:r>
      <w:r>
        <w:br/>
      </w:r>
      <w:r>
        <w:rPr>
          <w:rFonts w:ascii="Arial" w:hAnsi="Arial" w:eastAsia="Arial" w:cs="Arial"/>
          <w:color w:val="000000"/>
          <w:sz w:val="20"/>
        </w:rPr>
        <w:t>•	Evidence based program development supports including training, coaching, implementation science activities and other activities related to embedding of evidence informed practices known to support earlier intervention, family preservation and reunification</w:t>
      </w:r>
      <w:r>
        <w:br/>
      </w:r>
      <w:r>
        <w:rPr>
          <w:rFonts w:ascii="Arial" w:hAnsi="Arial" w:eastAsia="Arial" w:cs="Arial"/>
          <w:color w:val="000000"/>
          <w:sz w:val="20"/>
        </w:rPr>
        <w:t>•	Early childhood development program specifically strengthens the integration, linkages, capacity and partnerships between early years service providers and Child and family services to maximise vulnerable children and families’ opportunities in accessing and remaining engaged with universal and secondary early years’ services.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Community service organisations providing Child and family services.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numPr>
          <w:ilvl w:val="0"/>
          <w:numId w:val="7"/>
        </w:numPr>
        <w:spacing w:after="40" w:line="270" w:lineRule="atLeast"/>
        <w:rPr>
          <w:rFonts w:ascii="Arial" w:hAnsi="Arial" w:eastAsia="Arial" w:cs="Arial"/>
          <w:color w:val="000000"/>
          <w:sz w:val="20"/>
        </w:rPr>
      </w:pPr>
      <w:r>
        <w:rPr>
          <w:rFonts w:ascii="Arial" w:hAnsi="Arial" w:eastAsia="Arial" w:cs="Arial"/>
          <w:color w:val="000000"/>
          <w:sz w:val="20"/>
        </w:rPr>
        <w:t>Registration under the Children, Youth and Families Act 2005</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A Strategic Framework for Family Services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&lt;https://providers.dffh.vic.gov.au/strategic-framework-family-services-pdf&gt;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Best Interests Case Practice Model - Summary Guide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&lt;https://dhhs.vic.gov.au/publications/best-interests-case-practice-model-summary-guide&gt;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The Best Interests Framework for Vulnerable Children and Youth</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&lt;https://providers.dffh.vic.gov.au/best-interests-framework-vulnerable-children-and-youth-pdf&gt;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Human Services Standards policy</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&lt;https://providers.dffh.vic.gov.au/human-services-standards-policy&gt;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Program requirements for family and early parenting services in Victoria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&lt;https://providers.dffh.vic.gov.au/program-requirements-family-and-early-parenting-services-victoria-word&gt;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Child Protection Practice Manual</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&lt;http://www.cpmanual.vic.gov.au&gt;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Flexible Packages Guidelines for Child FIRST and Family Services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&lt;http://www.dhs.vic.gov.au/about-the-department/documents-and-resources/policies,-guidelines-and-legislation/flexible-packages-for-child-first-and-family-services&gt;</w:t>
      </w:r>
    </w:p>
    <w:p>
      <w:pPr>
        <w:numPr>
          <w:ilvl w:val="0"/>
          <w:numId w:val="7"/>
        </w:numPr>
        <w:spacing w:after="40" w:line="270" w:lineRule="atLeast"/>
        <w:rPr>
          <w:rFonts w:ascii="Arial" w:hAnsi="Arial" w:eastAsia="Arial" w:cs="Arial"/>
          <w:color w:val="3366FF"/>
          <w:sz w:val="20"/>
        </w:rPr>
      </w:pPr>
      <w:hyperlink r:id="rId18" w:tgtFrame="_blank" w:history="1">
        <w:r>
          <w:rPr>
            <w:rFonts w:ascii="Arial" w:hAnsi="Arial" w:eastAsia="Arial" w:cs="Arial"/>
            <w:color w:val="3366FF"/>
            <w:sz w:val="20"/>
          </w:rPr>
          <w:t>Family Preservation and Reunification Response - Service Guidelines and Requirements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&lt;&gt;</w:t>
      </w:r>
    </w:p>
    <w:p>
      <w:pPr>
        <w:numPr>
          <w:ilvl w:val="0"/>
          <w:numId w:val="7"/>
        </w:numPr>
        <w:spacing w:after="40" w:line="270" w:lineRule="atLeast"/>
        <w:rPr>
          <w:rFonts w:ascii="Arial" w:hAnsi="Arial" w:eastAsia="Arial" w:cs="Arial"/>
          <w:color w:val="3366FF"/>
          <w:sz w:val="20"/>
        </w:rPr>
      </w:pPr>
      <w:hyperlink r:id="rId19" w:tgtFrame="_blank" w:history="1">
        <w:r>
          <w:rPr>
            <w:rFonts w:ascii="Arial" w:hAnsi="Arial" w:eastAsia="Arial" w:cs="Arial"/>
            <w:color w:val="3366FF"/>
            <w:sz w:val="20"/>
          </w:rPr>
          <w:t>Evidence Based Program Development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&lt;&gt;</w:t>
      </w:r>
    </w:p>
    <w:p>
      <w:pPr>
        <w:numPr>
          <w:ilvl w:val="0"/>
          <w:numId w:val="7"/>
        </w:numPr>
        <w:spacing w:after="40" w:line="270" w:lineRule="atLeast"/>
        <w:rPr>
          <w:rFonts w:ascii="Arial" w:hAnsi="Arial" w:eastAsia="Arial" w:cs="Arial"/>
          <w:color w:val="3366FF"/>
          <w:sz w:val="20"/>
        </w:rPr>
      </w:pPr>
      <w:hyperlink r:id="rId20" w:tgtFrame="_blank" w:history="1">
        <w:r>
          <w:rPr>
            <w:rFonts w:ascii="Arial" w:hAnsi="Arial" w:eastAsia="Arial" w:cs="Arial"/>
            <w:color w:val="3366FF"/>
            <w:sz w:val="20"/>
          </w:rPr>
          <w:t>Family Violence referral protocol between DHHS,Family Safety Victoria and Department of Justice and Regulation and Victoria Police 2018</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&lt;https://providers.dhhs.vic.gov.au/family-violence-referral-protocol-between-dhhs-family-safety-victoria-and-department-justice-and&gt;</w:t>
      </w:r>
    </w:p>
    <w:p>
      <w:pPr>
        <w:numPr>
          <w:ilvl w:val="0"/>
          <w:numId w:val="7"/>
        </w:numPr>
        <w:spacing w:after="40" w:line="270" w:lineRule="atLeast"/>
        <w:rPr>
          <w:rFonts w:ascii="Arial" w:hAnsi="Arial" w:eastAsia="Arial" w:cs="Arial"/>
          <w:color w:val="3366FF"/>
          <w:sz w:val="20"/>
        </w:rPr>
      </w:pPr>
      <w:hyperlink r:id="rId21" w:tgtFrame="_blank" w:history="1">
        <w:r>
          <w:rPr>
            <w:rFonts w:ascii="Arial" w:hAnsi="Arial" w:eastAsia="Arial" w:cs="Arial"/>
            <w:color w:val="3366FF"/>
            <w:sz w:val="20"/>
          </w:rPr>
          <w:t>Early Childhood Development Program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&lt;Early childhood development program guidelines (word) - DHHS Service Providers (dffh.vic.gov.au)&gt;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Development and review of annual plan</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Develop and review a detailed annual plan outlining planned objectives and activities</w:t>
            </w:r>
            <w:r>
              <w:br/>
            </w:r>
            <w:r>
              <w:rPr>
                <w:rFonts w:ascii="Arial" w:hAnsi="Arial" w:eastAsia="Arial" w:cs="Arial"/>
                <w:color w:val="000000"/>
                <w:sz w:val="20"/>
              </w:rPr>
              <w:t>This performance measure applies to:</w:t>
            </w:r>
            <w:r>
              <w:br/>
            </w:r>
            <w:r>
              <w:rPr>
                <w:rFonts w:ascii="Arial" w:hAnsi="Arial" w:eastAsia="Arial" w:cs="Arial"/>
                <w:color w:val="000000"/>
                <w:sz w:val="20"/>
              </w:rPr>
              <w:t>• Child and family alliance</w:t>
            </w:r>
            <w:r>
              <w:br/>
            </w:r>
            <w:r>
              <w:rPr>
                <w:rFonts w:ascii="Arial" w:hAnsi="Arial" w:eastAsia="Arial" w:cs="Arial"/>
                <w:color w:val="000000"/>
                <w:sz w:val="20"/>
              </w:rPr>
              <w:t>• Early childhood development program</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target is met with the submission of a review of the annual plan for the previous financial year</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Alliance Governance and Oversight meeting - Final Report</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Early Childhood Development program final quarter report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 detailed annual plan submitted that includes the objectives and activities</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2: Acquittal on activities and funding for Program Development</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Evidence based program development acquittal template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Evidence based program development acquittal template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Half-yearly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Program development acquittal template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Program development acquittal template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Half-yearly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Alliance Governance and Oversight meeting - Final Report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Annual report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Annual</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Early Childhood Development program final quarter report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Annual report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Annual</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August 2021</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22"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Child Protection and Family Services 31436 System Enablers</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