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457807" w:rsidP="00AD784C">
      <w:pPr>
        <w:pStyle w:val="Spacerparatopoffirstpage"/>
      </w:pPr>
      <w:r>
        <w:rPr>
          <w:lang w:eastAsia="en-AU"/>
        </w:rPr>
        <w:drawing>
          <wp:anchor distT="0" distB="0" distL="114300" distR="114300" simplePos="0" relativeHeight="251657728" behindDoc="1" locked="1" layoutInCell="0" allowOverlap="1" wp14:anchorId="46946134" wp14:editId="4561E879">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rsidR="00A62D44" w:rsidRPr="004C6EEE" w:rsidRDefault="00A62D44" w:rsidP="00D1443D">
      <w:pPr>
        <w:pStyle w:val="Sectionbreakfirstpage"/>
        <w:rPr>
          <w:rFonts w:eastAsia="Times"/>
          <w:noProof/>
          <w:sz w:val="12"/>
        </w:rPr>
        <w:sectPr w:rsidR="00A62D44" w:rsidRPr="004C6EEE" w:rsidSect="00F922BE">
          <w:footerReference w:type="default" r:id="rId9"/>
          <w:pgSz w:w="11906" w:h="16838" w:code="9"/>
          <w:pgMar w:top="426" w:right="851" w:bottom="1418" w:left="851" w:header="510" w:footer="510" w:gutter="0"/>
          <w:cols w:space="708"/>
          <w:docGrid w:linePitch="360"/>
        </w:sectPr>
      </w:pPr>
    </w:p>
    <w:tbl>
      <w:tblPr>
        <w:tblW w:w="0" w:type="auto"/>
        <w:tblLook w:val="04A0" w:firstRow="1" w:lastRow="0" w:firstColumn="1" w:lastColumn="0" w:noHBand="0" w:noVBand="1"/>
      </w:tblPr>
      <w:tblGrid>
        <w:gridCol w:w="8221"/>
      </w:tblGrid>
      <w:tr w:rsidR="00AD784C" w:rsidTr="008544B6">
        <w:trPr>
          <w:trHeight w:val="923"/>
        </w:trPr>
        <w:tc>
          <w:tcPr>
            <w:tcW w:w="8221" w:type="dxa"/>
            <w:shd w:val="clear" w:color="auto" w:fill="auto"/>
            <w:vAlign w:val="bottom"/>
          </w:tcPr>
          <w:p w:rsidR="00AD784C" w:rsidRPr="00DE4E5C" w:rsidRDefault="00E4392E" w:rsidP="000025A2">
            <w:pPr>
              <w:pStyle w:val="DHHSmainheading"/>
              <w:spacing w:line="270" w:lineRule="atLeast"/>
              <w:rPr>
                <w:sz w:val="44"/>
                <w:szCs w:val="44"/>
              </w:rPr>
            </w:pPr>
            <w:r w:rsidRPr="00E4392E">
              <w:rPr>
                <w:rFonts w:cs="Arial"/>
                <w:sz w:val="44"/>
                <w:szCs w:val="44"/>
              </w:rPr>
              <w:t>Springboard (leaving care)</w:t>
            </w:r>
            <w:r w:rsidR="00F922BE" w:rsidRPr="00DE4E5C">
              <w:rPr>
                <w:rFonts w:cs="Arial"/>
                <w:sz w:val="44"/>
                <w:szCs w:val="44"/>
              </w:rPr>
              <w:br/>
            </w:r>
            <w:r w:rsidRPr="00E4392E">
              <w:rPr>
                <w:rFonts w:cs="Arial"/>
                <w:sz w:val="44"/>
                <w:szCs w:val="44"/>
              </w:rPr>
              <w:t>31421</w:t>
            </w:r>
          </w:p>
        </w:tc>
      </w:tr>
      <w:tr w:rsidR="00AD784C" w:rsidTr="008544B6">
        <w:trPr>
          <w:trHeight w:hRule="exact" w:val="1205"/>
        </w:trPr>
        <w:tc>
          <w:tcPr>
            <w:tcW w:w="8221" w:type="dxa"/>
            <w:shd w:val="clear" w:color="auto" w:fill="auto"/>
            <w:tcMar>
              <w:top w:w="170" w:type="dxa"/>
              <w:bottom w:w="510" w:type="dxa"/>
            </w:tcMar>
          </w:tcPr>
          <w:p w:rsidR="000E1740" w:rsidRDefault="00F922BE" w:rsidP="005E76EA">
            <w:pPr>
              <w:pStyle w:val="DHHSmainsubheading"/>
              <w:rPr>
                <w:szCs w:val="28"/>
              </w:rPr>
            </w:pPr>
            <w:r>
              <w:rPr>
                <w:szCs w:val="28"/>
              </w:rPr>
              <w:t>Outcome objective</w:t>
            </w:r>
            <w:r w:rsidR="00DE4E5C">
              <w:rPr>
                <w:szCs w:val="28"/>
              </w:rPr>
              <w:t>:</w:t>
            </w:r>
            <w:r>
              <w:rPr>
                <w:szCs w:val="28"/>
              </w:rPr>
              <w:t xml:space="preserve"> </w:t>
            </w:r>
            <w:r w:rsidR="000E1740">
              <w:rPr>
                <w:szCs w:val="28"/>
              </w:rPr>
              <w:t>Victorians are safe and secure</w:t>
            </w:r>
          </w:p>
          <w:p w:rsidR="00DE4E5C" w:rsidRDefault="00F922BE" w:rsidP="005E76EA">
            <w:pPr>
              <w:pStyle w:val="DHHSmainsubheading"/>
              <w:rPr>
                <w:szCs w:val="28"/>
              </w:rPr>
            </w:pPr>
            <w:r>
              <w:rPr>
                <w:szCs w:val="28"/>
              </w:rPr>
              <w:t xml:space="preserve">Output group: </w:t>
            </w:r>
            <w:r w:rsidR="00A21BDA" w:rsidRPr="00A21BDA">
              <w:rPr>
                <w:szCs w:val="28"/>
              </w:rPr>
              <w:t>Child protection and family services</w:t>
            </w:r>
          </w:p>
          <w:p w:rsidR="00F922BE" w:rsidRPr="00AD784C" w:rsidRDefault="00F922BE" w:rsidP="00D1443D">
            <w:pPr>
              <w:pStyle w:val="DHHSmainsubheading"/>
              <w:rPr>
                <w:szCs w:val="28"/>
              </w:rPr>
            </w:pPr>
            <w:r>
              <w:rPr>
                <w:szCs w:val="28"/>
              </w:rPr>
              <w:t xml:space="preserve">Output: </w:t>
            </w:r>
            <w:r w:rsidR="00A21BDA" w:rsidRPr="00A21BDA">
              <w:rPr>
                <w:szCs w:val="28"/>
              </w:rPr>
              <w:t>Placement services</w:t>
            </w:r>
          </w:p>
        </w:tc>
      </w:tr>
    </w:tbl>
    <w:p w:rsidR="007173CA" w:rsidRDefault="007173CA" w:rsidP="006C7A1F">
      <w:pPr>
        <w:pStyle w:val="DHHSbody"/>
        <w:spacing w:beforeLines="40" w:before="96"/>
        <w:sectPr w:rsidR="007173CA" w:rsidSect="00F922BE">
          <w:headerReference w:type="default" r:id="rId10"/>
          <w:footerReference w:type="default" r:id="rId11"/>
          <w:type w:val="continuous"/>
          <w:pgSz w:w="11906" w:h="16838" w:code="9"/>
          <w:pgMar w:top="993" w:right="851" w:bottom="1134" w:left="851" w:header="567" w:footer="510" w:gutter="0"/>
          <w:cols w:space="340"/>
          <w:titlePg/>
          <w:docGrid w:linePitch="360"/>
        </w:sectPr>
      </w:pPr>
      <w:bookmarkStart w:id="0" w:name="_Toc440566508"/>
    </w:p>
    <w:bookmarkEnd w:id="0"/>
    <w:p w:rsidR="00A62D44" w:rsidRDefault="00DF6BAF" w:rsidP="009A395B">
      <w:pPr>
        <w:pStyle w:val="Heading1"/>
      </w:pPr>
      <w:r>
        <w:t xml:space="preserve">Service Objective </w:t>
      </w:r>
    </w:p>
    <w:p w:rsidR="009F7CFC" w:rsidRDefault="00E4392E" w:rsidP="006544C7">
      <w:pPr>
        <w:pStyle w:val="DHHSbody"/>
        <w:rPr>
          <w:b/>
        </w:rPr>
      </w:pPr>
      <w:bookmarkStart w:id="1" w:name="_Toc256778633"/>
      <w:r w:rsidRPr="00E4392E">
        <w:rPr>
          <w:rStyle w:val="DHHSbodyChar"/>
          <w:bCs/>
        </w:rPr>
        <w:t>Springboard (leaving care) aims to assist young people residing in or leaving residential out-of-home care to gain secure, long-term employment by re-engaging with appropriate education, training and employment opportunities.</w:t>
      </w:r>
    </w:p>
    <w:p w:rsidR="00DF6BAF" w:rsidRDefault="00DE4E5C" w:rsidP="009A395B">
      <w:pPr>
        <w:pStyle w:val="Heading1"/>
      </w:pPr>
      <w:r>
        <w:t>2</w:t>
      </w:r>
      <w:r w:rsidR="00B70F76" w:rsidRPr="00B70F76">
        <w:t xml:space="preserve">. </w:t>
      </w:r>
      <w:r w:rsidR="00DF6BAF">
        <w:t>Description of the service</w:t>
      </w:r>
    </w:p>
    <w:p w:rsidR="00E4392E" w:rsidRDefault="00E4392E" w:rsidP="00E4392E">
      <w:pPr>
        <w:pStyle w:val="DHHSbody"/>
      </w:pPr>
      <w:r>
        <w:t xml:space="preserve">Springboard provides intensive, youth-focussed one to one assistance to young people aged 16–21 years old who are </w:t>
      </w:r>
      <w:proofErr w:type="gramStart"/>
      <w:r>
        <w:t>in, or</w:t>
      </w:r>
      <w:proofErr w:type="gramEnd"/>
      <w:r>
        <w:t xml:space="preserve"> have recently left residential out-of-home care and are disengaged from education, vocational training or employment.</w:t>
      </w:r>
      <w:r w:rsidR="002A2664">
        <w:t xml:space="preserve"> </w:t>
      </w:r>
      <w:r w:rsidR="00A46210">
        <w:t>Young people can also access Springboard brokerage to assist their re-engagement or participation in these areas</w:t>
      </w:r>
      <w:r w:rsidR="00C65CA8">
        <w:t>.</w:t>
      </w:r>
    </w:p>
    <w:p w:rsidR="00E4392E" w:rsidRPr="00E4392E" w:rsidRDefault="00E4392E" w:rsidP="00E4392E">
      <w:pPr>
        <w:pStyle w:val="DHHSbody"/>
        <w:rPr>
          <w:b/>
        </w:rPr>
      </w:pPr>
      <w:r w:rsidRPr="00E4392E">
        <w:rPr>
          <w:b/>
        </w:rPr>
        <w:t xml:space="preserve">Description of leaving care </w:t>
      </w:r>
      <w:r w:rsidR="00195590">
        <w:rPr>
          <w:b/>
        </w:rPr>
        <w:t>reform activities</w:t>
      </w:r>
    </w:p>
    <w:p w:rsidR="00144F49" w:rsidRDefault="00144F49" w:rsidP="00144F49">
      <w:pPr>
        <w:pStyle w:val="DHHSbullet1"/>
      </w:pPr>
      <w:r w:rsidRPr="00D10D2D">
        <w:rPr>
          <w:b/>
        </w:rPr>
        <w:t>Better Futures</w:t>
      </w:r>
      <w:r w:rsidRPr="00BC5D2C">
        <w:t xml:space="preserve"> -</w:t>
      </w:r>
      <w:r w:rsidRPr="00D10D2D">
        <w:rPr>
          <w:b/>
        </w:rPr>
        <w:t xml:space="preserve"> </w:t>
      </w:r>
      <w:r w:rsidRPr="00BC5D2C">
        <w:t>a post care support service</w:t>
      </w:r>
      <w:r>
        <w:t xml:space="preserve"> (Better Futures) operating in the South Division and Barwon area with Goulburn area commencing operations in March 2019. Better Futures pilots are trialling </w:t>
      </w:r>
      <w:r w:rsidRPr="008858A8">
        <w:t xml:space="preserve">a new </w:t>
      </w:r>
      <w:r>
        <w:t xml:space="preserve">service delivery model to </w:t>
      </w:r>
      <w:r w:rsidRPr="008858A8">
        <w:t>improve outcomes for young people</w:t>
      </w:r>
      <w:r>
        <w:t xml:space="preserve"> transitioning from </w:t>
      </w:r>
      <w:r w:rsidRPr="008858A8">
        <w:t>out-of</w:t>
      </w:r>
      <w:r>
        <w:t>-</w:t>
      </w:r>
      <w:r w:rsidRPr="008858A8">
        <w:t xml:space="preserve"> home care</w:t>
      </w:r>
      <w:r>
        <w:t xml:space="preserve">. It will provide early engagement; levels of support depending on the young person’s needs; flexible funding to facilitate access to education, employment, health and wellbeing supports and connection to community. </w:t>
      </w:r>
    </w:p>
    <w:p w:rsidR="00144F49" w:rsidRDefault="00144F49" w:rsidP="00144F49">
      <w:pPr>
        <w:pStyle w:val="DHHSbullet1"/>
        <w:rPr>
          <w:b/>
        </w:rPr>
      </w:pPr>
      <w:r>
        <w:t>The Better Futures pilots are subject to a set of monitoring rules in CRISSP for reporting and evaluation purposes. It is anticipated that Better Futures will be implemented across all areas from late 2019.</w:t>
      </w:r>
    </w:p>
    <w:p w:rsidR="00144F49" w:rsidRDefault="00144F49" w:rsidP="00FE3FB8">
      <w:pPr>
        <w:pStyle w:val="DHHSbullet1"/>
      </w:pPr>
      <w:r w:rsidRPr="00FE3FB8">
        <w:rPr>
          <w:b/>
        </w:rPr>
        <w:t>Home</w:t>
      </w:r>
      <w:r w:rsidR="00B75535">
        <w:rPr>
          <w:b/>
        </w:rPr>
        <w:t xml:space="preserve"> </w:t>
      </w:r>
      <w:r w:rsidRPr="00FE3FB8">
        <w:rPr>
          <w:b/>
        </w:rPr>
        <w:t>Stretch –</w:t>
      </w:r>
      <w:r w:rsidRPr="00D10D2D">
        <w:t>will</w:t>
      </w:r>
      <w:r>
        <w:t xml:space="preserve"> be implemented in the Better Futures pilot sites from March 2019. The initiative will</w:t>
      </w:r>
      <w:r w:rsidRPr="00D10D2D">
        <w:t xml:space="preserve"> </w:t>
      </w:r>
      <w:r>
        <w:t>offer a continuation of accommodation allowance for young people in foster and kinship care and young people exiting residential care up to 21 years</w:t>
      </w:r>
      <w:r w:rsidR="00B75535">
        <w:t xml:space="preserve">, </w:t>
      </w:r>
      <w:r>
        <w:t>casework support and access to flexible funding</w:t>
      </w:r>
      <w:r w:rsidR="00B75535">
        <w:t xml:space="preserve">. It is proposed that Home Stretch will be offered through the </w:t>
      </w:r>
      <w:r>
        <w:t>Better Futures service delivery model</w:t>
      </w:r>
      <w:r w:rsidR="00B75535">
        <w:t>. The department has established a Home Stretch Expert Advisory Group and a Home Stretch Youth Expert Advisory Group to advise on key program design elements, including the relationship between the Better Futures model and Home Stretch.</w:t>
      </w:r>
    </w:p>
    <w:p w:rsidR="00144F49" w:rsidRDefault="00144F49" w:rsidP="009A6EEB">
      <w:pPr>
        <w:pStyle w:val="DHHSbullet1"/>
      </w:pPr>
      <w:r w:rsidRPr="00D10D2D">
        <w:t>Home Stretch</w:t>
      </w:r>
      <w:r w:rsidRPr="00FE3FB8">
        <w:rPr>
          <w:b/>
        </w:rPr>
        <w:t xml:space="preserve"> </w:t>
      </w:r>
      <w:r w:rsidRPr="008858A8">
        <w:t>will be subject to a set of monitori</w:t>
      </w:r>
      <w:r w:rsidRPr="00783D01">
        <w:t>ng ru</w:t>
      </w:r>
      <w:r>
        <w:t>l</w:t>
      </w:r>
      <w:r w:rsidRPr="008858A8">
        <w:t>es</w:t>
      </w:r>
      <w:r>
        <w:t xml:space="preserve"> in CRISSP for reporting and evaluation purposes. It is anticipated that Home Stretch will be implemented across all areas from late 2019 </w:t>
      </w:r>
    </w:p>
    <w:p w:rsidR="00B70F76" w:rsidRPr="00B70F76" w:rsidRDefault="00DF6BAF" w:rsidP="009A395B">
      <w:pPr>
        <w:pStyle w:val="Heading1"/>
      </w:pPr>
      <w:r>
        <w:t xml:space="preserve">3. </w:t>
      </w:r>
      <w:r w:rsidR="00B70F76" w:rsidRPr="00B70F76">
        <w:t>Client group</w:t>
      </w:r>
    </w:p>
    <w:p w:rsidR="00E4392E" w:rsidRDefault="00E4392E" w:rsidP="00E4392E">
      <w:pPr>
        <w:pStyle w:val="DHHSbody"/>
      </w:pPr>
      <w:r>
        <w:t>The target group for Springboard is young people aged 16–21 years old who are residing in or have left residential care and have been subject to:</w:t>
      </w:r>
    </w:p>
    <w:p w:rsidR="00E4392E" w:rsidRDefault="00E4392E" w:rsidP="00E4392E">
      <w:pPr>
        <w:pStyle w:val="DHHSbullet1"/>
      </w:pPr>
      <w:r>
        <w:t>a family reunification order, a care by secretary order or a long-term care order, and</w:t>
      </w:r>
    </w:p>
    <w:p w:rsidR="009F7CFC" w:rsidRDefault="00E4392E" w:rsidP="00E4392E">
      <w:pPr>
        <w:pStyle w:val="DHHSbullet1"/>
        <w:rPr>
          <w:b/>
          <w:bCs/>
        </w:rPr>
      </w:pPr>
      <w:r>
        <w:t>on leaving the care of the Secretary, are of an age to, or intends to, live independently</w:t>
      </w:r>
      <w:r w:rsidR="00973933" w:rsidRPr="00973933">
        <w:t>.</w:t>
      </w:r>
    </w:p>
    <w:p w:rsidR="002D1AA5" w:rsidRDefault="00DF6BAF" w:rsidP="009A395B">
      <w:pPr>
        <w:pStyle w:val="Heading1"/>
      </w:pPr>
      <w:r>
        <w:lastRenderedPageBreak/>
        <w:t>4</w:t>
      </w:r>
      <w:r w:rsidR="00B70F76">
        <w:t xml:space="preserve">. Obligations specific to this </w:t>
      </w:r>
      <w:r w:rsidR="00EC4117">
        <w:t>activity</w:t>
      </w:r>
    </w:p>
    <w:p w:rsidR="00B70F76" w:rsidRDefault="00DF6BAF" w:rsidP="006C7A1F">
      <w:pPr>
        <w:pStyle w:val="DHHSbody"/>
        <w:spacing w:beforeLines="40" w:before="96"/>
      </w:pPr>
      <w:r>
        <w:t>In addition to the obligations listed in the Service Agreement, o</w:t>
      </w:r>
      <w:r w:rsidR="002B3651">
        <w:t xml:space="preserve">rganisations funded to deliver this </w:t>
      </w:r>
      <w:r w:rsidR="00EC4117">
        <w:t xml:space="preserve">activity </w:t>
      </w:r>
      <w:r w:rsidR="002B3651">
        <w:t>must comply with the following:</w:t>
      </w:r>
    </w:p>
    <w:p w:rsidR="00FA3628" w:rsidRPr="001F3DE2" w:rsidRDefault="00FA3628" w:rsidP="003937E8">
      <w:pPr>
        <w:pStyle w:val="Heading2"/>
      </w:pPr>
      <w:r w:rsidRPr="001F3DE2">
        <w:t xml:space="preserve">4a.  Registration and Accreditation </w:t>
      </w:r>
    </w:p>
    <w:p w:rsidR="00E4392E" w:rsidRPr="003937E8" w:rsidRDefault="00E4392E" w:rsidP="003937E8">
      <w:pPr>
        <w:pStyle w:val="DHHSbullet1"/>
        <w:rPr>
          <w:rStyle w:val="DHHSbodyChar"/>
        </w:rPr>
      </w:pPr>
      <w:r w:rsidRPr="003937E8">
        <w:rPr>
          <w:rStyle w:val="DHHSbodyChar"/>
        </w:rPr>
        <w:t>Independent review and accreditation against the department’s Human Services Standards, unless exempted</w:t>
      </w:r>
    </w:p>
    <w:p w:rsidR="00E4392E" w:rsidRPr="003937E8" w:rsidRDefault="00E4392E" w:rsidP="003937E8">
      <w:pPr>
        <w:pStyle w:val="DHHSbullet1"/>
        <w:rPr>
          <w:rStyle w:val="DHHSbodyChar"/>
        </w:rPr>
      </w:pPr>
      <w:r w:rsidRPr="003937E8">
        <w:rPr>
          <w:rStyle w:val="DHHSbodyChar"/>
        </w:rPr>
        <w:t>Registration under the Children, Youth and Families Act 2005</w:t>
      </w:r>
    </w:p>
    <w:p w:rsidR="00E4392E" w:rsidRPr="003937E8" w:rsidRDefault="00E4392E" w:rsidP="003937E8">
      <w:pPr>
        <w:pStyle w:val="DHHSbullet1"/>
        <w:rPr>
          <w:rStyle w:val="DHHSbodyChar"/>
        </w:rPr>
      </w:pPr>
      <w:r w:rsidRPr="003937E8">
        <w:rPr>
          <w:rStyle w:val="DHHSbodyChar"/>
        </w:rPr>
        <w:t>Registration under the Disability Act 2006</w:t>
      </w:r>
    </w:p>
    <w:p w:rsidR="00FA3628" w:rsidRPr="001F3DE2" w:rsidRDefault="00FA3628" w:rsidP="003937E8">
      <w:pPr>
        <w:pStyle w:val="Heading2"/>
      </w:pPr>
      <w:r w:rsidRPr="001F3DE2">
        <w:t xml:space="preserve">4b. Program requirements and other policy guidelines </w:t>
      </w:r>
    </w:p>
    <w:bookmarkStart w:id="2" w:name="_Toc421023841"/>
    <w:bookmarkStart w:id="3" w:name="_Toc475953722"/>
    <w:bookmarkStart w:id="4" w:name="_Toc477437702"/>
    <w:bookmarkStart w:id="5" w:name="_Toc529373787"/>
    <w:p w:rsidR="00C91DEE" w:rsidRDefault="003937E8" w:rsidP="00E4392E">
      <w:pPr>
        <w:pStyle w:val="DHHSbullet1"/>
      </w:pPr>
      <w:r w:rsidRPr="003937E8">
        <w:rPr>
          <w:color w:val="7030A0"/>
        </w:rPr>
        <w:fldChar w:fldCharType="begin"/>
      </w:r>
      <w:r w:rsidRPr="003937E8">
        <w:rPr>
          <w:color w:val="7030A0"/>
        </w:rPr>
        <w:instrText xml:space="preserve"> HYPERLINK "https://providers.dhhs.vic.gov.au/leaving-care" </w:instrText>
      </w:r>
      <w:r w:rsidRPr="003937E8">
        <w:rPr>
          <w:color w:val="7030A0"/>
        </w:rPr>
        <w:fldChar w:fldCharType="separate"/>
      </w:r>
      <w:r w:rsidR="00E4392E" w:rsidRPr="003937E8">
        <w:rPr>
          <w:rStyle w:val="Hyperlink"/>
          <w:color w:val="7030A0"/>
        </w:rPr>
        <w:t>Commonwealth transitioning to independence from out-of-home care</w:t>
      </w:r>
      <w:r w:rsidRPr="003937E8">
        <w:rPr>
          <w:color w:val="7030A0"/>
        </w:rPr>
        <w:fldChar w:fldCharType="end"/>
      </w:r>
      <w:r w:rsidR="00E4392E">
        <w:t xml:space="preserve"> </w:t>
      </w:r>
    </w:p>
    <w:p w:rsidR="00E4392E" w:rsidRDefault="003937E8" w:rsidP="00E4392E">
      <w:pPr>
        <w:pStyle w:val="DHHSbullet1"/>
      </w:pPr>
      <w:r>
        <w:t>&lt;</w:t>
      </w:r>
      <w:r w:rsidRPr="003937E8">
        <w:t xml:space="preserve">https://providers.dhhs.vic.gov.au/leaving-care </w:t>
      </w:r>
      <w:r w:rsidR="00E4392E">
        <w:t>&gt;</w:t>
      </w:r>
    </w:p>
    <w:p w:rsidR="00C91DEE" w:rsidRPr="00C91DEE" w:rsidRDefault="003072AB" w:rsidP="00E4392E">
      <w:pPr>
        <w:pStyle w:val="DHHSbullet1"/>
      </w:pPr>
      <w:hyperlink r:id="rId12" w:history="1">
        <w:r w:rsidR="00E4392E" w:rsidRPr="003937E8">
          <w:rPr>
            <w:rStyle w:val="Hyperlink"/>
            <w:color w:val="7030A0"/>
          </w:rPr>
          <w:t>Department of Health and Human Services Management response to inhalant use</w:t>
        </w:r>
      </w:hyperlink>
      <w:r w:rsidR="00E4392E" w:rsidRPr="003937E8">
        <w:rPr>
          <w:color w:val="7030A0"/>
        </w:rPr>
        <w:t xml:space="preserve"> </w:t>
      </w:r>
    </w:p>
    <w:p w:rsidR="00E4392E" w:rsidRDefault="003937E8" w:rsidP="00C91DEE">
      <w:pPr>
        <w:pStyle w:val="DHHSbullet1"/>
        <w:numPr>
          <w:ilvl w:val="0"/>
          <w:numId w:val="0"/>
        </w:numPr>
        <w:ind w:left="284"/>
      </w:pPr>
      <w:r>
        <w:t>&lt;</w:t>
      </w:r>
      <w:r w:rsidRPr="003937E8">
        <w:t xml:space="preserve">https://www2.health.vic.gov.au/about/publications/researchandreports/management-response-to-inhalant-use-guidelines </w:t>
      </w:r>
      <w:r w:rsidR="00E4392E">
        <w:t>&gt;</w:t>
      </w:r>
    </w:p>
    <w:p w:rsidR="00C91DEE" w:rsidRDefault="003072AB" w:rsidP="00E4392E">
      <w:pPr>
        <w:pStyle w:val="DHHSbullet1"/>
      </w:pPr>
      <w:hyperlink r:id="rId13" w:history="1">
        <w:r w:rsidR="00E4392E" w:rsidRPr="003072AB">
          <w:rPr>
            <w:rStyle w:val="Hyperlink"/>
          </w:rPr>
          <w:t>Program requirements for residential care service</w:t>
        </w:r>
        <w:r w:rsidR="00E4392E" w:rsidRPr="003072AB">
          <w:rPr>
            <w:rStyle w:val="Hyperlink"/>
          </w:rPr>
          <w:t>s</w:t>
        </w:r>
        <w:r w:rsidR="00E4392E" w:rsidRPr="003072AB">
          <w:rPr>
            <w:rStyle w:val="Hyperlink"/>
          </w:rPr>
          <w:t xml:space="preserve"> in Victoria</w:t>
        </w:r>
      </w:hyperlink>
      <w:r w:rsidR="00E4392E">
        <w:t xml:space="preserve"> </w:t>
      </w:r>
    </w:p>
    <w:p w:rsidR="00E4392E" w:rsidRDefault="00E4392E" w:rsidP="00C91DEE">
      <w:pPr>
        <w:pStyle w:val="DHHSbullet1"/>
        <w:numPr>
          <w:ilvl w:val="0"/>
          <w:numId w:val="0"/>
        </w:numPr>
        <w:ind w:left="284"/>
      </w:pPr>
      <w:r>
        <w:t>&lt;</w:t>
      </w:r>
      <w:r w:rsidR="003072AB" w:rsidRPr="003072AB">
        <w:t xml:space="preserve"> </w:t>
      </w:r>
      <w:r w:rsidR="003072AB" w:rsidRPr="003072AB">
        <w:t>https://providers.dhhs.vic.gov.au/program-requirements-out-home-care-services</w:t>
      </w:r>
      <w:r w:rsidR="003072AB">
        <w:t xml:space="preserve"> </w:t>
      </w:r>
      <w:r>
        <w:t>&gt;</w:t>
      </w:r>
    </w:p>
    <w:p w:rsidR="00973933" w:rsidRDefault="003072AB" w:rsidP="00E4392E">
      <w:pPr>
        <w:pStyle w:val="DHHSbullet1"/>
      </w:pPr>
      <w:hyperlink r:id="rId14" w:history="1">
        <w:r w:rsidR="00E4392E" w:rsidRPr="003937E8">
          <w:rPr>
            <w:rStyle w:val="Hyperlink"/>
            <w:color w:val="7030A0"/>
          </w:rPr>
          <w:t>Care and transition planning for young people leaving care framework</w:t>
        </w:r>
      </w:hyperlink>
      <w:r w:rsidR="00E4392E" w:rsidRPr="003937E8">
        <w:rPr>
          <w:color w:val="7030A0"/>
        </w:rPr>
        <w:t xml:space="preserve"> </w:t>
      </w:r>
      <w:r w:rsidR="00E4392E">
        <w:t>&lt;</w:t>
      </w:r>
      <w:r w:rsidR="00072274" w:rsidRPr="00072274">
        <w:t>https://providers.dhhs.vic.gov.au/leaving-care-planning</w:t>
      </w:r>
      <w:r w:rsidR="00072274">
        <w:t xml:space="preserve"> </w:t>
      </w:r>
      <w:r w:rsidR="00E4392E">
        <w:t>&gt;</w:t>
      </w:r>
    </w:p>
    <w:p w:rsidR="00575BC9" w:rsidRPr="00575BC9" w:rsidRDefault="00DF6BAF" w:rsidP="009A395B">
      <w:pPr>
        <w:pStyle w:val="Heading1"/>
      </w:pPr>
      <w:r>
        <w:t>5</w:t>
      </w:r>
      <w:r w:rsidR="00575BC9">
        <w:t xml:space="preserve">. </w:t>
      </w:r>
      <w:bookmarkEnd w:id="2"/>
      <w:bookmarkEnd w:id="3"/>
      <w:bookmarkEnd w:id="4"/>
      <w:bookmarkEnd w:id="5"/>
      <w:r w:rsidR="0017293C">
        <w:t>Performance</w:t>
      </w:r>
    </w:p>
    <w:p w:rsidR="00575BC9" w:rsidRPr="001F1A17" w:rsidRDefault="00E05E8D" w:rsidP="003937E8">
      <w:pPr>
        <w:pStyle w:val="DHHSbody"/>
      </w:pPr>
      <w:r>
        <w:t>Funding is subject to</w:t>
      </w:r>
      <w:r w:rsidR="0017293C">
        <w:t xml:space="preserve"> achieving</w:t>
      </w:r>
      <w:r>
        <w:t xml:space="preserve"> the</w:t>
      </w:r>
      <w:r w:rsidR="00575BC9" w:rsidRPr="00171F04">
        <w:t xml:space="preserve"> </w:t>
      </w:r>
      <w:r w:rsidR="00895643">
        <w:t xml:space="preserve">performance </w:t>
      </w:r>
      <w:r>
        <w:t xml:space="preserve">targets </w:t>
      </w:r>
      <w:r w:rsidR="00895643">
        <w:t xml:space="preserve">specified in </w:t>
      </w:r>
      <w:r w:rsidR="00575BC9">
        <w:t>Schedule 2 of the Service Agreement</w:t>
      </w:r>
      <w:r w:rsidR="00895643">
        <w:t>.</w:t>
      </w:r>
      <w:r w:rsidR="006C7A1F">
        <w:t xml:space="preserve"> </w:t>
      </w:r>
      <w:r>
        <w:t xml:space="preserve">Performance is measured as follows:  </w:t>
      </w:r>
    </w:p>
    <w:p w:rsidR="00575BC9" w:rsidRPr="000E2F2F" w:rsidRDefault="00E05E8D" w:rsidP="003937E8">
      <w:pPr>
        <w:pStyle w:val="Heading2"/>
        <w:rPr>
          <w:color w:val="FF0000"/>
        </w:rPr>
      </w:pPr>
      <w:r>
        <w:t>Key performance measure</w:t>
      </w:r>
      <w:r w:rsidR="00A21BDA">
        <w:t xml:space="preserve"> 1 </w:t>
      </w:r>
      <w:r w:rsidR="00E4392E" w:rsidRPr="00E4392E">
        <w:t>Number of clients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E4392E" w:rsidRPr="00C237A0" w:rsidTr="003937E8">
        <w:trPr>
          <w:cantSplit/>
          <w:trHeight w:hRule="exact" w:val="780"/>
        </w:trPr>
        <w:tc>
          <w:tcPr>
            <w:tcW w:w="2835" w:type="dxa"/>
          </w:tcPr>
          <w:p w:rsidR="00E4392E" w:rsidRPr="0017293C" w:rsidRDefault="00E4392E" w:rsidP="0017293C">
            <w:pPr>
              <w:pStyle w:val="DHHStablecolhead"/>
            </w:pPr>
            <w:r w:rsidRPr="00575BC9">
              <w:t>Aim/objective</w:t>
            </w:r>
          </w:p>
        </w:tc>
        <w:tc>
          <w:tcPr>
            <w:tcW w:w="7379" w:type="dxa"/>
          </w:tcPr>
          <w:p w:rsidR="00E4392E" w:rsidRPr="0060705B" w:rsidRDefault="00E4392E" w:rsidP="00503DE8">
            <w:pPr>
              <w:pStyle w:val="DHHStabletext"/>
            </w:pPr>
            <w:r w:rsidRPr="0060705B">
              <w:t>The aim of this performance measure is to identify the number of young people engaged in Springboard during the reporting period.</w:t>
            </w:r>
          </w:p>
        </w:tc>
      </w:tr>
      <w:tr w:rsidR="00B8690F" w:rsidRPr="00C237A0" w:rsidTr="003937E8">
        <w:trPr>
          <w:cantSplit/>
          <w:trHeight w:hRule="exact" w:val="340"/>
        </w:trPr>
        <w:tc>
          <w:tcPr>
            <w:tcW w:w="2835" w:type="dxa"/>
          </w:tcPr>
          <w:p w:rsidR="00B8690F" w:rsidRPr="0017293C" w:rsidRDefault="00B8690F" w:rsidP="0017293C">
            <w:pPr>
              <w:pStyle w:val="DHHStablecolhead"/>
            </w:pPr>
            <w:r w:rsidRPr="00575BC9">
              <w:t>Target</w:t>
            </w:r>
          </w:p>
        </w:tc>
        <w:tc>
          <w:tcPr>
            <w:tcW w:w="7379" w:type="dxa"/>
          </w:tcPr>
          <w:p w:rsidR="00B8690F" w:rsidRPr="002F7C4B" w:rsidRDefault="00B8690F" w:rsidP="0017293C">
            <w:pPr>
              <w:pStyle w:val="DHHSbody"/>
              <w:spacing w:after="0"/>
              <w:rPr>
                <w:color w:val="7030A0"/>
              </w:rPr>
            </w:pPr>
            <w:r>
              <w:t>The performance measure target is provided in the Service Agreement.</w:t>
            </w:r>
          </w:p>
        </w:tc>
      </w:tr>
      <w:tr w:rsidR="00B8690F" w:rsidRPr="00C237A0" w:rsidTr="003937E8">
        <w:trPr>
          <w:cantSplit/>
          <w:trHeight w:hRule="exact" w:val="340"/>
        </w:trPr>
        <w:tc>
          <w:tcPr>
            <w:tcW w:w="2835" w:type="dxa"/>
          </w:tcPr>
          <w:p w:rsidR="00B8690F" w:rsidRPr="0017293C" w:rsidRDefault="00B8690F" w:rsidP="0017293C">
            <w:pPr>
              <w:pStyle w:val="DHHStablecolhead"/>
            </w:pPr>
            <w:r w:rsidRPr="00575BC9">
              <w:t>Type of count</w:t>
            </w:r>
          </w:p>
        </w:tc>
        <w:tc>
          <w:tcPr>
            <w:tcW w:w="7379" w:type="dxa"/>
          </w:tcPr>
          <w:p w:rsidR="00B8690F" w:rsidRPr="00C237A0" w:rsidRDefault="000C051A" w:rsidP="000C051A">
            <w:pPr>
              <w:pStyle w:val="DHHStabletext"/>
              <w:spacing w:before="0" w:after="0"/>
            </w:pPr>
            <w:r>
              <w:rPr>
                <w:color w:val="7030A0"/>
              </w:rPr>
              <w:fldChar w:fldCharType="begin">
                <w:ffData>
                  <w:name w:val=""/>
                  <w:enabled/>
                  <w:calcOnExit w:val="0"/>
                  <w:checkBox>
                    <w:sizeAuto/>
                    <w:default w:val="0"/>
                  </w:checkBox>
                </w:ffData>
              </w:fldChar>
            </w:r>
            <w:r>
              <w:rPr>
                <w:color w:val="7030A0"/>
              </w:rPr>
              <w:instrText xml:space="preserve"> FORMCHECKBOX </w:instrText>
            </w:r>
            <w:r w:rsidR="003072AB">
              <w:rPr>
                <w:color w:val="7030A0"/>
              </w:rPr>
            </w:r>
            <w:r w:rsidR="003072AB">
              <w:rPr>
                <w:color w:val="7030A0"/>
              </w:rPr>
              <w:fldChar w:fldCharType="separate"/>
            </w:r>
            <w:r>
              <w:rPr>
                <w:color w:val="7030A0"/>
              </w:rPr>
              <w:fldChar w:fldCharType="end"/>
            </w:r>
            <w:r w:rsidR="00B8690F">
              <w:rPr>
                <w:color w:val="7030A0"/>
              </w:rPr>
              <w:t xml:space="preserve"> </w:t>
            </w:r>
            <w:r w:rsidR="00B8690F">
              <w:t xml:space="preserve">Cumulative          </w:t>
            </w:r>
            <w:r>
              <w:rPr>
                <w:color w:val="7030A0"/>
              </w:rPr>
              <w:fldChar w:fldCharType="begin">
                <w:ffData>
                  <w:name w:val="Check2"/>
                  <w:enabled/>
                  <w:calcOnExit w:val="0"/>
                  <w:checkBox>
                    <w:sizeAuto/>
                    <w:default w:val="1"/>
                  </w:checkBox>
                </w:ffData>
              </w:fldChar>
            </w:r>
            <w:bookmarkStart w:id="6" w:name="Check2"/>
            <w:r>
              <w:rPr>
                <w:color w:val="7030A0"/>
              </w:rPr>
              <w:instrText xml:space="preserve"> FORMCHECKBOX </w:instrText>
            </w:r>
            <w:r w:rsidR="003072AB">
              <w:rPr>
                <w:color w:val="7030A0"/>
              </w:rPr>
            </w:r>
            <w:r w:rsidR="003072AB">
              <w:rPr>
                <w:color w:val="7030A0"/>
              </w:rPr>
              <w:fldChar w:fldCharType="separate"/>
            </w:r>
            <w:r>
              <w:rPr>
                <w:color w:val="7030A0"/>
              </w:rPr>
              <w:fldChar w:fldCharType="end"/>
            </w:r>
            <w:bookmarkEnd w:id="6"/>
            <w:r w:rsidR="00B8690F">
              <w:rPr>
                <w:color w:val="7030A0"/>
              </w:rPr>
              <w:t xml:space="preserve"> </w:t>
            </w:r>
            <w:r w:rsidR="00B8690F">
              <w:t>Non-cumulative</w:t>
            </w:r>
          </w:p>
        </w:tc>
      </w:tr>
      <w:tr w:rsidR="00E4392E" w:rsidRPr="00C237A0" w:rsidTr="003937E8">
        <w:trPr>
          <w:cantSplit/>
          <w:trHeight w:hRule="exact" w:val="1852"/>
        </w:trPr>
        <w:tc>
          <w:tcPr>
            <w:tcW w:w="2835" w:type="dxa"/>
          </w:tcPr>
          <w:p w:rsidR="00E4392E" w:rsidRPr="0017293C" w:rsidRDefault="00E4392E" w:rsidP="0017293C">
            <w:pPr>
              <w:pStyle w:val="DHHStablecolhead"/>
            </w:pPr>
            <w:r w:rsidRPr="00575BC9">
              <w:t>Counting rule</w:t>
            </w:r>
          </w:p>
        </w:tc>
        <w:tc>
          <w:tcPr>
            <w:tcW w:w="7379" w:type="dxa"/>
          </w:tcPr>
          <w:p w:rsidR="00E4392E" w:rsidRDefault="00E4392E" w:rsidP="00503DE8">
            <w:pPr>
              <w:pStyle w:val="DHHStabletext"/>
            </w:pPr>
            <w:r>
              <w:t>Daily average number of clients is equivalent to the total number of days that services were provided to clients during the reporting period divided by total number of days in the reporting period (reporting period means for this activity monthly or quarterly).</w:t>
            </w:r>
          </w:p>
          <w:p w:rsidR="00E4392E" w:rsidRPr="0060705B" w:rsidRDefault="00E4392E" w:rsidP="00503DE8">
            <w:pPr>
              <w:pStyle w:val="DHHStabletext"/>
            </w:pPr>
            <w:r w:rsidRPr="004E2C97">
              <w:t>Count the number of young people (new and ongoing) engaged in Springboard during the reporting period.</w:t>
            </w:r>
          </w:p>
        </w:tc>
      </w:tr>
      <w:tr w:rsidR="00E4392E" w:rsidRPr="00C237A0" w:rsidTr="003937E8">
        <w:trPr>
          <w:cantSplit/>
          <w:trHeight w:hRule="exact" w:val="722"/>
        </w:trPr>
        <w:tc>
          <w:tcPr>
            <w:tcW w:w="2835" w:type="dxa"/>
          </w:tcPr>
          <w:p w:rsidR="00E4392E" w:rsidRPr="0017293C" w:rsidRDefault="00E4392E" w:rsidP="0017293C">
            <w:pPr>
              <w:pStyle w:val="DHHStablecolhead"/>
            </w:pPr>
            <w:r w:rsidRPr="00575BC9">
              <w:t>Data source(s) collection</w:t>
            </w:r>
          </w:p>
        </w:tc>
        <w:tc>
          <w:tcPr>
            <w:tcW w:w="7379" w:type="dxa"/>
          </w:tcPr>
          <w:p w:rsidR="00E4392E" w:rsidRPr="0060705B" w:rsidRDefault="00E4392E" w:rsidP="00503DE8">
            <w:pPr>
              <w:pStyle w:val="DHHStabletext"/>
            </w:pPr>
            <w:r>
              <w:t>Service delivery tracking</w:t>
            </w:r>
          </w:p>
        </w:tc>
      </w:tr>
      <w:tr w:rsidR="00E4392E" w:rsidRPr="00C237A0" w:rsidTr="003937E8">
        <w:trPr>
          <w:cantSplit/>
          <w:trHeight w:hRule="exact" w:val="639"/>
        </w:trPr>
        <w:tc>
          <w:tcPr>
            <w:tcW w:w="2835" w:type="dxa"/>
          </w:tcPr>
          <w:p w:rsidR="00E4392E" w:rsidRPr="0017293C" w:rsidRDefault="00E4392E" w:rsidP="0017293C">
            <w:pPr>
              <w:pStyle w:val="DHHStablecolhead"/>
            </w:pPr>
            <w:r w:rsidRPr="00575BC9">
              <w:t>Definition of terms</w:t>
            </w:r>
          </w:p>
        </w:tc>
        <w:tc>
          <w:tcPr>
            <w:tcW w:w="7379" w:type="dxa"/>
          </w:tcPr>
          <w:p w:rsidR="00E4392E" w:rsidRPr="0060705B" w:rsidRDefault="00E4392E" w:rsidP="00503DE8">
            <w:pPr>
              <w:pStyle w:val="DHHStabletext"/>
            </w:pPr>
            <w:r w:rsidRPr="0060705B">
              <w:t>Clients are defined as young people</w:t>
            </w:r>
            <w:r>
              <w:t xml:space="preserve"> aged</w:t>
            </w:r>
            <w:r w:rsidRPr="0060705B">
              <w:t xml:space="preserve"> 16</w:t>
            </w:r>
            <w:r>
              <w:t>–</w:t>
            </w:r>
            <w:r w:rsidRPr="0060705B">
              <w:t>2</w:t>
            </w:r>
            <w:r>
              <w:t>1</w:t>
            </w:r>
            <w:r w:rsidRPr="0060705B">
              <w:t xml:space="preserve"> years</w:t>
            </w:r>
            <w:r>
              <w:t xml:space="preserve"> old</w:t>
            </w:r>
            <w:r w:rsidRPr="0060705B">
              <w:t xml:space="preserve"> receiving Springboard support. </w:t>
            </w:r>
          </w:p>
        </w:tc>
      </w:tr>
    </w:tbl>
    <w:p w:rsidR="00575BC9" w:rsidRPr="00575BC9" w:rsidRDefault="00DF6BAF" w:rsidP="009A395B">
      <w:pPr>
        <w:pStyle w:val="Heading1"/>
      </w:pPr>
      <w:r>
        <w:t>6</w:t>
      </w:r>
      <w:r w:rsidR="00575BC9">
        <w:t>. Data collection</w:t>
      </w:r>
    </w:p>
    <w:p w:rsidR="00575BC9" w:rsidRDefault="00A11FC5" w:rsidP="003937E8">
      <w:pPr>
        <w:pStyle w:val="DHHSbody"/>
      </w:pPr>
      <w:r>
        <w:t>The r</w:t>
      </w:r>
      <w:r w:rsidR="0087683C">
        <w:t>eporting requirements for this service</w:t>
      </w:r>
      <w:r>
        <w:t xml:space="preserv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575BC9" w:rsidRPr="00045493" w:rsidTr="00E51804">
        <w:trPr>
          <w:trHeight w:hRule="exact" w:val="340"/>
          <w:tblHeader/>
        </w:trPr>
        <w:tc>
          <w:tcPr>
            <w:tcW w:w="2580" w:type="dxa"/>
            <w:vAlign w:val="center"/>
          </w:tcPr>
          <w:p w:rsidR="00575BC9" w:rsidRPr="00575BC9" w:rsidRDefault="00575BC9" w:rsidP="0017293C">
            <w:pPr>
              <w:pStyle w:val="DHHStablecolhead"/>
              <w:spacing w:before="0" w:after="0"/>
            </w:pPr>
            <w:r w:rsidRPr="00575BC9">
              <w:lastRenderedPageBreak/>
              <w:t>Data collection name</w:t>
            </w:r>
          </w:p>
        </w:tc>
        <w:tc>
          <w:tcPr>
            <w:tcW w:w="2580" w:type="dxa"/>
            <w:vAlign w:val="center"/>
          </w:tcPr>
          <w:p w:rsidR="00575BC9" w:rsidRPr="00575BC9" w:rsidRDefault="00575BC9" w:rsidP="0017293C">
            <w:pPr>
              <w:pStyle w:val="DHHStablecolhead"/>
              <w:spacing w:before="0" w:after="0"/>
            </w:pPr>
            <w:r w:rsidRPr="00575BC9">
              <w:t xml:space="preserve">Data system </w:t>
            </w:r>
          </w:p>
        </w:tc>
        <w:tc>
          <w:tcPr>
            <w:tcW w:w="2580" w:type="dxa"/>
            <w:vAlign w:val="center"/>
          </w:tcPr>
          <w:p w:rsidR="00575BC9" w:rsidRPr="00575BC9" w:rsidRDefault="00575BC9" w:rsidP="0017293C">
            <w:pPr>
              <w:pStyle w:val="DHHStablecolhead"/>
              <w:spacing w:before="0" w:after="0"/>
            </w:pPr>
            <w:r w:rsidRPr="00575BC9">
              <w:t xml:space="preserve">Data set </w:t>
            </w:r>
          </w:p>
        </w:tc>
        <w:tc>
          <w:tcPr>
            <w:tcW w:w="2508" w:type="dxa"/>
            <w:vAlign w:val="center"/>
          </w:tcPr>
          <w:p w:rsidR="00575BC9" w:rsidRPr="00575BC9" w:rsidRDefault="00575BC9" w:rsidP="0017293C">
            <w:pPr>
              <w:pStyle w:val="DHHStablecolhead"/>
              <w:spacing w:before="0" w:after="0"/>
            </w:pPr>
            <w:r w:rsidRPr="00575BC9">
              <w:t>Reporting cycle</w:t>
            </w:r>
          </w:p>
        </w:tc>
      </w:tr>
      <w:tr w:rsidR="00E4392E" w:rsidRPr="00C237A0" w:rsidTr="00503DE8">
        <w:trPr>
          <w:trHeight w:val="20"/>
        </w:trPr>
        <w:tc>
          <w:tcPr>
            <w:tcW w:w="2580" w:type="dxa"/>
          </w:tcPr>
          <w:p w:rsidR="00E4392E" w:rsidRPr="00A576F5" w:rsidDel="00326E44" w:rsidRDefault="00E4392E" w:rsidP="00503DE8">
            <w:pPr>
              <w:pStyle w:val="DHHStabletext"/>
              <w:rPr>
                <w:rFonts w:cs="Arial"/>
              </w:rPr>
            </w:pPr>
            <w:r w:rsidRPr="00A576F5">
              <w:rPr>
                <w:rFonts w:cs="Arial"/>
              </w:rPr>
              <w:t xml:space="preserve">Service </w:t>
            </w:r>
            <w:r w:rsidRPr="00D11CA0">
              <w:rPr>
                <w:rFonts w:cs="Arial"/>
              </w:rPr>
              <w:t xml:space="preserve">delivery tracking </w:t>
            </w:r>
            <w:r w:rsidRPr="00A576F5">
              <w:rPr>
                <w:rFonts w:cs="Arial"/>
              </w:rPr>
              <w:t>(SDT)</w:t>
            </w:r>
          </w:p>
        </w:tc>
        <w:tc>
          <w:tcPr>
            <w:tcW w:w="2580" w:type="dxa"/>
          </w:tcPr>
          <w:p w:rsidR="00E4392E" w:rsidRPr="00A47BC8" w:rsidRDefault="00E4392E" w:rsidP="00503DE8">
            <w:pPr>
              <w:pStyle w:val="DHHStabletext"/>
              <w:rPr>
                <w:rFonts w:cs="Arial"/>
              </w:rPr>
            </w:pPr>
            <w:r w:rsidRPr="00A47BC8">
              <w:rPr>
                <w:rFonts w:cs="Arial"/>
              </w:rPr>
              <w:t>FAC/SAMS2</w:t>
            </w:r>
          </w:p>
        </w:tc>
        <w:tc>
          <w:tcPr>
            <w:tcW w:w="2580" w:type="dxa"/>
          </w:tcPr>
          <w:p w:rsidR="00E4392E" w:rsidRPr="00BD3072" w:rsidRDefault="00E4392E" w:rsidP="00503DE8">
            <w:pPr>
              <w:pStyle w:val="DHHStabletext"/>
              <w:rPr>
                <w:rFonts w:cs="Arial"/>
              </w:rPr>
            </w:pPr>
            <w:r>
              <w:rPr>
                <w:rFonts w:cs="Arial"/>
              </w:rPr>
              <w:t>SAMS2/</w:t>
            </w:r>
            <w:r w:rsidRPr="00BD3072">
              <w:rPr>
                <w:rFonts w:cs="Arial"/>
              </w:rPr>
              <w:t>Service delivery tracking data set</w:t>
            </w:r>
          </w:p>
        </w:tc>
        <w:tc>
          <w:tcPr>
            <w:tcW w:w="2508" w:type="dxa"/>
          </w:tcPr>
          <w:p w:rsidR="00E4392E" w:rsidRPr="00A47BC8" w:rsidRDefault="00E4392E" w:rsidP="00503DE8">
            <w:pPr>
              <w:pStyle w:val="DHHStabletext"/>
              <w:rPr>
                <w:rFonts w:cs="Arial"/>
              </w:rPr>
            </w:pPr>
            <w:r w:rsidRPr="00A47BC8">
              <w:rPr>
                <w:rFonts w:cs="Arial"/>
              </w:rPr>
              <w:t>Monthly</w:t>
            </w:r>
          </w:p>
        </w:tc>
      </w:tr>
      <w:tr w:rsidR="00E4392E" w:rsidRPr="00C237A0" w:rsidTr="00503DE8">
        <w:tblPrEx>
          <w:tblLook w:val="01E0" w:firstRow="1" w:lastRow="1" w:firstColumn="1" w:lastColumn="1" w:noHBand="0" w:noVBand="0"/>
        </w:tblPrEx>
        <w:trPr>
          <w:cantSplit/>
          <w:trHeight w:val="20"/>
        </w:trPr>
        <w:tc>
          <w:tcPr>
            <w:tcW w:w="2580" w:type="dxa"/>
          </w:tcPr>
          <w:p w:rsidR="00E4392E" w:rsidRPr="00A576F5" w:rsidRDefault="00E4392E" w:rsidP="00503DE8">
            <w:pPr>
              <w:pStyle w:val="DHHStabletext"/>
              <w:rPr>
                <w:rFonts w:cs="Arial"/>
              </w:rPr>
            </w:pPr>
            <w:r>
              <w:rPr>
                <w:rFonts w:cs="Arial"/>
              </w:rPr>
              <w:t>Springboard data return</w:t>
            </w:r>
          </w:p>
        </w:tc>
        <w:tc>
          <w:tcPr>
            <w:tcW w:w="2580" w:type="dxa"/>
          </w:tcPr>
          <w:p w:rsidR="00E4392E" w:rsidRPr="00A47BC8" w:rsidRDefault="00E4392E" w:rsidP="00503DE8">
            <w:pPr>
              <w:pStyle w:val="DHHStabletext"/>
              <w:rPr>
                <w:rFonts w:cs="Arial"/>
              </w:rPr>
            </w:pPr>
            <w:r>
              <w:rPr>
                <w:rFonts w:cs="Arial"/>
              </w:rPr>
              <w:t>Springboard</w:t>
            </w:r>
          </w:p>
        </w:tc>
        <w:tc>
          <w:tcPr>
            <w:tcW w:w="2580" w:type="dxa"/>
          </w:tcPr>
          <w:p w:rsidR="00E4392E" w:rsidRDefault="00E4392E" w:rsidP="00503DE8">
            <w:pPr>
              <w:pStyle w:val="DHHStabletext"/>
              <w:rPr>
                <w:rFonts w:cs="Arial"/>
              </w:rPr>
            </w:pPr>
            <w:r>
              <w:rPr>
                <w:rFonts w:cs="Arial"/>
              </w:rPr>
              <w:t>Progressive outcomes</w:t>
            </w:r>
          </w:p>
        </w:tc>
        <w:tc>
          <w:tcPr>
            <w:tcW w:w="2508" w:type="dxa"/>
          </w:tcPr>
          <w:p w:rsidR="00E4392E" w:rsidRPr="00A47BC8" w:rsidRDefault="00E4392E" w:rsidP="00503DE8">
            <w:pPr>
              <w:pStyle w:val="DHHStabletext"/>
              <w:rPr>
                <w:rFonts w:cs="Arial"/>
              </w:rPr>
            </w:pPr>
            <w:r>
              <w:rPr>
                <w:rFonts w:cs="Arial"/>
              </w:rPr>
              <w:t>Monthly</w:t>
            </w:r>
          </w:p>
        </w:tc>
      </w:tr>
      <w:bookmarkEnd w:id="1"/>
    </w:tbl>
    <w:p w:rsidR="006C7A1F" w:rsidRDefault="006C7A1F" w:rsidP="00AA3CA8">
      <w:pPr>
        <w:rPr>
          <w:sz w:val="4"/>
          <w:szCs w:val="4"/>
        </w:rPr>
      </w:pPr>
    </w:p>
    <w:p w:rsidR="006C7A1F" w:rsidRDefault="006C7A1F" w:rsidP="00AA3CA8">
      <w:pPr>
        <w:rPr>
          <w:sz w:val="4"/>
          <w:szCs w:val="4"/>
        </w:rPr>
      </w:pPr>
    </w:p>
    <w:p w:rsidR="009A395B" w:rsidRDefault="009A395B" w:rsidP="009A395B">
      <w:pPr>
        <w:pStyle w:val="Heading1"/>
        <w:numPr>
          <w:ilvl w:val="0"/>
          <w:numId w:val="0"/>
        </w:numPr>
      </w:pPr>
      <w:r>
        <w:t>7. Service redevelopment</w:t>
      </w:r>
    </w:p>
    <w:p w:rsidR="009A395B" w:rsidRPr="00C17901" w:rsidRDefault="000B51E4" w:rsidP="009A395B">
      <w:pPr>
        <w:rPr>
          <w:rFonts w:ascii="Calibri" w:hAnsi="Calibri"/>
        </w:rPr>
      </w:pPr>
      <w:r>
        <w:t xml:space="preserve">As </w:t>
      </w:r>
      <w:r w:rsidR="009A395B">
        <w:t>of November 2019, services funded under this activity have been transferred to new activities introduced in 2019. This activity is being retained until the end of the 2019-20 funding cycle.</w:t>
      </w:r>
    </w:p>
    <w:p w:rsidR="006C7A1F" w:rsidRDefault="006C7A1F" w:rsidP="00AA3CA8">
      <w:pPr>
        <w:rPr>
          <w:sz w:val="4"/>
          <w:szCs w:val="4"/>
        </w:rPr>
      </w:pPr>
    </w:p>
    <w:p w:rsidR="000667DA" w:rsidRDefault="000667DA" w:rsidP="00AA3CA8">
      <w:pPr>
        <w:rPr>
          <w:sz w:val="4"/>
          <w:szCs w:val="4"/>
        </w:rPr>
      </w:pPr>
    </w:p>
    <w:p w:rsidR="000667DA" w:rsidRDefault="000667DA" w:rsidP="00AA3CA8">
      <w:pPr>
        <w:rPr>
          <w:sz w:val="4"/>
          <w:szCs w:val="4"/>
        </w:rPr>
      </w:pPr>
    </w:p>
    <w:p w:rsidR="006C7A1F" w:rsidRDefault="006C7A1F" w:rsidP="00AA3CA8">
      <w:pPr>
        <w:rPr>
          <w:sz w:val="4"/>
          <w:szCs w:val="4"/>
        </w:rPr>
      </w:pPr>
    </w:p>
    <w:p w:rsidR="006C7A1F" w:rsidRPr="006C7A1F" w:rsidRDefault="006C7A1F" w:rsidP="00AA3CA8">
      <w:pPr>
        <w:rPr>
          <w:sz w:val="4"/>
          <w:szCs w:val="4"/>
        </w:rPr>
      </w:pPr>
    </w:p>
    <w:tbl>
      <w:tblPr>
        <w:tblW w:w="5000" w:type="pct"/>
        <w:tblInd w:w="113" w:type="dxa"/>
        <w:tblCellMar>
          <w:top w:w="113" w:type="dxa"/>
          <w:bottom w:w="57" w:type="dxa"/>
        </w:tblCellMar>
        <w:tblLook w:val="00A0" w:firstRow="1" w:lastRow="0" w:firstColumn="1" w:lastColumn="0" w:noHBand="0" w:noVBand="0"/>
      </w:tblPr>
      <w:tblGrid>
        <w:gridCol w:w="10194"/>
      </w:tblGrid>
      <w:tr w:rsidR="006A7939" w:rsidRPr="002802E3" w:rsidTr="008544B6">
        <w:trPr>
          <w:cantSplit/>
        </w:trPr>
        <w:tc>
          <w:tcPr>
            <w:tcW w:w="5000" w:type="pct"/>
            <w:tcBorders>
              <w:top w:val="single" w:sz="4" w:space="0" w:color="auto"/>
              <w:left w:val="single" w:sz="4" w:space="0" w:color="auto"/>
              <w:bottom w:val="single" w:sz="4" w:space="0" w:color="auto"/>
              <w:right w:val="single" w:sz="4" w:space="0" w:color="auto"/>
            </w:tcBorders>
            <w:vAlign w:val="bottom"/>
          </w:tcPr>
          <w:p w:rsidR="008544B6" w:rsidRDefault="008544B6" w:rsidP="008544B6">
            <w:pPr>
              <w:pStyle w:val="DHHSaccessibilitypara"/>
            </w:pPr>
            <w:r>
              <w:t xml:space="preserve">To receive this publication in an accessible format </w:t>
            </w:r>
            <w:hyperlink r:id="rId15" w:history="1">
              <w:r>
                <w:rPr>
                  <w:rStyle w:val="Hyperlink"/>
                </w:rPr>
                <w:t>email Service Agreement Policy</w:t>
              </w:r>
            </w:hyperlink>
            <w:r>
              <w:t xml:space="preserve"> &lt;</w:t>
            </w:r>
            <w:hyperlink r:id="rId16" w:history="1">
              <w:r>
                <w:rPr>
                  <w:rStyle w:val="Hyperlink"/>
                </w:rPr>
                <w:t>sapolicy@dhhs.vic.gov.au</w:t>
              </w:r>
            </w:hyperlink>
            <w:r>
              <w:t>&gt;</w:t>
            </w:r>
          </w:p>
          <w:p w:rsidR="008544B6" w:rsidRDefault="008544B6" w:rsidP="008544B6">
            <w:pPr>
              <w:pStyle w:val="DHHSbody"/>
              <w:rPr>
                <w:sz w:val="16"/>
                <w:szCs w:val="16"/>
              </w:rPr>
            </w:pPr>
            <w:r>
              <w:rPr>
                <w:sz w:val="16"/>
                <w:szCs w:val="16"/>
              </w:rPr>
              <w:t xml:space="preserve">Authorised and published by the Victorian Government, 1 Treasury Place, Melbourne. © State of Victoria, Department of Health and Human Services, </w:t>
            </w:r>
            <w:r w:rsidR="000317EF">
              <w:rPr>
                <w:sz w:val="16"/>
                <w:szCs w:val="16"/>
              </w:rPr>
              <w:t>November</w:t>
            </w:r>
            <w:r>
              <w:rPr>
                <w:sz w:val="16"/>
                <w:szCs w:val="16"/>
              </w:rPr>
              <w:t xml:space="preserve"> 2019. Where the term ‘Aboriginal’ is used it refers to both Aboriginal and Torres Strait Islander people. Indigenous is retained when it is part of the title of a report, program or quotation. ISSN 2207-8347 (online/PDF/Word)</w:t>
            </w:r>
          </w:p>
          <w:p w:rsidR="006A7939" w:rsidRPr="00CA4422" w:rsidRDefault="008544B6" w:rsidP="008544B6">
            <w:pPr>
              <w:pStyle w:val="DHHSbody"/>
              <w:spacing w:line="240" w:lineRule="auto"/>
            </w:pPr>
            <w:r>
              <w:t xml:space="preserve">Available on the department’s </w:t>
            </w:r>
            <w:hyperlink r:id="rId17" w:history="1">
              <w:r>
                <w:rPr>
                  <w:rStyle w:val="Hyperlink"/>
                </w:rPr>
                <w:t>Health and human services activity search</w:t>
              </w:r>
            </w:hyperlink>
            <w:r>
              <w:t xml:space="preserve"> &lt;</w:t>
            </w:r>
            <w:r w:rsidRPr="003072AB">
              <w:rPr>
                <w:lang w:eastAsia="en-AU"/>
              </w:rPr>
              <w:t>http://providers.dhhs.vic.gov.au/health-human-se</w:t>
            </w:r>
            <w:bookmarkStart w:id="7" w:name="_GoBack"/>
            <w:bookmarkEnd w:id="7"/>
            <w:r w:rsidRPr="003072AB">
              <w:rPr>
                <w:lang w:eastAsia="en-AU"/>
              </w:rPr>
              <w:t>rvices-activity-search</w:t>
            </w:r>
            <w:r>
              <w:rPr>
                <w:color w:val="000000"/>
                <w:lang w:eastAsia="en-AU"/>
              </w:rPr>
              <w:t>&gt;</w:t>
            </w:r>
          </w:p>
        </w:tc>
      </w:tr>
    </w:tbl>
    <w:p w:rsidR="000918C3" w:rsidRPr="006C7A1F" w:rsidRDefault="000918C3" w:rsidP="006C7A1F">
      <w:pPr>
        <w:rPr>
          <w:sz w:val="2"/>
          <w:szCs w:val="2"/>
          <w:lang w:eastAsia="en-US"/>
        </w:rPr>
      </w:pPr>
    </w:p>
    <w:sectPr w:rsidR="000918C3" w:rsidRPr="006C7A1F"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756" w:rsidRDefault="000D3756">
      <w:r>
        <w:separator/>
      </w:r>
    </w:p>
  </w:endnote>
  <w:endnote w:type="continuationSeparator" w:id="0">
    <w:p w:rsidR="000D3756" w:rsidRDefault="000D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457807" w:rsidP="0051568D">
    <w:pPr>
      <w:pStyle w:val="DHHSfooter"/>
    </w:pPr>
    <w:r>
      <w:rPr>
        <w:noProof/>
        <w:lang w:eastAsia="en-AU"/>
      </w:rPr>
      <w:drawing>
        <wp:anchor distT="0" distB="0" distL="114300" distR="114300" simplePos="0" relativeHeight="251657728" behindDoc="0" locked="1" layoutInCell="0" allowOverlap="1" wp14:anchorId="343D3F97" wp14:editId="2CBD4498">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0B706E" w:rsidP="0051568D">
    <w:pPr>
      <w:pStyle w:val="DHHSfooter"/>
    </w:pPr>
    <w:r w:rsidRPr="000B706E">
      <w:t xml:space="preserve">Activity </w:t>
    </w:r>
    <w:proofErr w:type="gramStart"/>
    <w:r w:rsidRPr="000B706E">
      <w:t>description</w:t>
    </w:r>
    <w:r>
      <w:t>(</w:t>
    </w:r>
    <w:proofErr w:type="gramEnd"/>
    <w:r w:rsidRPr="000B706E">
      <w:t>human services</w:t>
    </w:r>
    <w:r>
      <w:t xml:space="preserve">) </w:t>
    </w:r>
    <w:r w:rsidRPr="000B706E">
      <w:t>Springboard(leaving care)-31421</w:t>
    </w:r>
    <w:r w:rsidR="000317EF">
      <w:t>(2)</w:t>
    </w:r>
    <w:r w:rsidR="009D70A4" w:rsidRPr="00A11421">
      <w:tab/>
    </w:r>
    <w:r w:rsidR="009D70A4" w:rsidRPr="00A11421">
      <w:fldChar w:fldCharType="begin"/>
    </w:r>
    <w:r w:rsidR="009D70A4" w:rsidRPr="00A11421">
      <w:instrText xml:space="preserve"> PAGE </w:instrText>
    </w:r>
    <w:r w:rsidR="009D70A4" w:rsidRPr="00A11421">
      <w:fldChar w:fldCharType="separate"/>
    </w:r>
    <w:r w:rsidR="00E4392E">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756" w:rsidRDefault="000D3756" w:rsidP="002862F1">
      <w:pPr>
        <w:spacing w:before="120"/>
      </w:pPr>
      <w:r>
        <w:separator/>
      </w:r>
    </w:p>
  </w:footnote>
  <w:footnote w:type="continuationSeparator" w:id="0">
    <w:p w:rsidR="000D3756" w:rsidRDefault="000D3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C8A36DA"/>
    <w:multiLevelType w:val="hybridMultilevel"/>
    <w:tmpl w:val="DBC80D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E719CF"/>
    <w:multiLevelType w:val="hybridMultilevel"/>
    <w:tmpl w:val="D0609268"/>
    <w:lvl w:ilvl="0" w:tplc="273EBCF2">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1" w15:restartNumberingAfterBreak="0">
    <w:nsid w:val="4EB2364E"/>
    <w:multiLevelType w:val="hybridMultilevel"/>
    <w:tmpl w:val="89420D52"/>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8CC4B67"/>
    <w:multiLevelType w:val="hybridMultilevel"/>
    <w:tmpl w:val="02641E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6910D84"/>
    <w:multiLevelType w:val="hybridMultilevel"/>
    <w:tmpl w:val="7F72DF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14"/>
  </w:num>
  <w:num w:numId="10">
    <w:abstractNumId w:val="17"/>
  </w:num>
  <w:num w:numId="11">
    <w:abstractNumId w:val="8"/>
  </w:num>
  <w:num w:numId="12">
    <w:abstractNumId w:val="9"/>
  </w:num>
  <w:num w:numId="13">
    <w:abstractNumId w:val="5"/>
  </w:num>
  <w:num w:numId="14">
    <w:abstractNumId w:val="15"/>
  </w:num>
  <w:num w:numId="15">
    <w:abstractNumId w:val="2"/>
  </w:num>
  <w:num w:numId="16">
    <w:abstractNumId w:val="11"/>
  </w:num>
  <w:num w:numId="17">
    <w:abstractNumId w:val="10"/>
  </w:num>
  <w:num w:numId="18">
    <w:abstractNumId w:val="16"/>
  </w:num>
  <w:num w:numId="19">
    <w:abstractNumId w:val="4"/>
  </w:num>
  <w:num w:numId="20">
    <w:abstractNumId w:val="13"/>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25A2"/>
    <w:rsid w:val="000072B6"/>
    <w:rsid w:val="0001021B"/>
    <w:rsid w:val="00011D89"/>
    <w:rsid w:val="000214DC"/>
    <w:rsid w:val="00024D89"/>
    <w:rsid w:val="000250B6"/>
    <w:rsid w:val="000317EF"/>
    <w:rsid w:val="00033D81"/>
    <w:rsid w:val="00041BF0"/>
    <w:rsid w:val="0004536B"/>
    <w:rsid w:val="00046B68"/>
    <w:rsid w:val="000527DD"/>
    <w:rsid w:val="000578B2"/>
    <w:rsid w:val="00060959"/>
    <w:rsid w:val="000663CD"/>
    <w:rsid w:val="000667DA"/>
    <w:rsid w:val="00072274"/>
    <w:rsid w:val="000733FE"/>
    <w:rsid w:val="00074219"/>
    <w:rsid w:val="00074ED5"/>
    <w:rsid w:val="0009038C"/>
    <w:rsid w:val="0009113B"/>
    <w:rsid w:val="000918C3"/>
    <w:rsid w:val="00094DA3"/>
    <w:rsid w:val="00096CD1"/>
    <w:rsid w:val="000A012C"/>
    <w:rsid w:val="000A0EB9"/>
    <w:rsid w:val="000A186C"/>
    <w:rsid w:val="000B23FD"/>
    <w:rsid w:val="000B51E4"/>
    <w:rsid w:val="000B543D"/>
    <w:rsid w:val="000B5BF7"/>
    <w:rsid w:val="000B6BC8"/>
    <w:rsid w:val="000B706E"/>
    <w:rsid w:val="000C051A"/>
    <w:rsid w:val="000C42EA"/>
    <w:rsid w:val="000C4546"/>
    <w:rsid w:val="000D1242"/>
    <w:rsid w:val="000D3756"/>
    <w:rsid w:val="000E1740"/>
    <w:rsid w:val="000E3CC7"/>
    <w:rsid w:val="000E6BD4"/>
    <w:rsid w:val="000F1F1E"/>
    <w:rsid w:val="000F2259"/>
    <w:rsid w:val="0010392D"/>
    <w:rsid w:val="0010447F"/>
    <w:rsid w:val="00104FE3"/>
    <w:rsid w:val="00120AF7"/>
    <w:rsid w:val="00120BD3"/>
    <w:rsid w:val="00121D8F"/>
    <w:rsid w:val="00122FEA"/>
    <w:rsid w:val="001232BD"/>
    <w:rsid w:val="00124ED5"/>
    <w:rsid w:val="00137F97"/>
    <w:rsid w:val="001447B3"/>
    <w:rsid w:val="00144F49"/>
    <w:rsid w:val="00152073"/>
    <w:rsid w:val="00161939"/>
    <w:rsid w:val="00161AA0"/>
    <w:rsid w:val="00162093"/>
    <w:rsid w:val="0017293C"/>
    <w:rsid w:val="001771DD"/>
    <w:rsid w:val="00177995"/>
    <w:rsid w:val="00177A8C"/>
    <w:rsid w:val="00186B33"/>
    <w:rsid w:val="00192F9D"/>
    <w:rsid w:val="00195590"/>
    <w:rsid w:val="00196EB8"/>
    <w:rsid w:val="001979FF"/>
    <w:rsid w:val="00197B17"/>
    <w:rsid w:val="001A3ACE"/>
    <w:rsid w:val="001C1970"/>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2664"/>
    <w:rsid w:val="002A483C"/>
    <w:rsid w:val="002B1729"/>
    <w:rsid w:val="002B3651"/>
    <w:rsid w:val="002B4DD4"/>
    <w:rsid w:val="002B5277"/>
    <w:rsid w:val="002B5375"/>
    <w:rsid w:val="002B77C1"/>
    <w:rsid w:val="002C2728"/>
    <w:rsid w:val="002D1AA5"/>
    <w:rsid w:val="002D5006"/>
    <w:rsid w:val="002E01D0"/>
    <w:rsid w:val="002E161D"/>
    <w:rsid w:val="002E3100"/>
    <w:rsid w:val="002E6C95"/>
    <w:rsid w:val="002E7C36"/>
    <w:rsid w:val="002F5F31"/>
    <w:rsid w:val="002F5F46"/>
    <w:rsid w:val="002F7C4B"/>
    <w:rsid w:val="00302216"/>
    <w:rsid w:val="003033EA"/>
    <w:rsid w:val="00303DF6"/>
    <w:rsid w:val="00303E53"/>
    <w:rsid w:val="00306E5F"/>
    <w:rsid w:val="003072AB"/>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937E8"/>
    <w:rsid w:val="003956CC"/>
    <w:rsid w:val="00395C9A"/>
    <w:rsid w:val="003A6B67"/>
    <w:rsid w:val="003B15E6"/>
    <w:rsid w:val="003C2045"/>
    <w:rsid w:val="003C43A1"/>
    <w:rsid w:val="003C4FC0"/>
    <w:rsid w:val="003C542D"/>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64412"/>
    <w:rsid w:val="0047372D"/>
    <w:rsid w:val="004743DD"/>
    <w:rsid w:val="00474CEA"/>
    <w:rsid w:val="00483968"/>
    <w:rsid w:val="00484F86"/>
    <w:rsid w:val="00490746"/>
    <w:rsid w:val="00490852"/>
    <w:rsid w:val="00492F30"/>
    <w:rsid w:val="004946F4"/>
    <w:rsid w:val="0049487E"/>
    <w:rsid w:val="00496A43"/>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2FE9"/>
    <w:rsid w:val="00543903"/>
    <w:rsid w:val="00543F11"/>
    <w:rsid w:val="00547A95"/>
    <w:rsid w:val="005620F5"/>
    <w:rsid w:val="00572031"/>
    <w:rsid w:val="005754D4"/>
    <w:rsid w:val="00575BC9"/>
    <w:rsid w:val="00576E84"/>
    <w:rsid w:val="00582B8C"/>
    <w:rsid w:val="0058757E"/>
    <w:rsid w:val="005938E5"/>
    <w:rsid w:val="00596A4B"/>
    <w:rsid w:val="00597507"/>
    <w:rsid w:val="005B21B6"/>
    <w:rsid w:val="005B384F"/>
    <w:rsid w:val="005B3A08"/>
    <w:rsid w:val="005B7A63"/>
    <w:rsid w:val="005C0955"/>
    <w:rsid w:val="005C49DA"/>
    <w:rsid w:val="005C50F3"/>
    <w:rsid w:val="005C5D91"/>
    <w:rsid w:val="005C7CBC"/>
    <w:rsid w:val="005D0013"/>
    <w:rsid w:val="005D07B8"/>
    <w:rsid w:val="005D6597"/>
    <w:rsid w:val="005E14E7"/>
    <w:rsid w:val="005E26A3"/>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44C7"/>
    <w:rsid w:val="006557A7"/>
    <w:rsid w:val="00656290"/>
    <w:rsid w:val="006621D7"/>
    <w:rsid w:val="0066302A"/>
    <w:rsid w:val="00670597"/>
    <w:rsid w:val="006706D0"/>
    <w:rsid w:val="00673455"/>
    <w:rsid w:val="00677574"/>
    <w:rsid w:val="0068454C"/>
    <w:rsid w:val="006900A9"/>
    <w:rsid w:val="00691B62"/>
    <w:rsid w:val="00693D14"/>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C0F0C"/>
    <w:rsid w:val="007C20B9"/>
    <w:rsid w:val="007C7301"/>
    <w:rsid w:val="007C7859"/>
    <w:rsid w:val="007D2932"/>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37E6"/>
    <w:rsid w:val="008338A2"/>
    <w:rsid w:val="008370FF"/>
    <w:rsid w:val="00841AA9"/>
    <w:rsid w:val="00853EE4"/>
    <w:rsid w:val="008544B6"/>
    <w:rsid w:val="00855535"/>
    <w:rsid w:val="0086255E"/>
    <w:rsid w:val="008633F0"/>
    <w:rsid w:val="00867D9D"/>
    <w:rsid w:val="0087116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0537"/>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73933"/>
    <w:rsid w:val="009853E1"/>
    <w:rsid w:val="00986E6B"/>
    <w:rsid w:val="00991769"/>
    <w:rsid w:val="00994386"/>
    <w:rsid w:val="009A13D8"/>
    <w:rsid w:val="009A279E"/>
    <w:rsid w:val="009A395B"/>
    <w:rsid w:val="009B0A6F"/>
    <w:rsid w:val="009B0A94"/>
    <w:rsid w:val="009B59E9"/>
    <w:rsid w:val="009B70AA"/>
    <w:rsid w:val="009C7A7E"/>
    <w:rsid w:val="009C7AC8"/>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9F7CFC"/>
    <w:rsid w:val="00A0057A"/>
    <w:rsid w:val="00A11421"/>
    <w:rsid w:val="00A11FC5"/>
    <w:rsid w:val="00A157B1"/>
    <w:rsid w:val="00A20D71"/>
    <w:rsid w:val="00A21BDA"/>
    <w:rsid w:val="00A22229"/>
    <w:rsid w:val="00A44882"/>
    <w:rsid w:val="00A46210"/>
    <w:rsid w:val="00A54715"/>
    <w:rsid w:val="00A6061C"/>
    <w:rsid w:val="00A62D44"/>
    <w:rsid w:val="00A67263"/>
    <w:rsid w:val="00A7161C"/>
    <w:rsid w:val="00A77AA3"/>
    <w:rsid w:val="00A842F2"/>
    <w:rsid w:val="00A8547B"/>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4AE8"/>
    <w:rsid w:val="00B62B50"/>
    <w:rsid w:val="00B635B7"/>
    <w:rsid w:val="00B63AE8"/>
    <w:rsid w:val="00B65950"/>
    <w:rsid w:val="00B66D83"/>
    <w:rsid w:val="00B672C0"/>
    <w:rsid w:val="00B70F76"/>
    <w:rsid w:val="00B7459A"/>
    <w:rsid w:val="00B75535"/>
    <w:rsid w:val="00B75646"/>
    <w:rsid w:val="00B8690F"/>
    <w:rsid w:val="00B90729"/>
    <w:rsid w:val="00B907DA"/>
    <w:rsid w:val="00B950BC"/>
    <w:rsid w:val="00B95825"/>
    <w:rsid w:val="00B960B6"/>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15686"/>
    <w:rsid w:val="00C27201"/>
    <w:rsid w:val="00C27DE9"/>
    <w:rsid w:val="00C33388"/>
    <w:rsid w:val="00C35484"/>
    <w:rsid w:val="00C4173A"/>
    <w:rsid w:val="00C602FF"/>
    <w:rsid w:val="00C61174"/>
    <w:rsid w:val="00C6148F"/>
    <w:rsid w:val="00C62F7A"/>
    <w:rsid w:val="00C63B9C"/>
    <w:rsid w:val="00C65CA8"/>
    <w:rsid w:val="00C6682F"/>
    <w:rsid w:val="00C7275E"/>
    <w:rsid w:val="00C74C5D"/>
    <w:rsid w:val="00C77250"/>
    <w:rsid w:val="00C863C4"/>
    <w:rsid w:val="00C91DEE"/>
    <w:rsid w:val="00C93C3E"/>
    <w:rsid w:val="00CA12E3"/>
    <w:rsid w:val="00CA4422"/>
    <w:rsid w:val="00CA6611"/>
    <w:rsid w:val="00CA6AE6"/>
    <w:rsid w:val="00CA782F"/>
    <w:rsid w:val="00CC0C72"/>
    <w:rsid w:val="00CC2BFD"/>
    <w:rsid w:val="00CC3FB0"/>
    <w:rsid w:val="00CD3476"/>
    <w:rsid w:val="00CD64DF"/>
    <w:rsid w:val="00CF2F50"/>
    <w:rsid w:val="00CF58D2"/>
    <w:rsid w:val="00CF6A3E"/>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3308"/>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68C7"/>
    <w:rsid w:val="00DF6BAF"/>
    <w:rsid w:val="00DF731A"/>
    <w:rsid w:val="00E05E8D"/>
    <w:rsid w:val="00E170DC"/>
    <w:rsid w:val="00E26818"/>
    <w:rsid w:val="00E27FFC"/>
    <w:rsid w:val="00E30B15"/>
    <w:rsid w:val="00E327EB"/>
    <w:rsid w:val="00E36CFE"/>
    <w:rsid w:val="00E40181"/>
    <w:rsid w:val="00E437CE"/>
    <w:rsid w:val="00E4392E"/>
    <w:rsid w:val="00E51804"/>
    <w:rsid w:val="00E53D0C"/>
    <w:rsid w:val="00E56A01"/>
    <w:rsid w:val="00E629A1"/>
    <w:rsid w:val="00E71591"/>
    <w:rsid w:val="00E7434A"/>
    <w:rsid w:val="00E82C55"/>
    <w:rsid w:val="00E92AC3"/>
    <w:rsid w:val="00EA4E6D"/>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3133"/>
    <w:rsid w:val="00F76CAB"/>
    <w:rsid w:val="00F772C6"/>
    <w:rsid w:val="00F815B5"/>
    <w:rsid w:val="00F85195"/>
    <w:rsid w:val="00F87FCF"/>
    <w:rsid w:val="00F922BE"/>
    <w:rsid w:val="00F93281"/>
    <w:rsid w:val="00F938BA"/>
    <w:rsid w:val="00FA2C46"/>
    <w:rsid w:val="00FA3525"/>
    <w:rsid w:val="00FA3628"/>
    <w:rsid w:val="00FB4CDA"/>
    <w:rsid w:val="00FC0F81"/>
    <w:rsid w:val="00FC395C"/>
    <w:rsid w:val="00FD3766"/>
    <w:rsid w:val="00FD47C4"/>
    <w:rsid w:val="00FE2DCF"/>
    <w:rsid w:val="00FE3FB8"/>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5:docId w15:val="{11AE95DA-ECE5-4B09-83F3-417AB49E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9A395B"/>
    <w:pPr>
      <w:keepNext/>
      <w:keepLines/>
      <w:numPr>
        <w:numId w:val="21"/>
      </w:numPr>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3937E8"/>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A395B"/>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3937E8"/>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paragraph" w:customStyle="1" w:styleId="DHSTableText">
    <w:name w:val="DHS Table Text"/>
    <w:rsid w:val="000E1740"/>
    <w:pPr>
      <w:spacing w:before="80" w:after="60"/>
    </w:pPr>
    <w:rPr>
      <w:rFonts w:ascii="Arial" w:hAnsi="Arial"/>
      <w:lang w:eastAsia="en-US"/>
    </w:rPr>
  </w:style>
  <w:style w:type="numbering" w:customStyle="1" w:styleId="Bullets">
    <w:name w:val="Bullets"/>
    <w:rsid w:val="00C77250"/>
    <w:pPr>
      <w:numPr>
        <w:numId w:val="17"/>
      </w:numPr>
    </w:pPr>
  </w:style>
  <w:style w:type="character" w:styleId="PlaceholderText">
    <w:name w:val="Placeholder Text"/>
    <w:semiHidden/>
    <w:rsid w:val="00973933"/>
    <w:rPr>
      <w:rFonts w:cs="Times New Roman"/>
      <w:color w:val="808080"/>
    </w:rPr>
  </w:style>
  <w:style w:type="paragraph" w:styleId="Revision">
    <w:name w:val="Revision"/>
    <w:hidden/>
    <w:uiPriority w:val="71"/>
    <w:rsid w:val="00FE3FB8"/>
    <w:rPr>
      <w:rFonts w:ascii="Arial" w:hAnsi="Arial"/>
    </w:rPr>
  </w:style>
  <w:style w:type="character" w:styleId="UnresolvedMention">
    <w:name w:val="Unresolved Mention"/>
    <w:basedOn w:val="DefaultParagraphFont"/>
    <w:uiPriority w:val="99"/>
    <w:semiHidden/>
    <w:unhideWhenUsed/>
    <w:rsid w:val="00393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81363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9052874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viders.dhhs.vic.gov.au/program-requirements-out-home-care-service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2.health.vic.gov.au/about/publications/researchandreports/management-response-to-inhalant-use-guidelines" TargetMode="External"/><Relationship Id="rId17" Type="http://schemas.openxmlformats.org/officeDocument/2006/relationships/hyperlink" Target="http://providers.dhhs.vic.gov.au/health-human-services-activity-search" TargetMode="External"/><Relationship Id="rId2" Type="http://schemas.openxmlformats.org/officeDocument/2006/relationships/numbering" Target="numbering.xml"/><Relationship Id="rId16" Type="http://schemas.openxmlformats.org/officeDocument/2006/relationships/hyperlink" Target="mailto:sapolicy@dhhs.vic.gov.a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policy@dhhs.vic.gov.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leaving-care-planning"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1273CAE-B301-441E-AB10-18674883E65C}">
  <ds:schemaRefs>
    <ds:schemaRef ds:uri="http://schemas.openxmlformats.org/officeDocument/2006/bibliography"/>
  </ds:schemaRefs>
</ds:datastoreItem>
</file>

<file path=customXml/itemProps2.xml><?xml version="1.0" encoding="utf-8"?>
<ds:datastoreItem xmlns:ds="http://schemas.openxmlformats.org/officeDocument/2006/customXml" ds:itemID="{27623AF6-BD78-4167-A771-5EBE7DBDD074}"/>
</file>

<file path=customXml/itemProps3.xml><?xml version="1.0" encoding="utf-8"?>
<ds:datastoreItem xmlns:ds="http://schemas.openxmlformats.org/officeDocument/2006/customXml" ds:itemID="{92940BA4-0D2F-4145-8DE4-65A4E685AACB}"/>
</file>

<file path=customXml/itemProps4.xml><?xml version="1.0" encoding="utf-8"?>
<ds:datastoreItem xmlns:ds="http://schemas.openxmlformats.org/officeDocument/2006/customXml" ds:itemID="{FEE94F4E-041C-4B97-B889-672427C7E363}"/>
</file>

<file path=docProps/app.xml><?xml version="1.0" encoding="utf-8"?>
<Properties xmlns="http://schemas.openxmlformats.org/officeDocument/2006/extended-properties" xmlns:vt="http://schemas.openxmlformats.org/officeDocument/2006/docPropsVTypes">
  <Template>DHHS Factsheet 01 Navy 2765.dot</Template>
  <TotalTime>18</TotalTime>
  <Pages>3</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Activity description human services  Springboard(leaving care)-31421</vt:lpstr>
    </vt:vector>
  </TitlesOfParts>
  <Company>Department of Health and Human Services</Company>
  <LinksUpToDate>false</LinksUpToDate>
  <CharactersWithSpaces>6548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human services  Springboard(leaving care)-31421</dc:title>
  <dc:subject>service agreement activity descriptions</dc:subject>
  <dc:creator>Service Agreement Policy unit</dc:creator>
  <cp:keywords>service agreement;Activity description;human services;Child Protection and Family Services;Springboard(leaving care);31421</cp:keywords>
  <cp:lastModifiedBy>Sarah Luscombe (DHHS)</cp:lastModifiedBy>
  <cp:revision>3</cp:revision>
  <cp:lastPrinted>2019-01-08T23:20:00Z</cp:lastPrinted>
  <dcterms:created xsi:type="dcterms:W3CDTF">2019-11-20T05:20:00Z</dcterms:created>
  <dcterms:modified xsi:type="dcterms:W3CDTF">2019-11-20T22:28:00Z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