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numbering" Target="numbering.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providers.dffh.vic.gov.au/families-fairness-housing-health-activity-search" TargetMode="Externa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s://www2.health.vic.gov.au/alcohol-and-drugs/aod-service-standards-guidelines/aod-program-guidelines" TargetMode="External"/><Relationship Id="rId5" Type="http://schemas.openxmlformats.org/officeDocument/2006/relationships/theme" Target="theme/theme1.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841FC86C-58EF-445B-93D5-EA420B3C8196}"/>
</file>

<file path=customXml/itemProps2.xml><?xml version="1.0" encoding="utf-8"?>
<ds:datastoreItem xmlns:ds="http://schemas.openxmlformats.org/officeDocument/2006/customXml" ds:itemID="{3E12103D-29EF-4051-A081-9B43ACF8B545}"/>
</file>

<file path=customXml/itemProps3.xml><?xml version="1.0" encoding="utf-8"?>
<ds:datastoreItem xmlns:ds="http://schemas.openxmlformats.org/officeDocument/2006/customXml" ds:itemID="{B08D3673-0322-4DA6-9F84-42F7B54367F2}"/>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Specialist Pharmacotherapy Program 34047</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left" w:pos="1728"/>
        </w:tabs>
        <w:spacing w:before="100" w:line="288" w:lineRule="auto"/>
        <w:ind w:left="-699"/>
        <w:rPr/>
      </w:pPr>
      <w:r>
        <w:rPr>
          <w:noProof/>
        </w:rPr>
        <w:drawing>
          <wp:inline distT="0" distB="0" distL="0" distR="0">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jc w:val="center"/>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Specialist Pharmacotherapy Program</w:t>
            </w:r>
          </w:p>
          <w:p>
            <w:pPr>
              <w:spacing w:line="560" w:lineRule="atLeast"/>
              <w:rPr>
                <w:rFonts w:ascii="Arial" w:hAnsi="Arial" w:eastAsia="Arial" w:cs="Arial"/>
                <w:color w:val="201547"/>
                <w:sz w:val="44"/>
              </w:rPr>
            </w:pPr>
            <w:r>
              <w:rPr>
                <w:rFonts w:ascii="Arial" w:hAnsi="Arial" w:eastAsia="Arial" w:cs="Arial"/>
                <w:color w:val="201547"/>
                <w:sz w:val="44"/>
              </w:rPr>
              <w:t>34047</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connected to culture and community</w:t>
            </w:r>
          </w:p>
          <w:p>
            <w:pPr>
              <w:spacing w:after="120"/>
              <w:rPr>
                <w:rFonts w:ascii="Arial" w:hAnsi="Arial" w:eastAsia="Arial" w:cs="Arial"/>
                <w:color w:val="201547"/>
                <w:sz w:val="28"/>
              </w:rPr>
            </w:pPr>
            <w:r>
              <w:rPr>
                <w:rFonts w:ascii="Arial" w:hAnsi="Arial" w:eastAsia="Arial" w:cs="Arial"/>
                <w:color w:val="201547"/>
                <w:sz w:val="28"/>
              </w:rPr>
              <w:t>Output group: Drug Services</w:t>
            </w:r>
          </w:p>
          <w:p>
            <w:pPr>
              <w:spacing w:after="120"/>
              <w:rPr>
                <w:rFonts w:ascii="Arial" w:hAnsi="Arial" w:eastAsia="Arial" w:cs="Arial"/>
                <w:color w:val="201547"/>
                <w:sz w:val="28"/>
              </w:rPr>
            </w:pPr>
            <w:r>
              <w:rPr>
                <w:rFonts w:ascii="Arial" w:hAnsi="Arial" w:eastAsia="Arial" w:cs="Arial"/>
                <w:color w:val="201547"/>
                <w:sz w:val="28"/>
              </w:rPr>
              <w:t>Output: Drug Treatment And Rehabilitation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Specialist pharmacotherapy services provide a consultative service to community-based pharmacotherapy prescribers seeking expert opinion about the management of patients with complex issues. Prescribers may also refer complex clients to receive secondary consultations at these services. Five specialist pharmacotherapy services are located through metropolitan Melbourne, however the service is open to all eligible Victorians.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specialist assessment and treatment and stabilisation for people receiving methadone who have complex medical, psychiatric or psychosocial problems and the provision of training and consultancy services for relevant health practitioners.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All Victorians, including metropolitan and regional alcohol and other drug (AOD) users, their families, friends, carers, and the wider community.</w:t>
      </w:r>
      <w:r>
        <w:br/>
      </w:r>
      <w:r>
        <w:rPr>
          <w:rFonts w:ascii="Arial" w:hAnsi="Arial" w:eastAsia="Arial" w:cs="Arial"/>
          <w:color w:val="000000"/>
          <w:sz w:val="20"/>
        </w:rPr>
        <w:t>The target client group is adults and young people on a program whose needs cannot be met solely by their regular pharmacotherapy prescriber. These include clients with:</w:t>
      </w:r>
      <w:r>
        <w:br/>
      </w:r>
      <w:r>
        <w:rPr>
          <w:rFonts w:ascii="Arial" w:hAnsi="Arial" w:eastAsia="Arial" w:cs="Arial"/>
          <w:color w:val="000000"/>
          <w:sz w:val="20"/>
        </w:rPr>
        <w:t>•	unstable psychiatric conditions, including psychosis, depression and personality disorders</w:t>
      </w:r>
      <w:r>
        <w:br/>
      </w:r>
      <w:r>
        <w:rPr>
          <w:rFonts w:ascii="Arial" w:hAnsi="Arial" w:eastAsia="Arial" w:cs="Arial"/>
          <w:color w:val="000000"/>
          <w:sz w:val="20"/>
        </w:rPr>
        <w:t>•	high-risk patterns of substance abuse including significant alcohol, methamphetamine and poly drug use</w:t>
      </w:r>
      <w:r>
        <w:br/>
      </w:r>
      <w:r>
        <w:rPr>
          <w:rFonts w:ascii="Arial" w:hAnsi="Arial" w:eastAsia="Arial" w:cs="Arial"/>
          <w:color w:val="000000"/>
          <w:sz w:val="20"/>
        </w:rPr>
        <w:t>•	challenging behaviours unable to be managed in other community settings</w:t>
      </w:r>
      <w:r>
        <w:br/>
      </w:r>
      <w:r>
        <w:rPr>
          <w:rFonts w:ascii="Arial" w:hAnsi="Arial" w:eastAsia="Arial" w:cs="Arial"/>
          <w:color w:val="000000"/>
          <w:sz w:val="20"/>
        </w:rPr>
        <w:t>•	chronic pain disorders who are abusing licit and illicit opioids</w:t>
      </w:r>
      <w:r>
        <w:br/>
      </w:r>
      <w:r>
        <w:rPr>
          <w:rFonts w:ascii="Arial" w:hAnsi="Arial" w:eastAsia="Arial" w:cs="Arial"/>
          <w:color w:val="000000"/>
          <w:sz w:val="20"/>
        </w:rPr>
        <w:t>•	serious medical conditions such as HIV and hepatitis C.</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Alcohol &amp; Other Drug Program Guidelines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&lt;https://www2.health.vic.gov.au/alcohol-and-drugs/aod-service-standards-guidelines/aod-program-guidelines&gt;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episodes of care</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To ensure that the service provider has delivered the quantity of services recorded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episode of care is a 'course of treatment' where at least one 'significant treatment goal' is achieved by the client, under the care of an alcohol and drug worker.</w:t>
            </w:r>
            <w:r>
              <w:br/>
            </w:r>
            <w:r>
              <w:rPr>
                <w:rFonts w:ascii="Arial" w:hAnsi="Arial" w:eastAsia="Arial" w:cs="Arial"/>
                <w:color w:val="000000"/>
                <w:sz w:val="20"/>
              </w:rPr>
              <w:t>EOCs and their operation are further described in Part 3, Section 4.2 of the AOD program guidelines. These are available on the department’s website. &lt;https://www2.health.vic.gov.au/alcohol-and-drugs/aod-service-standards-guidelines/aod-program-guidelines&gt;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Victorian Alcohol and Drug Collection (VADC) / Alcohol and other drug treatment services national minimum dataset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An Episode of Care (EOC) is a completed course of treatment undertaken by a client under the care of an AOD worker, which achieves at least one significant treatment goal.</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Victorian Alcohol and Drug Collection (VADC) / Alcohol and other drug treatment services national minimum dataset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VADC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3" w:type="dxa"/>
        <w:tblLayout w:type="fixed"/>
        <w:tblCellMar>
          <w:left w:w="0" w:type="dxa"/>
          <w:right w:w="0" w:type="dxa"/>
        </w:tblCellMar>
      </w:tblPr>
      <w:tblGrid>
        <w:gridCol w:w="10312"/>
      </w:tblGrid>
      <w:tr>
        <w:trPr>
          <w:cantSplit/>
        </w:trPr>
        <w:tc>
          <w:tcPr>
            <w:tcW w:w="10312"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To receive this publication in an accessible format, email</w:t>
            </w:r>
            <w:r>
              <w:rPr>
                <w:rFonts w:ascii="Arial" w:hAnsi="Arial" w:eastAsia="Arial" w:cs="Arial"/>
                <w:color w:val="3366FF"/>
                <w:sz w:val="24"/>
              </w:rPr>
              <w:t xml:space="preserve"> 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Authorised and published by the Victorian Government, 1 Treasury Place, Melbourne. © State of Victoria, Department of Health, </w:t>
            </w:r>
            <w:r>
              <w:rPr>
                <w:rFonts w:ascii="Arial" w:hAnsi="Arial" w:eastAsia="Arial" w:cs="Arial"/>
                <w:color w:val="000000"/>
                <w:sz w:val="16"/>
              </w:rPr>
              <w:t>November 2023</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2653-0937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2"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right" w:pos="10314"/>
            </w:tabs>
            <w:spacing w:before="240"/>
            <w:ind w:left="108" w:right="108"/>
            <w:rPr/>
          </w:pPr>
          <w:r>
            <w:rPr>
              <w:noProof/>
            </w:rPr>
            <w:drawing>
              <wp:inline distT="0" distB="0" distL="0" distR="0">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4"/>
    </w:tblGrid>
    <w:tr>
      <w:tc>
        <w:tcPr>
          <w:tcW w:w="3473" w:type="dxa"/>
          <w:shd w:val="clear" w:color="auto" w:fill="FFFFFF"/>
        </w:tcPr>
        <w:p>
          <w:pPr>
            <w:tabs>
              <w:tab w:val="left" w:pos="318"/>
              <w:tab w:val="right" w:pos="10314"/>
            </w:tabs>
            <w:spacing w:before="240"/>
            <w:ind w:left="108" w:right="108"/>
            <w:rPr/>
          </w:pPr>
          <w:r>
            <w:rPr>
              <w:noProof/>
            </w:rPr>
            <w:drawing>
              <wp:inline distT="0" distB="0" distL="0" distR="0">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4" w:type="dxa"/>
          <w:shd w:val="clear" w:color="auto" w:fill="FFFFFF"/>
        </w:tcPr>
        <w:p>
          <w:pPr>
            <w:tabs>
              <w:tab w:val="right" w:pos="10314"/>
            </w:tabs>
            <w:spacing w:before="240"/>
            <w:ind w:left="108" w:right="108"/>
            <w:jc w:val="center"/>
            <w:rPr>
              <w:rFonts w:ascii="Arial" w:hAnsi="Arial" w:eastAsia="Arial" w:cs="Arial"/>
              <w:color w:val="000000"/>
              <w:sz w:val="18"/>
            </w:rPr>
          </w:pPr>
          <w:r>
            <w:rPr>
              <w:rFonts w:ascii="Arial" w:hAnsi="Arial" w:eastAsia="Arial" w:cs="Arial"/>
              <w:color w:val="000000"/>
              <w:sz w:val="18"/>
            </w:rPr>
            <w:t xml:space="preserve">            </w:t>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Drug Services 34047 Specialist Pharmacotherapy Program</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