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Specialised Interventions 31438</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dhhs.vic.gov.au/publications/best-interests-case-practice-model-summary-guide" TargetMode="External"/>
<Relationship Id="rId12" Type="http://schemas.openxmlformats.org/officeDocument/2006/relationships/hyperlink" Target="https://providers.dffh.vic.gov.au/best-interests-framework-vulnerable-children-and-youth-pdf" TargetMode="External"/>
<Relationship Id="rId13" Type="http://schemas.openxmlformats.org/officeDocument/2006/relationships/hyperlink" Target="https://providers.dffh.vic.gov.au/program-requirements-family-and-early-parenting-services-victoria-word" TargetMode="External"/>
<Relationship Id="rId14" Type="http://schemas.openxmlformats.org/officeDocument/2006/relationships/hyperlink" Target="http://www.cpmanual.vic.gov.au" TargetMode="External"/>
<Relationship Id="rId15" Type="http://schemas.openxmlformats.org/officeDocument/2006/relationships/hyperlink" Target="http://providers.dffh.vic.gov.au/practice-guidelines-ndis-and-mainstream-services" TargetMode="External"/>
<Relationship Id="rId16" Type="http://schemas.openxmlformats.org/officeDocument/2006/relationships/hyperlink" Target="file:/F:/Oracle/Middleware/Oracle_Home/user_projects/domains/bi" TargetMode="External"/>
<Relationship Id="rId17" Type="http://schemas.openxmlformats.org/officeDocument/2006/relationships/hyperlink" Target="https://providers.dhhs.vic.gov.au/family-violence-referral-protocol-between-dhhs-family-safety-victoria-and-department-justice-and" TargetMode="External"/>
<Relationship Id="rId18" Type="http://schemas.openxmlformats.org/officeDocument/2006/relationships/hyperlink" Target="mailto:sapolicy@dffh.vic.gov.au" TargetMode="External"/>
<Relationship Id="rId19" Type="http://schemas.openxmlformats.org/officeDocument/2006/relationships/hyperlink" Target="http://providers.dffh.vic.gov.au/families-fairness-housing-health-activity-search" TargetMode="External"/>
<Relationship Id="rId20"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Specialised Interventions</w:t>
            </w:r>
          </w:p>
          <w:p>
            <w:pPr>
              <w:spacing w:line="560" w:lineRule="atLeast"/>
              <w:rPr>
                <w:rFonts w:ascii="Arial" w:hAnsi="Arial" w:eastAsia="Arial" w:cs="Arial"/>
                <w:color w:val="201547"/>
                <w:sz w:val="44"/>
              </w:rPr>
            </w:pPr>
            <w:r>
              <w:rPr>
                <w:rFonts w:ascii="Arial" w:hAnsi="Arial" w:eastAsia="Arial" w:cs="Arial"/>
                <w:color w:val="201547"/>
                <w:sz w:val="44"/>
              </w:rPr>
              <w:t>31438</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have capabilities to participate</w:t>
            </w:r>
          </w:p>
          <w:p>
            <w:pPr>
              <w:spacing w:after="120"/>
              <w:rPr>
                <w:rFonts w:ascii="Arial" w:hAnsi="Arial" w:eastAsia="Arial" w:cs="Arial"/>
                <w:color w:val="201547"/>
                <w:sz w:val="28"/>
              </w:rPr>
            </w:pPr>
            <w:r>
              <w:rPr>
                <w:rFonts w:ascii="Arial" w:hAnsi="Arial" w:eastAsia="Arial" w:cs="Arial"/>
                <w:color w:val="201547"/>
                <w:sz w:val="28"/>
              </w:rPr>
              <w:t>Output group: Child Protection and Family Services</w:t>
            </w:r>
          </w:p>
          <w:p>
            <w:pPr>
              <w:spacing w:after="120"/>
              <w:rPr>
                <w:rFonts w:ascii="Arial" w:hAnsi="Arial" w:eastAsia="Arial" w:cs="Arial"/>
                <w:color w:val="201547"/>
                <w:sz w:val="28"/>
              </w:rPr>
            </w:pPr>
            <w:r>
              <w:rPr>
                <w:rFonts w:ascii="Arial" w:hAnsi="Arial" w:eastAsia="Arial" w:cs="Arial"/>
                <w:color w:val="201547"/>
                <w:sz w:val="28"/>
              </w:rPr>
              <w:t>Output: Family And Community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Specialised Interventions are a function of Child and family services. Child and family services aim to promote the safety, stability, wellbeing, development and cultural safety of vulnerable children, young people and their families (inclusive of unborn children, infants, children, young people, mothers, fathers, parents, siblings, kin, carers, and carer families) and build capacity and resilience for children, families and their communities.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Specialised Interventions provide highly specialised or therapeutic interventions for vulnerable children and their families to promote children’s safety, stability and healthy development.</w:t>
      </w:r>
      <w:r>
        <w:br/>
      </w:r>
      <w:r>
        <w:rPr>
          <w:rFonts w:ascii="Arial" w:hAnsi="Arial" w:eastAsia="Arial" w:cs="Arial"/>
          <w:color w:val="000000"/>
          <w:sz w:val="20"/>
        </w:rPr>
        <w:t>Specialised Interventions include direct client support interventions that are innovative or experimental, or that have a high fixed cost due to the staffing profile or overhead costs, a low number of targets, or otherwise require a funding structure different to that provided by the Individual Child and Family Support activity.</w:t>
      </w:r>
      <w:r>
        <w:br/>
      </w:r>
      <w:r>
        <w:rPr>
          <w:rFonts w:ascii="Arial" w:hAnsi="Arial" w:eastAsia="Arial" w:cs="Arial"/>
          <w:color w:val="000000"/>
          <w:sz w:val="20"/>
        </w:rPr>
        <w:t>The Specialised Interventions sub activities relate to the following services:</w:t>
      </w:r>
      <w:r>
        <w:br/>
      </w:r>
      <w:r>
        <w:rPr>
          <w:rFonts w:ascii="Arial" w:hAnsi="Arial" w:eastAsia="Arial" w:cs="Arial"/>
          <w:color w:val="000000"/>
          <w:sz w:val="20"/>
        </w:rPr>
        <w:t xml:space="preserve">•	Stronger families – In home parenting support. Intensive in-home parenting support services for children aged birth to two years, including an antenatal response. Parenting assessment and skills development services (PASDS) provide up to 180 hours of in-home skill development to parents with children aged 0–2 years of in-home parenting support of 60 hours following an early parenting centre residential stay. This also includes an antenatal response and a post service consultation. Services are designed to be delivered in collaboration with Individual, child and family support aiming to achieve family preservation or reunification. </w:t>
      </w:r>
      <w:r>
        <w:br/>
      </w:r>
      <w:r>
        <w:rPr>
          <w:rFonts w:ascii="Arial" w:hAnsi="Arial" w:eastAsia="Arial" w:cs="Arial"/>
          <w:color w:val="000000"/>
          <w:sz w:val="20"/>
        </w:rPr>
        <w:t xml:space="preserve">•	Stronger families – Therapeutic treatment service. Specialist or clinical therapeutic support to children and families for up to 12 months. It is designed to be delivered in collaboration with Individual, Child and family support aiming to achieve family preservation or reunification. </w:t>
      </w:r>
      <w:r>
        <w:br/>
      </w:r>
      <w:r>
        <w:rPr>
          <w:rFonts w:ascii="Arial" w:hAnsi="Arial" w:eastAsia="Arial" w:cs="Arial"/>
          <w:color w:val="000000"/>
          <w:sz w:val="20"/>
        </w:rPr>
        <w:t xml:space="preserve">•	Stronger families – Finding solutions plus. Adolescent and family mediation, up to 45 hours of mediation and direct support to young people aged 10-15. It is designed to be delivered in collaboration with Individual, child and family support aiming to achieve family preservation or reunification. </w:t>
      </w:r>
      <w:r>
        <w:br/>
      </w:r>
      <w:r>
        <w:rPr>
          <w:rFonts w:ascii="Arial" w:hAnsi="Arial" w:eastAsia="Arial" w:cs="Arial"/>
          <w:color w:val="000000"/>
          <w:sz w:val="20"/>
        </w:rPr>
        <w:t>•	Aboriginal stronger families. An integrated model of case work, intensive specialist supports and flexible funding to vulnerable children and their families, where the child is at imminent risk of placement in out-of-home care (including foster care, residential care and kinship care) for the first time or has entered out-of-home care for the first time, to enable children to remain at home with their parents, or to support their safe return home to their parent’s care.</w:t>
      </w:r>
      <w:r>
        <w:br/>
      </w:r>
      <w:r>
        <w:rPr>
          <w:rFonts w:ascii="Arial" w:hAnsi="Arial" w:eastAsia="Arial" w:cs="Arial"/>
          <w:color w:val="000000"/>
          <w:sz w:val="20"/>
        </w:rPr>
        <w:t xml:space="preserve">•	Placement prevention supervision. This is funded to provide higher intensity supervision for staff that are providing Individual, child and family support aiming to achieve family preservation or reunification. </w:t>
      </w:r>
      <w:r>
        <w:br/>
      </w:r>
      <w:r>
        <w:rPr>
          <w:rFonts w:ascii="Arial" w:hAnsi="Arial" w:eastAsia="Arial" w:cs="Arial"/>
          <w:color w:val="000000"/>
          <w:sz w:val="20"/>
        </w:rPr>
        <w:t xml:space="preserve">•	Testing evidence based programs. Delivery and testing of evidence based programs in Child and family services. </w:t>
      </w:r>
      <w:r>
        <w:br/>
      </w:r>
      <w:r>
        <w:rPr>
          <w:rFonts w:ascii="Arial" w:hAnsi="Arial" w:eastAsia="Arial" w:cs="Arial"/>
          <w:color w:val="000000"/>
          <w:sz w:val="20"/>
        </w:rPr>
        <w:t>•	Family preservation (including Families First and other locally-based services), Aboriginal family preservation and restoration services. These intensive programs work with families over a period of 6–12 weeks, with the aim of achieving family preservation or reunification. The programs provide a comprehensive assessment and intensive, short-term service aimed at strengthening the ability of families to protect and care for their children. Aboriginal family restoration includes a short (often 3 week) residential based program for the whole family.</w:t>
      </w:r>
      <w:r>
        <w:br/>
      </w:r>
      <w:r>
        <w:rPr>
          <w:rFonts w:ascii="Arial" w:hAnsi="Arial" w:eastAsia="Arial" w:cs="Arial"/>
          <w:color w:val="000000"/>
          <w:sz w:val="20"/>
        </w:rPr>
        <w:t>•	 Bushfire recovery Case management, Bushfire recovery Establishment, Bushfire recovery Evaluation, Bushfire recovery Flexible Funding and Bushfire recovery Intake. Funding to support Victoria’s response to the wellbeing needs of people directly affected by bushfire.</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Speciliased Interventions are available to vulnerable children, young people and their families (inclusive of unborn, infants, children, young people, mothers, fathers, parents, siblings, carers, and carer families) accessing support through Individual Child and Family Support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Registration under the Children, Youth and Families Act 2005</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Best Interests Case Practice Model - Summary Guide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&lt;https://dhhs.vic.gov.au/publications/best-interests-case-practice-model-summary-guide&gt;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The Best Interests Framework for Vulnerable Children and Youth</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&lt;https://providers.dffh.vic.gov.au/best-interests-framework-vulnerable-children-and-youth-pdf&gt;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Program requirements for family and early parenting services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&lt;https://providers.dffh.vic.gov.au/program-requirements-family-and-early-parenting-services-victoria-word&gt;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Child Protection Practice Manual</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&lt;http://www.cpmanual.vic.gov.au&gt;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Practice guidelines: NDIS and mainstream services interface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&lt;http://providers.dffh.vic.gov.au/practice-guidelines-ndis-and-mainstream-services&gt;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Family Preservation and Reunification Response - Service Guidelines and Requirements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Family Violence referral protocol between DHHS,Family Safety Victiria and Department of Justice and Regulation and Victoria Police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&lt;https://providers.dhhs.vic.gov.au/family-violence-referral-protocol-between-dhhs-family-safety-victoria-and-department-justice-and&gt;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Daily average number of clients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quantitative information about the number of families receiving a specialist support service each day, averaged over the reference period</w:t>
            </w:r>
            <w:r>
              <w:br/>
            </w:r>
            <w:r>
              <w:rPr>
                <w:rFonts w:ascii="Arial" w:hAnsi="Arial" w:eastAsia="Arial" w:cs="Arial"/>
                <w:color w:val="000000"/>
                <w:sz w:val="20"/>
              </w:rPr>
              <w:t>This performance measure applies to:</w:t>
            </w:r>
            <w:r>
              <w:br/>
            </w:r>
            <w:r>
              <w:rPr>
                <w:rFonts w:ascii="Arial" w:hAnsi="Arial" w:eastAsia="Arial" w:cs="Arial"/>
                <w:color w:val="000000"/>
                <w:sz w:val="20"/>
              </w:rPr>
              <w:t>• Stronger families – ACCOs case work</w:t>
            </w:r>
            <w:r>
              <w:br/>
            </w:r>
            <w:r>
              <w:rPr>
                <w:rFonts w:ascii="Arial" w:hAnsi="Arial" w:eastAsia="Arial" w:cs="Arial"/>
                <w:color w:val="000000"/>
                <w:sz w:val="20"/>
              </w:rPr>
              <w:t>• Stronger families – Therapeutic treatment services</w:t>
            </w:r>
            <w:r>
              <w:br/>
            </w:r>
            <w:r>
              <w:rPr>
                <w:rFonts w:ascii="Arial" w:hAnsi="Arial" w:eastAsia="Arial" w:cs="Arial"/>
                <w:color w:val="000000"/>
                <w:sz w:val="20"/>
              </w:rPr>
              <w:t>• Stronger families – Finding solutions plus</w:t>
            </w:r>
            <w:r>
              <w:br/>
            </w:r>
            <w:r>
              <w:rPr>
                <w:rFonts w:ascii="Arial" w:hAnsi="Arial" w:eastAsia="Arial" w:cs="Arial"/>
                <w:color w:val="000000"/>
                <w:sz w:val="20"/>
              </w:rPr>
              <w:t>• Stronger families –Intensive In-home parenting support</w:t>
            </w:r>
            <w:r>
              <w:br/>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Daily average number of clients refers to open cases where service activity has been recorded during the reference period. </w:t>
            </w:r>
            <w:r>
              <w:br/>
            </w:r>
            <w:r>
              <w:rPr>
                <w:rFonts w:ascii="Arial" w:hAnsi="Arial" w:eastAsia="Arial" w:cs="Arial"/>
                <w:color w:val="000000"/>
                <w:sz w:val="20"/>
              </w:rPr>
              <w:t>Daily average number of clients is calculated by taking the total number of days of service provided during the reference period and dividing it by the number of days in the reference period.</w:t>
            </w:r>
            <w:r>
              <w:br/>
            </w:r>
            <w:r>
              <w:rPr>
                <w:rFonts w:ascii="Arial" w:hAnsi="Arial" w:eastAsia="Arial" w:cs="Arial"/>
                <w:color w:val="000000"/>
                <w:sz w:val="20"/>
              </w:rPr>
              <w:t>For example:</w:t>
            </w:r>
            <w:r>
              <w:br/>
            </w:r>
            <w:r>
              <w:rPr>
                <w:rFonts w:ascii="Arial" w:hAnsi="Arial" w:eastAsia="Arial" w:cs="Arial"/>
                <w:color w:val="000000"/>
                <w:sz w:val="20"/>
              </w:rPr>
              <w:t>During the 30 days of 1 April to 30 April, a total of 150 days of service were provided. This equates to a daily average of five clients.</w:t>
            </w:r>
            <w:r>
              <w:br/>
            </w:r>
            <w:r>
              <w:rPr>
                <w:rFonts w:ascii="Arial" w:hAnsi="Arial" w:eastAsia="Arial" w:cs="Arial"/>
                <w:color w:val="000000"/>
                <w:sz w:val="20"/>
              </w:rPr>
              <w:t>150/30 = 5</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Stronger Families – In Home parenting Support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Stronger Families - Finding solutions plus</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Stronger Families – ACCO</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Stronger families – Therapeutic treatment services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For Specialised Intervention services the client is defined as the family receiving the service.</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new cases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Aim/objective	This performance measure provides information about the number of new cases provided to clients for the following services</w:t>
            </w:r>
            <w:r>
              <w:br/>
            </w:r>
            <w:r>
              <w:rPr>
                <w:rFonts w:ascii="Arial" w:hAnsi="Arial" w:eastAsia="Arial" w:cs="Arial"/>
                <w:color w:val="000000"/>
                <w:sz w:val="20"/>
              </w:rPr>
              <w:t>• Testing evidence based programs</w:t>
            </w:r>
            <w:r>
              <w:br/>
            </w:r>
            <w:r>
              <w:rPr>
                <w:rFonts w:ascii="Arial" w:hAnsi="Arial" w:eastAsia="Arial" w:cs="Arial"/>
                <w:color w:val="000000"/>
                <w:sz w:val="20"/>
              </w:rPr>
              <w:t>• Family preservation services (FPS) (including Families First and other locally- based services)</w:t>
            </w:r>
            <w:r>
              <w:br/>
            </w:r>
            <w:r>
              <w:rPr>
                <w:rFonts w:ascii="Arial" w:hAnsi="Arial" w:eastAsia="Arial" w:cs="Arial"/>
                <w:color w:val="000000"/>
                <w:sz w:val="20"/>
              </w:rPr>
              <w:t xml:space="preserve">• Aboriginal family preservation </w:t>
            </w:r>
            <w:r>
              <w:br/>
            </w:r>
            <w:r>
              <w:rPr>
                <w:rFonts w:ascii="Arial" w:hAnsi="Arial" w:eastAsia="Arial" w:cs="Arial"/>
                <w:color w:val="000000"/>
                <w:sz w:val="20"/>
              </w:rPr>
              <w:t>• Aboriginal family restoration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cases (clients) in the first month of each financial year as cases open at the start of the period, and new cases opened during the period. Count cases in the remaining 11 months of the financial years as new substantive cases opened during the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Testing Evidence Based Programs</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Aboriginal Family Preservation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Aboriginal Family Restoration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Family Preservation Services (including Families First)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Specialised Interventions – ACCO</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For Specialised Intervention services the client is defined as the family receiving the service.</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3: Acquittal on activities and funding</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Stronger Families – In Home parenting Support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IRIS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Family Services SAMS/Service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Stronger Families - Finding solutions plus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CRIS/CRISSP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CRISSP  SAMS/Service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Stronger Families – ACCO</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IRIS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Family Services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Testing Evidence Based Programs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IRIS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Family Services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Aboriginal Family Preservation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IRIS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Family Services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Aboriginal Family Restoration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IRIS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Family Services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Family Preservation Services (including Families First)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IRIS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Family Services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Specialised Interventions – ACCO acquittal template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Acquittal Template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Acquittal template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Specialised Interventions – ACCO</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Family Services (where ACCO delivers direct client support)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Stronger families – Therapeutic treatment services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SAMS/Service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As Required</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000000"/>
                <w:sz w:val="24"/>
              </w:rPr>
            </w:pPr>
            <w:r>
              <w:rPr>
                <w:rFonts w:ascii="Arial" w:hAnsi="Arial" w:eastAsia="Arial" w:cs="Arial"/>
                <w:color w:val="000000"/>
                <w:sz w:val="24"/>
              </w:rPr>
              <w:t xml:space="preserve">To receive this publication in an accessible format </w:t>
            </w:r>
            <w:r>
              <w:rPr>
                <w:rFonts w:ascii="Arial" w:hAnsi="Arial" w:eastAsia="Arial" w:cs="Arial"/>
                <w:color w:val="000000"/>
                <w:sz w:val="20"/>
              </w:rPr>
              <w:t>email</w:t>
            </w:r>
            <w:r>
              <w:rPr>
                <w:rFonts w:ascii="Arial" w:hAnsi="Arial" w:eastAsia="Arial" w:cs="Arial"/>
                <w:color w:val="3366FF"/>
                <w:sz w:val="24"/>
              </w:rPr>
              <w:t xml:space="preserve"> Service Agreement Strategy and Practice</w:t>
            </w:r>
            <w:r>
              <w:rPr>
                <w:rFonts w:ascii="Arial" w:hAnsi="Arial" w:eastAsia="Arial" w:cs="Arial"/>
                <w:color w:val="000000"/>
                <w:sz w:val="24"/>
              </w:rPr>
              <w:t xml:space="preserve"> </w:t>
            </w:r>
            <w:hyperlink r:id="rId18" w:tgtFrame="_blank" w:history="1">
              <w:r>
                <w:rPr>
                  <w:rFonts w:ascii="Arial" w:hAnsi="Arial" w:eastAsia="Arial" w:cs="Arial"/>
                  <w:color w:val="3366FF"/>
                  <w:sz w:val="24"/>
                </w:rPr>
                <w:t>&lt;sapolicy@dffh.vic.gov.au</w:t>
              </w:r>
            </w:hyperlink>
            <w:r>
              <w:rPr>
                <w:rFonts w:ascii="Arial" w:hAnsi="Arial" w:eastAsia="Arial" w:cs="Arial"/>
                <w:color w:val="000000"/>
                <w:sz w:val="24"/>
              </w:rPr>
              <w:t>&gt;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August 2021</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9"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11" w:type="dxa"/>
      <w:tblLayout w:type="fixed"/>
      <w:tblCellMar>
        <w:left w:w="0" w:type="dxa"/>
        <w:right w:w="0" w:type="dxa"/>
      </w:tblCellMar>
    </w:tblPr>
    <w:tblGrid>
      <w:gridCol w:w="3185"/>
      <w:gridCol w:w="3473"/>
      <w:gridCol w:w="3692"/>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1" w:type="dxa"/>
      <w:tblLayout w:type="fixed"/>
      <w:tblCellMar>
        <w:left w:w="0" w:type="dxa"/>
        <w:right w:w="0" w:type="dxa"/>
      </w:tblCellMar>
    </w:tblPr>
    <w:tblGrid>
      <w:gridCol w:w="3185"/>
      <w:gridCol w:w="3473"/>
      <w:gridCol w:w="3473"/>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Child Protection and Family Services 31438 Specialised Interventions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