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D40A3" w14:textId="77777777" w:rsidR="0074696E" w:rsidRPr="004C6EEE" w:rsidRDefault="00457807" w:rsidP="00AD784C">
      <w:pPr>
        <w:pStyle w:val="Spacerparatopoffirstpage"/>
      </w:pPr>
      <w:r>
        <w:rPr>
          <w:lang w:eastAsia="en-AU"/>
        </w:rPr>
        <w:drawing>
          <wp:anchor distT="0" distB="0" distL="114300" distR="114300" simplePos="0" relativeHeight="251657728" behindDoc="1" locked="1" layoutInCell="0" allowOverlap="1" wp14:anchorId="683D410E" wp14:editId="683D410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485" cy="2072640"/>
            <wp:effectExtent l="0" t="0" r="0" b="3810"/>
            <wp:wrapNone/>
            <wp:docPr id="29" name="Picture 29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ecorativ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485" cy="207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3D40A4" w14:textId="77777777" w:rsidR="00A62D44" w:rsidRPr="004C6EEE" w:rsidRDefault="00A62D44" w:rsidP="00D1443D">
      <w:pPr>
        <w:pStyle w:val="Sectionbreakfirstpage"/>
        <w:rPr>
          <w:rFonts w:eastAsia="Times"/>
          <w:noProof/>
          <w:sz w:val="12"/>
        </w:rPr>
        <w:sectPr w:rsidR="00A62D44" w:rsidRPr="004C6EEE" w:rsidSect="00F922BE">
          <w:footerReference w:type="default" r:id="rId12"/>
          <w:pgSz w:w="11906" w:h="16838" w:code="9"/>
          <w:pgMar w:top="426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70"/>
      </w:tblGrid>
      <w:tr w:rsidR="00AD784C" w14:paraId="683D40A6" w14:textId="77777777" w:rsidTr="00DB7977">
        <w:trPr>
          <w:trHeight w:val="839"/>
        </w:trPr>
        <w:tc>
          <w:tcPr>
            <w:tcW w:w="8070" w:type="dxa"/>
            <w:shd w:val="clear" w:color="auto" w:fill="auto"/>
            <w:vAlign w:val="bottom"/>
          </w:tcPr>
          <w:p w14:paraId="683D40A5" w14:textId="439EBF68" w:rsidR="00AD784C" w:rsidRPr="00DE4E5C" w:rsidRDefault="00E17267" w:rsidP="006D72EA">
            <w:pPr>
              <w:pStyle w:val="DHHSmainheading"/>
              <w:spacing w:line="270" w:lineRule="atLeast"/>
              <w:rPr>
                <w:sz w:val="44"/>
                <w:szCs w:val="44"/>
              </w:rPr>
            </w:pPr>
            <w:r>
              <w:rPr>
                <w:rFonts w:cs="Arial"/>
                <w:sz w:val="44"/>
                <w:szCs w:val="44"/>
              </w:rPr>
              <w:t>Sleep and Settling Initiative</w:t>
            </w:r>
            <w:r w:rsidR="00B70F76" w:rsidRPr="00DE4E5C">
              <w:rPr>
                <w:rFonts w:cs="Arial"/>
                <w:sz w:val="44"/>
                <w:szCs w:val="44"/>
              </w:rPr>
              <w:t xml:space="preserve"> </w:t>
            </w:r>
            <w:r w:rsidR="00F922BE" w:rsidRPr="00DE4E5C">
              <w:rPr>
                <w:rFonts w:cs="Arial"/>
                <w:sz w:val="44"/>
                <w:szCs w:val="44"/>
              </w:rPr>
              <w:br/>
            </w:r>
            <w:r w:rsidR="00DB7977">
              <w:rPr>
                <w:rFonts w:cs="Arial"/>
                <w:sz w:val="44"/>
                <w:szCs w:val="44"/>
              </w:rPr>
              <w:t>28</w:t>
            </w:r>
            <w:r>
              <w:rPr>
                <w:rFonts w:cs="Arial"/>
                <w:sz w:val="44"/>
                <w:szCs w:val="44"/>
              </w:rPr>
              <w:t>213</w:t>
            </w:r>
          </w:p>
        </w:tc>
      </w:tr>
      <w:tr w:rsidR="00AD784C" w14:paraId="683D40AA" w14:textId="77777777" w:rsidTr="00DB7977">
        <w:trPr>
          <w:trHeight w:hRule="exact" w:val="1096"/>
        </w:trPr>
        <w:tc>
          <w:tcPr>
            <w:tcW w:w="8070" w:type="dxa"/>
            <w:shd w:val="clear" w:color="auto" w:fill="auto"/>
            <w:tcMar>
              <w:top w:w="170" w:type="dxa"/>
              <w:bottom w:w="510" w:type="dxa"/>
            </w:tcMar>
          </w:tcPr>
          <w:p w14:paraId="683D40A7" w14:textId="77777777" w:rsidR="00C07F0F" w:rsidRDefault="00C07F0F" w:rsidP="00C07F0F">
            <w:pPr>
              <w:pStyle w:val="DHHSmainsubheading"/>
              <w:rPr>
                <w:szCs w:val="28"/>
              </w:rPr>
            </w:pPr>
            <w:r>
              <w:rPr>
                <w:szCs w:val="28"/>
              </w:rPr>
              <w:t xml:space="preserve">Outcome objective: Victorians are healthy and well </w:t>
            </w:r>
          </w:p>
          <w:p w14:paraId="683D40A8" w14:textId="77777777" w:rsidR="00C07F0F" w:rsidRDefault="00C07F0F" w:rsidP="00C07F0F">
            <w:pPr>
              <w:pStyle w:val="DHHSmainsubheading"/>
              <w:rPr>
                <w:szCs w:val="28"/>
              </w:rPr>
            </w:pPr>
            <w:r>
              <w:rPr>
                <w:szCs w:val="28"/>
              </w:rPr>
              <w:t xml:space="preserve">Output group: Primary and Dental </w:t>
            </w:r>
          </w:p>
          <w:p w14:paraId="683D40A9" w14:textId="0EBB2E15" w:rsidR="00F922BE" w:rsidRPr="00AD784C" w:rsidRDefault="00C07F0F" w:rsidP="009D311F">
            <w:pPr>
              <w:pStyle w:val="DHHSmainsubheading"/>
              <w:rPr>
                <w:szCs w:val="28"/>
              </w:rPr>
            </w:pPr>
            <w:r>
              <w:rPr>
                <w:szCs w:val="28"/>
              </w:rPr>
              <w:t xml:space="preserve">Output: Maternal </w:t>
            </w:r>
            <w:r w:rsidR="009D311F">
              <w:rPr>
                <w:szCs w:val="28"/>
              </w:rPr>
              <w:t>and Child Health</w:t>
            </w:r>
          </w:p>
        </w:tc>
      </w:tr>
    </w:tbl>
    <w:p w14:paraId="683D40AB" w14:textId="77777777" w:rsidR="007173CA" w:rsidRDefault="007173CA" w:rsidP="006C7A1F">
      <w:pPr>
        <w:pStyle w:val="DHHSbody"/>
        <w:spacing w:beforeLines="40" w:before="96"/>
        <w:sectPr w:rsidR="007173CA" w:rsidSect="00F922BE">
          <w:headerReference w:type="default" r:id="rId13"/>
          <w:footerReference w:type="default" r:id="rId14"/>
          <w:type w:val="continuous"/>
          <w:pgSz w:w="11906" w:h="16838" w:code="9"/>
          <w:pgMar w:top="993" w:right="851" w:bottom="1134" w:left="851" w:header="567" w:footer="510" w:gutter="0"/>
          <w:cols w:space="340"/>
          <w:titlePg/>
          <w:docGrid w:linePitch="360"/>
        </w:sectPr>
      </w:pPr>
      <w:bookmarkStart w:id="0" w:name="_Toc440566508"/>
    </w:p>
    <w:bookmarkEnd w:id="0"/>
    <w:p w14:paraId="683D40AC" w14:textId="77777777" w:rsidR="00A62D44" w:rsidRDefault="00B70F76" w:rsidP="006F4E87">
      <w:pPr>
        <w:pStyle w:val="Heading1"/>
      </w:pPr>
      <w:r w:rsidRPr="00B70F76">
        <w:t>1.</w:t>
      </w:r>
      <w:r>
        <w:t xml:space="preserve"> </w:t>
      </w:r>
      <w:r w:rsidR="00DF6BAF">
        <w:t xml:space="preserve">Service Objective </w:t>
      </w:r>
    </w:p>
    <w:p w14:paraId="683D40AE" w14:textId="1FEA75E7" w:rsidR="002608AA" w:rsidRPr="006650FF" w:rsidRDefault="00E17267" w:rsidP="002608AA">
      <w:pPr>
        <w:pStyle w:val="DHHSbody"/>
      </w:pPr>
      <w:bookmarkStart w:id="1" w:name="_Toc256778633"/>
      <w:r>
        <w:t>Sleeping and settling initiative funding supports families with identified sleep and settling concerns.</w:t>
      </w:r>
    </w:p>
    <w:p w14:paraId="683D40AF" w14:textId="77777777" w:rsidR="00DF6BAF" w:rsidRDefault="00DE4E5C" w:rsidP="006F4E87">
      <w:pPr>
        <w:pStyle w:val="Heading1"/>
      </w:pPr>
      <w:r>
        <w:t>2</w:t>
      </w:r>
      <w:r w:rsidR="00B70F76" w:rsidRPr="00B70F76">
        <w:t xml:space="preserve">. </w:t>
      </w:r>
      <w:r w:rsidR="00DF6BAF">
        <w:t>Description of the service</w:t>
      </w:r>
    </w:p>
    <w:p w14:paraId="24EA1666" w14:textId="56FBBFB4" w:rsidR="00E17267" w:rsidRDefault="00E17267" w:rsidP="002608AA">
      <w:pPr>
        <w:pStyle w:val="DHHSbody"/>
      </w:pPr>
      <w:r>
        <w:t>The sleep and settling initiative will provide:</w:t>
      </w:r>
    </w:p>
    <w:p w14:paraId="1360CE3B" w14:textId="15DF3AB6" w:rsidR="00E17267" w:rsidRPr="00DB28F0" w:rsidRDefault="00E17267" w:rsidP="00E17267">
      <w:pPr>
        <w:pStyle w:val="DHHSbullet1"/>
      </w:pPr>
      <w:r w:rsidRPr="00DB28F0">
        <w:t xml:space="preserve">Information sessions </w:t>
      </w:r>
      <w:r w:rsidR="00AE3DB6">
        <w:t>t</w:t>
      </w:r>
      <w:r w:rsidRPr="00DB28F0">
        <w:t>o parents and caregivers at the three developmental stages</w:t>
      </w:r>
      <w:r>
        <w:t xml:space="preserve"> of</w:t>
      </w:r>
      <w:r w:rsidR="009403C1">
        <w:t xml:space="preserve"> birth (newborn sessions)</w:t>
      </w:r>
      <w:r w:rsidR="00F057BA">
        <w:t xml:space="preserve"> for first time parents</w:t>
      </w:r>
      <w:r w:rsidR="001D5628">
        <w:t>,</w:t>
      </w:r>
      <w:r w:rsidRPr="00DB28F0">
        <w:t xml:space="preserve"> 6-8 months (baby sessions) and 18 months to 2 years (toddler sessions).  </w:t>
      </w:r>
    </w:p>
    <w:p w14:paraId="03D47465" w14:textId="4E08139D" w:rsidR="00E17267" w:rsidRDefault="00E17267" w:rsidP="00E17267">
      <w:pPr>
        <w:pStyle w:val="DHHSbullet1"/>
      </w:pPr>
      <w:r w:rsidRPr="004A1994">
        <w:t>Outreach Consultations for families experiencing vulnerability that have an identified sleep concern, that can be addressed with up to 6 hours of additional support. The consultations provide more intensive and tailored sleep and settling information and support to parents and caregivers in their home or other suitable community setting.</w:t>
      </w:r>
    </w:p>
    <w:p w14:paraId="683D40B9" w14:textId="77777777" w:rsidR="00B70F76" w:rsidRPr="00B70F76" w:rsidRDefault="00DF6BAF" w:rsidP="006F4E87">
      <w:pPr>
        <w:pStyle w:val="Heading1"/>
      </w:pPr>
      <w:r>
        <w:t xml:space="preserve">3. </w:t>
      </w:r>
      <w:r w:rsidR="00B70F76" w:rsidRPr="00B70F76">
        <w:t>Client group</w:t>
      </w:r>
    </w:p>
    <w:p w14:paraId="683D40BA" w14:textId="5675233D" w:rsidR="00B70F76" w:rsidRPr="002608AA" w:rsidRDefault="00F057BA" w:rsidP="00DB7977">
      <w:pPr>
        <w:pStyle w:val="DHHSbody"/>
      </w:pPr>
      <w:r>
        <w:t>T</w:t>
      </w:r>
      <w:r w:rsidR="00B70F76">
        <w:t xml:space="preserve">his </w:t>
      </w:r>
      <w:r w:rsidR="00EC4117">
        <w:t xml:space="preserve">activity </w:t>
      </w:r>
      <w:r w:rsidR="00B70F76">
        <w:t xml:space="preserve">is targeted at </w:t>
      </w:r>
      <w:r w:rsidR="00873F38">
        <w:t xml:space="preserve">all families with </w:t>
      </w:r>
      <w:r w:rsidR="00873F38" w:rsidRPr="002608AA">
        <w:t>children aged from birth to school entry</w:t>
      </w:r>
      <w:r w:rsidR="00873F38">
        <w:t xml:space="preserve"> </w:t>
      </w:r>
      <w:r>
        <w:t xml:space="preserve">with the </w:t>
      </w:r>
      <w:r w:rsidR="00873F38" w:rsidRPr="002608AA">
        <w:t xml:space="preserve">  </w:t>
      </w:r>
      <w:r w:rsidR="00873F38">
        <w:t xml:space="preserve">consultations for </w:t>
      </w:r>
      <w:r w:rsidR="00873F38" w:rsidRPr="00295F8E">
        <w:t>families experiencing, or at risk of, vulnerability or disadvantage</w:t>
      </w:r>
      <w:r w:rsidR="00873F38">
        <w:t>.</w:t>
      </w:r>
    </w:p>
    <w:p w14:paraId="683D40BB" w14:textId="77777777" w:rsidR="002D1AA5" w:rsidRDefault="00DF6BAF" w:rsidP="006F4E87">
      <w:pPr>
        <w:pStyle w:val="Heading1"/>
      </w:pPr>
      <w:r>
        <w:t>4</w:t>
      </w:r>
      <w:r w:rsidR="00B70F76">
        <w:t xml:space="preserve">. Obligations specific to this </w:t>
      </w:r>
      <w:r w:rsidR="00EC4117">
        <w:t>activity</w:t>
      </w:r>
    </w:p>
    <w:p w14:paraId="683D40BC" w14:textId="77777777" w:rsidR="00B70F76" w:rsidRDefault="00DF6BAF" w:rsidP="006C7A1F">
      <w:pPr>
        <w:pStyle w:val="DHHSbody"/>
        <w:spacing w:beforeLines="40" w:before="96"/>
      </w:pPr>
      <w:r>
        <w:t>In addition to the obligations listed in the Service Agreement, o</w:t>
      </w:r>
      <w:r w:rsidR="002B3651">
        <w:t xml:space="preserve">rganisations funded to deliver this </w:t>
      </w:r>
      <w:r w:rsidR="00EC4117">
        <w:t xml:space="preserve">activity </w:t>
      </w:r>
      <w:r w:rsidR="002B3651">
        <w:t>must comply with the following:</w:t>
      </w:r>
    </w:p>
    <w:p w14:paraId="683D40BD" w14:textId="77777777" w:rsidR="001F3DE2" w:rsidRPr="001F3DE2" w:rsidRDefault="00020209" w:rsidP="00DB7977">
      <w:pPr>
        <w:pStyle w:val="Heading2"/>
      </w:pPr>
      <w:r w:rsidRPr="001F3DE2">
        <w:t xml:space="preserve">4a.  Registration and Accreditation </w:t>
      </w:r>
    </w:p>
    <w:p w14:paraId="683D40BE" w14:textId="32A4BF35" w:rsidR="00020209" w:rsidRPr="00FF7808" w:rsidRDefault="00FF7808" w:rsidP="00DB7977">
      <w:pPr>
        <w:pStyle w:val="DHHSbullet1"/>
      </w:pPr>
      <w:bookmarkStart w:id="2" w:name="_GoBack"/>
      <w:r w:rsidRPr="00FF7808">
        <w:rPr>
          <w:rStyle w:val="DHHSbodyChar"/>
        </w:rPr>
        <w:t>N/A</w:t>
      </w:r>
    </w:p>
    <w:p w14:paraId="683D40BF" w14:textId="77777777" w:rsidR="001F3DE2" w:rsidRPr="001F3DE2" w:rsidRDefault="00020209" w:rsidP="00DB7977">
      <w:pPr>
        <w:pStyle w:val="Heading2"/>
      </w:pPr>
      <w:r w:rsidRPr="001F3DE2">
        <w:t xml:space="preserve">4b. </w:t>
      </w:r>
      <w:r w:rsidR="001F3DE2" w:rsidRPr="001F3DE2">
        <w:t xml:space="preserve">Program requirements and other policy guidelines </w:t>
      </w:r>
    </w:p>
    <w:bookmarkStart w:id="3" w:name="_Toc421023841"/>
    <w:bookmarkStart w:id="4" w:name="_Toc475953722"/>
    <w:bookmarkStart w:id="5" w:name="_Toc477437702"/>
    <w:bookmarkStart w:id="6" w:name="_Toc529373787"/>
    <w:bookmarkEnd w:id="2"/>
    <w:p w14:paraId="35BBEA6D" w14:textId="77777777" w:rsidR="00873F38" w:rsidRPr="0081660D" w:rsidRDefault="00873F38" w:rsidP="00873F38">
      <w:pPr>
        <w:pStyle w:val="DHHSbullet1"/>
        <w:rPr>
          <w:rStyle w:val="DHHSbodyChar"/>
        </w:rPr>
      </w:pPr>
      <w:r>
        <w:fldChar w:fldCharType="begin"/>
      </w:r>
      <w:r>
        <w:instrText xml:space="preserve"> HYPERLINK "https://www2.health.vic.gov.au/primary-and-community-health/maternal-child-health/framework-mch" </w:instrText>
      </w:r>
      <w:r>
        <w:fldChar w:fldCharType="separate"/>
      </w:r>
      <w:r w:rsidRPr="0081660D">
        <w:rPr>
          <w:rStyle w:val="Hyperlink"/>
        </w:rPr>
        <w:t>Maternal and Child Health Service Framework</w:t>
      </w:r>
      <w:r>
        <w:fldChar w:fldCharType="end"/>
      </w:r>
      <w:r>
        <w:t xml:space="preserve"> &lt;</w:t>
      </w:r>
      <w:hyperlink r:id="rId15" w:history="1">
        <w:r w:rsidRPr="0081660D">
          <w:rPr>
            <w:rStyle w:val="DHHSbodyChar"/>
          </w:rPr>
          <w:t>https://www2.health.vic.gov.au/primary-and-community-health/maternal-child-health/framework-mch</w:t>
        </w:r>
      </w:hyperlink>
      <w:r w:rsidRPr="0081660D">
        <w:rPr>
          <w:rStyle w:val="DHHSbodyChar"/>
        </w:rPr>
        <w:t xml:space="preserve">&gt; </w:t>
      </w:r>
    </w:p>
    <w:p w14:paraId="051D17D1" w14:textId="77777777" w:rsidR="00873F38" w:rsidRPr="0081660D" w:rsidRDefault="00965532" w:rsidP="00873F38">
      <w:pPr>
        <w:pStyle w:val="DHHSbullet1"/>
        <w:rPr>
          <w:rStyle w:val="DHHSbodyChar"/>
        </w:rPr>
      </w:pPr>
      <w:hyperlink r:id="rId16" w:history="1">
        <w:r w:rsidR="00873F38" w:rsidRPr="0081660D">
          <w:rPr>
            <w:rStyle w:val="Hyperlink"/>
          </w:rPr>
          <w:t>The Sleep and Settling Initiative Funding Factsheet</w:t>
        </w:r>
      </w:hyperlink>
      <w:r w:rsidR="00873F38" w:rsidRPr="004A1994">
        <w:t xml:space="preserve"> </w:t>
      </w:r>
      <w:r w:rsidR="00873F38">
        <w:t>&lt;</w:t>
      </w:r>
      <w:hyperlink r:id="rId17" w:history="1">
        <w:r w:rsidR="00873F38" w:rsidRPr="0081660D">
          <w:rPr>
            <w:rStyle w:val="DHHSbodyChar"/>
          </w:rPr>
          <w:t>https://www2.health.vic.gov.au/primary-and-community-health/maternal-child-health</w:t>
        </w:r>
      </w:hyperlink>
      <w:r w:rsidR="00873F38" w:rsidRPr="0081660D">
        <w:rPr>
          <w:rStyle w:val="DHHSbodyChar"/>
        </w:rPr>
        <w:t xml:space="preserve">&gt; </w:t>
      </w:r>
    </w:p>
    <w:p w14:paraId="683D40C5" w14:textId="77777777" w:rsidR="00575BC9" w:rsidRPr="00575BC9" w:rsidRDefault="00DF6BAF" w:rsidP="006F4E87">
      <w:pPr>
        <w:pStyle w:val="Heading1"/>
      </w:pPr>
      <w:r>
        <w:t>5</w:t>
      </w:r>
      <w:r w:rsidR="00575BC9">
        <w:t xml:space="preserve">. </w:t>
      </w:r>
      <w:bookmarkEnd w:id="3"/>
      <w:bookmarkEnd w:id="4"/>
      <w:bookmarkEnd w:id="5"/>
      <w:bookmarkEnd w:id="6"/>
      <w:r w:rsidR="0017293C">
        <w:t>Performance</w:t>
      </w:r>
    </w:p>
    <w:p w14:paraId="683D40C6" w14:textId="6A68D455" w:rsidR="00575BC9" w:rsidRDefault="00E05E8D" w:rsidP="00DB7977">
      <w:pPr>
        <w:pStyle w:val="DHHSbody"/>
      </w:pPr>
      <w:r>
        <w:t>Funding is subject to</w:t>
      </w:r>
      <w:r w:rsidR="0017293C">
        <w:t xml:space="preserve"> achieving</w:t>
      </w:r>
      <w:r>
        <w:t xml:space="preserve"> the</w:t>
      </w:r>
      <w:r w:rsidR="00575BC9" w:rsidRPr="00171F04">
        <w:t xml:space="preserve"> </w:t>
      </w:r>
      <w:r w:rsidR="00895643">
        <w:t xml:space="preserve">performance </w:t>
      </w:r>
      <w:r>
        <w:t xml:space="preserve">targets </w:t>
      </w:r>
      <w:r w:rsidR="00895643">
        <w:t xml:space="preserve">specified in </w:t>
      </w:r>
      <w:r w:rsidR="00575BC9">
        <w:t>Schedule 2 of the Service Agreement</w:t>
      </w:r>
      <w:r w:rsidR="00895643">
        <w:t>.</w:t>
      </w:r>
      <w:r w:rsidR="006C7A1F">
        <w:t xml:space="preserve"> </w:t>
      </w:r>
      <w:r>
        <w:t xml:space="preserve">Performance is measured as follows:  </w:t>
      </w:r>
    </w:p>
    <w:p w14:paraId="52A69ED7" w14:textId="77777777" w:rsidR="00873F38" w:rsidRPr="001F1A17" w:rsidRDefault="00873F38" w:rsidP="00DB7977">
      <w:pPr>
        <w:pStyle w:val="DHHSbody"/>
      </w:pPr>
    </w:p>
    <w:p w14:paraId="683D40C7" w14:textId="2ED99B8D" w:rsidR="00575BC9" w:rsidRPr="000E2F2F" w:rsidRDefault="00E05E8D" w:rsidP="00DB7977">
      <w:pPr>
        <w:pStyle w:val="Heading2"/>
        <w:rPr>
          <w:color w:val="FF0000"/>
        </w:rPr>
      </w:pPr>
      <w:bookmarkStart w:id="7" w:name="_Hlk2257000"/>
      <w:r>
        <w:lastRenderedPageBreak/>
        <w:t>Key performance measure</w:t>
      </w:r>
      <w:r w:rsidR="00873F38">
        <w:t xml:space="preserve"> 1</w:t>
      </w:r>
      <w:r w:rsidR="00575BC9" w:rsidRPr="00575BC9">
        <w:t xml:space="preserve">: </w:t>
      </w:r>
      <w:r w:rsidR="00873F38">
        <w:t>Number of information sessions</w:t>
      </w:r>
    </w:p>
    <w:tbl>
      <w:tblPr>
        <w:tblW w:w="10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379"/>
      </w:tblGrid>
      <w:tr w:rsidR="00B8690F" w:rsidRPr="00C237A0" w14:paraId="683D40CA" w14:textId="77777777" w:rsidTr="00873F38">
        <w:trPr>
          <w:cantSplit/>
          <w:trHeight w:hRule="exact" w:val="688"/>
        </w:trPr>
        <w:tc>
          <w:tcPr>
            <w:tcW w:w="2835" w:type="dxa"/>
          </w:tcPr>
          <w:p w14:paraId="683D40C8" w14:textId="77777777" w:rsidR="00B8690F" w:rsidRPr="0017293C" w:rsidRDefault="00B8690F" w:rsidP="0017293C">
            <w:pPr>
              <w:pStyle w:val="DHHStablecolhead"/>
            </w:pPr>
            <w:bookmarkStart w:id="8" w:name="_Hlk2256969"/>
            <w:bookmarkEnd w:id="7"/>
            <w:r w:rsidRPr="00575BC9">
              <w:t>Aim/objective</w:t>
            </w:r>
          </w:p>
        </w:tc>
        <w:tc>
          <w:tcPr>
            <w:tcW w:w="7379" w:type="dxa"/>
          </w:tcPr>
          <w:p w14:paraId="57CC8A68" w14:textId="77777777" w:rsidR="00873F38" w:rsidRDefault="00873F38" w:rsidP="00873F38">
            <w:pPr>
              <w:pStyle w:val="DHHStabletext"/>
            </w:pPr>
            <w:r>
              <w:t>This measure provides information on the number of sleep and settling information sessions that have been provided</w:t>
            </w:r>
          </w:p>
          <w:p w14:paraId="683D40C9" w14:textId="1777538A" w:rsidR="00B8690F" w:rsidRPr="002F7C4B" w:rsidRDefault="00B8690F" w:rsidP="00FF7808">
            <w:pPr>
              <w:pStyle w:val="DHHStabletext"/>
            </w:pPr>
          </w:p>
        </w:tc>
      </w:tr>
      <w:tr w:rsidR="00B8690F" w:rsidRPr="00C237A0" w14:paraId="683D40CD" w14:textId="77777777" w:rsidTr="00DB7977">
        <w:trPr>
          <w:cantSplit/>
          <w:trHeight w:hRule="exact" w:val="340"/>
        </w:trPr>
        <w:tc>
          <w:tcPr>
            <w:tcW w:w="2835" w:type="dxa"/>
          </w:tcPr>
          <w:p w14:paraId="683D40CB" w14:textId="77777777" w:rsidR="00B8690F" w:rsidRPr="0017293C" w:rsidRDefault="00B8690F" w:rsidP="0017293C">
            <w:pPr>
              <w:pStyle w:val="DHHStablecolhead"/>
            </w:pPr>
            <w:r w:rsidRPr="00575BC9">
              <w:t>Target</w:t>
            </w:r>
          </w:p>
        </w:tc>
        <w:tc>
          <w:tcPr>
            <w:tcW w:w="7379" w:type="dxa"/>
          </w:tcPr>
          <w:p w14:paraId="683D40CC" w14:textId="115DAAF9" w:rsidR="00B8690F" w:rsidRPr="002F7C4B" w:rsidRDefault="00873F38" w:rsidP="00DB7977">
            <w:pPr>
              <w:pStyle w:val="DHHStabletext"/>
            </w:pPr>
            <w:r>
              <w:t>Target is provided in the Service Agreement.</w:t>
            </w:r>
          </w:p>
        </w:tc>
      </w:tr>
      <w:tr w:rsidR="00B8690F" w:rsidRPr="00C237A0" w14:paraId="683D40D0" w14:textId="77777777" w:rsidTr="00DB7977">
        <w:trPr>
          <w:cantSplit/>
          <w:trHeight w:hRule="exact" w:val="340"/>
        </w:trPr>
        <w:tc>
          <w:tcPr>
            <w:tcW w:w="2835" w:type="dxa"/>
          </w:tcPr>
          <w:p w14:paraId="683D40CE" w14:textId="77777777" w:rsidR="00B8690F" w:rsidRPr="0017293C" w:rsidRDefault="00B8690F" w:rsidP="0017293C">
            <w:pPr>
              <w:pStyle w:val="DHHStablecolhead"/>
            </w:pPr>
            <w:r w:rsidRPr="00575BC9">
              <w:t>Type of count</w:t>
            </w:r>
          </w:p>
        </w:tc>
        <w:tc>
          <w:tcPr>
            <w:tcW w:w="7379" w:type="dxa"/>
          </w:tcPr>
          <w:p w14:paraId="683D40CF" w14:textId="36A49ED2" w:rsidR="00B8690F" w:rsidRPr="00C237A0" w:rsidRDefault="00873F38" w:rsidP="00FF7808">
            <w:pPr>
              <w:pStyle w:val="DHHStable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965532">
              <w:fldChar w:fldCharType="separate"/>
            </w:r>
            <w:r>
              <w:fldChar w:fldCharType="end"/>
            </w:r>
            <w:r w:rsidR="00B8690F">
              <w:t xml:space="preserve"> Cumulative      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>
              <w:instrText xml:space="preserve"> FORMCHECKBOX </w:instrText>
            </w:r>
            <w:r w:rsidR="00965532">
              <w:fldChar w:fldCharType="separate"/>
            </w:r>
            <w:r>
              <w:fldChar w:fldCharType="end"/>
            </w:r>
            <w:bookmarkEnd w:id="9"/>
            <w:r w:rsidR="00B8690F">
              <w:t xml:space="preserve"> Non-cumulative</w:t>
            </w:r>
          </w:p>
        </w:tc>
      </w:tr>
      <w:tr w:rsidR="00B8690F" w:rsidRPr="00C237A0" w14:paraId="683D40D3" w14:textId="77777777" w:rsidTr="001D5628">
        <w:trPr>
          <w:cantSplit/>
          <w:trHeight w:hRule="exact" w:val="1064"/>
        </w:trPr>
        <w:tc>
          <w:tcPr>
            <w:tcW w:w="2835" w:type="dxa"/>
          </w:tcPr>
          <w:p w14:paraId="683D40D1" w14:textId="77777777" w:rsidR="00B8690F" w:rsidRPr="0017293C" w:rsidRDefault="00B8690F" w:rsidP="0017293C">
            <w:pPr>
              <w:pStyle w:val="DHHStablecolhead"/>
            </w:pPr>
            <w:r w:rsidRPr="00575BC9">
              <w:t>Counting rule</w:t>
            </w:r>
          </w:p>
        </w:tc>
        <w:tc>
          <w:tcPr>
            <w:tcW w:w="7379" w:type="dxa"/>
          </w:tcPr>
          <w:p w14:paraId="45F60F79" w14:textId="3150ECC1" w:rsidR="001D5628" w:rsidRDefault="00873F38" w:rsidP="00873F38">
            <w:pPr>
              <w:pStyle w:val="DHHStabletext"/>
            </w:pPr>
            <w:r>
              <w:t>Count the number of information sessions provided to parents and caregivers at the three developmental stages of first</w:t>
            </w:r>
            <w:r w:rsidR="00F057BA">
              <w:t>-</w:t>
            </w:r>
            <w:r>
              <w:t xml:space="preserve">time </w:t>
            </w:r>
            <w:proofErr w:type="gramStart"/>
            <w:r>
              <w:t>parents</w:t>
            </w:r>
            <w:proofErr w:type="gramEnd"/>
            <w:r w:rsidR="001D5628">
              <w:t xml:space="preserve"> birth (newborn sessions),</w:t>
            </w:r>
          </w:p>
          <w:p w14:paraId="5117C1EF" w14:textId="28B5AE32" w:rsidR="00873F38" w:rsidRDefault="00873F38" w:rsidP="00873F38">
            <w:pPr>
              <w:pStyle w:val="DHHStabletext"/>
            </w:pPr>
            <w:r>
              <w:t xml:space="preserve">6 -8 months (baby sessions) and 18 months to 2 years (toddler sessions). </w:t>
            </w:r>
          </w:p>
          <w:p w14:paraId="683D40D2" w14:textId="286F4E33" w:rsidR="00B8690F" w:rsidRPr="00C237A0" w:rsidRDefault="00B8690F" w:rsidP="00FF7808">
            <w:pPr>
              <w:pStyle w:val="DHHStabletext"/>
            </w:pPr>
          </w:p>
        </w:tc>
      </w:tr>
      <w:tr w:rsidR="00B8690F" w:rsidRPr="00C237A0" w14:paraId="683D40D6" w14:textId="77777777" w:rsidTr="00DB7977">
        <w:trPr>
          <w:cantSplit/>
          <w:trHeight w:hRule="exact" w:val="340"/>
        </w:trPr>
        <w:tc>
          <w:tcPr>
            <w:tcW w:w="2835" w:type="dxa"/>
          </w:tcPr>
          <w:p w14:paraId="683D40D4" w14:textId="77777777" w:rsidR="00B8690F" w:rsidRPr="0017293C" w:rsidRDefault="00B8690F" w:rsidP="0017293C">
            <w:pPr>
              <w:pStyle w:val="DHHStablecolhead"/>
            </w:pPr>
            <w:r w:rsidRPr="00575BC9">
              <w:t>Data source(s) collection</w:t>
            </w:r>
          </w:p>
        </w:tc>
        <w:tc>
          <w:tcPr>
            <w:tcW w:w="7379" w:type="dxa"/>
          </w:tcPr>
          <w:p w14:paraId="683D40D5" w14:textId="7E41A5FF" w:rsidR="00B8690F" w:rsidRPr="002F7C4B" w:rsidRDefault="00873F38" w:rsidP="00162711">
            <w:pPr>
              <w:pStyle w:val="DHHStabletext"/>
            </w:pPr>
            <w:r>
              <w:t>Quarterly data collections via CDIS</w:t>
            </w:r>
          </w:p>
        </w:tc>
      </w:tr>
      <w:tr w:rsidR="00B8690F" w:rsidRPr="00C237A0" w14:paraId="683D40D9" w14:textId="77777777" w:rsidTr="001D5628">
        <w:trPr>
          <w:cantSplit/>
          <w:trHeight w:hRule="exact" w:val="361"/>
        </w:trPr>
        <w:tc>
          <w:tcPr>
            <w:tcW w:w="2835" w:type="dxa"/>
          </w:tcPr>
          <w:p w14:paraId="683D40D7" w14:textId="77777777" w:rsidR="00B8690F" w:rsidRPr="0017293C" w:rsidRDefault="00B8690F" w:rsidP="0017293C">
            <w:pPr>
              <w:pStyle w:val="DHHStablecolhead"/>
            </w:pPr>
            <w:r w:rsidRPr="00575BC9">
              <w:t>Definition of terms</w:t>
            </w:r>
          </w:p>
        </w:tc>
        <w:tc>
          <w:tcPr>
            <w:tcW w:w="7379" w:type="dxa"/>
          </w:tcPr>
          <w:p w14:paraId="683D40D8" w14:textId="38FFC8AC" w:rsidR="00B8690F" w:rsidRPr="002F7C4B" w:rsidRDefault="00162711" w:rsidP="00162711">
            <w:pPr>
              <w:pStyle w:val="DHHStabletext"/>
            </w:pPr>
            <w:r>
              <w:t>N/A</w:t>
            </w:r>
          </w:p>
        </w:tc>
      </w:tr>
    </w:tbl>
    <w:bookmarkEnd w:id="8"/>
    <w:p w14:paraId="1107A047" w14:textId="3B96D0DE" w:rsidR="00873F38" w:rsidRPr="000E2F2F" w:rsidRDefault="00873F38" w:rsidP="00873F38">
      <w:pPr>
        <w:pStyle w:val="Heading2"/>
        <w:rPr>
          <w:color w:val="FF0000"/>
        </w:rPr>
      </w:pPr>
      <w:r>
        <w:t>Key performance measure 2</w:t>
      </w:r>
      <w:r w:rsidRPr="00575BC9">
        <w:t xml:space="preserve">: </w:t>
      </w:r>
      <w:r>
        <w:t>Number of clients</w:t>
      </w:r>
    </w:p>
    <w:tbl>
      <w:tblPr>
        <w:tblW w:w="10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379"/>
      </w:tblGrid>
      <w:tr w:rsidR="00873F38" w:rsidRPr="00C237A0" w14:paraId="0F6244AB" w14:textId="77777777" w:rsidTr="004F7AE1">
        <w:trPr>
          <w:cantSplit/>
          <w:trHeight w:hRule="exact" w:val="688"/>
        </w:trPr>
        <w:tc>
          <w:tcPr>
            <w:tcW w:w="2835" w:type="dxa"/>
          </w:tcPr>
          <w:p w14:paraId="6C9C7C10" w14:textId="77777777" w:rsidR="00873F38" w:rsidRPr="0017293C" w:rsidRDefault="00873F38" w:rsidP="004F7AE1">
            <w:pPr>
              <w:pStyle w:val="DHHStablecolhead"/>
            </w:pPr>
            <w:r w:rsidRPr="00575BC9">
              <w:t>Aim/objective</w:t>
            </w:r>
          </w:p>
        </w:tc>
        <w:tc>
          <w:tcPr>
            <w:tcW w:w="7379" w:type="dxa"/>
          </w:tcPr>
          <w:p w14:paraId="07D19C35" w14:textId="2298D6BE" w:rsidR="00873F38" w:rsidRPr="002F7C4B" w:rsidRDefault="00873F38" w:rsidP="004F7AE1">
            <w:pPr>
              <w:pStyle w:val="DHHStabletext"/>
            </w:pPr>
            <w:r>
              <w:t xml:space="preserve">This measure provides information on the number of clients provided with sleep and settling outreach consultations </w:t>
            </w:r>
          </w:p>
        </w:tc>
      </w:tr>
      <w:tr w:rsidR="00873F38" w:rsidRPr="00C237A0" w14:paraId="2D4D769C" w14:textId="77777777" w:rsidTr="004F7AE1">
        <w:trPr>
          <w:cantSplit/>
          <w:trHeight w:hRule="exact" w:val="340"/>
        </w:trPr>
        <w:tc>
          <w:tcPr>
            <w:tcW w:w="2835" w:type="dxa"/>
          </w:tcPr>
          <w:p w14:paraId="47F11C6D" w14:textId="77777777" w:rsidR="00873F38" w:rsidRPr="0017293C" w:rsidRDefault="00873F38" w:rsidP="004F7AE1">
            <w:pPr>
              <w:pStyle w:val="DHHStablecolhead"/>
            </w:pPr>
            <w:r w:rsidRPr="00575BC9">
              <w:t>Target</w:t>
            </w:r>
          </w:p>
        </w:tc>
        <w:tc>
          <w:tcPr>
            <w:tcW w:w="7379" w:type="dxa"/>
          </w:tcPr>
          <w:p w14:paraId="07DC664E" w14:textId="77777777" w:rsidR="00873F38" w:rsidRPr="002F7C4B" w:rsidRDefault="00873F38" w:rsidP="004F7AE1">
            <w:pPr>
              <w:pStyle w:val="DHHStabletext"/>
            </w:pPr>
            <w:r>
              <w:t>Target is provided in the Service Agreement.</w:t>
            </w:r>
          </w:p>
        </w:tc>
      </w:tr>
      <w:tr w:rsidR="00873F38" w:rsidRPr="00C237A0" w14:paraId="1B1F01A4" w14:textId="77777777" w:rsidTr="004F7AE1">
        <w:trPr>
          <w:cantSplit/>
          <w:trHeight w:hRule="exact" w:val="340"/>
        </w:trPr>
        <w:tc>
          <w:tcPr>
            <w:tcW w:w="2835" w:type="dxa"/>
          </w:tcPr>
          <w:p w14:paraId="0FCC01F6" w14:textId="77777777" w:rsidR="00873F38" w:rsidRPr="0017293C" w:rsidRDefault="00873F38" w:rsidP="004F7AE1">
            <w:pPr>
              <w:pStyle w:val="DHHStablecolhead"/>
            </w:pPr>
            <w:r w:rsidRPr="00575BC9">
              <w:t>Type of count</w:t>
            </w:r>
          </w:p>
        </w:tc>
        <w:tc>
          <w:tcPr>
            <w:tcW w:w="7379" w:type="dxa"/>
          </w:tcPr>
          <w:p w14:paraId="2073F231" w14:textId="77777777" w:rsidR="00873F38" w:rsidRPr="00C237A0" w:rsidRDefault="00873F38" w:rsidP="004F7AE1">
            <w:pPr>
              <w:pStyle w:val="DHHStable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965532">
              <w:fldChar w:fldCharType="separate"/>
            </w:r>
            <w:r>
              <w:fldChar w:fldCharType="end"/>
            </w:r>
            <w:r>
              <w:t xml:space="preserve"> Cumulative      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5532">
              <w:fldChar w:fldCharType="separate"/>
            </w:r>
            <w:r>
              <w:fldChar w:fldCharType="end"/>
            </w:r>
            <w:r>
              <w:t xml:space="preserve"> Non-cumulative</w:t>
            </w:r>
          </w:p>
        </w:tc>
      </w:tr>
      <w:tr w:rsidR="00873F38" w:rsidRPr="00C237A0" w14:paraId="7354EE9E" w14:textId="77777777" w:rsidTr="00873F38">
        <w:trPr>
          <w:cantSplit/>
          <w:trHeight w:hRule="exact" w:val="705"/>
        </w:trPr>
        <w:tc>
          <w:tcPr>
            <w:tcW w:w="2835" w:type="dxa"/>
          </w:tcPr>
          <w:p w14:paraId="0F8EC121" w14:textId="77777777" w:rsidR="00873F38" w:rsidRPr="0017293C" w:rsidRDefault="00873F38" w:rsidP="004F7AE1">
            <w:pPr>
              <w:pStyle w:val="DHHStablecolhead"/>
            </w:pPr>
            <w:r w:rsidRPr="00575BC9">
              <w:t>Counting rule</w:t>
            </w:r>
          </w:p>
        </w:tc>
        <w:tc>
          <w:tcPr>
            <w:tcW w:w="7379" w:type="dxa"/>
          </w:tcPr>
          <w:p w14:paraId="2B1C2F72" w14:textId="58C0F9C4" w:rsidR="00873F38" w:rsidRPr="00C237A0" w:rsidRDefault="00873F38" w:rsidP="004F7AE1">
            <w:pPr>
              <w:pStyle w:val="DHHStabletext"/>
            </w:pPr>
            <w:r>
              <w:t>Count the number of clients provided with engaged in sleep and settling outreach consultations.</w:t>
            </w:r>
            <w:r w:rsidRPr="00C237A0">
              <w:t xml:space="preserve"> </w:t>
            </w:r>
          </w:p>
        </w:tc>
      </w:tr>
      <w:tr w:rsidR="00873F38" w:rsidRPr="00C237A0" w14:paraId="0811F9C0" w14:textId="77777777" w:rsidTr="004F7AE1">
        <w:trPr>
          <w:cantSplit/>
          <w:trHeight w:hRule="exact" w:val="340"/>
        </w:trPr>
        <w:tc>
          <w:tcPr>
            <w:tcW w:w="2835" w:type="dxa"/>
          </w:tcPr>
          <w:p w14:paraId="1C532B2C" w14:textId="77777777" w:rsidR="00873F38" w:rsidRPr="0017293C" w:rsidRDefault="00873F38" w:rsidP="004F7AE1">
            <w:pPr>
              <w:pStyle w:val="DHHStablecolhead"/>
            </w:pPr>
            <w:r w:rsidRPr="00575BC9">
              <w:t>Data source(s) collection</w:t>
            </w:r>
          </w:p>
        </w:tc>
        <w:tc>
          <w:tcPr>
            <w:tcW w:w="7379" w:type="dxa"/>
          </w:tcPr>
          <w:p w14:paraId="3DABEF8E" w14:textId="77777777" w:rsidR="00873F38" w:rsidRPr="002F7C4B" w:rsidRDefault="00873F38" w:rsidP="004F7AE1">
            <w:pPr>
              <w:pStyle w:val="DHHStabletext"/>
            </w:pPr>
            <w:r>
              <w:t>Quarterly data collections via CDIS</w:t>
            </w:r>
          </w:p>
        </w:tc>
      </w:tr>
      <w:tr w:rsidR="00873F38" w:rsidRPr="00C237A0" w14:paraId="017D6821" w14:textId="77777777" w:rsidTr="00873F38">
        <w:trPr>
          <w:cantSplit/>
          <w:trHeight w:hRule="exact" w:val="1059"/>
        </w:trPr>
        <w:tc>
          <w:tcPr>
            <w:tcW w:w="2835" w:type="dxa"/>
          </w:tcPr>
          <w:p w14:paraId="34A6E217" w14:textId="77777777" w:rsidR="00873F38" w:rsidRPr="0017293C" w:rsidRDefault="00873F38" w:rsidP="004F7AE1">
            <w:pPr>
              <w:pStyle w:val="DHHStablecolhead"/>
            </w:pPr>
            <w:r w:rsidRPr="00575BC9">
              <w:t>Definition of terms</w:t>
            </w:r>
          </w:p>
        </w:tc>
        <w:tc>
          <w:tcPr>
            <w:tcW w:w="7379" w:type="dxa"/>
          </w:tcPr>
          <w:p w14:paraId="013C4DB2" w14:textId="7F345D83" w:rsidR="00873F38" w:rsidRPr="002F7C4B" w:rsidRDefault="00873F38" w:rsidP="004F7AE1">
            <w:pPr>
              <w:pStyle w:val="DHHStabletext"/>
            </w:pPr>
            <w:r w:rsidRPr="002E3714">
              <w:t>Families experiencing vulnerability and who have a child aged from birth to school age can access the outreach program. A parent or caregiver is vulnerable if their capacity to effectively care, protect and provide for the development and wellbeing of their child is limited.</w:t>
            </w:r>
          </w:p>
        </w:tc>
      </w:tr>
    </w:tbl>
    <w:p w14:paraId="683D40F2" w14:textId="77777777" w:rsidR="00575BC9" w:rsidRPr="00575BC9" w:rsidRDefault="00DF6BAF" w:rsidP="006F4E87">
      <w:pPr>
        <w:pStyle w:val="Heading1"/>
      </w:pPr>
      <w:r>
        <w:t>6</w:t>
      </w:r>
      <w:r w:rsidR="00575BC9">
        <w:t>. Data collection</w:t>
      </w:r>
    </w:p>
    <w:p w14:paraId="683D40F3" w14:textId="77777777" w:rsidR="00575BC9" w:rsidRDefault="00A11FC5" w:rsidP="00DB7977">
      <w:pPr>
        <w:pStyle w:val="DHHSbody"/>
      </w:pPr>
      <w:r>
        <w:t>The r</w:t>
      </w:r>
      <w:r w:rsidR="0087683C">
        <w:t>eporting requirements for this service</w:t>
      </w:r>
      <w:r>
        <w:t xml:space="preserve"> are:</w:t>
      </w:r>
    </w:p>
    <w:tbl>
      <w:tblPr>
        <w:tblW w:w="10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80"/>
        <w:gridCol w:w="2580"/>
        <w:gridCol w:w="2580"/>
        <w:gridCol w:w="2508"/>
      </w:tblGrid>
      <w:tr w:rsidR="00575BC9" w:rsidRPr="00045493" w14:paraId="683D40F8" w14:textId="77777777" w:rsidTr="006C7A1F">
        <w:trPr>
          <w:trHeight w:hRule="exact" w:val="340"/>
          <w:tblHeader/>
        </w:trPr>
        <w:tc>
          <w:tcPr>
            <w:tcW w:w="2580" w:type="dxa"/>
            <w:vAlign w:val="center"/>
          </w:tcPr>
          <w:p w14:paraId="683D40F4" w14:textId="77777777" w:rsidR="00575BC9" w:rsidRPr="00575BC9" w:rsidRDefault="00575BC9" w:rsidP="0017293C">
            <w:pPr>
              <w:pStyle w:val="DHHStablecolhead"/>
              <w:spacing w:before="0" w:after="0"/>
            </w:pPr>
            <w:r w:rsidRPr="00575BC9">
              <w:t>Data collection name</w:t>
            </w:r>
          </w:p>
        </w:tc>
        <w:tc>
          <w:tcPr>
            <w:tcW w:w="2580" w:type="dxa"/>
            <w:vAlign w:val="center"/>
          </w:tcPr>
          <w:p w14:paraId="683D40F5" w14:textId="77777777" w:rsidR="00575BC9" w:rsidRPr="00575BC9" w:rsidRDefault="00575BC9" w:rsidP="0017293C">
            <w:pPr>
              <w:pStyle w:val="DHHStablecolhead"/>
              <w:spacing w:before="0" w:after="0"/>
            </w:pPr>
            <w:r w:rsidRPr="00575BC9">
              <w:t xml:space="preserve">Data system </w:t>
            </w:r>
          </w:p>
        </w:tc>
        <w:tc>
          <w:tcPr>
            <w:tcW w:w="2580" w:type="dxa"/>
            <w:vAlign w:val="center"/>
          </w:tcPr>
          <w:p w14:paraId="683D40F6" w14:textId="77777777" w:rsidR="00575BC9" w:rsidRPr="00575BC9" w:rsidRDefault="00575BC9" w:rsidP="0017293C">
            <w:pPr>
              <w:pStyle w:val="DHHStablecolhead"/>
              <w:spacing w:before="0" w:after="0"/>
            </w:pPr>
            <w:r w:rsidRPr="00575BC9">
              <w:t xml:space="preserve">Data set </w:t>
            </w:r>
          </w:p>
        </w:tc>
        <w:tc>
          <w:tcPr>
            <w:tcW w:w="2508" w:type="dxa"/>
            <w:vAlign w:val="center"/>
          </w:tcPr>
          <w:p w14:paraId="683D40F7" w14:textId="77777777" w:rsidR="00575BC9" w:rsidRPr="00575BC9" w:rsidRDefault="00575BC9" w:rsidP="0017293C">
            <w:pPr>
              <w:pStyle w:val="DHHStablecolhead"/>
              <w:spacing w:before="0" w:after="0"/>
            </w:pPr>
            <w:r w:rsidRPr="00575BC9">
              <w:t>Reporting cycle</w:t>
            </w:r>
          </w:p>
        </w:tc>
      </w:tr>
      <w:tr w:rsidR="00873F38" w:rsidRPr="00C237A0" w14:paraId="683D40FD" w14:textId="77777777" w:rsidTr="00873F38">
        <w:trPr>
          <w:trHeight w:hRule="exact" w:val="770"/>
        </w:trPr>
        <w:tc>
          <w:tcPr>
            <w:tcW w:w="2580" w:type="dxa"/>
          </w:tcPr>
          <w:p w14:paraId="683D40F9" w14:textId="4193E4D8" w:rsidR="00873F38" w:rsidRPr="002F7C4B" w:rsidRDefault="00873F38" w:rsidP="00873F38">
            <w:pPr>
              <w:pStyle w:val="DHHStabletext"/>
            </w:pPr>
            <w:r>
              <w:t>Sleep and Settling Initiative</w:t>
            </w:r>
          </w:p>
        </w:tc>
        <w:tc>
          <w:tcPr>
            <w:tcW w:w="2580" w:type="dxa"/>
          </w:tcPr>
          <w:p w14:paraId="683D40FA" w14:textId="79A9BFF9" w:rsidR="00873F38" w:rsidRPr="002F7C4B" w:rsidRDefault="00873F38" w:rsidP="00873F38">
            <w:pPr>
              <w:pStyle w:val="DHHStabletext"/>
            </w:pPr>
            <w:r w:rsidRPr="004A1994">
              <w:t>CDI</w:t>
            </w:r>
            <w:r>
              <w:t>S</w:t>
            </w:r>
          </w:p>
        </w:tc>
        <w:tc>
          <w:tcPr>
            <w:tcW w:w="2580" w:type="dxa"/>
          </w:tcPr>
          <w:p w14:paraId="683D40FB" w14:textId="49C5D81D" w:rsidR="00873F38" w:rsidRPr="002F7C4B" w:rsidRDefault="00873F38" w:rsidP="00873F38">
            <w:pPr>
              <w:pStyle w:val="DHHStabletext"/>
            </w:pPr>
            <w:r w:rsidRPr="00640FEB">
              <w:t>CDIS</w:t>
            </w:r>
          </w:p>
        </w:tc>
        <w:tc>
          <w:tcPr>
            <w:tcW w:w="2508" w:type="dxa"/>
          </w:tcPr>
          <w:p w14:paraId="683D40FC" w14:textId="20D1B93D" w:rsidR="00873F38" w:rsidRPr="002F7C4B" w:rsidRDefault="00873F38" w:rsidP="00873F38">
            <w:pPr>
              <w:pStyle w:val="DHHStabletext"/>
            </w:pPr>
            <w:r w:rsidRPr="00640FEB">
              <w:t>Quarterly</w:t>
            </w:r>
          </w:p>
        </w:tc>
      </w:tr>
      <w:bookmarkEnd w:id="1"/>
    </w:tbl>
    <w:p w14:paraId="683D40FE" w14:textId="77777777" w:rsidR="006C7A1F" w:rsidRDefault="006C7A1F" w:rsidP="00AA3CA8">
      <w:pPr>
        <w:rPr>
          <w:sz w:val="4"/>
          <w:szCs w:val="4"/>
        </w:rPr>
      </w:pPr>
    </w:p>
    <w:p w14:paraId="683D40FF" w14:textId="77777777" w:rsidR="006C7A1F" w:rsidRDefault="006C7A1F" w:rsidP="00AA3CA8">
      <w:pPr>
        <w:rPr>
          <w:sz w:val="4"/>
          <w:szCs w:val="4"/>
        </w:rPr>
      </w:pPr>
    </w:p>
    <w:p w14:paraId="683D4100" w14:textId="77777777" w:rsidR="006C7A1F" w:rsidRDefault="006C7A1F" w:rsidP="00AA3CA8">
      <w:pPr>
        <w:rPr>
          <w:sz w:val="4"/>
          <w:szCs w:val="4"/>
        </w:rPr>
      </w:pPr>
    </w:p>
    <w:p w14:paraId="683D4108" w14:textId="77777777" w:rsidR="006C7A1F" w:rsidRPr="006C7A1F" w:rsidRDefault="006C7A1F" w:rsidP="00AA3CA8">
      <w:pPr>
        <w:rPr>
          <w:sz w:val="4"/>
          <w:szCs w:val="4"/>
        </w:rPr>
      </w:pPr>
    </w:p>
    <w:tbl>
      <w:tblPr>
        <w:tblW w:w="4800" w:type="pct"/>
        <w:tblInd w:w="113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9786"/>
      </w:tblGrid>
      <w:tr w:rsidR="006A7939" w:rsidRPr="002802E3" w14:paraId="683D410C" w14:textId="77777777" w:rsidTr="00431E46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D4109" w14:textId="05EA3A8C" w:rsidR="00DB7977" w:rsidRDefault="00DB7977" w:rsidP="00DB7977">
            <w:pPr>
              <w:pStyle w:val="DHHSaccessibilitypara"/>
            </w:pPr>
            <w:r>
              <w:t xml:space="preserve">To receive this publication in an accessible format </w:t>
            </w:r>
            <w:hyperlink r:id="rId18" w:history="1">
              <w:r>
                <w:rPr>
                  <w:rStyle w:val="Hyperlink"/>
                </w:rPr>
                <w:t>email Service Agreement Policy</w:t>
              </w:r>
            </w:hyperlink>
            <w:r>
              <w:t xml:space="preserve"> &lt;</w:t>
            </w:r>
            <w:r w:rsidRPr="00965532">
              <w:t>sapolicy@dhhs.vic.gov.au</w:t>
            </w:r>
            <w:r>
              <w:t>&gt;</w:t>
            </w:r>
          </w:p>
          <w:p w14:paraId="683D410A" w14:textId="473F7267" w:rsidR="00DB7977" w:rsidRDefault="00DB7977" w:rsidP="00DB7977">
            <w:pPr>
              <w:pStyle w:val="DHHS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Authorised and published by the Victorian Government, 1 Treasury Place, Melbourne. © State of Victoria, Department of Health and Human Services, </w:t>
            </w:r>
            <w:r w:rsidR="00873F38">
              <w:rPr>
                <w:sz w:val="16"/>
                <w:szCs w:val="16"/>
              </w:rPr>
              <w:t>January 2020</w:t>
            </w:r>
            <w:r>
              <w:rPr>
                <w:sz w:val="16"/>
                <w:szCs w:val="16"/>
              </w:rPr>
              <w:t>. Where the term ‘Aboriginal’ is used it refers to both Aboriginal and Torres Strait Islander people. Indigenous is retained when it is part of the title of a report, program or quotation. ISSN 2207-8347 (online/PDF/Word)</w:t>
            </w:r>
          </w:p>
          <w:p w14:paraId="683D410B" w14:textId="460C4F07" w:rsidR="006A7939" w:rsidRPr="00CA4422" w:rsidRDefault="00DB7977" w:rsidP="00DB7977">
            <w:pPr>
              <w:pStyle w:val="DHHSbody"/>
              <w:spacing w:line="240" w:lineRule="auto"/>
            </w:pPr>
            <w:r>
              <w:t xml:space="preserve">Available on the department’s </w:t>
            </w:r>
            <w:hyperlink r:id="rId19" w:history="1">
              <w:r>
                <w:rPr>
                  <w:rStyle w:val="Hyperlink"/>
                </w:rPr>
                <w:t>Health and human services activity search</w:t>
              </w:r>
            </w:hyperlink>
            <w:r>
              <w:t xml:space="preserve"> &lt;</w:t>
            </w:r>
            <w:r w:rsidRPr="00965532">
              <w:rPr>
                <w:lang w:eastAsia="en-AU"/>
              </w:rPr>
              <w:t>http://providers.dhhs.vic.gov.au/health-human-services-activity-search</w:t>
            </w:r>
            <w:r w:rsidR="00965532">
              <w:rPr>
                <w:lang w:eastAsia="en-AU"/>
              </w:rPr>
              <w:t>&gt;</w:t>
            </w:r>
          </w:p>
        </w:tc>
      </w:tr>
    </w:tbl>
    <w:p w14:paraId="683D410D" w14:textId="77777777" w:rsidR="000918C3" w:rsidRPr="006C7A1F" w:rsidRDefault="000918C3" w:rsidP="006C7A1F">
      <w:pPr>
        <w:rPr>
          <w:sz w:val="2"/>
          <w:szCs w:val="2"/>
          <w:lang w:eastAsia="en-US"/>
        </w:rPr>
      </w:pPr>
    </w:p>
    <w:sectPr w:rsidR="000918C3" w:rsidRPr="006C7A1F" w:rsidSect="00F01E5F">
      <w:type w:val="continuous"/>
      <w:pgSz w:w="11906" w:h="16838" w:code="9"/>
      <w:pgMar w:top="1418" w:right="851" w:bottom="1134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D4112" w14:textId="77777777" w:rsidR="000D3756" w:rsidRDefault="000D3756">
      <w:r>
        <w:separator/>
      </w:r>
    </w:p>
  </w:endnote>
  <w:endnote w:type="continuationSeparator" w:id="0">
    <w:p w14:paraId="683D4113" w14:textId="77777777" w:rsidR="000D3756" w:rsidRDefault="000D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D4114" w14:textId="77777777" w:rsidR="009D70A4" w:rsidRPr="00F65AA9" w:rsidRDefault="00457807" w:rsidP="0051568D">
    <w:pPr>
      <w:pStyle w:val="DHHSfooter"/>
    </w:pPr>
    <w:r>
      <w:rPr>
        <w:noProof/>
        <w:lang w:eastAsia="en-AU"/>
      </w:rPr>
      <w:drawing>
        <wp:anchor distT="0" distB="0" distL="114300" distR="114300" simplePos="0" relativeHeight="251657728" behindDoc="0" locked="1" layoutInCell="0" allowOverlap="1" wp14:anchorId="683D4117" wp14:editId="683D4118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1270" b="889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D4116" w14:textId="65864F8A" w:rsidR="009D70A4" w:rsidRPr="00A11421" w:rsidRDefault="006A7939" w:rsidP="0051568D">
    <w:pPr>
      <w:pStyle w:val="DHHSfooter"/>
    </w:pPr>
    <w:r>
      <w:t>Activity description</w:t>
    </w:r>
    <w:r w:rsidR="00DB7977">
      <w:t xml:space="preserve"> (health): </w:t>
    </w:r>
    <w:r w:rsidR="00873F38">
      <w:t xml:space="preserve">Sleep and Settling Initiative </w:t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6650FF">
      <w:rPr>
        <w:noProof/>
      </w:rPr>
      <w:t>2</w:t>
    </w:r>
    <w:r w:rsidR="009D70A4" w:rsidRPr="00A11421">
      <w:fldChar w:fldCharType="end"/>
    </w:r>
    <w:r w:rsidR="00873F38">
      <w:t>8213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D4110" w14:textId="77777777" w:rsidR="000D3756" w:rsidRDefault="000D3756" w:rsidP="002862F1">
      <w:pPr>
        <w:spacing w:before="120"/>
      </w:pPr>
      <w:r>
        <w:separator/>
      </w:r>
    </w:p>
  </w:footnote>
  <w:footnote w:type="continuationSeparator" w:id="0">
    <w:p w14:paraId="683D4111" w14:textId="77777777" w:rsidR="000D3756" w:rsidRDefault="000D3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D4115" w14:textId="77777777"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2A816D8"/>
    <w:multiLevelType w:val="hybridMultilevel"/>
    <w:tmpl w:val="1638BA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A92BD9"/>
    <w:multiLevelType w:val="hybridMultilevel"/>
    <w:tmpl w:val="D28A6F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D43DB"/>
    <w:multiLevelType w:val="multilevel"/>
    <w:tmpl w:val="4B4E7622"/>
    <w:numStyleLink w:val="ZZNumbers"/>
  </w:abstractNum>
  <w:abstractNum w:abstractNumId="5" w15:restartNumberingAfterBreak="0">
    <w:nsid w:val="0FDB7830"/>
    <w:multiLevelType w:val="hybridMultilevel"/>
    <w:tmpl w:val="27962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4177450F"/>
    <w:multiLevelType w:val="hybridMultilevel"/>
    <w:tmpl w:val="1C64B0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60A89"/>
    <w:multiLevelType w:val="hybridMultilevel"/>
    <w:tmpl w:val="A31864C2"/>
    <w:lvl w:ilvl="0" w:tplc="81DE8526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F6107"/>
    <w:multiLevelType w:val="hybridMultilevel"/>
    <w:tmpl w:val="4A8C46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F195B"/>
    <w:multiLevelType w:val="hybridMultilevel"/>
    <w:tmpl w:val="F24048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F6F79F3"/>
    <w:multiLevelType w:val="hybridMultilevel"/>
    <w:tmpl w:val="34BC91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F27816"/>
    <w:multiLevelType w:val="hybridMultilevel"/>
    <w:tmpl w:val="B3ECD9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673831"/>
    <w:multiLevelType w:val="hybridMultilevel"/>
    <w:tmpl w:val="A2144AF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6"/>
  </w:num>
  <w:num w:numId="9">
    <w:abstractNumId w:val="12"/>
  </w:num>
  <w:num w:numId="10">
    <w:abstractNumId w:val="14"/>
  </w:num>
  <w:num w:numId="11">
    <w:abstractNumId w:val="7"/>
  </w:num>
  <w:num w:numId="12">
    <w:abstractNumId w:val="8"/>
  </w:num>
  <w:num w:numId="13">
    <w:abstractNumId w:val="5"/>
  </w:num>
  <w:num w:numId="14">
    <w:abstractNumId w:val="13"/>
  </w:num>
  <w:num w:numId="15">
    <w:abstractNumId w:val="2"/>
  </w:num>
  <w:num w:numId="16">
    <w:abstractNumId w:val="10"/>
  </w:num>
  <w:num w:numId="17">
    <w:abstractNumId w:val="9"/>
  </w:num>
  <w:num w:numId="1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F76"/>
    <w:rsid w:val="000072B6"/>
    <w:rsid w:val="0001021B"/>
    <w:rsid w:val="00011D89"/>
    <w:rsid w:val="00020209"/>
    <w:rsid w:val="000214DC"/>
    <w:rsid w:val="00024D89"/>
    <w:rsid w:val="000250B6"/>
    <w:rsid w:val="00033D81"/>
    <w:rsid w:val="00041BF0"/>
    <w:rsid w:val="0004536B"/>
    <w:rsid w:val="00046B68"/>
    <w:rsid w:val="000527DD"/>
    <w:rsid w:val="000578B2"/>
    <w:rsid w:val="00060959"/>
    <w:rsid w:val="000663CD"/>
    <w:rsid w:val="000667DA"/>
    <w:rsid w:val="000733FE"/>
    <w:rsid w:val="00074219"/>
    <w:rsid w:val="00074ED5"/>
    <w:rsid w:val="0009038C"/>
    <w:rsid w:val="0009113B"/>
    <w:rsid w:val="000918C3"/>
    <w:rsid w:val="00094DA3"/>
    <w:rsid w:val="00096CD1"/>
    <w:rsid w:val="000A012C"/>
    <w:rsid w:val="000A0EB9"/>
    <w:rsid w:val="000A186C"/>
    <w:rsid w:val="000B23FD"/>
    <w:rsid w:val="000B543D"/>
    <w:rsid w:val="000B5BF7"/>
    <w:rsid w:val="000B6BC8"/>
    <w:rsid w:val="000C42EA"/>
    <w:rsid w:val="000C4546"/>
    <w:rsid w:val="000D1242"/>
    <w:rsid w:val="000D3756"/>
    <w:rsid w:val="000E3CC7"/>
    <w:rsid w:val="000E6BD4"/>
    <w:rsid w:val="000F1F1E"/>
    <w:rsid w:val="000F2259"/>
    <w:rsid w:val="000F2B4A"/>
    <w:rsid w:val="0010392D"/>
    <w:rsid w:val="0010447F"/>
    <w:rsid w:val="00104FE3"/>
    <w:rsid w:val="00120AF7"/>
    <w:rsid w:val="00120BD3"/>
    <w:rsid w:val="00121D8F"/>
    <w:rsid w:val="00122FEA"/>
    <w:rsid w:val="001232BD"/>
    <w:rsid w:val="00124ED5"/>
    <w:rsid w:val="001447B3"/>
    <w:rsid w:val="00152073"/>
    <w:rsid w:val="00161939"/>
    <w:rsid w:val="00161AA0"/>
    <w:rsid w:val="00162093"/>
    <w:rsid w:val="00162711"/>
    <w:rsid w:val="0017293C"/>
    <w:rsid w:val="001771DD"/>
    <w:rsid w:val="00177995"/>
    <w:rsid w:val="00177A8C"/>
    <w:rsid w:val="00186B33"/>
    <w:rsid w:val="00192F9D"/>
    <w:rsid w:val="00196EB8"/>
    <w:rsid w:val="001979FF"/>
    <w:rsid w:val="00197B17"/>
    <w:rsid w:val="001A3ACE"/>
    <w:rsid w:val="001B339B"/>
    <w:rsid w:val="001C1970"/>
    <w:rsid w:val="001C277E"/>
    <w:rsid w:val="001C2A72"/>
    <w:rsid w:val="001D0B75"/>
    <w:rsid w:val="001D3C09"/>
    <w:rsid w:val="001D44E8"/>
    <w:rsid w:val="001D5628"/>
    <w:rsid w:val="001D60EC"/>
    <w:rsid w:val="001E44DF"/>
    <w:rsid w:val="001E68A5"/>
    <w:rsid w:val="001E6BB0"/>
    <w:rsid w:val="001F3826"/>
    <w:rsid w:val="001F3DE2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1843"/>
    <w:rsid w:val="002432E1"/>
    <w:rsid w:val="00246207"/>
    <w:rsid w:val="00246C5E"/>
    <w:rsid w:val="00251343"/>
    <w:rsid w:val="00254F58"/>
    <w:rsid w:val="002608AA"/>
    <w:rsid w:val="002620BC"/>
    <w:rsid w:val="00262802"/>
    <w:rsid w:val="00263A90"/>
    <w:rsid w:val="0026408B"/>
    <w:rsid w:val="00267C3E"/>
    <w:rsid w:val="002709BB"/>
    <w:rsid w:val="002763B3"/>
    <w:rsid w:val="002802E3"/>
    <w:rsid w:val="0028213D"/>
    <w:rsid w:val="002862F1"/>
    <w:rsid w:val="00291373"/>
    <w:rsid w:val="00293D28"/>
    <w:rsid w:val="0029597D"/>
    <w:rsid w:val="002962C3"/>
    <w:rsid w:val="0029752B"/>
    <w:rsid w:val="002A483C"/>
    <w:rsid w:val="002B1729"/>
    <w:rsid w:val="002B3651"/>
    <w:rsid w:val="002B4DD4"/>
    <w:rsid w:val="002B5277"/>
    <w:rsid w:val="002B5375"/>
    <w:rsid w:val="002B77C1"/>
    <w:rsid w:val="002C2728"/>
    <w:rsid w:val="002D1AA5"/>
    <w:rsid w:val="002D5006"/>
    <w:rsid w:val="002E01D0"/>
    <w:rsid w:val="002E161D"/>
    <w:rsid w:val="002E3100"/>
    <w:rsid w:val="002E6C95"/>
    <w:rsid w:val="002E7C36"/>
    <w:rsid w:val="002F5F31"/>
    <w:rsid w:val="002F5F46"/>
    <w:rsid w:val="002F7C4B"/>
    <w:rsid w:val="00302216"/>
    <w:rsid w:val="003033EA"/>
    <w:rsid w:val="00303E53"/>
    <w:rsid w:val="00306E5F"/>
    <w:rsid w:val="00307E14"/>
    <w:rsid w:val="00314054"/>
    <w:rsid w:val="00316F27"/>
    <w:rsid w:val="00327870"/>
    <w:rsid w:val="0033259D"/>
    <w:rsid w:val="00337C54"/>
    <w:rsid w:val="003406C6"/>
    <w:rsid w:val="003418CC"/>
    <w:rsid w:val="003459BD"/>
    <w:rsid w:val="00350D38"/>
    <w:rsid w:val="003512C8"/>
    <w:rsid w:val="00351B36"/>
    <w:rsid w:val="00357B4E"/>
    <w:rsid w:val="003744CF"/>
    <w:rsid w:val="00374717"/>
    <w:rsid w:val="0037676C"/>
    <w:rsid w:val="003829E5"/>
    <w:rsid w:val="00382AFC"/>
    <w:rsid w:val="003956CC"/>
    <w:rsid w:val="00395C9A"/>
    <w:rsid w:val="003A6B67"/>
    <w:rsid w:val="003B15E6"/>
    <w:rsid w:val="003C2045"/>
    <w:rsid w:val="003C43A1"/>
    <w:rsid w:val="003C4FC0"/>
    <w:rsid w:val="003C55F4"/>
    <w:rsid w:val="003C7A3F"/>
    <w:rsid w:val="003D2766"/>
    <w:rsid w:val="003D3E8F"/>
    <w:rsid w:val="003D6475"/>
    <w:rsid w:val="003F0445"/>
    <w:rsid w:val="003F0CF0"/>
    <w:rsid w:val="003F14B1"/>
    <w:rsid w:val="003F3289"/>
    <w:rsid w:val="00401FCF"/>
    <w:rsid w:val="00406285"/>
    <w:rsid w:val="004148F9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7337"/>
    <w:rsid w:val="00457807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B1BE5"/>
    <w:rsid w:val="004C6EEE"/>
    <w:rsid w:val="004C702B"/>
    <w:rsid w:val="004D016B"/>
    <w:rsid w:val="004D1B22"/>
    <w:rsid w:val="004D36F2"/>
    <w:rsid w:val="004E138F"/>
    <w:rsid w:val="004E4649"/>
    <w:rsid w:val="004E5C2B"/>
    <w:rsid w:val="004E6F1D"/>
    <w:rsid w:val="004F00DD"/>
    <w:rsid w:val="004F2133"/>
    <w:rsid w:val="004F4473"/>
    <w:rsid w:val="004F55F1"/>
    <w:rsid w:val="004F5F95"/>
    <w:rsid w:val="004F6936"/>
    <w:rsid w:val="00503DC6"/>
    <w:rsid w:val="00506F5D"/>
    <w:rsid w:val="005126D0"/>
    <w:rsid w:val="0051568D"/>
    <w:rsid w:val="00526C15"/>
    <w:rsid w:val="00536499"/>
    <w:rsid w:val="005409A4"/>
    <w:rsid w:val="00543903"/>
    <w:rsid w:val="00543F11"/>
    <w:rsid w:val="00547A95"/>
    <w:rsid w:val="005620F5"/>
    <w:rsid w:val="00572031"/>
    <w:rsid w:val="00575BC9"/>
    <w:rsid w:val="00576E84"/>
    <w:rsid w:val="00582B8C"/>
    <w:rsid w:val="0058757E"/>
    <w:rsid w:val="005938E5"/>
    <w:rsid w:val="00596A4B"/>
    <w:rsid w:val="00597507"/>
    <w:rsid w:val="005B21B6"/>
    <w:rsid w:val="005B384F"/>
    <w:rsid w:val="005B3A08"/>
    <w:rsid w:val="005B7A63"/>
    <w:rsid w:val="005C0955"/>
    <w:rsid w:val="005C49DA"/>
    <w:rsid w:val="005C50F3"/>
    <w:rsid w:val="005C5D91"/>
    <w:rsid w:val="005C7CBC"/>
    <w:rsid w:val="005D07B8"/>
    <w:rsid w:val="005D6597"/>
    <w:rsid w:val="005E14E7"/>
    <w:rsid w:val="005E26A3"/>
    <w:rsid w:val="005E447E"/>
    <w:rsid w:val="005E76EA"/>
    <w:rsid w:val="005F0775"/>
    <w:rsid w:val="005F0CF5"/>
    <w:rsid w:val="005F21EB"/>
    <w:rsid w:val="005F7F3E"/>
    <w:rsid w:val="00605908"/>
    <w:rsid w:val="00610D7C"/>
    <w:rsid w:val="00613414"/>
    <w:rsid w:val="0062408D"/>
    <w:rsid w:val="006240CC"/>
    <w:rsid w:val="00627DA7"/>
    <w:rsid w:val="00633A5F"/>
    <w:rsid w:val="006358B4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650FF"/>
    <w:rsid w:val="00670597"/>
    <w:rsid w:val="006706D0"/>
    <w:rsid w:val="00673455"/>
    <w:rsid w:val="00677574"/>
    <w:rsid w:val="0068454C"/>
    <w:rsid w:val="00691B62"/>
    <w:rsid w:val="00693D14"/>
    <w:rsid w:val="00697090"/>
    <w:rsid w:val="006A18C2"/>
    <w:rsid w:val="006A7939"/>
    <w:rsid w:val="006B077C"/>
    <w:rsid w:val="006B6803"/>
    <w:rsid w:val="006C5390"/>
    <w:rsid w:val="006C7A1F"/>
    <w:rsid w:val="006D2A3F"/>
    <w:rsid w:val="006D2FBC"/>
    <w:rsid w:val="006D72EA"/>
    <w:rsid w:val="006E138B"/>
    <w:rsid w:val="006E7FD8"/>
    <w:rsid w:val="006F0FB0"/>
    <w:rsid w:val="006F1FDC"/>
    <w:rsid w:val="006F4E87"/>
    <w:rsid w:val="006F6592"/>
    <w:rsid w:val="007013EF"/>
    <w:rsid w:val="00706E3A"/>
    <w:rsid w:val="007173CA"/>
    <w:rsid w:val="007216AA"/>
    <w:rsid w:val="00721AB5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554F6"/>
    <w:rsid w:val="00763139"/>
    <w:rsid w:val="00770F37"/>
    <w:rsid w:val="007711A0"/>
    <w:rsid w:val="00772D5E"/>
    <w:rsid w:val="00776928"/>
    <w:rsid w:val="00785677"/>
    <w:rsid w:val="00786F16"/>
    <w:rsid w:val="007879E3"/>
    <w:rsid w:val="007916DA"/>
    <w:rsid w:val="00796E20"/>
    <w:rsid w:val="00797C32"/>
    <w:rsid w:val="007B0914"/>
    <w:rsid w:val="007B1374"/>
    <w:rsid w:val="007B292B"/>
    <w:rsid w:val="007B589F"/>
    <w:rsid w:val="007B6186"/>
    <w:rsid w:val="007B73BC"/>
    <w:rsid w:val="007C0F0C"/>
    <w:rsid w:val="007C20B9"/>
    <w:rsid w:val="007C7301"/>
    <w:rsid w:val="007C7859"/>
    <w:rsid w:val="007D2932"/>
    <w:rsid w:val="007D2BDE"/>
    <w:rsid w:val="007D2FB6"/>
    <w:rsid w:val="007E0DE2"/>
    <w:rsid w:val="007E3B98"/>
    <w:rsid w:val="007F31B6"/>
    <w:rsid w:val="007F546C"/>
    <w:rsid w:val="007F625F"/>
    <w:rsid w:val="007F665E"/>
    <w:rsid w:val="00800412"/>
    <w:rsid w:val="008056EE"/>
    <w:rsid w:val="0080587B"/>
    <w:rsid w:val="00806468"/>
    <w:rsid w:val="008155F0"/>
    <w:rsid w:val="00816735"/>
    <w:rsid w:val="00820141"/>
    <w:rsid w:val="00820E0C"/>
    <w:rsid w:val="008237E6"/>
    <w:rsid w:val="008338A2"/>
    <w:rsid w:val="008370FF"/>
    <w:rsid w:val="00841AA9"/>
    <w:rsid w:val="00853EE4"/>
    <w:rsid w:val="00855535"/>
    <w:rsid w:val="0086255E"/>
    <w:rsid w:val="008633F0"/>
    <w:rsid w:val="00867D9D"/>
    <w:rsid w:val="00871222"/>
    <w:rsid w:val="00872E0A"/>
    <w:rsid w:val="00873F38"/>
    <w:rsid w:val="00875285"/>
    <w:rsid w:val="0087683C"/>
    <w:rsid w:val="00884B62"/>
    <w:rsid w:val="0088529C"/>
    <w:rsid w:val="00887903"/>
    <w:rsid w:val="0089270A"/>
    <w:rsid w:val="00893AF6"/>
    <w:rsid w:val="00894BC4"/>
    <w:rsid w:val="00895643"/>
    <w:rsid w:val="008A5B32"/>
    <w:rsid w:val="008B2EE4"/>
    <w:rsid w:val="008B4D3D"/>
    <w:rsid w:val="008B57C7"/>
    <w:rsid w:val="008C2F92"/>
    <w:rsid w:val="008D2846"/>
    <w:rsid w:val="008D4236"/>
    <w:rsid w:val="008D462F"/>
    <w:rsid w:val="008D6DCF"/>
    <w:rsid w:val="008E32A7"/>
    <w:rsid w:val="008E4376"/>
    <w:rsid w:val="008E7A0A"/>
    <w:rsid w:val="00900719"/>
    <w:rsid w:val="009017AC"/>
    <w:rsid w:val="00902F40"/>
    <w:rsid w:val="00904A1C"/>
    <w:rsid w:val="00905030"/>
    <w:rsid w:val="00906490"/>
    <w:rsid w:val="009111B2"/>
    <w:rsid w:val="00924AE1"/>
    <w:rsid w:val="009269B1"/>
    <w:rsid w:val="0092724D"/>
    <w:rsid w:val="00937BD9"/>
    <w:rsid w:val="009403C1"/>
    <w:rsid w:val="00950E2C"/>
    <w:rsid w:val="00951D50"/>
    <w:rsid w:val="009525EB"/>
    <w:rsid w:val="00954874"/>
    <w:rsid w:val="00961400"/>
    <w:rsid w:val="00963646"/>
    <w:rsid w:val="00965532"/>
    <w:rsid w:val="009853E1"/>
    <w:rsid w:val="00986E6B"/>
    <w:rsid w:val="00991769"/>
    <w:rsid w:val="00994386"/>
    <w:rsid w:val="009A13D8"/>
    <w:rsid w:val="009A279E"/>
    <w:rsid w:val="009B0A6F"/>
    <w:rsid w:val="009B0A94"/>
    <w:rsid w:val="009B59E9"/>
    <w:rsid w:val="009B70AA"/>
    <w:rsid w:val="009C7A7E"/>
    <w:rsid w:val="009D02E8"/>
    <w:rsid w:val="009D311F"/>
    <w:rsid w:val="009D51D0"/>
    <w:rsid w:val="009D70A4"/>
    <w:rsid w:val="009E08D1"/>
    <w:rsid w:val="009E1B95"/>
    <w:rsid w:val="009E496F"/>
    <w:rsid w:val="009E4B0D"/>
    <w:rsid w:val="009E5954"/>
    <w:rsid w:val="009E5B33"/>
    <w:rsid w:val="009E7F92"/>
    <w:rsid w:val="009F02A3"/>
    <w:rsid w:val="009F2F27"/>
    <w:rsid w:val="009F34AA"/>
    <w:rsid w:val="009F6BCB"/>
    <w:rsid w:val="009F7B78"/>
    <w:rsid w:val="00A0057A"/>
    <w:rsid w:val="00A11421"/>
    <w:rsid w:val="00A11FC5"/>
    <w:rsid w:val="00A157B1"/>
    <w:rsid w:val="00A17588"/>
    <w:rsid w:val="00A20D71"/>
    <w:rsid w:val="00A22229"/>
    <w:rsid w:val="00A44882"/>
    <w:rsid w:val="00A54715"/>
    <w:rsid w:val="00A6061C"/>
    <w:rsid w:val="00A62D44"/>
    <w:rsid w:val="00A67263"/>
    <w:rsid w:val="00A7161C"/>
    <w:rsid w:val="00A77AA3"/>
    <w:rsid w:val="00A842F2"/>
    <w:rsid w:val="00A854EB"/>
    <w:rsid w:val="00A872E5"/>
    <w:rsid w:val="00A91406"/>
    <w:rsid w:val="00A96E65"/>
    <w:rsid w:val="00A97C72"/>
    <w:rsid w:val="00AA0F86"/>
    <w:rsid w:val="00AA3CA8"/>
    <w:rsid w:val="00AA63D4"/>
    <w:rsid w:val="00AA78F2"/>
    <w:rsid w:val="00AA7900"/>
    <w:rsid w:val="00AB06E8"/>
    <w:rsid w:val="00AB1CD3"/>
    <w:rsid w:val="00AB352F"/>
    <w:rsid w:val="00AC0C15"/>
    <w:rsid w:val="00AC274B"/>
    <w:rsid w:val="00AC4764"/>
    <w:rsid w:val="00AC6D36"/>
    <w:rsid w:val="00AD01D4"/>
    <w:rsid w:val="00AD0CBA"/>
    <w:rsid w:val="00AD26E2"/>
    <w:rsid w:val="00AD3998"/>
    <w:rsid w:val="00AD784C"/>
    <w:rsid w:val="00AE126A"/>
    <w:rsid w:val="00AE3005"/>
    <w:rsid w:val="00AE3BD5"/>
    <w:rsid w:val="00AE3DB6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54AE8"/>
    <w:rsid w:val="00B62B50"/>
    <w:rsid w:val="00B635B7"/>
    <w:rsid w:val="00B63AE8"/>
    <w:rsid w:val="00B65950"/>
    <w:rsid w:val="00B66D83"/>
    <w:rsid w:val="00B672C0"/>
    <w:rsid w:val="00B70F76"/>
    <w:rsid w:val="00B7459A"/>
    <w:rsid w:val="00B75646"/>
    <w:rsid w:val="00B8690F"/>
    <w:rsid w:val="00B90729"/>
    <w:rsid w:val="00B907DA"/>
    <w:rsid w:val="00B950BC"/>
    <w:rsid w:val="00B9714C"/>
    <w:rsid w:val="00BA3F8D"/>
    <w:rsid w:val="00BA5A87"/>
    <w:rsid w:val="00BA6D1B"/>
    <w:rsid w:val="00BB7A10"/>
    <w:rsid w:val="00BC2911"/>
    <w:rsid w:val="00BC7468"/>
    <w:rsid w:val="00BC7D4F"/>
    <w:rsid w:val="00BC7ED7"/>
    <w:rsid w:val="00BD2850"/>
    <w:rsid w:val="00BE28D2"/>
    <w:rsid w:val="00BE4A64"/>
    <w:rsid w:val="00BF7F58"/>
    <w:rsid w:val="00C01381"/>
    <w:rsid w:val="00C079B8"/>
    <w:rsid w:val="00C07F0F"/>
    <w:rsid w:val="00C123EA"/>
    <w:rsid w:val="00C12A49"/>
    <w:rsid w:val="00C133EE"/>
    <w:rsid w:val="00C27201"/>
    <w:rsid w:val="00C27DE9"/>
    <w:rsid w:val="00C33388"/>
    <w:rsid w:val="00C35484"/>
    <w:rsid w:val="00C4173A"/>
    <w:rsid w:val="00C602FF"/>
    <w:rsid w:val="00C61174"/>
    <w:rsid w:val="00C6148F"/>
    <w:rsid w:val="00C62F7A"/>
    <w:rsid w:val="00C63B9C"/>
    <w:rsid w:val="00C6682F"/>
    <w:rsid w:val="00C7275E"/>
    <w:rsid w:val="00C74C5D"/>
    <w:rsid w:val="00C863C4"/>
    <w:rsid w:val="00C93C3E"/>
    <w:rsid w:val="00CA12E3"/>
    <w:rsid w:val="00CA4422"/>
    <w:rsid w:val="00CA6611"/>
    <w:rsid w:val="00CA6AE6"/>
    <w:rsid w:val="00CA782F"/>
    <w:rsid w:val="00CC0C72"/>
    <w:rsid w:val="00CC2BFD"/>
    <w:rsid w:val="00CC3FB0"/>
    <w:rsid w:val="00CD3476"/>
    <w:rsid w:val="00CD64DF"/>
    <w:rsid w:val="00CF2F50"/>
    <w:rsid w:val="00D02919"/>
    <w:rsid w:val="00D04C61"/>
    <w:rsid w:val="00D05B8D"/>
    <w:rsid w:val="00D065A2"/>
    <w:rsid w:val="00D07F00"/>
    <w:rsid w:val="00D1443D"/>
    <w:rsid w:val="00D17B72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714CC"/>
    <w:rsid w:val="00D75EA7"/>
    <w:rsid w:val="00D81F21"/>
    <w:rsid w:val="00D85AC1"/>
    <w:rsid w:val="00D95470"/>
    <w:rsid w:val="00DA2619"/>
    <w:rsid w:val="00DA4239"/>
    <w:rsid w:val="00DB0B61"/>
    <w:rsid w:val="00DB7977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E3250"/>
    <w:rsid w:val="00DE4E5C"/>
    <w:rsid w:val="00DE6028"/>
    <w:rsid w:val="00DE78A3"/>
    <w:rsid w:val="00DF1A71"/>
    <w:rsid w:val="00DF68C7"/>
    <w:rsid w:val="00DF6BAF"/>
    <w:rsid w:val="00DF731A"/>
    <w:rsid w:val="00E05E8D"/>
    <w:rsid w:val="00E170DC"/>
    <w:rsid w:val="00E17267"/>
    <w:rsid w:val="00E26818"/>
    <w:rsid w:val="00E27FFC"/>
    <w:rsid w:val="00E30B15"/>
    <w:rsid w:val="00E327EB"/>
    <w:rsid w:val="00E40181"/>
    <w:rsid w:val="00E53D0C"/>
    <w:rsid w:val="00E56A01"/>
    <w:rsid w:val="00E629A1"/>
    <w:rsid w:val="00E71591"/>
    <w:rsid w:val="00E82C55"/>
    <w:rsid w:val="00E92AC3"/>
    <w:rsid w:val="00EB00E0"/>
    <w:rsid w:val="00EB442C"/>
    <w:rsid w:val="00EC059F"/>
    <w:rsid w:val="00EC1F24"/>
    <w:rsid w:val="00EC22F6"/>
    <w:rsid w:val="00EC27BC"/>
    <w:rsid w:val="00EC4117"/>
    <w:rsid w:val="00EC7F3A"/>
    <w:rsid w:val="00ED5B9B"/>
    <w:rsid w:val="00ED6BAD"/>
    <w:rsid w:val="00ED7447"/>
    <w:rsid w:val="00EE1488"/>
    <w:rsid w:val="00EE4D5D"/>
    <w:rsid w:val="00EE5131"/>
    <w:rsid w:val="00EF109B"/>
    <w:rsid w:val="00EF36AF"/>
    <w:rsid w:val="00F00F9C"/>
    <w:rsid w:val="00F01E5F"/>
    <w:rsid w:val="00F02ABA"/>
    <w:rsid w:val="00F0437A"/>
    <w:rsid w:val="00F057BA"/>
    <w:rsid w:val="00F11037"/>
    <w:rsid w:val="00F16F1B"/>
    <w:rsid w:val="00F250A9"/>
    <w:rsid w:val="00F30FF4"/>
    <w:rsid w:val="00F3122E"/>
    <w:rsid w:val="00F331AD"/>
    <w:rsid w:val="00F35287"/>
    <w:rsid w:val="00F425DA"/>
    <w:rsid w:val="00F42ABE"/>
    <w:rsid w:val="00F43A37"/>
    <w:rsid w:val="00F4641B"/>
    <w:rsid w:val="00F46EB8"/>
    <w:rsid w:val="00F5036C"/>
    <w:rsid w:val="00F511E4"/>
    <w:rsid w:val="00F52D09"/>
    <w:rsid w:val="00F52E08"/>
    <w:rsid w:val="00F53F8C"/>
    <w:rsid w:val="00F5481C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87FCF"/>
    <w:rsid w:val="00F922BE"/>
    <w:rsid w:val="00F938BA"/>
    <w:rsid w:val="00FA2C46"/>
    <w:rsid w:val="00FA3525"/>
    <w:rsid w:val="00FB4CDA"/>
    <w:rsid w:val="00FC0F81"/>
    <w:rsid w:val="00FC395C"/>
    <w:rsid w:val="00FD3766"/>
    <w:rsid w:val="00FD47C4"/>
    <w:rsid w:val="00FE2DCF"/>
    <w:rsid w:val="00FF2FCE"/>
    <w:rsid w:val="00FF4F7D"/>
    <w:rsid w:val="00FF6D9D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."/>
  <w:listSeparator w:val=","/>
  <w14:docId w14:val="683D40A3"/>
  <w15:docId w15:val="{72C1C50B-D21C-4047-ABDB-1EF2D6C0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70F76"/>
    <w:pPr>
      <w:spacing w:before="100" w:line="288" w:lineRule="auto"/>
    </w:pPr>
    <w:rPr>
      <w:rFonts w:ascii="Arial" w:hAnsi="Arial"/>
    </w:rPr>
  </w:style>
  <w:style w:type="paragraph" w:styleId="Heading1">
    <w:name w:val="heading 1"/>
    <w:next w:val="DHHSbody"/>
    <w:link w:val="Heading1Char"/>
    <w:autoRedefine/>
    <w:uiPriority w:val="1"/>
    <w:qFormat/>
    <w:rsid w:val="006F4E87"/>
    <w:pPr>
      <w:keepNext/>
      <w:keepLines/>
      <w:spacing w:before="120" w:after="200" w:line="440" w:lineRule="atLeast"/>
      <w:outlineLvl w:val="0"/>
    </w:pPr>
    <w:rPr>
      <w:rFonts w:ascii="Arial" w:eastAsia="MS Gothic" w:hAnsi="Arial" w:cs="Arial"/>
      <w:b/>
      <w:bCs/>
      <w:color w:val="201547"/>
      <w:kern w:val="32"/>
      <w:sz w:val="28"/>
      <w:szCs w:val="40"/>
      <w:lang w:eastAsia="en-US"/>
    </w:rPr>
  </w:style>
  <w:style w:type="paragraph" w:styleId="Heading2">
    <w:name w:val="heading 2"/>
    <w:next w:val="DHHSbody"/>
    <w:link w:val="Heading2Char"/>
    <w:autoRedefine/>
    <w:uiPriority w:val="1"/>
    <w:qFormat/>
    <w:rsid w:val="00DB7977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201547"/>
      <w:sz w:val="22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link w:val="DHHSbodyChar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6F4E87"/>
    <w:rPr>
      <w:rFonts w:ascii="Arial" w:eastAsia="MS Gothic" w:hAnsi="Arial" w:cs="Arial"/>
      <w:b/>
      <w:bCs/>
      <w:color w:val="201547"/>
      <w:kern w:val="32"/>
      <w:sz w:val="28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DB7977"/>
    <w:rPr>
      <w:rFonts w:ascii="Arial" w:hAnsi="Arial"/>
      <w:b/>
      <w:color w:val="201547"/>
      <w:sz w:val="2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8D2846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8D2846"/>
    <w:rPr>
      <w:rFonts w:ascii="Arial" w:hAnsi="Arial"/>
      <w:b/>
      <w:color w:val="201547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99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customStyle="1" w:styleId="DHHSbodyChar">
    <w:name w:val="DHHS body Char"/>
    <w:link w:val="DHHSbody"/>
    <w:locked/>
    <w:rsid w:val="00B70F76"/>
    <w:rPr>
      <w:rFonts w:ascii="Arial" w:eastAsia="Times" w:hAnsi="Arial"/>
      <w:lang w:eastAsia="en-US"/>
    </w:rPr>
  </w:style>
  <w:style w:type="paragraph" w:styleId="NormalIndent">
    <w:name w:val="Normal Indent"/>
    <w:basedOn w:val="Normal"/>
    <w:rsid w:val="00575BC9"/>
    <w:pPr>
      <w:ind w:left="709"/>
    </w:pPr>
    <w:rPr>
      <w:lang w:eastAsia="en-US"/>
    </w:r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Instructiontext">
    <w:name w:val="Instruction text"/>
    <w:basedOn w:val="DHHSbody"/>
    <w:qFormat/>
    <w:rsid w:val="00575BC9"/>
    <w:pPr>
      <w:spacing w:before="120"/>
    </w:pPr>
    <w:rPr>
      <w:rFonts w:cs="Arial"/>
      <w:color w:val="87189D"/>
    </w:rPr>
  </w:style>
  <w:style w:type="paragraph" w:customStyle="1" w:styleId="DHHStablecolhead">
    <w:name w:val="DHHS table col head"/>
    <w:uiPriority w:val="99"/>
    <w:qFormat/>
    <w:rsid w:val="008D2846"/>
    <w:pPr>
      <w:spacing w:before="80" w:after="60"/>
    </w:pPr>
    <w:rPr>
      <w:rFonts w:ascii="Arial" w:hAnsi="Arial"/>
      <w:b/>
      <w:color w:val="201547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eastAsia="MS Gothic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styleId="BalloonText">
    <w:name w:val="Balloon Text"/>
    <w:basedOn w:val="Normal"/>
    <w:link w:val="BalloonTextChar"/>
    <w:uiPriority w:val="99"/>
    <w:semiHidden/>
    <w:unhideWhenUsed/>
    <w:rsid w:val="0009038C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38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608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3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mailto:sapolicy@dhhs.vic.gov.au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2.health.vic.gov.au/primary-and-community-health/maternal-child-healt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2.health.vic.gov.au/primary-and-community-health/maternal-child-health/framework-mc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2.health.vic.gov.au/primary-and-community-health/maternal-child-health/framework-mch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providers.dhhs.vic.gov.au/health-human-services-activity-search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5B586-6D16-49F8-8054-B1266B74350B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4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FF11CEA-B6BD-491E-86E3-D7634A9527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CFDA04-32A6-4F13-B3A1-40E558F37C20}"/>
</file>

<file path=customXml/itemProps4.xml><?xml version="1.0" encoding="utf-8"?>
<ds:datastoreItem xmlns:ds="http://schemas.openxmlformats.org/officeDocument/2006/customXml" ds:itemID="{B0ADBF21-4831-4BE7-A6F1-38742156E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4132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description  health  Sleep and settling initiative 28213</vt:lpstr>
    </vt:vector>
  </TitlesOfParts>
  <Company>Department of Health and Human Services</Company>
  <LinksUpToDate>false</LinksUpToDate>
  <CharactersWithSpaces>4669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description  health  Sleep and settling initiative 28213</dc:title>
  <dc:subject>service agreement activity descriptions</dc:subject>
  <dc:creator>Service Agreement Policy unit</dc:creator>
  <cp:keywords>service agreement;Activity description ;health;Maternal Child Health; Sleep and settling initiative; 28213</cp:keywords>
  <cp:lastModifiedBy>Alice York (DHHS)</cp:lastModifiedBy>
  <cp:revision>2</cp:revision>
  <cp:lastPrinted>2019-01-24T02:30:00Z</cp:lastPrinted>
  <dcterms:created xsi:type="dcterms:W3CDTF">2020-02-03T03:38:00Z</dcterms:created>
  <dcterms:modified xsi:type="dcterms:W3CDTF">2020-02-03T03:38:00Z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</Properties>
</file>