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Small Rural - HACC-PYP 35030</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language-services-policy" TargetMode="External"/>
<Relationship Id="rId12" Type="http://schemas.openxmlformats.org/officeDocument/2006/relationships/hyperlink" Target="https://www.health.vic.gov.au/health-strategies/aboriginal-health" TargetMode="External"/>
<Relationship Id="rId13" Type="http://schemas.openxmlformats.org/officeDocument/2006/relationships/hyperlink" Target="https://www.firstpeoplesrelations.vic.gov.au/victorian-aboriginal-affairs-framework" TargetMode="External"/>
<Relationship Id="rId14" Type="http://schemas.openxmlformats.org/officeDocument/2006/relationships/hyperlink" Target="https://www.health.vic.gov.au/home-and-community-care/hacc-program-for-younger-people" TargetMode="External"/>
<Relationship Id="rId15" Type="http://schemas.openxmlformats.org/officeDocument/2006/relationships/hyperlink" Target="https://www.health.vic.gov.au/sites/default/files/2025-07/policy-guide-policy-and-funding-guidelines-2025-26.docx" TargetMode="External"/>
<Relationship Id="rId16" Type="http://schemas.openxmlformats.org/officeDocument/2006/relationships/hyperlink" Target="https://www.health.vic.gov.au/home-and-community-care/reporting-and-data" TargetMode="External"/>
<Relationship Id="rId17" Type="http://schemas.openxmlformats.org/officeDocument/2006/relationships/hyperlink" Target="https://www.health.vic.gov.au/home-and-community-care/hacc-pyp-fees-policy-and-schedule-of-fees" TargetMode="External"/>
<Relationship Id="rId18" Type="http://schemas.openxmlformats.org/officeDocument/2006/relationships/hyperlink" Target="https://www.health.vic.gov.au/home-and-community-care/hacc-program-for-younger-people" TargetMode="External"/>
<Relationship Id="rId19" Type="http://schemas.openxmlformats.org/officeDocument/2006/relationships/hyperlink" Target="http://providers.dffh.vic.gov.au/families-fairness-housing-health-activity-search" TargetMode="External"/>
<Relationship Id="rId20"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Small Rural - HACC-PYP</w:t>
            </w:r>
          </w:p>
          <w:p>
            <w:pPr>
              <w:spacing w:line="560" w:lineRule="atLeast"/>
              <w:rPr>
                <w:rFonts w:ascii="Arial" w:hAnsi="Arial" w:eastAsia="Arial" w:cs="Arial"/>
                <w:color w:val="201547"/>
                <w:sz w:val="44"/>
              </w:rPr>
            </w:pPr>
            <w:r>
              <w:rPr>
                <w:rFonts w:ascii="Arial" w:hAnsi="Arial" w:eastAsia="Arial" w:cs="Arial"/>
                <w:color w:val="201547"/>
                <w:sz w:val="44"/>
              </w:rPr>
              <w:t>35030</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Small Rural Services</w:t>
            </w:r>
          </w:p>
          <w:p>
            <w:pPr>
              <w:spacing w:after="120"/>
              <w:rPr>
                <w:rFonts w:ascii="Arial" w:hAnsi="Arial" w:eastAsia="Arial" w:cs="Arial"/>
                <w:color w:val="201547"/>
                <w:sz w:val="28"/>
              </w:rPr>
            </w:pPr>
            <w:r>
              <w:rPr>
                <w:rFonts w:ascii="Arial" w:hAnsi="Arial" w:eastAsia="Arial" w:cs="Arial"/>
                <w:color w:val="201547"/>
                <w:sz w:val="28"/>
              </w:rPr>
              <w:t>Output: SRS - Home and Community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Home and Community Care Program for Younger People (HACC PYP) aims to maintain and build a person’s capability to live safely and independently in the home and community.</w:t>
      </w:r>
      <w:r>
        <w:br/>
      </w:r>
      <w:r>
        <w:br/>
      </w:r>
      <w:r>
        <w:rPr>
          <w:rFonts w:ascii="Arial" w:hAnsi="Arial" w:eastAsia="Arial" w:cs="Arial"/>
          <w:color w:val="000000"/>
          <w:sz w:val="20"/>
        </w:rPr>
        <w:t xml:space="preserve">Services funded under this activity deliver HACC PYP supports through funded Small Rural Health Services. </w:t>
      </w:r>
      <w:r>
        <w:br/>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Small Rural Health Services to deliver the following HACC PYP services, but are not limited to:</w:t>
      </w:r>
      <w:r>
        <w:br/>
      </w:r>
      <w:r>
        <w:br/>
      </w:r>
      <w:r>
        <w:rPr>
          <w:rFonts w:ascii="Arial" w:hAnsi="Arial" w:eastAsia="Arial" w:cs="Arial"/>
          <w:color w:val="000000"/>
          <w:sz w:val="20"/>
        </w:rPr>
        <w:t>•    Access and Support</w:t>
      </w:r>
      <w:r>
        <w:br/>
      </w:r>
      <w:r>
        <w:rPr>
          <w:rFonts w:ascii="Arial" w:hAnsi="Arial" w:eastAsia="Arial" w:cs="Arial"/>
          <w:color w:val="000000"/>
          <w:sz w:val="20"/>
        </w:rPr>
        <w:t xml:space="preserve">•    Assessment and Care Management </w:t>
      </w:r>
      <w:r>
        <w:br/>
      </w:r>
      <w:r>
        <w:rPr>
          <w:rFonts w:ascii="Arial" w:hAnsi="Arial" w:eastAsia="Arial" w:cs="Arial"/>
          <w:color w:val="000000"/>
          <w:sz w:val="20"/>
        </w:rPr>
        <w:t>•    Community Care</w:t>
      </w:r>
      <w:r>
        <w:br/>
      </w:r>
      <w:r>
        <w:rPr>
          <w:rFonts w:ascii="Arial" w:hAnsi="Arial" w:eastAsia="Arial" w:cs="Arial"/>
          <w:color w:val="000000"/>
          <w:sz w:val="20"/>
        </w:rPr>
        <w:t>•    Delivered Meals</w:t>
      </w:r>
      <w:r>
        <w:br/>
      </w:r>
      <w:r>
        <w:rPr>
          <w:rFonts w:ascii="Arial" w:hAnsi="Arial" w:eastAsia="Arial" w:cs="Arial"/>
          <w:color w:val="000000"/>
          <w:sz w:val="20"/>
        </w:rPr>
        <w:t>•    Flexible Service Response</w:t>
      </w:r>
      <w:r>
        <w:br/>
      </w:r>
      <w:r>
        <w:rPr>
          <w:rFonts w:ascii="Arial" w:hAnsi="Arial" w:eastAsia="Arial" w:cs="Arial"/>
          <w:color w:val="000000"/>
          <w:sz w:val="20"/>
        </w:rPr>
        <w:t>•    Health Supports</w:t>
      </w:r>
      <w:r>
        <w:br/>
      </w:r>
      <w:r>
        <w:rPr>
          <w:rFonts w:ascii="Arial" w:hAnsi="Arial" w:eastAsia="Arial" w:cs="Arial"/>
          <w:color w:val="000000"/>
          <w:sz w:val="20"/>
        </w:rPr>
        <w:t>•    Planned Activity Group</w:t>
      </w:r>
      <w:r>
        <w:br/>
      </w:r>
      <w:r>
        <w:rPr>
          <w:rFonts w:ascii="Arial" w:hAnsi="Arial" w:eastAsia="Arial" w:cs="Arial"/>
          <w:color w:val="000000"/>
          <w:sz w:val="20"/>
        </w:rPr>
        <w:t>•    Property Maintenance</w:t>
      </w:r>
      <w:r>
        <w:br/>
      </w:r>
      <w:r>
        <w:rPr>
          <w:rFonts w:ascii="Arial" w:hAnsi="Arial" w:eastAsia="Arial" w:cs="Arial"/>
          <w:color w:val="000000"/>
          <w:sz w:val="20"/>
        </w:rPr>
        <w:t>•    Service System Resourcing</w:t>
      </w:r>
      <w:r>
        <w:br/>
      </w:r>
      <w:r>
        <w:rPr>
          <w:rFonts w:ascii="Arial" w:hAnsi="Arial" w:eastAsia="Arial" w:cs="Arial"/>
          <w:color w:val="000000"/>
          <w:sz w:val="20"/>
        </w:rPr>
        <w:t xml:space="preserve">•    Volunteer Coordination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aged from birth to under 65 years or under 50 years for Aboriginal and Torres Strait Islanders, who have difficulty performing activities of daily living.</w:t>
      </w:r>
      <w:r>
        <w:br/>
      </w:r>
      <w:r>
        <w:br/>
      </w:r>
      <w:r>
        <w:rPr>
          <w:rFonts w:ascii="Arial" w:hAnsi="Arial" w:eastAsia="Arial" w:cs="Arial"/>
          <w:color w:val="000000"/>
          <w:sz w:val="20"/>
        </w:rPr>
        <w:t xml:space="preserve"> This activity is also targeted at service providers when the service delivered is SSR or Volunteer Coordination.</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Aboriginal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&lt;https://www.health.vic.gov.au/health-strategies/aboriginal-health&gt;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Victorian Aboriginal Affairs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&lt;https://www.firstpeoplesrelations.vic.gov.au/victorian-aboriginal-affairs-framework&gt;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HACC PYP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&lt;https://www.health.vic.gov.au/home-and-community-care/hacc-program-for-younger-people&gt;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&lt;https://www.health.vic.gov.au/sites/default/files/2025-07/policy-guide-policy-and-funding-guidelines-2025-26.docx&gt;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HACC PYP data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&lt;https://www.health.vic.gov.au/home-and-community-care/reporting-and-data&gt;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HACC PYP Fees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&lt;https://www.health.vic.gov.au/home-and-community-care/hacc-pyp-fees-policy-and-schedule-of-fees&gt;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HACC PYP Linkages activity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&lt;https://www.health.vic.gov.au/home-and-community-care/hacc-program-for-younger-people&gt;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Submission of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fees collected for HACC PYP and to measure the expenditure and activities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reports submitted during the reporting period. In the report count the fees collected for Health Supports, Community Care, Property Maintenance and Planned Activity Groups the reporting period.</w:t>
            </w:r>
            <w:r>
              <w:br/>
            </w:r>
            <w:r>
              <w:rPr>
                <w:rFonts w:ascii="Arial" w:hAnsi="Arial" w:eastAsia="Arial" w:cs="Arial"/>
                <w:color w:val="000000"/>
                <w:sz w:val="20"/>
              </w:rPr>
              <w:t>Count the expenditure and activities for Service System Response during the reporting period.</w:t>
            </w:r>
            <w:r>
              <w:br/>
            </w:r>
            <w:r>
              <w:rPr>
                <w:rFonts w:ascii="Arial" w:hAnsi="Arial" w:eastAsia="Arial" w:cs="Arial"/>
                <w:color w:val="000000"/>
                <w:sz w:val="20"/>
              </w:rPr>
              <w:t xml:space="preserve">Count the expenditure on wound consumables and Volunteer Coordinator supports in the reporting period.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 PYP Fee Report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HACC-PYP Service Activity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Record the fees collected - to be provided on request  </w:t>
            </w:r>
            <w:r>
              <w:br/>
            </w:r>
            <w:r>
              <w:rPr>
                <w:rFonts w:ascii="Arial" w:hAnsi="Arial" w:eastAsia="Arial" w:cs="Arial"/>
                <w:color w:val="000000"/>
                <w:sz w:val="20"/>
              </w:rPr>
              <w:t>Record the expenditure and activities for Service System response – to be provided on request.</w:t>
            </w:r>
            <w:r>
              <w:br/>
            </w:r>
            <w:r>
              <w:rPr>
                <w:rFonts w:ascii="Arial" w:hAnsi="Arial" w:eastAsia="Arial" w:cs="Arial"/>
                <w:color w:val="000000"/>
                <w:sz w:val="20"/>
              </w:rPr>
              <w:t>Record expenditure on wound consumables - to be provided on request.</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report the number of hours or service provided to individual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hours spent in the reporting period directly with clients and groups, and the indirect hours spent related to clients or groups.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Service Support Minimum Data Set (VCSS 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Direct time is the time spent on activities directly servicing the client. In circumstances where services are being delivered face-to-face to a dependent child, direct time may also include support provided to a parent or carer such as coaching or another activity that supports the service provided.  Email, video link, telephone communication may be included for follow up of face-to-face time.   </w:t>
            </w:r>
            <w:r>
              <w:br/>
            </w:r>
            <w:r>
              <w:rPr>
                <w:rFonts w:ascii="Arial" w:hAnsi="Arial" w:eastAsia="Arial" w:cs="Arial"/>
                <w:color w:val="000000"/>
                <w:sz w:val="20"/>
              </w:rPr>
              <w:t>Indirect care refers to services provided to clients that do not involve direct face-to-face contact but are still essential for their support. This includes time spent on activities such as case meetings, preparing case notes, referrals, clinical supervision, preparation for group sessions, secondary consultation, and preparation for not attended sessions.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Number of hours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the volunteer co-ordinator worked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direct and indirect hours worked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Service Support Minimum Data Set (VCSS 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Hours worked includes all hours the coordinator worked.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4: Provide a service activity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fees collected for HACC PYP and to measure the expenditure and activities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reports submitted during the reporting period. In the report count the fees collected for Health Supports, Community Care, Property Maintenance and Planned Activity Groups the reporting period.</w:t>
            </w:r>
            <w:r>
              <w:br/>
            </w:r>
            <w:r>
              <w:rPr>
                <w:rFonts w:ascii="Arial" w:hAnsi="Arial" w:eastAsia="Arial" w:cs="Arial"/>
                <w:color w:val="000000"/>
                <w:sz w:val="20"/>
              </w:rPr>
              <w:t>Count the expenditure and activities for Service System Response during the reporting period.</w:t>
            </w:r>
            <w:r>
              <w:br/>
            </w:r>
            <w:r>
              <w:rPr>
                <w:rFonts w:ascii="Arial" w:hAnsi="Arial" w:eastAsia="Arial" w:cs="Arial"/>
                <w:color w:val="000000"/>
                <w:sz w:val="20"/>
              </w:rPr>
              <w:t xml:space="preserve">Count the expenditure on wound consumables and Volunteer Coordinator supports in the reporting period.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 PYP Fee Report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HACC-PYP Service Activity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Record the fees collected - to be provided on request  </w:t>
            </w:r>
            <w:r>
              <w:br/>
            </w:r>
            <w:r>
              <w:rPr>
                <w:rFonts w:ascii="Arial" w:hAnsi="Arial" w:eastAsia="Arial" w:cs="Arial"/>
                <w:color w:val="000000"/>
                <w:sz w:val="20"/>
              </w:rPr>
              <w:t>Record the expenditure and activities for Service System response – to be provided on request.</w:t>
            </w:r>
            <w:r>
              <w:br/>
            </w:r>
            <w:r>
              <w:rPr>
                <w:rFonts w:ascii="Arial" w:hAnsi="Arial" w:eastAsia="Arial" w:cs="Arial"/>
                <w:color w:val="000000"/>
                <w:sz w:val="20"/>
              </w:rPr>
              <w:t>Record expenditure on wound consumables - to be provided on request.</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5: Number of hours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objective of this measure is to record the hours of community care provided to individual clients and carers and/or the time the worker has worked - Worker time, hours of service.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hours of direct service to individual clients or carers as relevant</w:t>
            </w:r>
            <w:r>
              <w:br/>
            </w:r>
            <w:r>
              <w:rPr>
                <w:rFonts w:ascii="Arial" w:hAnsi="Arial" w:eastAsia="Arial" w:cs="Arial"/>
                <w:color w:val="000000"/>
                <w:sz w:val="20"/>
              </w:rPr>
              <w:t>Count the number of hours the worker has worked as relevant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Service Support Minimum Data Set (VCSS 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 hour of service comprises time spent face to face and indirect time spent on behalf of the client or carer such as phone calls and time spent writing case notes or support plans.</w:t>
            </w:r>
            <w:r>
              <w:br/>
            </w:r>
            <w:r>
              <w:rPr>
                <w:rFonts w:ascii="Arial" w:hAnsi="Arial" w:eastAsia="Arial" w:cs="Arial"/>
                <w:color w:val="000000"/>
                <w:sz w:val="20"/>
              </w:rPr>
              <w:t>Hours worked includes all hours worked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6: Number of trips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trips provided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trips provided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HACC PYP Fee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trip is from the point of picking a client up to when the client is dropped off.  Each trip is one way, a return trip counts as 2.</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7: Number of meals / meal vouchers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meals and/or meal vouchers provided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meals and/or meal vouchers provided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Community Service Support Minimum Data Set (VCSS 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meal includes:</w:t>
            </w:r>
            <w:r>
              <w:br/>
            </w:r>
            <w:r>
              <w:rPr>
                <w:rFonts w:ascii="Arial" w:hAnsi="Arial" w:eastAsia="Arial" w:cs="Arial"/>
                <w:color w:val="000000"/>
                <w:sz w:val="20"/>
              </w:rPr>
              <w:t>• A meal provided in a community setting</w:t>
            </w:r>
            <w:r>
              <w:br/>
            </w:r>
            <w:r>
              <w:rPr>
                <w:rFonts w:ascii="Arial" w:hAnsi="Arial" w:eastAsia="Arial" w:cs="Arial"/>
                <w:color w:val="000000"/>
                <w:sz w:val="20"/>
              </w:rPr>
              <w:t>• A meal voucher provided to a client.</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HACC PYP Fee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Community Service Support Minimum Data Set (VCSS 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VCSS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VCSS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HACC-PYP Service Activity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As Required</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July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9"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Small Rural Services 35030 Small Rural - HACC-PYP</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