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477394">
        <w:trPr>
          <w:trHeight w:val="1418"/>
        </w:trPr>
        <w:tc>
          <w:tcPr>
            <w:tcW w:w="7655" w:type="dxa"/>
            <w:vAlign w:val="bottom"/>
          </w:tcPr>
          <w:p w14:paraId="1B06FE4C" w14:textId="66A87FB7" w:rsidR="00AD784C" w:rsidRPr="0009050A" w:rsidRDefault="000376AD" w:rsidP="0016037B">
            <w:pPr>
              <w:pStyle w:val="Documenttitle"/>
            </w:pPr>
            <w:r w:rsidRPr="000376AD">
              <w:t xml:space="preserve">Client Incident Management System </w:t>
            </w:r>
            <w:r w:rsidR="0006422B">
              <w:t>(CIMS)</w:t>
            </w:r>
            <w:r w:rsidR="00A43052">
              <w:t xml:space="preserve"> </w:t>
            </w:r>
          </w:p>
        </w:tc>
      </w:tr>
      <w:tr w:rsidR="000B2117" w14:paraId="5DF317EC" w14:textId="77777777" w:rsidTr="00477394">
        <w:trPr>
          <w:trHeight w:val="1247"/>
        </w:trPr>
        <w:tc>
          <w:tcPr>
            <w:tcW w:w="7655" w:type="dxa"/>
          </w:tcPr>
          <w:p w14:paraId="69C24C39" w14:textId="6AB780DA" w:rsidR="000B2117" w:rsidRPr="0016037B" w:rsidRDefault="002140AE" w:rsidP="0016037B">
            <w:pPr>
              <w:pStyle w:val="Documentsubtitle"/>
            </w:pPr>
            <w:r>
              <w:t xml:space="preserve">Notable changes to CIMS policy requirements, effective </w:t>
            </w:r>
            <w:r w:rsidR="0024482C">
              <w:t>9 December 2024</w:t>
            </w:r>
            <w:r w:rsidR="00BB1715">
              <w:t xml:space="preserve">  </w:t>
            </w:r>
          </w:p>
        </w:tc>
      </w:tr>
      <w:tr w:rsidR="00CF4148" w14:paraId="5F5E6105" w14:textId="77777777" w:rsidTr="00477394">
        <w:trPr>
          <w:trHeight w:val="284"/>
        </w:trPr>
        <w:tc>
          <w:tcPr>
            <w:tcW w:w="7655" w:type="dxa"/>
          </w:tcPr>
          <w:p w14:paraId="45D389E8" w14:textId="74334762" w:rsidR="00CF4148" w:rsidRPr="00250DC4" w:rsidRDefault="004A2153" w:rsidP="00CF4148">
            <w:pPr>
              <w:pStyle w:val="Bannermarking"/>
            </w:pPr>
            <w:fldSimple w:instr="FILLIN  &quot;Type the protective marking&quot; \d OFFICIAL \o  \* MERGEFORMAT">
              <w:r w:rsidR="00CF4148">
                <w:t>OFFICIAL</w:t>
              </w:r>
            </w:fldSimple>
          </w:p>
        </w:tc>
      </w:tr>
    </w:tbl>
    <w:p w14:paraId="56A08A64" w14:textId="77777777" w:rsidR="00477394" w:rsidRPr="00B57329" w:rsidRDefault="00477394" w:rsidP="00477394">
      <w:pPr>
        <w:pStyle w:val="TOCheadingfactsheet"/>
      </w:pPr>
      <w:r w:rsidRPr="00B57329">
        <w:t>Contents</w:t>
      </w:r>
    </w:p>
    <w:p w14:paraId="13C75BEF" w14:textId="7D141E60" w:rsidR="00F1662E" w:rsidRDefault="00477394">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9287212" w:history="1">
        <w:r w:rsidR="00F1662E" w:rsidRPr="00D36073">
          <w:rPr>
            <w:rStyle w:val="Hyperlink"/>
          </w:rPr>
          <w:t>General</w:t>
        </w:r>
        <w:r w:rsidR="00F1662E">
          <w:rPr>
            <w:webHidden/>
          </w:rPr>
          <w:tab/>
        </w:r>
        <w:r w:rsidR="00F1662E">
          <w:rPr>
            <w:webHidden/>
          </w:rPr>
          <w:fldChar w:fldCharType="begin"/>
        </w:r>
        <w:r w:rsidR="00F1662E">
          <w:rPr>
            <w:webHidden/>
          </w:rPr>
          <w:instrText xml:space="preserve"> PAGEREF _Toc179287212 \h </w:instrText>
        </w:r>
        <w:r w:rsidR="00F1662E">
          <w:rPr>
            <w:webHidden/>
          </w:rPr>
        </w:r>
        <w:r w:rsidR="00F1662E">
          <w:rPr>
            <w:webHidden/>
          </w:rPr>
          <w:fldChar w:fldCharType="separate"/>
        </w:r>
        <w:r w:rsidR="00F1662E">
          <w:rPr>
            <w:webHidden/>
          </w:rPr>
          <w:t>1</w:t>
        </w:r>
        <w:r w:rsidR="00F1662E">
          <w:rPr>
            <w:webHidden/>
          </w:rPr>
          <w:fldChar w:fldCharType="end"/>
        </w:r>
      </w:hyperlink>
    </w:p>
    <w:p w14:paraId="621E9DCA" w14:textId="1397F1A6" w:rsidR="00F1662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9287213" w:history="1">
        <w:r w:rsidR="00F1662E" w:rsidRPr="00D36073">
          <w:rPr>
            <w:rStyle w:val="Hyperlink"/>
          </w:rPr>
          <w:t>High level overview of changes in new CIMS policy</w:t>
        </w:r>
        <w:r w:rsidR="00F1662E">
          <w:rPr>
            <w:webHidden/>
          </w:rPr>
          <w:tab/>
        </w:r>
        <w:r w:rsidR="00F1662E">
          <w:rPr>
            <w:webHidden/>
          </w:rPr>
          <w:fldChar w:fldCharType="begin"/>
        </w:r>
        <w:r w:rsidR="00F1662E">
          <w:rPr>
            <w:webHidden/>
          </w:rPr>
          <w:instrText xml:space="preserve"> PAGEREF _Toc179287213 \h </w:instrText>
        </w:r>
        <w:r w:rsidR="00F1662E">
          <w:rPr>
            <w:webHidden/>
          </w:rPr>
        </w:r>
        <w:r w:rsidR="00F1662E">
          <w:rPr>
            <w:webHidden/>
          </w:rPr>
          <w:fldChar w:fldCharType="separate"/>
        </w:r>
        <w:r w:rsidR="00F1662E">
          <w:rPr>
            <w:webHidden/>
          </w:rPr>
          <w:t>1</w:t>
        </w:r>
        <w:r w:rsidR="00F1662E">
          <w:rPr>
            <w:webHidden/>
          </w:rPr>
          <w:fldChar w:fldCharType="end"/>
        </w:r>
      </w:hyperlink>
    </w:p>
    <w:p w14:paraId="4B98308A" w14:textId="3A1B4108"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4" w:history="1">
        <w:r w:rsidR="00F1662E" w:rsidRPr="00D36073">
          <w:rPr>
            <w:rStyle w:val="Hyperlink"/>
          </w:rPr>
          <w:t>General</w:t>
        </w:r>
        <w:r w:rsidR="00F1662E">
          <w:rPr>
            <w:webHidden/>
          </w:rPr>
          <w:tab/>
        </w:r>
        <w:r w:rsidR="00F1662E">
          <w:rPr>
            <w:webHidden/>
          </w:rPr>
          <w:fldChar w:fldCharType="begin"/>
        </w:r>
        <w:r w:rsidR="00F1662E">
          <w:rPr>
            <w:webHidden/>
          </w:rPr>
          <w:instrText xml:space="preserve"> PAGEREF _Toc179287214 \h </w:instrText>
        </w:r>
        <w:r w:rsidR="00F1662E">
          <w:rPr>
            <w:webHidden/>
          </w:rPr>
        </w:r>
        <w:r w:rsidR="00F1662E">
          <w:rPr>
            <w:webHidden/>
          </w:rPr>
          <w:fldChar w:fldCharType="separate"/>
        </w:r>
        <w:r w:rsidR="00F1662E">
          <w:rPr>
            <w:webHidden/>
          </w:rPr>
          <w:t>1</w:t>
        </w:r>
        <w:r w:rsidR="00F1662E">
          <w:rPr>
            <w:webHidden/>
          </w:rPr>
          <w:fldChar w:fldCharType="end"/>
        </w:r>
      </w:hyperlink>
    </w:p>
    <w:p w14:paraId="288AF607" w14:textId="2775456A"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5" w:history="1">
        <w:r w:rsidR="00F1662E" w:rsidRPr="00D36073">
          <w:rPr>
            <w:rStyle w:val="Hyperlink"/>
          </w:rPr>
          <w:t>Chapter 1</w:t>
        </w:r>
        <w:r w:rsidR="00F1662E">
          <w:rPr>
            <w:webHidden/>
          </w:rPr>
          <w:tab/>
        </w:r>
        <w:r w:rsidR="00F1662E">
          <w:rPr>
            <w:webHidden/>
          </w:rPr>
          <w:fldChar w:fldCharType="begin"/>
        </w:r>
        <w:r w:rsidR="00F1662E">
          <w:rPr>
            <w:webHidden/>
          </w:rPr>
          <w:instrText xml:space="preserve"> PAGEREF _Toc179287215 \h </w:instrText>
        </w:r>
        <w:r w:rsidR="00F1662E">
          <w:rPr>
            <w:webHidden/>
          </w:rPr>
        </w:r>
        <w:r w:rsidR="00F1662E">
          <w:rPr>
            <w:webHidden/>
          </w:rPr>
          <w:fldChar w:fldCharType="separate"/>
        </w:r>
        <w:r w:rsidR="00F1662E">
          <w:rPr>
            <w:webHidden/>
          </w:rPr>
          <w:t>2</w:t>
        </w:r>
        <w:r w:rsidR="00F1662E">
          <w:rPr>
            <w:webHidden/>
          </w:rPr>
          <w:fldChar w:fldCharType="end"/>
        </w:r>
      </w:hyperlink>
    </w:p>
    <w:p w14:paraId="760D207D" w14:textId="74155096"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6" w:history="1">
        <w:r w:rsidR="00F1662E" w:rsidRPr="00D36073">
          <w:rPr>
            <w:rStyle w:val="Hyperlink"/>
          </w:rPr>
          <w:t>Chapter 2</w:t>
        </w:r>
        <w:r w:rsidR="00F1662E">
          <w:rPr>
            <w:webHidden/>
          </w:rPr>
          <w:tab/>
        </w:r>
        <w:r w:rsidR="00F1662E">
          <w:rPr>
            <w:webHidden/>
          </w:rPr>
          <w:fldChar w:fldCharType="begin"/>
        </w:r>
        <w:r w:rsidR="00F1662E">
          <w:rPr>
            <w:webHidden/>
          </w:rPr>
          <w:instrText xml:space="preserve"> PAGEREF _Toc179287216 \h </w:instrText>
        </w:r>
        <w:r w:rsidR="00F1662E">
          <w:rPr>
            <w:webHidden/>
          </w:rPr>
        </w:r>
        <w:r w:rsidR="00F1662E">
          <w:rPr>
            <w:webHidden/>
          </w:rPr>
          <w:fldChar w:fldCharType="separate"/>
        </w:r>
        <w:r w:rsidR="00F1662E">
          <w:rPr>
            <w:webHidden/>
          </w:rPr>
          <w:t>3</w:t>
        </w:r>
        <w:r w:rsidR="00F1662E">
          <w:rPr>
            <w:webHidden/>
          </w:rPr>
          <w:fldChar w:fldCharType="end"/>
        </w:r>
      </w:hyperlink>
    </w:p>
    <w:p w14:paraId="70A45338" w14:textId="033A329E"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7" w:history="1">
        <w:r w:rsidR="00F1662E" w:rsidRPr="00D36073">
          <w:rPr>
            <w:rStyle w:val="Hyperlink"/>
          </w:rPr>
          <w:t>Chapter 3</w:t>
        </w:r>
        <w:r w:rsidR="00F1662E">
          <w:rPr>
            <w:webHidden/>
          </w:rPr>
          <w:tab/>
        </w:r>
        <w:r w:rsidR="00F1662E">
          <w:rPr>
            <w:webHidden/>
          </w:rPr>
          <w:fldChar w:fldCharType="begin"/>
        </w:r>
        <w:r w:rsidR="00F1662E">
          <w:rPr>
            <w:webHidden/>
          </w:rPr>
          <w:instrText xml:space="preserve"> PAGEREF _Toc179287217 \h </w:instrText>
        </w:r>
        <w:r w:rsidR="00F1662E">
          <w:rPr>
            <w:webHidden/>
          </w:rPr>
        </w:r>
        <w:r w:rsidR="00F1662E">
          <w:rPr>
            <w:webHidden/>
          </w:rPr>
          <w:fldChar w:fldCharType="separate"/>
        </w:r>
        <w:r w:rsidR="00F1662E">
          <w:rPr>
            <w:webHidden/>
          </w:rPr>
          <w:t>3</w:t>
        </w:r>
        <w:r w:rsidR="00F1662E">
          <w:rPr>
            <w:webHidden/>
          </w:rPr>
          <w:fldChar w:fldCharType="end"/>
        </w:r>
      </w:hyperlink>
    </w:p>
    <w:p w14:paraId="6B197644" w14:textId="69A66769"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8" w:history="1">
        <w:r w:rsidR="00F1662E" w:rsidRPr="00D36073">
          <w:rPr>
            <w:rStyle w:val="Hyperlink"/>
          </w:rPr>
          <w:t>Chapter 4</w:t>
        </w:r>
        <w:r w:rsidR="00F1662E">
          <w:rPr>
            <w:webHidden/>
          </w:rPr>
          <w:tab/>
        </w:r>
        <w:r w:rsidR="00F1662E">
          <w:rPr>
            <w:webHidden/>
          </w:rPr>
          <w:fldChar w:fldCharType="begin"/>
        </w:r>
        <w:r w:rsidR="00F1662E">
          <w:rPr>
            <w:webHidden/>
          </w:rPr>
          <w:instrText xml:space="preserve"> PAGEREF _Toc179287218 \h </w:instrText>
        </w:r>
        <w:r w:rsidR="00F1662E">
          <w:rPr>
            <w:webHidden/>
          </w:rPr>
        </w:r>
        <w:r w:rsidR="00F1662E">
          <w:rPr>
            <w:webHidden/>
          </w:rPr>
          <w:fldChar w:fldCharType="separate"/>
        </w:r>
        <w:r w:rsidR="00F1662E">
          <w:rPr>
            <w:webHidden/>
          </w:rPr>
          <w:t>3</w:t>
        </w:r>
        <w:r w:rsidR="00F1662E">
          <w:rPr>
            <w:webHidden/>
          </w:rPr>
          <w:fldChar w:fldCharType="end"/>
        </w:r>
      </w:hyperlink>
    </w:p>
    <w:p w14:paraId="4ADAF056" w14:textId="6831154C"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9" w:history="1">
        <w:r w:rsidR="00F1662E" w:rsidRPr="00D36073">
          <w:rPr>
            <w:rStyle w:val="Hyperlink"/>
          </w:rPr>
          <w:t>Chapter 5</w:t>
        </w:r>
        <w:r w:rsidR="00F1662E">
          <w:rPr>
            <w:webHidden/>
          </w:rPr>
          <w:tab/>
        </w:r>
        <w:r w:rsidR="00F1662E">
          <w:rPr>
            <w:webHidden/>
          </w:rPr>
          <w:fldChar w:fldCharType="begin"/>
        </w:r>
        <w:r w:rsidR="00F1662E">
          <w:rPr>
            <w:webHidden/>
          </w:rPr>
          <w:instrText xml:space="preserve"> PAGEREF _Toc179287219 \h </w:instrText>
        </w:r>
        <w:r w:rsidR="00F1662E">
          <w:rPr>
            <w:webHidden/>
          </w:rPr>
        </w:r>
        <w:r w:rsidR="00F1662E">
          <w:rPr>
            <w:webHidden/>
          </w:rPr>
          <w:fldChar w:fldCharType="separate"/>
        </w:r>
        <w:r w:rsidR="00F1662E">
          <w:rPr>
            <w:webHidden/>
          </w:rPr>
          <w:t>4</w:t>
        </w:r>
        <w:r w:rsidR="00F1662E">
          <w:rPr>
            <w:webHidden/>
          </w:rPr>
          <w:fldChar w:fldCharType="end"/>
        </w:r>
      </w:hyperlink>
    </w:p>
    <w:p w14:paraId="4C42E0CB" w14:textId="4CB66FDE"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20" w:history="1">
        <w:r w:rsidR="00F1662E" w:rsidRPr="00D36073">
          <w:rPr>
            <w:rStyle w:val="Hyperlink"/>
          </w:rPr>
          <w:t>Chapter 6</w:t>
        </w:r>
        <w:r w:rsidR="00F1662E">
          <w:rPr>
            <w:webHidden/>
          </w:rPr>
          <w:tab/>
        </w:r>
        <w:r w:rsidR="00F1662E">
          <w:rPr>
            <w:webHidden/>
          </w:rPr>
          <w:fldChar w:fldCharType="begin"/>
        </w:r>
        <w:r w:rsidR="00F1662E">
          <w:rPr>
            <w:webHidden/>
          </w:rPr>
          <w:instrText xml:space="preserve"> PAGEREF _Toc179287220 \h </w:instrText>
        </w:r>
        <w:r w:rsidR="00F1662E">
          <w:rPr>
            <w:webHidden/>
          </w:rPr>
        </w:r>
        <w:r w:rsidR="00F1662E">
          <w:rPr>
            <w:webHidden/>
          </w:rPr>
          <w:fldChar w:fldCharType="separate"/>
        </w:r>
        <w:r w:rsidR="00F1662E">
          <w:rPr>
            <w:webHidden/>
          </w:rPr>
          <w:t>5</w:t>
        </w:r>
        <w:r w:rsidR="00F1662E">
          <w:rPr>
            <w:webHidden/>
          </w:rPr>
          <w:fldChar w:fldCharType="end"/>
        </w:r>
      </w:hyperlink>
    </w:p>
    <w:p w14:paraId="13445742" w14:textId="3CB6A583" w:rsidR="002140AE" w:rsidRPr="002140AE" w:rsidRDefault="00477394" w:rsidP="00477394">
      <w:pPr>
        <w:pStyle w:val="Tablecaption"/>
        <w:sectPr w:rsidR="002140AE" w:rsidRPr="002140AE"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57EA8032" w14:textId="77777777" w:rsidR="006B2B1D" w:rsidRPr="006B2B1D" w:rsidRDefault="006B2B1D" w:rsidP="006B2B1D">
      <w:pPr>
        <w:pStyle w:val="Heading1"/>
      </w:pPr>
      <w:bookmarkStart w:id="0" w:name="_Toc179287212"/>
      <w:r w:rsidRPr="006B2B1D">
        <w:t>General</w:t>
      </w:r>
      <w:bookmarkEnd w:id="0"/>
    </w:p>
    <w:p w14:paraId="31B37E98" w14:textId="13B386B0" w:rsidR="006B2B1D" w:rsidRPr="006B2B1D" w:rsidRDefault="006B2B1D" w:rsidP="006B2B1D">
      <w:r w:rsidRPr="006B2B1D">
        <w:t>The Client Incident Management System (CIMS) is the Department of Families, Fairness and Housing’s system to safeguard clients by providing timely and effective responses to incidents which harm them during service delivery, which in turn enables service providers to enhance service delivery by learning from incidents.</w:t>
      </w:r>
    </w:p>
    <w:p w14:paraId="4E0C4B09" w14:textId="77777777" w:rsidR="006B2B1D" w:rsidRPr="006B2B1D" w:rsidRDefault="006B2B1D" w:rsidP="006B2B1D">
      <w:r w:rsidRPr="006B2B1D">
        <w:t xml:space="preserve">CIMS was introduced in 2018. A staged review has been conducted to address some of the barriers which prevented CIMS from working as well as it can. The review has covered both the IT platform and the incident reporting system itself. This includes the CIMS policy, implementation and supports and oversight and learning. </w:t>
      </w:r>
    </w:p>
    <w:p w14:paraId="48A76C7D" w14:textId="77777777" w:rsidR="006B2B1D" w:rsidRPr="006B2B1D" w:rsidRDefault="006B2B1D" w:rsidP="006B2B1D">
      <w:r w:rsidRPr="006B2B1D">
        <w:t>The CIMS review concludes in December 2024. On 9 December 2024 the new CIMS policy will come into effect and the CIMS IT platform will be updated to implement the outcomes of the CIMS review.</w:t>
      </w:r>
    </w:p>
    <w:p w14:paraId="59F9D78B" w14:textId="2C2B4FA8" w:rsidR="006B2B1D" w:rsidRPr="006B2B1D" w:rsidRDefault="006B2B1D" w:rsidP="006B2B1D">
      <w:r w:rsidRPr="006B2B1D">
        <w:t xml:space="preserve">The below table provides a high-level overview of notable changes in the new CIMS policy. This list is not exhaustive, and all programs and staff who are in scope of and use CIMS should familiarise themselves with the new CIMS policy document, available on the </w:t>
      </w:r>
      <w:hyperlink r:id="rId16" w:history="1">
        <w:r w:rsidRPr="006B2B1D">
          <w:rPr>
            <w:rStyle w:val="Hyperlink"/>
          </w:rPr>
          <w:t>CIMS webpage</w:t>
        </w:r>
      </w:hyperlink>
      <w:r w:rsidRPr="006B2B1D">
        <w:t xml:space="preserve"> providers.dffh.vic.gov.au/</w:t>
      </w:r>
      <w:proofErr w:type="spellStart"/>
      <w:r w:rsidRPr="006B2B1D">
        <w:t>cims</w:t>
      </w:r>
      <w:proofErr w:type="spellEnd"/>
      <w:r w:rsidRPr="006B2B1D">
        <w:t>.</w:t>
      </w:r>
    </w:p>
    <w:p w14:paraId="2ABBDBD2" w14:textId="71E4966C" w:rsidR="006B2B1D" w:rsidRPr="006B2B1D" w:rsidRDefault="006B2B1D" w:rsidP="006B2B1D">
      <w:pPr>
        <w:pStyle w:val="Heading1"/>
      </w:pPr>
      <w:bookmarkStart w:id="1" w:name="_Toc179287213"/>
      <w:r w:rsidRPr="006B2B1D">
        <w:t>High level overview of changes in new CIMS policy</w:t>
      </w:r>
      <w:bookmarkEnd w:id="1"/>
    </w:p>
    <w:p w14:paraId="196EE205" w14:textId="14BCC349" w:rsidR="006B2B1D" w:rsidRDefault="006B2B1D" w:rsidP="006B2B1D">
      <w:pPr>
        <w:pStyle w:val="Heading2"/>
      </w:pPr>
      <w:bookmarkStart w:id="2" w:name="_Toc179287214"/>
      <w:r w:rsidRPr="00F74DEE">
        <w:t>General</w:t>
      </w:r>
      <w:bookmarkEnd w:id="2"/>
      <w:r w:rsidRPr="00F74DEE">
        <w:t> </w:t>
      </w:r>
    </w:p>
    <w:tbl>
      <w:tblPr>
        <w:tblStyle w:val="TableGrid"/>
        <w:tblW w:w="10060" w:type="dxa"/>
        <w:tblLook w:val="04A0" w:firstRow="1" w:lastRow="0" w:firstColumn="1" w:lastColumn="0" w:noHBand="0" w:noVBand="1"/>
      </w:tblPr>
      <w:tblGrid>
        <w:gridCol w:w="2835"/>
        <w:gridCol w:w="7225"/>
      </w:tblGrid>
      <w:tr w:rsidR="006B2B1D" w:rsidRPr="00F74DEE" w14:paraId="706B9AA8" w14:textId="77777777" w:rsidTr="006B2B1D">
        <w:trPr>
          <w:trHeight w:val="300"/>
          <w:tblHeader/>
        </w:trPr>
        <w:tc>
          <w:tcPr>
            <w:tcW w:w="2835" w:type="dxa"/>
          </w:tcPr>
          <w:p w14:paraId="6E3DDCD2" w14:textId="440DAC7E" w:rsidR="006B2B1D" w:rsidRPr="00F74DEE" w:rsidRDefault="006B2B1D" w:rsidP="006B2B1D">
            <w:pPr>
              <w:pStyle w:val="Tablecolhead"/>
            </w:pPr>
            <w:r w:rsidRPr="00F74DEE">
              <w:t>Topic </w:t>
            </w:r>
          </w:p>
        </w:tc>
        <w:tc>
          <w:tcPr>
            <w:tcW w:w="7225" w:type="dxa"/>
          </w:tcPr>
          <w:p w14:paraId="564D5967" w14:textId="5B9F37B0" w:rsidR="006B2B1D" w:rsidRPr="00F74DEE" w:rsidRDefault="006B2B1D" w:rsidP="006B2B1D">
            <w:pPr>
              <w:pStyle w:val="Tablecolhead"/>
            </w:pPr>
            <w:r w:rsidRPr="00F74DEE">
              <w:t>Brief description </w:t>
            </w:r>
          </w:p>
        </w:tc>
      </w:tr>
      <w:tr w:rsidR="006B2B1D" w:rsidRPr="00F74DEE" w14:paraId="1C6A231D" w14:textId="77777777" w:rsidTr="006B2B1D">
        <w:trPr>
          <w:trHeight w:val="300"/>
        </w:trPr>
        <w:tc>
          <w:tcPr>
            <w:tcW w:w="2835" w:type="dxa"/>
            <w:hideMark/>
          </w:tcPr>
          <w:p w14:paraId="13119FFD" w14:textId="77777777" w:rsidR="006B2B1D" w:rsidRPr="00F74DEE" w:rsidRDefault="006B2B1D" w:rsidP="006B2B1D">
            <w:pPr>
              <w:pStyle w:val="Tabletext"/>
            </w:pPr>
            <w:r w:rsidRPr="00F74DEE">
              <w:t>Easy to read format </w:t>
            </w:r>
          </w:p>
        </w:tc>
        <w:tc>
          <w:tcPr>
            <w:tcW w:w="7225" w:type="dxa"/>
            <w:hideMark/>
          </w:tcPr>
          <w:p w14:paraId="26336303" w14:textId="391D30EC" w:rsidR="006B2B1D" w:rsidRPr="00F74DEE" w:rsidRDefault="006B2B1D" w:rsidP="006B2B1D">
            <w:pPr>
              <w:pStyle w:val="Tabletext"/>
            </w:pPr>
            <w:r w:rsidRPr="00F74DEE">
              <w:t xml:space="preserve">Policy </w:t>
            </w:r>
            <w:r>
              <w:t>requirements clearly separated from</w:t>
            </w:r>
            <w:r w:rsidRPr="00F74DEE">
              <w:t xml:space="preserve"> implementation guidance</w:t>
            </w:r>
            <w:r>
              <w:t>.</w:t>
            </w:r>
          </w:p>
        </w:tc>
      </w:tr>
      <w:tr w:rsidR="006B2B1D" w:rsidRPr="00F74DEE" w14:paraId="69EB466F" w14:textId="77777777" w:rsidTr="006B2B1D">
        <w:trPr>
          <w:trHeight w:val="300"/>
        </w:trPr>
        <w:tc>
          <w:tcPr>
            <w:tcW w:w="2835" w:type="dxa"/>
            <w:hideMark/>
          </w:tcPr>
          <w:p w14:paraId="2ED1CBC7" w14:textId="77777777" w:rsidR="006B2B1D" w:rsidRPr="00F74DEE" w:rsidRDefault="006B2B1D" w:rsidP="006B2B1D">
            <w:pPr>
              <w:pStyle w:val="Tabletext"/>
            </w:pPr>
            <w:r w:rsidRPr="00F74DEE">
              <w:lastRenderedPageBreak/>
              <w:t>Integration of existing CIMS guide documents </w:t>
            </w:r>
          </w:p>
        </w:tc>
        <w:tc>
          <w:tcPr>
            <w:tcW w:w="7225" w:type="dxa"/>
            <w:hideMark/>
          </w:tcPr>
          <w:p w14:paraId="41836CA1" w14:textId="169CD1AD" w:rsidR="006B2B1D" w:rsidRPr="00F74DEE" w:rsidRDefault="006B2B1D" w:rsidP="006B2B1D">
            <w:pPr>
              <w:pStyle w:val="Tabletext"/>
            </w:pPr>
            <w:r w:rsidRPr="00F74DEE">
              <w:t xml:space="preserve">Collation of the existing CIMS </w:t>
            </w:r>
            <w:r w:rsidRPr="00F73BB8">
              <w:t>guid</w:t>
            </w:r>
            <w:r>
              <w:t>ance</w:t>
            </w:r>
            <w:r w:rsidRPr="00F74DEE">
              <w:t xml:space="preserve"> documents into one policy document</w:t>
            </w:r>
            <w:r>
              <w:t>.</w:t>
            </w:r>
          </w:p>
        </w:tc>
      </w:tr>
      <w:tr w:rsidR="006B2B1D" w:rsidRPr="00F74DEE" w14:paraId="268A46D7" w14:textId="77777777" w:rsidTr="006B2B1D">
        <w:trPr>
          <w:trHeight w:val="300"/>
        </w:trPr>
        <w:tc>
          <w:tcPr>
            <w:tcW w:w="2835" w:type="dxa"/>
            <w:hideMark/>
          </w:tcPr>
          <w:p w14:paraId="01FA0A63" w14:textId="77777777" w:rsidR="006B2B1D" w:rsidRPr="00F74DEE" w:rsidRDefault="006B2B1D" w:rsidP="006B2B1D">
            <w:pPr>
              <w:pStyle w:val="Tabletext"/>
            </w:pPr>
            <w:r w:rsidRPr="00F74DEE">
              <w:t>Removal of dangerous actions and poor quality of care incident types</w:t>
            </w:r>
          </w:p>
        </w:tc>
        <w:tc>
          <w:tcPr>
            <w:tcW w:w="7225" w:type="dxa"/>
            <w:hideMark/>
          </w:tcPr>
          <w:p w14:paraId="706D2751" w14:textId="5DAF8478" w:rsidR="006B2B1D" w:rsidRPr="00F74DEE" w:rsidRDefault="006B2B1D" w:rsidP="006B2B1D">
            <w:pPr>
              <w:pStyle w:val="Tabletext"/>
            </w:pPr>
            <w:r w:rsidRPr="00F74DEE">
              <w:t>Service providers to document these issues in their case note systems and integrate into their care planning. </w:t>
            </w:r>
          </w:p>
        </w:tc>
      </w:tr>
      <w:tr w:rsidR="006B2B1D" w14:paraId="3D6C19E6" w14:textId="77777777" w:rsidTr="006B2B1D">
        <w:trPr>
          <w:trHeight w:val="300"/>
        </w:trPr>
        <w:tc>
          <w:tcPr>
            <w:tcW w:w="2835" w:type="dxa"/>
            <w:hideMark/>
          </w:tcPr>
          <w:p w14:paraId="3B9A2A42" w14:textId="490594C9" w:rsidR="006B2B1D" w:rsidRDefault="006B2B1D" w:rsidP="006B2B1D">
            <w:pPr>
              <w:pStyle w:val="Tabletext"/>
            </w:pPr>
            <w:r>
              <w:t>New incident type: sexual exploitation - suspected</w:t>
            </w:r>
          </w:p>
        </w:tc>
        <w:tc>
          <w:tcPr>
            <w:tcW w:w="7225" w:type="dxa"/>
            <w:hideMark/>
          </w:tcPr>
          <w:p w14:paraId="31336C10" w14:textId="1792B1B3" w:rsidR="006B2B1D" w:rsidRDefault="006B2B1D" w:rsidP="006B2B1D">
            <w:pPr>
              <w:pStyle w:val="Tabletext"/>
            </w:pPr>
            <w:r>
              <w:t xml:space="preserve">Introduction of a new incident type sexual exploitation – suspected in response to significant stakeholder feedback to strengthen identification and response to children and young people who are at risk of child sexual exploitation. </w:t>
            </w:r>
          </w:p>
        </w:tc>
      </w:tr>
      <w:tr w:rsidR="006B2B1D" w14:paraId="4D9EDABA" w14:textId="77777777" w:rsidTr="006B2B1D">
        <w:trPr>
          <w:trHeight w:val="300"/>
        </w:trPr>
        <w:tc>
          <w:tcPr>
            <w:tcW w:w="2835" w:type="dxa"/>
            <w:hideMark/>
          </w:tcPr>
          <w:p w14:paraId="1BF478E5" w14:textId="5A96EEA4" w:rsidR="006B2B1D" w:rsidRDefault="006B2B1D" w:rsidP="006B2B1D">
            <w:pPr>
              <w:pStyle w:val="Tabletext"/>
            </w:pPr>
            <w:r>
              <w:t>Renamed incident types: sexual exploitation and emotional and psychological trauma.</w:t>
            </w:r>
          </w:p>
        </w:tc>
        <w:tc>
          <w:tcPr>
            <w:tcW w:w="7225" w:type="dxa"/>
            <w:hideMark/>
          </w:tcPr>
          <w:p w14:paraId="16DABC5F" w14:textId="4E5CF78B" w:rsidR="006B2B1D" w:rsidRDefault="006B2B1D" w:rsidP="006B2B1D">
            <w:pPr>
              <w:pStyle w:val="Tabletext"/>
            </w:pPr>
            <w:r>
              <w:t>Incident type sexual exploitation renamed to sexual exploitation – grooming to strengthen identification and response.</w:t>
            </w:r>
          </w:p>
          <w:p w14:paraId="59F06BC5" w14:textId="677721BF" w:rsidR="006B2B1D" w:rsidRDefault="006B2B1D" w:rsidP="006B2B1D">
            <w:pPr>
              <w:pStyle w:val="Tabletext"/>
            </w:pPr>
            <w:r>
              <w:t xml:space="preserve">Incident type emotional and psychological trauma renamed to emotional and psychological harm in response to stakeholder feedback that ‘trauma’ is unable to be assessed at the time of incident reporting. </w:t>
            </w:r>
          </w:p>
        </w:tc>
      </w:tr>
      <w:tr w:rsidR="006B2B1D" w14:paraId="380224E6" w14:textId="77777777" w:rsidTr="006B2B1D">
        <w:trPr>
          <w:trHeight w:val="300"/>
        </w:trPr>
        <w:tc>
          <w:tcPr>
            <w:tcW w:w="2835" w:type="dxa"/>
            <w:hideMark/>
          </w:tcPr>
          <w:p w14:paraId="59A92F8E" w14:textId="0BDCDCDA" w:rsidR="006B2B1D" w:rsidRDefault="006B2B1D" w:rsidP="006B2B1D">
            <w:pPr>
              <w:pStyle w:val="Tabletext"/>
            </w:pPr>
            <w:r>
              <w:t>Separated incident types: injury and attempted suicide/self-harm</w:t>
            </w:r>
          </w:p>
        </w:tc>
        <w:tc>
          <w:tcPr>
            <w:tcW w:w="7225" w:type="dxa"/>
            <w:hideMark/>
          </w:tcPr>
          <w:p w14:paraId="16C0201C" w14:textId="27B8F460" w:rsidR="006B2B1D" w:rsidRDefault="006B2B1D" w:rsidP="006B2B1D">
            <w:pPr>
              <w:pStyle w:val="Tabletext"/>
            </w:pPr>
            <w:r>
              <w:t>Incident types have been split into two distinct categories to strengthen the responses and follow up to these incidents:</w:t>
            </w:r>
          </w:p>
          <w:p w14:paraId="131A134B" w14:textId="17B77BCC" w:rsidR="006B2B1D" w:rsidRDefault="006B2B1D" w:rsidP="006B2B1D">
            <w:pPr>
              <w:pStyle w:val="Tablebullet1"/>
            </w:pPr>
            <w:r>
              <w:t>Injury separated into explained injury and unexplained injury</w:t>
            </w:r>
          </w:p>
          <w:p w14:paraId="02D27F24" w14:textId="7EDBD6C1" w:rsidR="006B2B1D" w:rsidRDefault="006B2B1D" w:rsidP="006B2B1D">
            <w:pPr>
              <w:pStyle w:val="Tablebullet1"/>
            </w:pPr>
            <w:r>
              <w:t>Self-harm/attempted suicide separate into two distinct categories: self-harm and attempted suicide.</w:t>
            </w:r>
          </w:p>
        </w:tc>
      </w:tr>
    </w:tbl>
    <w:p w14:paraId="502D5871" w14:textId="391FAE41" w:rsidR="006B2B1D" w:rsidRDefault="00477394" w:rsidP="00477394">
      <w:pPr>
        <w:pStyle w:val="Heading2"/>
      </w:pPr>
      <w:bookmarkStart w:id="3" w:name="_Toc179287215"/>
      <w:r w:rsidRPr="00F74DEE">
        <w:t>Chapter 1</w:t>
      </w:r>
      <w:bookmarkEnd w:id="3"/>
    </w:p>
    <w:tbl>
      <w:tblPr>
        <w:tblStyle w:val="TableGrid"/>
        <w:tblW w:w="10060" w:type="dxa"/>
        <w:tblLook w:val="04A0" w:firstRow="1" w:lastRow="0" w:firstColumn="1" w:lastColumn="0" w:noHBand="0" w:noVBand="1"/>
      </w:tblPr>
      <w:tblGrid>
        <w:gridCol w:w="2835"/>
        <w:gridCol w:w="7225"/>
      </w:tblGrid>
      <w:tr w:rsidR="006B2B1D" w:rsidRPr="00F74DEE" w14:paraId="54954245" w14:textId="77777777" w:rsidTr="00477394">
        <w:trPr>
          <w:trHeight w:val="300"/>
          <w:tblHeader/>
        </w:trPr>
        <w:tc>
          <w:tcPr>
            <w:tcW w:w="2835" w:type="dxa"/>
          </w:tcPr>
          <w:p w14:paraId="5E0FB27A" w14:textId="3540492C" w:rsidR="006B2B1D" w:rsidRPr="00F74DEE" w:rsidRDefault="006B2B1D" w:rsidP="006B2B1D">
            <w:pPr>
              <w:pStyle w:val="Tablecolhead"/>
            </w:pPr>
            <w:r w:rsidRPr="00F74DEE">
              <w:t>Topic </w:t>
            </w:r>
          </w:p>
        </w:tc>
        <w:tc>
          <w:tcPr>
            <w:tcW w:w="7225" w:type="dxa"/>
          </w:tcPr>
          <w:p w14:paraId="1B3ED59A" w14:textId="7E43FDA3" w:rsidR="006B2B1D" w:rsidRPr="00F74DEE" w:rsidRDefault="006B2B1D" w:rsidP="006B2B1D">
            <w:pPr>
              <w:pStyle w:val="Tablecolhead"/>
            </w:pPr>
            <w:r w:rsidRPr="00F74DEE">
              <w:t>Brief description </w:t>
            </w:r>
          </w:p>
        </w:tc>
      </w:tr>
      <w:tr w:rsidR="006B2B1D" w:rsidRPr="00F74DEE" w14:paraId="50661419" w14:textId="77777777" w:rsidTr="006B2B1D">
        <w:trPr>
          <w:trHeight w:val="300"/>
        </w:trPr>
        <w:tc>
          <w:tcPr>
            <w:tcW w:w="2835" w:type="dxa"/>
            <w:hideMark/>
          </w:tcPr>
          <w:p w14:paraId="3CADF703" w14:textId="77777777" w:rsidR="006B2B1D" w:rsidRPr="00F74DEE" w:rsidRDefault="006B2B1D" w:rsidP="006B2B1D">
            <w:pPr>
              <w:pStyle w:val="Tabletext"/>
            </w:pPr>
            <w:r w:rsidRPr="00F74DEE">
              <w:t>Updated CIMS Principles </w:t>
            </w:r>
          </w:p>
        </w:tc>
        <w:tc>
          <w:tcPr>
            <w:tcW w:w="7225" w:type="dxa"/>
            <w:hideMark/>
          </w:tcPr>
          <w:p w14:paraId="78EA1410" w14:textId="14159C3E" w:rsidR="006B2B1D" w:rsidRPr="00F74DEE" w:rsidRDefault="006B2B1D" w:rsidP="006B2B1D">
            <w:pPr>
              <w:pStyle w:val="Tabletext"/>
            </w:pPr>
            <w:r w:rsidRPr="00F74DEE">
              <w:t xml:space="preserve">Two new principles </w:t>
            </w:r>
            <w:r>
              <w:t xml:space="preserve">introduced </w:t>
            </w:r>
            <w:r w:rsidRPr="00F74DEE">
              <w:t>to elevate client voice and Aboriginal voice and cultural safety. </w:t>
            </w:r>
          </w:p>
          <w:p w14:paraId="4710B22F" w14:textId="2BE402F8" w:rsidR="006B2B1D" w:rsidRPr="00F74DEE" w:rsidRDefault="006B2B1D" w:rsidP="006B2B1D">
            <w:pPr>
              <w:pStyle w:val="Tablebullet1"/>
            </w:pPr>
            <w:r w:rsidRPr="00F74DEE">
              <w:t>Prioritising client voice to ensure that clients are listened to throughout the CIMS process. </w:t>
            </w:r>
            <w:r>
              <w:t>This principle is embedded throughout the policy through language use and linkage back to the principle.</w:t>
            </w:r>
          </w:p>
          <w:p w14:paraId="66907F07" w14:textId="77777777" w:rsidR="006B2B1D" w:rsidRPr="00F74DEE" w:rsidRDefault="006B2B1D" w:rsidP="006B2B1D">
            <w:pPr>
              <w:pStyle w:val="Tablebullet1"/>
            </w:pPr>
            <w:r w:rsidRPr="00F74DEE">
              <w:t>Aboriginal self-determination, voice and cultural safety by understanding, respecting and supporting Aboriginal culture, diversity and lore during the CIMS process.   </w:t>
            </w:r>
          </w:p>
        </w:tc>
      </w:tr>
      <w:tr w:rsidR="006B2B1D" w:rsidRPr="00F74DEE" w14:paraId="50005183" w14:textId="77777777" w:rsidTr="006B2B1D">
        <w:trPr>
          <w:trHeight w:val="300"/>
        </w:trPr>
        <w:tc>
          <w:tcPr>
            <w:tcW w:w="2835" w:type="dxa"/>
            <w:hideMark/>
          </w:tcPr>
          <w:p w14:paraId="771DD3C7" w14:textId="77777777" w:rsidR="006B2B1D" w:rsidRPr="00F74DEE" w:rsidRDefault="006B2B1D" w:rsidP="006B2B1D">
            <w:pPr>
              <w:pStyle w:val="Tabletext"/>
            </w:pPr>
            <w:r w:rsidRPr="00F74DEE">
              <w:t>Updated services in scope  </w:t>
            </w:r>
          </w:p>
        </w:tc>
        <w:tc>
          <w:tcPr>
            <w:tcW w:w="7225" w:type="dxa"/>
            <w:hideMark/>
          </w:tcPr>
          <w:p w14:paraId="4E526B2F" w14:textId="77777777" w:rsidR="006B2B1D" w:rsidRPr="00F74DEE" w:rsidRDefault="006B2B1D" w:rsidP="006B2B1D">
            <w:pPr>
              <w:pStyle w:val="Tabletext"/>
            </w:pPr>
            <w:r w:rsidRPr="00F74DEE">
              <w:t>The Services in scope definition has been updated to reflect the prescribed services in scope of the Social Services Regulator. </w:t>
            </w:r>
          </w:p>
          <w:p w14:paraId="1280B37A" w14:textId="2F6006C6" w:rsidR="006B2B1D" w:rsidRPr="00F74DEE" w:rsidRDefault="006B2B1D" w:rsidP="006B2B1D">
            <w:pPr>
              <w:pStyle w:val="Tabletext"/>
            </w:pPr>
            <w:r w:rsidRPr="00F74DEE">
              <w:t>All services previously in scope of CIMS will continue to be in scope of CIMS.  </w:t>
            </w:r>
          </w:p>
          <w:p w14:paraId="6E71FC5A" w14:textId="77777777" w:rsidR="006B2B1D" w:rsidRPr="00F74DEE" w:rsidRDefault="006B2B1D" w:rsidP="006B2B1D">
            <w:pPr>
              <w:pStyle w:val="Tablebullet1"/>
            </w:pPr>
            <w:r w:rsidRPr="00F74DEE">
              <w:t>Child Protection Services in scope of CIMS has been clarified to reduce confusion and strengthen the consistent application of CIMS policy. </w:t>
            </w:r>
          </w:p>
          <w:p w14:paraId="25EAE8E8" w14:textId="77777777" w:rsidR="006B2B1D" w:rsidRPr="00F74DEE" w:rsidRDefault="006B2B1D" w:rsidP="006B2B1D">
            <w:pPr>
              <w:pStyle w:val="Tablebullet1"/>
            </w:pPr>
            <w:r w:rsidRPr="00F74DEE">
              <w:t xml:space="preserve">Only disability services funded or delivered by the department are in scope for CIMS. Disability support services funded by the Transport Accident Commission or the Victorian </w:t>
            </w:r>
            <w:proofErr w:type="spellStart"/>
            <w:r w:rsidRPr="00F74DEE">
              <w:t>WorkCover</w:t>
            </w:r>
            <w:proofErr w:type="spellEnd"/>
            <w:r w:rsidRPr="00F74DEE">
              <w:t xml:space="preserve"> Authority and Supported residential services are prescribed service under the Social Services Regulations but not in-scope of CIMS </w:t>
            </w:r>
          </w:p>
          <w:p w14:paraId="3FF5C873" w14:textId="77777777" w:rsidR="006B2B1D" w:rsidRPr="00F74DEE" w:rsidRDefault="006B2B1D" w:rsidP="006B2B1D">
            <w:pPr>
              <w:pStyle w:val="Tablebullet1"/>
            </w:pPr>
            <w:r w:rsidRPr="00F74DEE">
              <w:t>Public housing and health services previously in scope of CIMS will continue to be in scope. </w:t>
            </w:r>
          </w:p>
          <w:p w14:paraId="5317B825" w14:textId="62A6806F" w:rsidR="006B2B1D" w:rsidRPr="00F74DEE" w:rsidRDefault="006B2B1D" w:rsidP="006B2B1D">
            <w:pPr>
              <w:pStyle w:val="Tablebullet1"/>
            </w:pPr>
            <w:r w:rsidRPr="00F74DEE">
              <w:t>V</w:t>
            </w:r>
            <w:r>
              <w:t xml:space="preserve">ictorian </w:t>
            </w:r>
            <w:r w:rsidRPr="00F74DEE">
              <w:t>H</w:t>
            </w:r>
            <w:r>
              <w:t xml:space="preserve">ealth </w:t>
            </w:r>
            <w:r w:rsidRPr="00F74DEE">
              <w:t>I</w:t>
            </w:r>
            <w:r>
              <w:t xml:space="preserve">ncident </w:t>
            </w:r>
            <w:r w:rsidRPr="00F74DEE">
              <w:t>M</w:t>
            </w:r>
            <w:r>
              <w:t xml:space="preserve">anagement </w:t>
            </w:r>
            <w:r w:rsidRPr="00F74DEE">
              <w:t>S</w:t>
            </w:r>
            <w:r>
              <w:t>ystem (</w:t>
            </w:r>
            <w:r w:rsidRPr="00F74DEE">
              <w:t>VHIMS</w:t>
            </w:r>
            <w:r>
              <w:t>)</w:t>
            </w:r>
            <w:r w:rsidRPr="00F74DEE">
              <w:t xml:space="preserve"> reporting health organisations are not required to report incidents through CIMS. </w:t>
            </w:r>
          </w:p>
        </w:tc>
      </w:tr>
    </w:tbl>
    <w:p w14:paraId="44E13852" w14:textId="243659BA" w:rsidR="0002145C" w:rsidRDefault="0002145C" w:rsidP="0002145C">
      <w:pPr>
        <w:pStyle w:val="Heading2"/>
      </w:pPr>
      <w:bookmarkStart w:id="4" w:name="_Toc179287216"/>
      <w:r w:rsidRPr="00F74DEE">
        <w:lastRenderedPageBreak/>
        <w:t>Chapter 2</w:t>
      </w:r>
      <w:bookmarkEnd w:id="4"/>
    </w:p>
    <w:tbl>
      <w:tblPr>
        <w:tblStyle w:val="TableGrid"/>
        <w:tblW w:w="10060" w:type="dxa"/>
        <w:tblLook w:val="04A0" w:firstRow="1" w:lastRow="0" w:firstColumn="1" w:lastColumn="0" w:noHBand="0" w:noVBand="1"/>
      </w:tblPr>
      <w:tblGrid>
        <w:gridCol w:w="2835"/>
        <w:gridCol w:w="7225"/>
      </w:tblGrid>
      <w:tr w:rsidR="0002145C" w:rsidRPr="00F74DEE" w14:paraId="2C546D0E" w14:textId="77777777" w:rsidTr="0002145C">
        <w:trPr>
          <w:trHeight w:val="300"/>
          <w:tblHeader/>
        </w:trPr>
        <w:tc>
          <w:tcPr>
            <w:tcW w:w="2835" w:type="dxa"/>
          </w:tcPr>
          <w:p w14:paraId="00C80FAC" w14:textId="58E9D982" w:rsidR="0002145C" w:rsidRPr="00F74DEE" w:rsidRDefault="0002145C" w:rsidP="0002145C">
            <w:pPr>
              <w:pStyle w:val="Tablecolhead"/>
            </w:pPr>
            <w:r w:rsidRPr="00F74DEE">
              <w:t>Topic </w:t>
            </w:r>
          </w:p>
        </w:tc>
        <w:tc>
          <w:tcPr>
            <w:tcW w:w="7225" w:type="dxa"/>
          </w:tcPr>
          <w:p w14:paraId="160DD942" w14:textId="1E4A3349" w:rsidR="0002145C" w:rsidRPr="00F74DEE" w:rsidRDefault="0002145C" w:rsidP="0002145C">
            <w:pPr>
              <w:pStyle w:val="Tablecolhead"/>
            </w:pPr>
            <w:r w:rsidRPr="00F74DEE">
              <w:t>Brief description </w:t>
            </w:r>
          </w:p>
        </w:tc>
      </w:tr>
      <w:tr w:rsidR="0002145C" w:rsidRPr="00F74DEE" w14:paraId="33F10DDA" w14:textId="77777777" w:rsidTr="006B2B1D">
        <w:trPr>
          <w:trHeight w:val="300"/>
        </w:trPr>
        <w:tc>
          <w:tcPr>
            <w:tcW w:w="2835" w:type="dxa"/>
            <w:hideMark/>
          </w:tcPr>
          <w:p w14:paraId="13D1741C" w14:textId="3D3DBDD9" w:rsidR="0002145C" w:rsidRPr="00F74DEE" w:rsidRDefault="0002145C" w:rsidP="0002145C">
            <w:pPr>
              <w:pStyle w:val="Tabletext"/>
            </w:pPr>
            <w:r w:rsidRPr="00F74DEE">
              <w:t xml:space="preserve">Strengthened </w:t>
            </w:r>
            <w:r>
              <w:t>approach to</w:t>
            </w:r>
            <w:r w:rsidRPr="00F74DEE">
              <w:t xml:space="preserve"> Aboriginal cultural safety </w:t>
            </w:r>
          </w:p>
        </w:tc>
        <w:tc>
          <w:tcPr>
            <w:tcW w:w="7225" w:type="dxa"/>
            <w:hideMark/>
          </w:tcPr>
          <w:p w14:paraId="65602179" w14:textId="77777777" w:rsidR="0002145C" w:rsidRPr="00F74DEE" w:rsidRDefault="0002145C" w:rsidP="0002145C">
            <w:pPr>
              <w:pStyle w:val="Tabletext"/>
            </w:pPr>
            <w:r w:rsidRPr="00F74DEE">
              <w:t>Improved clarification of requirements for key consultation stages with ACSASS and ACAC providers. Service providers will need to ensure they are aware of their local service. </w:t>
            </w:r>
          </w:p>
        </w:tc>
      </w:tr>
      <w:tr w:rsidR="0002145C" w:rsidRPr="00F74DEE" w14:paraId="490F8A93" w14:textId="77777777" w:rsidTr="006B2B1D">
        <w:trPr>
          <w:trHeight w:val="300"/>
        </w:trPr>
        <w:tc>
          <w:tcPr>
            <w:tcW w:w="2835" w:type="dxa"/>
            <w:hideMark/>
          </w:tcPr>
          <w:p w14:paraId="41AD3771" w14:textId="77777777" w:rsidR="0002145C" w:rsidRPr="00F74DEE" w:rsidRDefault="0002145C" w:rsidP="0002145C">
            <w:pPr>
              <w:pStyle w:val="Tabletext"/>
            </w:pPr>
            <w:r w:rsidRPr="00F74DEE">
              <w:t>Carer wellbeing </w:t>
            </w:r>
          </w:p>
        </w:tc>
        <w:tc>
          <w:tcPr>
            <w:tcW w:w="7225" w:type="dxa"/>
            <w:hideMark/>
          </w:tcPr>
          <w:p w14:paraId="6235E7EE" w14:textId="6C7E3229" w:rsidR="0002145C" w:rsidRPr="00F74DEE" w:rsidRDefault="0002145C" w:rsidP="0002145C">
            <w:pPr>
              <w:pStyle w:val="Tabletext"/>
            </w:pPr>
            <w:r w:rsidRPr="00F74DEE">
              <w:t>New policy section requiring carer support planning</w:t>
            </w:r>
            <w:r>
              <w:t xml:space="preserve"> following a client incident.</w:t>
            </w:r>
            <w:r w:rsidRPr="00F74DEE">
              <w:t>   </w:t>
            </w:r>
          </w:p>
        </w:tc>
      </w:tr>
    </w:tbl>
    <w:p w14:paraId="71ACA77F" w14:textId="624C4D17" w:rsidR="000439FE" w:rsidRDefault="000439FE" w:rsidP="00F31811">
      <w:pPr>
        <w:pStyle w:val="Heading2"/>
      </w:pPr>
      <w:bookmarkStart w:id="5" w:name="_Toc179287217"/>
      <w:r w:rsidRPr="00F74DEE">
        <w:t>Chapter 3</w:t>
      </w:r>
      <w:bookmarkEnd w:id="5"/>
    </w:p>
    <w:tbl>
      <w:tblPr>
        <w:tblStyle w:val="TableGrid"/>
        <w:tblW w:w="10060" w:type="dxa"/>
        <w:tblLook w:val="04A0" w:firstRow="1" w:lastRow="0" w:firstColumn="1" w:lastColumn="0" w:noHBand="0" w:noVBand="1"/>
      </w:tblPr>
      <w:tblGrid>
        <w:gridCol w:w="2835"/>
        <w:gridCol w:w="7225"/>
      </w:tblGrid>
      <w:tr w:rsidR="000439FE" w:rsidRPr="00F74DEE" w14:paraId="421F8F77" w14:textId="77777777" w:rsidTr="000439FE">
        <w:trPr>
          <w:trHeight w:val="300"/>
          <w:tblHeader/>
        </w:trPr>
        <w:tc>
          <w:tcPr>
            <w:tcW w:w="2835" w:type="dxa"/>
          </w:tcPr>
          <w:p w14:paraId="6BAD42FE" w14:textId="650F78BD" w:rsidR="000439FE" w:rsidRPr="00F74DEE" w:rsidRDefault="000439FE" w:rsidP="000439FE">
            <w:pPr>
              <w:pStyle w:val="Tablecolhead"/>
            </w:pPr>
            <w:r w:rsidRPr="00F74DEE">
              <w:t>Topic </w:t>
            </w:r>
          </w:p>
        </w:tc>
        <w:tc>
          <w:tcPr>
            <w:tcW w:w="7225" w:type="dxa"/>
          </w:tcPr>
          <w:p w14:paraId="70EFFF3C" w14:textId="1D97E013" w:rsidR="000439FE" w:rsidRPr="00F74DEE" w:rsidRDefault="000439FE" w:rsidP="000439FE">
            <w:pPr>
              <w:pStyle w:val="Tablecolhead"/>
            </w:pPr>
            <w:r w:rsidRPr="00F74DEE">
              <w:t>Brief description </w:t>
            </w:r>
          </w:p>
        </w:tc>
      </w:tr>
      <w:tr w:rsidR="0002145C" w:rsidRPr="00F74DEE" w14:paraId="7AD86914" w14:textId="77777777" w:rsidTr="006B2B1D">
        <w:trPr>
          <w:trHeight w:val="300"/>
        </w:trPr>
        <w:tc>
          <w:tcPr>
            <w:tcW w:w="2835" w:type="dxa"/>
            <w:hideMark/>
          </w:tcPr>
          <w:p w14:paraId="308B41D3" w14:textId="77777777" w:rsidR="0002145C" w:rsidRPr="00F74DEE" w:rsidRDefault="0002145C" w:rsidP="0002145C">
            <w:pPr>
              <w:pStyle w:val="Tabletext"/>
            </w:pPr>
            <w:r w:rsidRPr="00F74DEE">
              <w:t>Strengthened Aboriginal cultural safety </w:t>
            </w:r>
          </w:p>
        </w:tc>
        <w:tc>
          <w:tcPr>
            <w:tcW w:w="7225" w:type="dxa"/>
            <w:hideMark/>
          </w:tcPr>
          <w:p w14:paraId="6968F6FE" w14:textId="77777777" w:rsidR="0002145C" w:rsidRPr="00F74DEE" w:rsidRDefault="0002145C" w:rsidP="0002145C">
            <w:pPr>
              <w:pStyle w:val="Tabletext"/>
            </w:pPr>
            <w:r w:rsidRPr="00F74DEE">
              <w:t>Improved clarification of requirements for key consultation stages with ACSASS and ACAC providers. Service providers will need to ensure they are aware of their local service.  </w:t>
            </w:r>
          </w:p>
        </w:tc>
      </w:tr>
      <w:tr w:rsidR="0002145C" w:rsidRPr="00F74DEE" w14:paraId="2BD3E520" w14:textId="77777777" w:rsidTr="006B2B1D">
        <w:trPr>
          <w:trHeight w:val="300"/>
        </w:trPr>
        <w:tc>
          <w:tcPr>
            <w:tcW w:w="2835" w:type="dxa"/>
            <w:hideMark/>
          </w:tcPr>
          <w:p w14:paraId="5B44194D" w14:textId="77777777" w:rsidR="0002145C" w:rsidRPr="00F74DEE" w:rsidRDefault="0002145C" w:rsidP="0002145C">
            <w:pPr>
              <w:pStyle w:val="Tabletext"/>
            </w:pPr>
            <w:r w:rsidRPr="00F74DEE">
              <w:t>Lawful use of force </w:t>
            </w:r>
          </w:p>
        </w:tc>
        <w:tc>
          <w:tcPr>
            <w:tcW w:w="7225" w:type="dxa"/>
            <w:hideMark/>
          </w:tcPr>
          <w:p w14:paraId="5E8B94AF" w14:textId="1DBEFDA6" w:rsidR="0002145C" w:rsidRPr="00F74DEE" w:rsidRDefault="0002145C" w:rsidP="0002145C">
            <w:pPr>
              <w:pStyle w:val="Tabletext"/>
            </w:pPr>
            <w:r w:rsidRPr="00F74DEE">
              <w:t>Explicitly removes arrests by Victoria Police from CIMS. Explicitly removes authorised restrictive practices from CIMS when they are applied in the manner that has been authorised.  Service providers will need to document these issues in the case note system instead. </w:t>
            </w:r>
          </w:p>
        </w:tc>
      </w:tr>
      <w:tr w:rsidR="0002145C" w:rsidRPr="00F74DEE" w14:paraId="118695C8" w14:textId="77777777" w:rsidTr="006B2B1D">
        <w:trPr>
          <w:trHeight w:val="300"/>
        </w:trPr>
        <w:tc>
          <w:tcPr>
            <w:tcW w:w="2835" w:type="dxa"/>
            <w:hideMark/>
          </w:tcPr>
          <w:p w14:paraId="7B09D782" w14:textId="77777777" w:rsidR="0002145C" w:rsidRPr="00F74DEE" w:rsidRDefault="0002145C" w:rsidP="0002145C">
            <w:pPr>
              <w:pStyle w:val="Tabletext"/>
            </w:pPr>
            <w:r w:rsidRPr="00F74DEE">
              <w:t>Common clients </w:t>
            </w:r>
          </w:p>
        </w:tc>
        <w:tc>
          <w:tcPr>
            <w:tcW w:w="7225" w:type="dxa"/>
            <w:hideMark/>
          </w:tcPr>
          <w:p w14:paraId="0924FF5F" w14:textId="442646B1" w:rsidR="0002145C" w:rsidRDefault="0002145C" w:rsidP="0002145C">
            <w:pPr>
              <w:pStyle w:val="Tabletext"/>
            </w:pPr>
            <w:r>
              <w:t xml:space="preserve">Clarification of policy requirements for incident reporting and response, where a client discloses harm experienced while receiving care or support from another provider. </w:t>
            </w:r>
          </w:p>
          <w:p w14:paraId="439DA318" w14:textId="6B659CE0" w:rsidR="0002145C" w:rsidRPr="00F74DEE" w:rsidRDefault="0002145C" w:rsidP="0002145C">
            <w:pPr>
              <w:pStyle w:val="Tabletext"/>
            </w:pPr>
            <w:r w:rsidRPr="00F74DEE">
              <w:t>Providers will need to ensure practitioners are aware of this requirement. </w:t>
            </w:r>
          </w:p>
        </w:tc>
      </w:tr>
      <w:tr w:rsidR="0002145C" w:rsidRPr="00F74DEE" w14:paraId="70708DEF" w14:textId="77777777" w:rsidTr="006B2B1D">
        <w:trPr>
          <w:trHeight w:val="300"/>
        </w:trPr>
        <w:tc>
          <w:tcPr>
            <w:tcW w:w="2835" w:type="dxa"/>
            <w:hideMark/>
          </w:tcPr>
          <w:p w14:paraId="732CC6C3" w14:textId="77777777" w:rsidR="0002145C" w:rsidRPr="00F74DEE" w:rsidRDefault="0002145C" w:rsidP="0002145C">
            <w:pPr>
              <w:pStyle w:val="Tabletext"/>
            </w:pPr>
            <w:r w:rsidRPr="00F74DEE">
              <w:t>Historical incidents </w:t>
            </w:r>
          </w:p>
        </w:tc>
        <w:tc>
          <w:tcPr>
            <w:tcW w:w="7225" w:type="dxa"/>
            <w:hideMark/>
          </w:tcPr>
          <w:p w14:paraId="17D20E05" w14:textId="77777777" w:rsidR="0002145C" w:rsidRPr="00F74DEE" w:rsidRDefault="0002145C" w:rsidP="0002145C">
            <w:pPr>
              <w:pStyle w:val="Tabletext"/>
            </w:pPr>
            <w:r w:rsidRPr="00F74DEE">
              <w:t>Ensures incident reports are consistently made when the client discloses harm. Providers will need to ensure practitioners are aware of this requirement. </w:t>
            </w:r>
          </w:p>
        </w:tc>
      </w:tr>
    </w:tbl>
    <w:p w14:paraId="4956CAD2" w14:textId="459CBE64" w:rsidR="00C60CF4" w:rsidRDefault="00C60CF4" w:rsidP="00C60CF4">
      <w:pPr>
        <w:pStyle w:val="Heading2"/>
      </w:pPr>
      <w:bookmarkStart w:id="6" w:name="_Toc179287218"/>
      <w:r w:rsidRPr="00F74DEE">
        <w:t>Chapter 4</w:t>
      </w:r>
      <w:bookmarkEnd w:id="6"/>
    </w:p>
    <w:tbl>
      <w:tblPr>
        <w:tblStyle w:val="TableGrid"/>
        <w:tblW w:w="10060" w:type="dxa"/>
        <w:tblLook w:val="04A0" w:firstRow="1" w:lastRow="0" w:firstColumn="1" w:lastColumn="0" w:noHBand="0" w:noVBand="1"/>
      </w:tblPr>
      <w:tblGrid>
        <w:gridCol w:w="2835"/>
        <w:gridCol w:w="7225"/>
      </w:tblGrid>
      <w:tr w:rsidR="00C60CF4" w:rsidRPr="00F74DEE" w14:paraId="7FD9022D" w14:textId="77777777" w:rsidTr="00C60CF4">
        <w:trPr>
          <w:trHeight w:val="300"/>
          <w:tblHeader/>
        </w:trPr>
        <w:tc>
          <w:tcPr>
            <w:tcW w:w="2835" w:type="dxa"/>
          </w:tcPr>
          <w:p w14:paraId="2F640833" w14:textId="3E5232DB" w:rsidR="00C60CF4" w:rsidRPr="00F74DEE" w:rsidRDefault="00C60CF4" w:rsidP="00C60CF4">
            <w:pPr>
              <w:pStyle w:val="Tablecolhead"/>
            </w:pPr>
            <w:r w:rsidRPr="00F74DEE">
              <w:t>Topic </w:t>
            </w:r>
          </w:p>
        </w:tc>
        <w:tc>
          <w:tcPr>
            <w:tcW w:w="7225" w:type="dxa"/>
          </w:tcPr>
          <w:p w14:paraId="2B9B4CAB" w14:textId="7275C8A8" w:rsidR="00C60CF4" w:rsidRPr="00F74DEE" w:rsidRDefault="00C60CF4" w:rsidP="00C60CF4">
            <w:pPr>
              <w:pStyle w:val="Tablecolhead"/>
            </w:pPr>
            <w:r w:rsidRPr="00F74DEE">
              <w:t>Brief description </w:t>
            </w:r>
          </w:p>
        </w:tc>
      </w:tr>
      <w:tr w:rsidR="0002145C" w:rsidRPr="00F74DEE" w14:paraId="7D5DCA03" w14:textId="77777777" w:rsidTr="006B2B1D">
        <w:trPr>
          <w:trHeight w:val="300"/>
        </w:trPr>
        <w:tc>
          <w:tcPr>
            <w:tcW w:w="2835" w:type="dxa"/>
            <w:hideMark/>
          </w:tcPr>
          <w:p w14:paraId="2545BACF" w14:textId="77777777" w:rsidR="0002145C" w:rsidRPr="00F74DEE" w:rsidRDefault="0002145C" w:rsidP="0002145C">
            <w:pPr>
              <w:pStyle w:val="Tabletext"/>
            </w:pPr>
            <w:r w:rsidRPr="00F74DEE">
              <w:t>Clear investigation minimum requirements </w:t>
            </w:r>
          </w:p>
        </w:tc>
        <w:tc>
          <w:tcPr>
            <w:tcW w:w="7225" w:type="dxa"/>
            <w:hideMark/>
          </w:tcPr>
          <w:p w14:paraId="7F1C57B5" w14:textId="7FBF6DA3" w:rsidR="0002145C" w:rsidRPr="00F74DEE" w:rsidRDefault="0002145C" w:rsidP="0002145C">
            <w:pPr>
              <w:pStyle w:val="Tabletext"/>
            </w:pPr>
            <w:r w:rsidRPr="00F74DEE">
              <w:t xml:space="preserve">Clarification of minimum requirements for investigations, investigation planning and investigation reports to reduce </w:t>
            </w:r>
            <w:r>
              <w:t>ambiguity</w:t>
            </w:r>
            <w:r w:rsidRPr="00F74DEE">
              <w:t xml:space="preserve"> and support service providers to meet CIMS requirements the first time, reducing duplication of effort and rework. </w:t>
            </w:r>
          </w:p>
        </w:tc>
      </w:tr>
      <w:tr w:rsidR="0002145C" w:rsidRPr="00F74DEE" w14:paraId="2DEE2303" w14:textId="77777777" w:rsidTr="006B2B1D">
        <w:trPr>
          <w:trHeight w:val="300"/>
        </w:trPr>
        <w:tc>
          <w:tcPr>
            <w:tcW w:w="2835" w:type="dxa"/>
            <w:hideMark/>
          </w:tcPr>
          <w:p w14:paraId="121BE0AF" w14:textId="77777777" w:rsidR="0002145C" w:rsidRPr="00F74DEE" w:rsidRDefault="0002145C" w:rsidP="0002145C">
            <w:pPr>
              <w:pStyle w:val="Tabletext"/>
            </w:pPr>
            <w:r w:rsidRPr="00F74DEE">
              <w:t>Reportable conduct scheme investigations </w:t>
            </w:r>
          </w:p>
        </w:tc>
        <w:tc>
          <w:tcPr>
            <w:tcW w:w="7225" w:type="dxa"/>
            <w:hideMark/>
          </w:tcPr>
          <w:p w14:paraId="52875C56" w14:textId="77777777" w:rsidR="0002145C" w:rsidRPr="00F74DEE" w:rsidRDefault="0002145C" w:rsidP="0002145C">
            <w:pPr>
              <w:pStyle w:val="Tabletext"/>
            </w:pPr>
            <w:r w:rsidRPr="00F74DEE">
              <w:t xml:space="preserve">Service providers will have the choice to submit an RCS in lieu of a CIMS. This will reduce duplication of effort arising from multiple, parallel investigation requirements. </w:t>
            </w:r>
          </w:p>
        </w:tc>
      </w:tr>
      <w:tr w:rsidR="0002145C" w:rsidRPr="00F74DEE" w14:paraId="19161097" w14:textId="77777777" w:rsidTr="006B2B1D">
        <w:trPr>
          <w:trHeight w:val="300"/>
        </w:trPr>
        <w:tc>
          <w:tcPr>
            <w:tcW w:w="2835" w:type="dxa"/>
            <w:hideMark/>
          </w:tcPr>
          <w:p w14:paraId="23C206C7" w14:textId="77777777" w:rsidR="0002145C" w:rsidRPr="00F74DEE" w:rsidRDefault="0002145C" w:rsidP="0002145C">
            <w:pPr>
              <w:pStyle w:val="Tabletext"/>
            </w:pPr>
            <w:r w:rsidRPr="00F74DEE">
              <w:t>Strengthened Aboriginal cultural safety </w:t>
            </w:r>
          </w:p>
        </w:tc>
        <w:tc>
          <w:tcPr>
            <w:tcW w:w="7225" w:type="dxa"/>
            <w:hideMark/>
          </w:tcPr>
          <w:p w14:paraId="658ACE37" w14:textId="77777777" w:rsidR="0002145C" w:rsidRPr="00F74DEE" w:rsidRDefault="0002145C" w:rsidP="0002145C">
            <w:pPr>
              <w:pStyle w:val="Tabletext"/>
            </w:pPr>
            <w:r w:rsidRPr="00F74DEE">
              <w:t>New policy requirement to explicitly consider the needs of Aboriginal clients. Implementation guidance strengthens the requirement to consult with ACSASS/ACCO’s/ACAC to facilitate culturally safe investigations. Guidance prioritises the views of Aboriginal leaders in responding to an incident and conducting the investigation. </w:t>
            </w:r>
          </w:p>
        </w:tc>
      </w:tr>
      <w:tr w:rsidR="0002145C" w:rsidRPr="00F74DEE" w14:paraId="4BCE4EDC" w14:textId="77777777" w:rsidTr="006B2B1D">
        <w:trPr>
          <w:trHeight w:val="300"/>
        </w:trPr>
        <w:tc>
          <w:tcPr>
            <w:tcW w:w="2835" w:type="dxa"/>
            <w:hideMark/>
          </w:tcPr>
          <w:p w14:paraId="7E8726F3" w14:textId="77777777" w:rsidR="0002145C" w:rsidRPr="00F74DEE" w:rsidRDefault="0002145C" w:rsidP="0002145C">
            <w:pPr>
              <w:pStyle w:val="Tabletext"/>
            </w:pPr>
            <w:r w:rsidRPr="00F74DEE">
              <w:t>Strengthening responses to clients and carers </w:t>
            </w:r>
          </w:p>
        </w:tc>
        <w:tc>
          <w:tcPr>
            <w:tcW w:w="7225" w:type="dxa"/>
            <w:hideMark/>
          </w:tcPr>
          <w:p w14:paraId="21EE3E07" w14:textId="77777777" w:rsidR="0002145C" w:rsidRPr="00F74DEE" w:rsidRDefault="0002145C" w:rsidP="0002145C">
            <w:pPr>
              <w:pStyle w:val="Tabletext"/>
            </w:pPr>
            <w:r w:rsidRPr="00F74DEE">
              <w:t>New policy requirement to explicitly consider the needs of kinship carers and clients who are the subject of an allegation. Implementation guidance provides a framework to apply to investigations involving these cohorts to ensure a considered and proportionate response.  </w:t>
            </w:r>
          </w:p>
        </w:tc>
      </w:tr>
      <w:tr w:rsidR="0002145C" w:rsidRPr="00F74DEE" w14:paraId="56B441EA" w14:textId="77777777" w:rsidTr="006B2B1D">
        <w:trPr>
          <w:trHeight w:val="300"/>
        </w:trPr>
        <w:tc>
          <w:tcPr>
            <w:tcW w:w="2835" w:type="dxa"/>
            <w:hideMark/>
          </w:tcPr>
          <w:p w14:paraId="44B4303A" w14:textId="77777777" w:rsidR="0002145C" w:rsidRPr="00F74DEE" w:rsidRDefault="0002145C" w:rsidP="0002145C">
            <w:pPr>
              <w:pStyle w:val="Tabletext"/>
            </w:pPr>
            <w:r w:rsidRPr="00F74DEE">
              <w:t>Strengthened procedural fairness in investigations </w:t>
            </w:r>
          </w:p>
        </w:tc>
        <w:tc>
          <w:tcPr>
            <w:tcW w:w="7225" w:type="dxa"/>
            <w:hideMark/>
          </w:tcPr>
          <w:p w14:paraId="4FAB06E6" w14:textId="77777777" w:rsidR="0002145C" w:rsidRPr="00F74DEE" w:rsidRDefault="0002145C" w:rsidP="0002145C">
            <w:pPr>
              <w:pStyle w:val="Tabletext"/>
            </w:pPr>
            <w:r w:rsidRPr="00F74DEE">
              <w:t>CIMS investigation minimum requirements strengthens procedural fairness being applied to CIMS investigations. CIMS policy upholds the principle of procedural fairness by: </w:t>
            </w:r>
          </w:p>
          <w:p w14:paraId="6F34799F" w14:textId="77777777" w:rsidR="0002145C" w:rsidRPr="00F74DEE" w:rsidRDefault="0002145C" w:rsidP="0002145C">
            <w:pPr>
              <w:pStyle w:val="Tablebullet1"/>
            </w:pPr>
            <w:r w:rsidRPr="00F74DEE">
              <w:lastRenderedPageBreak/>
              <w:t>Requiring the subject of allegation to receive the allegations in writing </w:t>
            </w:r>
          </w:p>
          <w:p w14:paraId="4B2AC152" w14:textId="77777777" w:rsidR="0002145C" w:rsidRPr="00F74DEE" w:rsidRDefault="0002145C" w:rsidP="0002145C">
            <w:pPr>
              <w:pStyle w:val="Tablebullet1"/>
            </w:pPr>
            <w:r w:rsidRPr="00F74DEE">
              <w:t>Timeframe for completing the investigation is 28 days from incident report </w:t>
            </w:r>
          </w:p>
          <w:p w14:paraId="42474AAB" w14:textId="77777777" w:rsidR="0002145C" w:rsidRPr="00F74DEE" w:rsidRDefault="0002145C" w:rsidP="0002145C">
            <w:pPr>
              <w:pStyle w:val="Tablebullet1"/>
            </w:pPr>
            <w:r w:rsidRPr="00F74DEE">
              <w:t>Investigations must be conducted by an independent person </w:t>
            </w:r>
          </w:p>
          <w:p w14:paraId="440860D5" w14:textId="77777777" w:rsidR="0002145C" w:rsidRPr="00F74DEE" w:rsidRDefault="0002145C" w:rsidP="0002145C">
            <w:pPr>
              <w:pStyle w:val="Tablebullet1"/>
            </w:pPr>
            <w:r w:rsidRPr="00F74DEE">
              <w:t>Investigation requirements ensure that all reasonable lines of enquiry are followed </w:t>
            </w:r>
          </w:p>
          <w:p w14:paraId="107795A3" w14:textId="77777777" w:rsidR="0002145C" w:rsidRPr="00F74DEE" w:rsidRDefault="0002145C" w:rsidP="0002145C">
            <w:pPr>
              <w:pStyle w:val="Tablebullet1"/>
            </w:pPr>
            <w:r w:rsidRPr="00F74DEE">
              <w:t>Investigation outcomes can be reviewed when issues of procedural fairness are raised  </w:t>
            </w:r>
          </w:p>
        </w:tc>
      </w:tr>
      <w:tr w:rsidR="0002145C" w:rsidRPr="00F74DEE" w14:paraId="72FB8A96" w14:textId="77777777" w:rsidTr="006B2B1D">
        <w:trPr>
          <w:trHeight w:val="300"/>
        </w:trPr>
        <w:tc>
          <w:tcPr>
            <w:tcW w:w="2835" w:type="dxa"/>
            <w:hideMark/>
          </w:tcPr>
          <w:p w14:paraId="5C519495" w14:textId="77777777" w:rsidR="0002145C" w:rsidRPr="00F74DEE" w:rsidRDefault="0002145C" w:rsidP="0002145C">
            <w:pPr>
              <w:pStyle w:val="Tabletext"/>
            </w:pPr>
            <w:r w:rsidRPr="00F74DEE">
              <w:lastRenderedPageBreak/>
              <w:t>Reducing the re-interviewing of clients due to parallel investigation processes </w:t>
            </w:r>
          </w:p>
          <w:p w14:paraId="40BE0B85" w14:textId="0BFACA2D" w:rsidR="0002145C" w:rsidRPr="00F74DEE" w:rsidRDefault="0002145C" w:rsidP="0002145C">
            <w:pPr>
              <w:pStyle w:val="Tabletext"/>
            </w:pPr>
          </w:p>
        </w:tc>
        <w:tc>
          <w:tcPr>
            <w:tcW w:w="7225" w:type="dxa"/>
            <w:hideMark/>
          </w:tcPr>
          <w:p w14:paraId="55CCBCAA" w14:textId="357FCE54" w:rsidR="0002145C" w:rsidRPr="00F74DEE" w:rsidRDefault="0002145C" w:rsidP="0002145C">
            <w:pPr>
              <w:pStyle w:val="Tabletext"/>
            </w:pPr>
            <w:r w:rsidRPr="00F74DEE">
              <w:t>Enable</w:t>
            </w:r>
            <w:r>
              <w:t>s</w:t>
            </w:r>
            <w:r w:rsidRPr="00F74DEE">
              <w:t xml:space="preserve"> child protection interviews or investigation information to satisfy information gathering requirements in CIMS information. </w:t>
            </w:r>
          </w:p>
          <w:p w14:paraId="2A6EAD4F" w14:textId="031B2E4F" w:rsidR="0002145C" w:rsidRPr="00F74DEE" w:rsidRDefault="0002145C" w:rsidP="0002145C">
            <w:pPr>
              <w:pStyle w:val="Tabletext"/>
            </w:pPr>
            <w:r w:rsidRPr="00F74DEE">
              <w:t>Clarifi</w:t>
            </w:r>
            <w:r>
              <w:t>es</w:t>
            </w:r>
            <w:r w:rsidRPr="00F74DEE">
              <w:t xml:space="preserve"> CIMS minimum requirements to enable a substantiation decision to be made when significant, verifiable and reliable evidence is obtained which can inform an investigation outcome without further information gathering being required. For example, CCTV footage</w:t>
            </w:r>
            <w:r>
              <w:t>.</w:t>
            </w:r>
            <w:r w:rsidRPr="00F74DEE">
              <w:t> </w:t>
            </w:r>
          </w:p>
        </w:tc>
      </w:tr>
      <w:tr w:rsidR="0002145C" w:rsidRPr="00F74DEE" w14:paraId="049F4A75" w14:textId="77777777" w:rsidTr="006B2B1D">
        <w:trPr>
          <w:trHeight w:val="300"/>
        </w:trPr>
        <w:tc>
          <w:tcPr>
            <w:tcW w:w="2835" w:type="dxa"/>
            <w:hideMark/>
          </w:tcPr>
          <w:p w14:paraId="370082FF" w14:textId="77777777" w:rsidR="0002145C" w:rsidRPr="00F74DEE" w:rsidRDefault="0002145C" w:rsidP="0002145C">
            <w:pPr>
              <w:pStyle w:val="Tabletext"/>
            </w:pPr>
            <w:r w:rsidRPr="00F74DEE">
              <w:t>Clarified guidance for investigation outcome reviews </w:t>
            </w:r>
          </w:p>
        </w:tc>
        <w:tc>
          <w:tcPr>
            <w:tcW w:w="7225" w:type="dxa"/>
            <w:hideMark/>
          </w:tcPr>
          <w:p w14:paraId="29AE36B2" w14:textId="77777777" w:rsidR="0002145C" w:rsidRPr="00F74DEE" w:rsidRDefault="0002145C" w:rsidP="0002145C">
            <w:pPr>
              <w:pStyle w:val="Tabletext"/>
            </w:pPr>
            <w:r w:rsidRPr="00F74DEE">
              <w:t>Review of investigation outcomes can be made when there are issues of procedural fairness or adherence to minimum requirements raised. </w:t>
            </w:r>
          </w:p>
          <w:p w14:paraId="1B751E23" w14:textId="77777777" w:rsidR="0002145C" w:rsidRPr="00F74DEE" w:rsidRDefault="0002145C" w:rsidP="0002145C">
            <w:pPr>
              <w:pStyle w:val="Tabletext"/>
            </w:pPr>
            <w:r w:rsidRPr="00F74DEE">
              <w:t>Inclusion of minimum requirements for who can conduct a decision review. </w:t>
            </w:r>
          </w:p>
          <w:p w14:paraId="7711E586" w14:textId="77777777" w:rsidR="0002145C" w:rsidRPr="00F74DEE" w:rsidRDefault="0002145C" w:rsidP="0002145C">
            <w:pPr>
              <w:pStyle w:val="Tabletext"/>
            </w:pPr>
            <w:r w:rsidRPr="00F74DEE">
              <w:t>Clarification that outcome reviews can be requested by a client (or their guardian) or the individual subject to allegation. </w:t>
            </w:r>
          </w:p>
        </w:tc>
      </w:tr>
      <w:tr w:rsidR="0002145C" w:rsidRPr="00F74DEE" w14:paraId="717BC0FD" w14:textId="77777777" w:rsidTr="006B2B1D">
        <w:trPr>
          <w:trHeight w:val="300"/>
        </w:trPr>
        <w:tc>
          <w:tcPr>
            <w:tcW w:w="2835" w:type="dxa"/>
            <w:hideMark/>
          </w:tcPr>
          <w:p w14:paraId="1AA8644F" w14:textId="61EDB826" w:rsidR="0002145C" w:rsidRPr="00F74DEE" w:rsidRDefault="0002145C" w:rsidP="0002145C">
            <w:pPr>
              <w:pStyle w:val="Tabletext"/>
            </w:pPr>
            <w:r>
              <w:t>R</w:t>
            </w:r>
            <w:r w:rsidRPr="00F74DEE">
              <w:t>evised policy for incidents when sufficient evidence is available to make a decision without further investigation</w:t>
            </w:r>
            <w:r>
              <w:t xml:space="preserve"> (previously ‘short form’ investigations)</w:t>
            </w:r>
            <w:r w:rsidRPr="00F74DEE">
              <w:t>. </w:t>
            </w:r>
          </w:p>
        </w:tc>
        <w:tc>
          <w:tcPr>
            <w:tcW w:w="7225" w:type="dxa"/>
            <w:hideMark/>
          </w:tcPr>
          <w:p w14:paraId="491CE538" w14:textId="77777777" w:rsidR="0002145C" w:rsidRPr="00F74DEE" w:rsidRDefault="0002145C" w:rsidP="0002145C">
            <w:pPr>
              <w:pStyle w:val="Tabletext"/>
            </w:pPr>
            <w:r w:rsidRPr="00F74DEE">
              <w:t>The previous short-form investigation policy has been revised.</w:t>
            </w:r>
            <w:r w:rsidRPr="00F74DEE">
              <w:rPr>
                <w:lang w:val="en-US"/>
              </w:rPr>
              <w:t> </w:t>
            </w:r>
            <w:r w:rsidRPr="00F74DEE">
              <w:t> </w:t>
            </w:r>
          </w:p>
          <w:p w14:paraId="749269DC" w14:textId="77777777" w:rsidR="0002145C" w:rsidRPr="00F74DEE" w:rsidRDefault="0002145C" w:rsidP="0002145C">
            <w:pPr>
              <w:pStyle w:val="Tabletext"/>
            </w:pPr>
            <w:r w:rsidRPr="00F74DEE">
              <w:t>Short-form investigation policy related to incidents where sufficient evidence is available to make a substantiation decision from the outset (where no further information gathering is required, such as when CCTV footage is available).</w:t>
            </w:r>
            <w:r w:rsidRPr="00F74DEE">
              <w:rPr>
                <w:lang w:val="en-US"/>
              </w:rPr>
              <w:t> </w:t>
            </w:r>
            <w:r w:rsidRPr="00F74DEE">
              <w:t> </w:t>
            </w:r>
          </w:p>
          <w:p w14:paraId="426D2D9D" w14:textId="5E34A05D" w:rsidR="0002145C" w:rsidRPr="00F74DEE" w:rsidRDefault="0002145C" w:rsidP="0002145C">
            <w:pPr>
              <w:pStyle w:val="Tabletext"/>
            </w:pPr>
            <w:r w:rsidRPr="00F74DEE">
              <w:t>Revised policy enables service providers to provide a rationale for why no further information gathering is required in the investigation report and complete the investigation outcome and response plan without the requirement of an additional case review.</w:t>
            </w:r>
            <w:r w:rsidRPr="00F74DEE">
              <w:rPr>
                <w:lang w:val="en-US"/>
              </w:rPr>
              <w:t> </w:t>
            </w:r>
            <w:r w:rsidRPr="00F74DEE">
              <w:t>  </w:t>
            </w:r>
          </w:p>
        </w:tc>
      </w:tr>
      <w:tr w:rsidR="0002145C" w:rsidRPr="00F74DEE" w14:paraId="23C3801C" w14:textId="77777777" w:rsidTr="006B2B1D">
        <w:trPr>
          <w:trHeight w:val="300"/>
        </w:trPr>
        <w:tc>
          <w:tcPr>
            <w:tcW w:w="2835" w:type="dxa"/>
            <w:hideMark/>
          </w:tcPr>
          <w:p w14:paraId="33A7ABC3" w14:textId="77777777" w:rsidR="0002145C" w:rsidRPr="00F74DEE" w:rsidRDefault="0002145C" w:rsidP="0002145C">
            <w:pPr>
              <w:pStyle w:val="Tabletext"/>
            </w:pPr>
            <w:r w:rsidRPr="00F74DEE">
              <w:t>Investigation response plan policy moved to Chapter 6 </w:t>
            </w:r>
          </w:p>
        </w:tc>
        <w:tc>
          <w:tcPr>
            <w:tcW w:w="7225" w:type="dxa"/>
            <w:hideMark/>
          </w:tcPr>
          <w:p w14:paraId="33291DF8" w14:textId="77777777" w:rsidR="0002145C" w:rsidRDefault="0002145C" w:rsidP="0002145C">
            <w:pPr>
              <w:pStyle w:val="Tabletext"/>
            </w:pPr>
            <w:r w:rsidRPr="00F74DEE">
              <w:t>Investigation response planning and guidance has been moved to chapter 6 to locate all analysis and learning policy within the one chapter. </w:t>
            </w:r>
          </w:p>
          <w:p w14:paraId="42752970" w14:textId="27997A23" w:rsidR="0002145C" w:rsidRPr="00F74DEE" w:rsidRDefault="0002145C" w:rsidP="0002145C">
            <w:pPr>
              <w:pStyle w:val="Tabletext"/>
            </w:pPr>
            <w:r>
              <w:t>Response planning will be locally managed and integrated into case and care planning.</w:t>
            </w:r>
          </w:p>
        </w:tc>
      </w:tr>
    </w:tbl>
    <w:p w14:paraId="3DC7C2C2" w14:textId="74C366C5" w:rsidR="00C60CF4" w:rsidRDefault="00C60CF4" w:rsidP="00C60CF4">
      <w:pPr>
        <w:pStyle w:val="Heading2"/>
      </w:pPr>
      <w:bookmarkStart w:id="7" w:name="_Toc179287219"/>
      <w:r w:rsidRPr="00F74DEE">
        <w:t>Chapter 5</w:t>
      </w:r>
      <w:bookmarkEnd w:id="7"/>
    </w:p>
    <w:tbl>
      <w:tblPr>
        <w:tblStyle w:val="TableGrid"/>
        <w:tblW w:w="10060" w:type="dxa"/>
        <w:tblLook w:val="04A0" w:firstRow="1" w:lastRow="0" w:firstColumn="1" w:lastColumn="0" w:noHBand="0" w:noVBand="1"/>
      </w:tblPr>
      <w:tblGrid>
        <w:gridCol w:w="2835"/>
        <w:gridCol w:w="7225"/>
      </w:tblGrid>
      <w:tr w:rsidR="00C60CF4" w:rsidRPr="00F74DEE" w14:paraId="646EB9EA" w14:textId="77777777" w:rsidTr="00C912F4">
        <w:trPr>
          <w:trHeight w:val="300"/>
          <w:tblHeader/>
        </w:trPr>
        <w:tc>
          <w:tcPr>
            <w:tcW w:w="2835" w:type="dxa"/>
          </w:tcPr>
          <w:p w14:paraId="69F5CEE6" w14:textId="4D738502" w:rsidR="00C60CF4" w:rsidRPr="00F74DEE" w:rsidRDefault="00C60CF4" w:rsidP="00C60CF4">
            <w:pPr>
              <w:pStyle w:val="Tablecolhead"/>
            </w:pPr>
            <w:r w:rsidRPr="00F74DEE">
              <w:t>Topic </w:t>
            </w:r>
          </w:p>
        </w:tc>
        <w:tc>
          <w:tcPr>
            <w:tcW w:w="7225" w:type="dxa"/>
          </w:tcPr>
          <w:p w14:paraId="160F4FA2" w14:textId="63C27C49" w:rsidR="00C60CF4" w:rsidRPr="00F74DEE" w:rsidRDefault="00C60CF4" w:rsidP="00C60CF4">
            <w:pPr>
              <w:pStyle w:val="Tablecolhead"/>
            </w:pPr>
            <w:r w:rsidRPr="00F74DEE">
              <w:t>Brief description </w:t>
            </w:r>
          </w:p>
        </w:tc>
      </w:tr>
      <w:tr w:rsidR="0002145C" w:rsidRPr="00F74DEE" w14:paraId="6C25A523" w14:textId="77777777" w:rsidTr="006B2B1D">
        <w:trPr>
          <w:trHeight w:val="300"/>
        </w:trPr>
        <w:tc>
          <w:tcPr>
            <w:tcW w:w="2835" w:type="dxa"/>
            <w:hideMark/>
          </w:tcPr>
          <w:p w14:paraId="4AA9FB62" w14:textId="77777777" w:rsidR="0002145C" w:rsidRPr="00F74DEE" w:rsidRDefault="0002145C" w:rsidP="0002145C">
            <w:pPr>
              <w:pStyle w:val="Tabletext"/>
            </w:pPr>
            <w:r w:rsidRPr="00F74DEE">
              <w:t>Clear incident review minimum requirements </w:t>
            </w:r>
          </w:p>
        </w:tc>
        <w:tc>
          <w:tcPr>
            <w:tcW w:w="7225" w:type="dxa"/>
            <w:hideMark/>
          </w:tcPr>
          <w:p w14:paraId="1085546D" w14:textId="77777777" w:rsidR="0002145C" w:rsidRDefault="0002145C" w:rsidP="0002145C">
            <w:pPr>
              <w:pStyle w:val="Tabletext"/>
            </w:pPr>
            <w:r w:rsidRPr="00F74DEE">
              <w:t>Clarified minimum requirements for an incident review and incident review report. </w:t>
            </w:r>
          </w:p>
          <w:p w14:paraId="761DB13F" w14:textId="54FF2380" w:rsidR="0002145C" w:rsidRPr="00F74DEE" w:rsidRDefault="0002145C" w:rsidP="0002145C">
            <w:pPr>
              <w:pStyle w:val="Tabletext"/>
            </w:pPr>
            <w:r w:rsidRPr="00F74DEE">
              <w:t>Major impact incidents will now require either an incident investigation or an incident review. </w:t>
            </w:r>
          </w:p>
        </w:tc>
      </w:tr>
      <w:tr w:rsidR="0002145C" w:rsidRPr="00F74DEE" w14:paraId="42AC4A41" w14:textId="77777777" w:rsidTr="006B2B1D">
        <w:trPr>
          <w:trHeight w:val="300"/>
        </w:trPr>
        <w:tc>
          <w:tcPr>
            <w:tcW w:w="2835" w:type="dxa"/>
          </w:tcPr>
          <w:p w14:paraId="7B3D153D" w14:textId="77777777" w:rsidR="0002145C" w:rsidRPr="00F74DEE" w:rsidRDefault="0002145C" w:rsidP="0002145C">
            <w:pPr>
              <w:pStyle w:val="Tabletext"/>
            </w:pPr>
            <w:r w:rsidRPr="00F74DEE">
              <w:t>Timeframes</w:t>
            </w:r>
          </w:p>
        </w:tc>
        <w:tc>
          <w:tcPr>
            <w:tcW w:w="7225" w:type="dxa"/>
          </w:tcPr>
          <w:p w14:paraId="7164CA28" w14:textId="77777777" w:rsidR="0002145C" w:rsidRPr="00F74DEE" w:rsidRDefault="0002145C" w:rsidP="0002145C">
            <w:pPr>
              <w:pStyle w:val="Tabletext"/>
            </w:pPr>
            <w:r w:rsidRPr="00F74DEE">
              <w:rPr>
                <w:lang w:val="en-US"/>
              </w:rPr>
              <w:t>Extended review timeframe to 28 days (from 21 days) to align with investigations timeframe requirements</w:t>
            </w:r>
            <w:r w:rsidRPr="00F74DEE">
              <w:t> </w:t>
            </w:r>
          </w:p>
        </w:tc>
      </w:tr>
      <w:tr w:rsidR="0002145C" w:rsidRPr="00F74DEE" w14:paraId="6AEA6C55" w14:textId="77777777" w:rsidTr="006B2B1D">
        <w:trPr>
          <w:trHeight w:val="300"/>
        </w:trPr>
        <w:tc>
          <w:tcPr>
            <w:tcW w:w="2835" w:type="dxa"/>
            <w:hideMark/>
          </w:tcPr>
          <w:p w14:paraId="66A984D7" w14:textId="77777777" w:rsidR="0002145C" w:rsidRPr="00F74DEE" w:rsidRDefault="0002145C" w:rsidP="0002145C">
            <w:pPr>
              <w:pStyle w:val="Tabletext"/>
            </w:pPr>
            <w:r w:rsidRPr="00F74DEE">
              <w:t>Strengthened incident review guidance </w:t>
            </w:r>
          </w:p>
        </w:tc>
        <w:tc>
          <w:tcPr>
            <w:tcW w:w="7225" w:type="dxa"/>
            <w:hideMark/>
          </w:tcPr>
          <w:p w14:paraId="105A1528" w14:textId="7A0D10D9" w:rsidR="0002145C" w:rsidRPr="00F74DEE" w:rsidRDefault="0002145C" w:rsidP="006D2D8C">
            <w:pPr>
              <w:pStyle w:val="Tabletext"/>
            </w:pPr>
            <w:r>
              <w:t xml:space="preserve">Implementation guidance on </w:t>
            </w:r>
            <w:r w:rsidRPr="006D20A8">
              <w:t xml:space="preserve">information sources that should be considered to obtain an understanding of what happened and why, including identifying contributing </w:t>
            </w:r>
            <w:r>
              <w:t xml:space="preserve">process or </w:t>
            </w:r>
            <w:r w:rsidRPr="006D20A8">
              <w:t>system factors to the incident.</w:t>
            </w:r>
          </w:p>
        </w:tc>
      </w:tr>
      <w:tr w:rsidR="0002145C" w:rsidRPr="00F74DEE" w14:paraId="02A43C0E" w14:textId="77777777" w:rsidTr="006B2B1D">
        <w:trPr>
          <w:trHeight w:val="300"/>
        </w:trPr>
        <w:tc>
          <w:tcPr>
            <w:tcW w:w="2835" w:type="dxa"/>
            <w:hideMark/>
          </w:tcPr>
          <w:p w14:paraId="3E4AD9B0" w14:textId="7696CB57" w:rsidR="0002145C" w:rsidRPr="00F74DEE" w:rsidRDefault="0002145C" w:rsidP="0002145C">
            <w:pPr>
              <w:pStyle w:val="Tabletext"/>
            </w:pPr>
            <w:r>
              <w:t>Removal of Root Cause Analysis</w:t>
            </w:r>
            <w:r w:rsidRPr="00F74DEE">
              <w:t> </w:t>
            </w:r>
          </w:p>
        </w:tc>
        <w:tc>
          <w:tcPr>
            <w:tcW w:w="7225" w:type="dxa"/>
            <w:hideMark/>
          </w:tcPr>
          <w:p w14:paraId="5B024F2C" w14:textId="007099C0" w:rsidR="0002145C" w:rsidRPr="00F74DEE" w:rsidRDefault="0002145C" w:rsidP="0002145C">
            <w:pPr>
              <w:pStyle w:val="Tabletext"/>
            </w:pPr>
            <w:r>
              <w:t>Root cause analysis removed as an incident review option.</w:t>
            </w:r>
          </w:p>
        </w:tc>
      </w:tr>
      <w:tr w:rsidR="0002145C" w:rsidRPr="00F74DEE" w14:paraId="293E88A6" w14:textId="77777777" w:rsidTr="006B2B1D">
        <w:trPr>
          <w:trHeight w:val="300"/>
        </w:trPr>
        <w:tc>
          <w:tcPr>
            <w:tcW w:w="2835" w:type="dxa"/>
            <w:hideMark/>
          </w:tcPr>
          <w:p w14:paraId="71A09C3B" w14:textId="77777777" w:rsidR="0002145C" w:rsidRPr="00F74DEE" w:rsidRDefault="0002145C" w:rsidP="0002145C">
            <w:pPr>
              <w:pStyle w:val="Tabletext"/>
            </w:pPr>
            <w:r w:rsidRPr="00F74DEE">
              <w:lastRenderedPageBreak/>
              <w:t>Case reviews now referred to as Incident Reviews </w:t>
            </w:r>
          </w:p>
        </w:tc>
        <w:tc>
          <w:tcPr>
            <w:tcW w:w="7225" w:type="dxa"/>
            <w:hideMark/>
          </w:tcPr>
          <w:p w14:paraId="5C790195" w14:textId="26F9794B" w:rsidR="0002145C" w:rsidRPr="00F74DEE" w:rsidRDefault="0002145C" w:rsidP="0002145C">
            <w:pPr>
              <w:pStyle w:val="Tabletext"/>
            </w:pPr>
            <w:r w:rsidRPr="00F74DEE">
              <w:t>Case reviews now referred to as incident reviews</w:t>
            </w:r>
            <w:r>
              <w:t xml:space="preserve"> to locate the focus of the review on </w:t>
            </w:r>
            <w:r w:rsidRPr="003C777A">
              <w:t>circumstances surrounding an incident and evaluate opportunities</w:t>
            </w:r>
            <w:r>
              <w:t xml:space="preserve"> to </w:t>
            </w:r>
            <w:r w:rsidRPr="003C777A">
              <w:t>enhance</w:t>
            </w:r>
            <w:r>
              <w:t xml:space="preserve"> client </w:t>
            </w:r>
            <w:r w:rsidRPr="003C777A">
              <w:t>safety and service delivery</w:t>
            </w:r>
            <w:r>
              <w:t>.</w:t>
            </w:r>
          </w:p>
        </w:tc>
      </w:tr>
    </w:tbl>
    <w:p w14:paraId="1369937D" w14:textId="380DFB98" w:rsidR="00C912F4" w:rsidRDefault="00C912F4" w:rsidP="00C912F4">
      <w:pPr>
        <w:pStyle w:val="Heading2"/>
      </w:pPr>
      <w:bookmarkStart w:id="8" w:name="_Toc179287220"/>
      <w:r w:rsidRPr="00F74DEE">
        <w:t>Chapter 6</w:t>
      </w:r>
      <w:bookmarkEnd w:id="8"/>
    </w:p>
    <w:tbl>
      <w:tblPr>
        <w:tblStyle w:val="TableGrid"/>
        <w:tblW w:w="10060" w:type="dxa"/>
        <w:tblLook w:val="04A0" w:firstRow="1" w:lastRow="0" w:firstColumn="1" w:lastColumn="0" w:noHBand="0" w:noVBand="1"/>
      </w:tblPr>
      <w:tblGrid>
        <w:gridCol w:w="2835"/>
        <w:gridCol w:w="7225"/>
      </w:tblGrid>
      <w:tr w:rsidR="00C912F4" w:rsidRPr="00F74DEE" w14:paraId="64BAF285" w14:textId="77777777" w:rsidTr="00C912F4">
        <w:trPr>
          <w:trHeight w:val="300"/>
          <w:tblHeader/>
        </w:trPr>
        <w:tc>
          <w:tcPr>
            <w:tcW w:w="2835" w:type="dxa"/>
          </w:tcPr>
          <w:p w14:paraId="394D1D00" w14:textId="65357E06" w:rsidR="00C912F4" w:rsidRPr="00F74DEE" w:rsidRDefault="00C912F4" w:rsidP="00C912F4">
            <w:pPr>
              <w:pStyle w:val="Tablecolhead"/>
            </w:pPr>
            <w:r w:rsidRPr="00F74DEE">
              <w:t>Topic </w:t>
            </w:r>
          </w:p>
        </w:tc>
        <w:tc>
          <w:tcPr>
            <w:tcW w:w="7225" w:type="dxa"/>
          </w:tcPr>
          <w:p w14:paraId="5E5E5A4C" w14:textId="5030A88F" w:rsidR="00C912F4" w:rsidRPr="00F74DEE" w:rsidRDefault="00C912F4" w:rsidP="00C912F4">
            <w:pPr>
              <w:pStyle w:val="Tablecolhead"/>
            </w:pPr>
            <w:r w:rsidRPr="00F74DEE">
              <w:t>Brief description </w:t>
            </w:r>
          </w:p>
        </w:tc>
      </w:tr>
      <w:tr w:rsidR="0002145C" w:rsidRPr="00F74DEE" w14:paraId="6F2CD5AC" w14:textId="77777777" w:rsidTr="006B2B1D">
        <w:trPr>
          <w:trHeight w:val="300"/>
        </w:trPr>
        <w:tc>
          <w:tcPr>
            <w:tcW w:w="2835" w:type="dxa"/>
            <w:hideMark/>
          </w:tcPr>
          <w:p w14:paraId="43D376BA" w14:textId="77777777" w:rsidR="0002145C" w:rsidRPr="00F74DEE" w:rsidRDefault="0002145C" w:rsidP="0002145C">
            <w:pPr>
              <w:pStyle w:val="Tabletext"/>
            </w:pPr>
            <w:r w:rsidRPr="00F74DEE">
              <w:t>System wide sharing and learning implementation guidance </w:t>
            </w:r>
          </w:p>
        </w:tc>
        <w:tc>
          <w:tcPr>
            <w:tcW w:w="7225" w:type="dxa"/>
            <w:hideMark/>
          </w:tcPr>
          <w:p w14:paraId="227EA280" w14:textId="77777777" w:rsidR="0002145C" w:rsidRPr="00F74DEE" w:rsidRDefault="0002145C" w:rsidP="0002145C">
            <w:pPr>
              <w:pStyle w:val="Tabletext"/>
            </w:pPr>
            <w:r w:rsidRPr="00F74DEE">
              <w:t>Embedded the importance and responsibility of the entire system to learn from incidents. </w:t>
            </w:r>
          </w:p>
        </w:tc>
      </w:tr>
      <w:tr w:rsidR="0002145C" w:rsidRPr="00F74DEE" w14:paraId="303CD002" w14:textId="77777777" w:rsidTr="006B2B1D">
        <w:trPr>
          <w:trHeight w:val="885"/>
        </w:trPr>
        <w:tc>
          <w:tcPr>
            <w:tcW w:w="2835" w:type="dxa"/>
            <w:hideMark/>
          </w:tcPr>
          <w:p w14:paraId="260E2B23" w14:textId="77777777" w:rsidR="0002145C" w:rsidRPr="00F74DEE" w:rsidRDefault="0002145C" w:rsidP="0002145C">
            <w:pPr>
              <w:pStyle w:val="Tabletext"/>
            </w:pPr>
            <w:r w:rsidRPr="00F74DEE">
              <w:t>Strengthened roles and responsibilities for analysis and learning from incidents </w:t>
            </w:r>
          </w:p>
        </w:tc>
        <w:tc>
          <w:tcPr>
            <w:tcW w:w="7225" w:type="dxa"/>
            <w:hideMark/>
          </w:tcPr>
          <w:p w14:paraId="089996BD" w14:textId="6234172D" w:rsidR="0002145C" w:rsidRPr="00F74DEE" w:rsidRDefault="0002145C" w:rsidP="0002145C">
            <w:pPr>
              <w:pStyle w:val="Tabletext"/>
            </w:pPr>
            <w:r w:rsidRPr="00F74DEE">
              <w:t>Service provider to embed approaches to sharing learnings from investigations and reviews within the organisation to promote a continuous learning culture and engage sector wide learning. </w:t>
            </w:r>
          </w:p>
          <w:p w14:paraId="07388CE8" w14:textId="04417DF4" w:rsidR="0002145C" w:rsidRPr="00F74DEE" w:rsidRDefault="0002145C" w:rsidP="0002145C">
            <w:pPr>
              <w:pStyle w:val="Tabletext"/>
            </w:pPr>
            <w:r w:rsidRPr="00F74DEE">
              <w:t>Operations support to support sector learning and provide</w:t>
            </w:r>
            <w:r>
              <w:t xml:space="preserve"> </w:t>
            </w:r>
            <w:r w:rsidRPr="00F74DEE">
              <w:t>aggregated data on incident outcome responses. </w:t>
            </w:r>
          </w:p>
          <w:p w14:paraId="1F825542" w14:textId="77777777" w:rsidR="0002145C" w:rsidRPr="00F74DEE" w:rsidRDefault="0002145C" w:rsidP="0002145C">
            <w:pPr>
              <w:pStyle w:val="Tabletext"/>
            </w:pPr>
            <w:r w:rsidRPr="00F74DEE">
              <w:t>Contract Manager to use the learnings to inform contract management performance in accordance with the Agency Management Framework.  </w:t>
            </w:r>
          </w:p>
          <w:p w14:paraId="660D888F" w14:textId="77777777" w:rsidR="0002145C" w:rsidRPr="00F74DEE" w:rsidRDefault="0002145C" w:rsidP="0002145C">
            <w:pPr>
              <w:pStyle w:val="Tabletext"/>
            </w:pPr>
            <w:r w:rsidRPr="00F74DEE">
              <w:t>System steward to apply system learnings to inform policy and program development. </w:t>
            </w:r>
          </w:p>
        </w:tc>
      </w:tr>
      <w:tr w:rsidR="0002145C" w:rsidRPr="00F74DEE" w14:paraId="77B36CC7" w14:textId="77777777" w:rsidTr="006B2B1D">
        <w:trPr>
          <w:trHeight w:val="300"/>
        </w:trPr>
        <w:tc>
          <w:tcPr>
            <w:tcW w:w="2835" w:type="dxa"/>
            <w:hideMark/>
          </w:tcPr>
          <w:p w14:paraId="2804B272" w14:textId="77777777" w:rsidR="0002145C" w:rsidRPr="00F74DEE" w:rsidRDefault="0002145C" w:rsidP="0002145C">
            <w:pPr>
              <w:pStyle w:val="Tabletext"/>
            </w:pPr>
            <w:r w:rsidRPr="00F74DEE">
              <w:t>Strengthened responses to incidents </w:t>
            </w:r>
          </w:p>
        </w:tc>
        <w:tc>
          <w:tcPr>
            <w:tcW w:w="7225" w:type="dxa"/>
            <w:hideMark/>
          </w:tcPr>
          <w:p w14:paraId="573E9176" w14:textId="77777777" w:rsidR="0002145C" w:rsidRPr="00F74DEE" w:rsidRDefault="0002145C" w:rsidP="0002145C">
            <w:pPr>
              <w:pStyle w:val="Tabletext"/>
            </w:pPr>
            <w:r w:rsidRPr="00F74DEE">
              <w:t>Strengthened policy and guidance to embed learnings from investigations and reviews into client care and case planning.  </w:t>
            </w:r>
          </w:p>
          <w:p w14:paraId="5D03D947" w14:textId="186CCB71" w:rsidR="0002145C" w:rsidRPr="00F74DEE" w:rsidRDefault="0002145C" w:rsidP="0002145C">
            <w:pPr>
              <w:pStyle w:val="Tabletext"/>
            </w:pPr>
            <w:r w:rsidRPr="00F74DEE">
              <w:t xml:space="preserve">Clarified minimum considerations for when a </w:t>
            </w:r>
            <w:proofErr w:type="spellStart"/>
            <w:r w:rsidRPr="00F74DEE">
              <w:t>carer</w:t>
            </w:r>
            <w:proofErr w:type="spellEnd"/>
            <w:r w:rsidRPr="00F74DEE">
              <w:t xml:space="preserve"> </w:t>
            </w:r>
            <w:r>
              <w:t>development</w:t>
            </w:r>
            <w:r w:rsidRPr="00F74DEE">
              <w:t xml:space="preserve"> plan may be an appropriate form of response to an investigation.  </w:t>
            </w:r>
          </w:p>
        </w:tc>
      </w:tr>
      <w:tr w:rsidR="0002145C" w:rsidRPr="00F74DEE" w14:paraId="4CC5F8A0" w14:textId="77777777" w:rsidTr="006B2B1D">
        <w:trPr>
          <w:trHeight w:val="300"/>
        </w:trPr>
        <w:tc>
          <w:tcPr>
            <w:tcW w:w="2835" w:type="dxa"/>
            <w:hideMark/>
          </w:tcPr>
          <w:p w14:paraId="39611564" w14:textId="77777777" w:rsidR="0002145C" w:rsidRPr="00F74DEE" w:rsidRDefault="0002145C" w:rsidP="0002145C">
            <w:pPr>
              <w:pStyle w:val="Tabletext"/>
            </w:pPr>
            <w:r w:rsidRPr="00F74DEE">
              <w:t>Located CIMS within the safeguarding framework of the department and sector </w:t>
            </w:r>
          </w:p>
        </w:tc>
        <w:tc>
          <w:tcPr>
            <w:tcW w:w="7225" w:type="dxa"/>
            <w:hideMark/>
          </w:tcPr>
          <w:p w14:paraId="5C7E63FC" w14:textId="77777777" w:rsidR="0002145C" w:rsidRPr="00F74DEE" w:rsidRDefault="0002145C" w:rsidP="0002145C">
            <w:pPr>
              <w:pStyle w:val="Tabletext"/>
            </w:pPr>
            <w:r w:rsidRPr="00F74DEE">
              <w:t>Clarified the informing and complementary systems/processes in place to safeguard clients.  </w:t>
            </w:r>
          </w:p>
          <w:p w14:paraId="77CE9F66" w14:textId="77777777" w:rsidR="0002145C" w:rsidRPr="00F74DEE" w:rsidRDefault="0002145C" w:rsidP="0002145C">
            <w:pPr>
              <w:pStyle w:val="Tabletext"/>
            </w:pPr>
            <w:r w:rsidRPr="00F74DEE">
              <w:t>Included links to the Social Services Regulator, Victims of Crime Commissioner, Commission for Children and Young People and Disability Services Commissioner.  </w:t>
            </w:r>
          </w:p>
        </w:tc>
      </w:tr>
      <w:tr w:rsidR="0002145C" w:rsidRPr="00F74DEE" w14:paraId="50315DA8" w14:textId="77777777" w:rsidTr="006B2B1D">
        <w:trPr>
          <w:trHeight w:val="300"/>
        </w:trPr>
        <w:tc>
          <w:tcPr>
            <w:tcW w:w="2835" w:type="dxa"/>
            <w:hideMark/>
          </w:tcPr>
          <w:p w14:paraId="61DFF39B" w14:textId="77777777" w:rsidR="0002145C" w:rsidRPr="00F74DEE" w:rsidRDefault="0002145C" w:rsidP="0002145C">
            <w:pPr>
              <w:pStyle w:val="Tabletext"/>
            </w:pPr>
            <w:r w:rsidRPr="00F74DEE">
              <w:t>Transparent sharing of CIMS information </w:t>
            </w:r>
          </w:p>
        </w:tc>
        <w:tc>
          <w:tcPr>
            <w:tcW w:w="7225" w:type="dxa"/>
            <w:hideMark/>
          </w:tcPr>
          <w:p w14:paraId="67916735" w14:textId="77777777" w:rsidR="0002145C" w:rsidRPr="00F74DEE" w:rsidRDefault="0002145C" w:rsidP="0002145C">
            <w:pPr>
              <w:pStyle w:val="Tabletext"/>
            </w:pPr>
            <w:r w:rsidRPr="00F74DEE">
              <w:t>Clarified who the department shares CIMS incident information with and for what purpose. Including the enabling mechanism to ensure this action upholds privacy requirements. </w:t>
            </w:r>
          </w:p>
        </w:tc>
      </w:tr>
    </w:tbl>
    <w:p w14:paraId="4E155AFF" w14:textId="563E99C1" w:rsidR="00F74DEE" w:rsidRDefault="00F74DEE" w:rsidP="001C4229">
      <w:pPr>
        <w:pStyle w:val="Body"/>
      </w:pPr>
    </w:p>
    <w:p w14:paraId="4A8B4DCD" w14:textId="77777777" w:rsidR="006B2B1D" w:rsidRPr="001C4229" w:rsidRDefault="006B2B1D" w:rsidP="001C4229">
      <w:pPr>
        <w:pStyle w:val="Tabletext"/>
        <w:rPr>
          <w:rFonts w:eastAsia="Arial"/>
        </w:rPr>
      </w:pPr>
      <w:r w:rsidRPr="001C4229">
        <w:rPr>
          <w:rFonts w:eastAsia="Arial"/>
        </w:rPr>
        <w:t xml:space="preserve">To receive this document in another format </w:t>
      </w:r>
      <w:hyperlink r:id="rId17" w:history="1">
        <w:r w:rsidRPr="00770E07">
          <w:rPr>
            <w:rStyle w:val="Hyperlink"/>
            <w:rFonts w:eastAsia="Arial"/>
          </w:rPr>
          <w:t>email CIMS Review</w:t>
        </w:r>
      </w:hyperlink>
      <w:r>
        <w:rPr>
          <w:rFonts w:eastAsia="Arial"/>
        </w:rPr>
        <w:t xml:space="preserve"> &lt;CIMS.Review@dffh.vic.gov.au&gt;</w:t>
      </w:r>
    </w:p>
    <w:p w14:paraId="5D348F5B" w14:textId="77777777" w:rsidR="006B2B1D" w:rsidRPr="001C4229" w:rsidRDefault="006B2B1D" w:rsidP="001C4229">
      <w:pPr>
        <w:pStyle w:val="Tabletext"/>
        <w:rPr>
          <w:rFonts w:eastAsia="Arial"/>
        </w:rPr>
      </w:pPr>
      <w:r w:rsidRPr="001C4229">
        <w:rPr>
          <w:rFonts w:eastAsia="Arial"/>
        </w:rPr>
        <w:t>Authorised and published by the Victorian Government, 1 Treasury Place, Melbourne. </w:t>
      </w:r>
    </w:p>
    <w:p w14:paraId="446C86C0" w14:textId="77777777" w:rsidR="006B2B1D" w:rsidRPr="001C4229" w:rsidRDefault="006B2B1D" w:rsidP="001C4229">
      <w:pPr>
        <w:pStyle w:val="Tabletext"/>
        <w:rPr>
          <w:rFonts w:eastAsia="Arial"/>
        </w:rPr>
      </w:pPr>
      <w:r w:rsidRPr="001C4229">
        <w:rPr>
          <w:rFonts w:eastAsia="Arial"/>
        </w:rPr>
        <w:t xml:space="preserve">© State of Victoria, Australia, Department of Families, Fairness and Housing, </w:t>
      </w:r>
      <w:r>
        <w:rPr>
          <w:rFonts w:eastAsia="Arial"/>
        </w:rPr>
        <w:t>October 2024</w:t>
      </w:r>
    </w:p>
    <w:p w14:paraId="127A54C9" w14:textId="77777777" w:rsidR="006B2B1D" w:rsidRPr="001C4229" w:rsidRDefault="006B2B1D" w:rsidP="001C4229">
      <w:pPr>
        <w:pStyle w:val="Tabletext"/>
        <w:rPr>
          <w:rFonts w:eastAsia="Arial"/>
        </w:rPr>
      </w:pPr>
      <w:r w:rsidRPr="001C4229">
        <w:rPr>
          <w:rFonts w:eastAsia="Arial"/>
        </w:rPr>
        <w:t>In this document, ‘Aboriginal’ refers to both Aboriginal and Torres Strait Islander people. ‘Indigenous’ or ‘Koori/Koorie’ is retained when part of the title of a report, program or quotation. </w:t>
      </w:r>
    </w:p>
    <w:p w14:paraId="7A135F1C" w14:textId="77777777" w:rsidR="006B2B1D" w:rsidRPr="001C4229" w:rsidRDefault="006B2B1D" w:rsidP="001C4229">
      <w:pPr>
        <w:pStyle w:val="Tabletext"/>
        <w:rPr>
          <w:rFonts w:eastAsia="Arial"/>
        </w:rPr>
      </w:pPr>
      <w:r w:rsidRPr="05515610">
        <w:rPr>
          <w:rFonts w:eastAsia="Arial"/>
        </w:rPr>
        <w:t xml:space="preserve">ISBN </w:t>
      </w:r>
      <w:r w:rsidRPr="05515610">
        <w:rPr>
          <w:rFonts w:eastAsia="Arial" w:cs="Arial"/>
          <w:color w:val="000000" w:themeColor="text1"/>
          <w:sz w:val="22"/>
          <w:szCs w:val="22"/>
        </w:rPr>
        <w:t xml:space="preserve">978-1-76130-676-1 </w:t>
      </w:r>
      <w:r w:rsidRPr="05515610">
        <w:rPr>
          <w:rFonts w:eastAsia="Arial"/>
        </w:rPr>
        <w:t>(online)</w:t>
      </w:r>
    </w:p>
    <w:p w14:paraId="312DEA78" w14:textId="17E65CF8" w:rsidR="00162CA9" w:rsidRPr="006B2B1D" w:rsidRDefault="006B2B1D" w:rsidP="006B2B1D">
      <w:pPr>
        <w:pStyle w:val="Tabletext"/>
        <w:rPr>
          <w:rFonts w:eastAsia="Arial"/>
        </w:rPr>
      </w:pPr>
      <w:r w:rsidRPr="001C4229">
        <w:rPr>
          <w:rFonts w:eastAsia="Arial"/>
        </w:rPr>
        <w:t xml:space="preserve">Available at </w:t>
      </w:r>
      <w:r>
        <w:rPr>
          <w:rFonts w:eastAsia="Arial"/>
        </w:rPr>
        <w:t xml:space="preserve">the </w:t>
      </w:r>
      <w:hyperlink r:id="rId18" w:history="1">
        <w:r w:rsidRPr="00891CF6">
          <w:rPr>
            <w:rStyle w:val="Hyperlink"/>
            <w:rFonts w:eastAsia="Arial"/>
          </w:rPr>
          <w:t>CIMS webpage</w:t>
        </w:r>
      </w:hyperlink>
      <w:r>
        <w:rPr>
          <w:rFonts w:eastAsia="Arial"/>
        </w:rPr>
        <w:t xml:space="preserve"> &lt;providers.dffh.vic.gov.au/</w:t>
      </w:r>
      <w:proofErr w:type="spellStart"/>
      <w:r>
        <w:rPr>
          <w:rFonts w:eastAsia="Arial"/>
        </w:rPr>
        <w:t>cims</w:t>
      </w:r>
      <w:proofErr w:type="spellEnd"/>
      <w:r>
        <w:rPr>
          <w:rFonts w:eastAsia="Arial"/>
        </w:rPr>
        <w:t>&gt;</w:t>
      </w:r>
    </w:p>
    <w:sectPr w:rsidR="00162CA9" w:rsidRPr="006B2B1D" w:rsidSect="006B2B1D">
      <w:footerReference w:type="even" r:id="rId19"/>
      <w:footerReference w:type="default" r:id="rId20"/>
      <w:footerReference w:type="first" r:id="rId21"/>
      <w:type w:val="continuous"/>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7B28" w14:textId="77777777" w:rsidR="002979BA" w:rsidRDefault="002979BA">
      <w:r>
        <w:separator/>
      </w:r>
    </w:p>
    <w:p w14:paraId="73D18E69" w14:textId="77777777" w:rsidR="002979BA" w:rsidRDefault="002979BA"/>
  </w:endnote>
  <w:endnote w:type="continuationSeparator" w:id="0">
    <w:p w14:paraId="4F04DB2F" w14:textId="77777777" w:rsidR="002979BA" w:rsidRDefault="002979BA">
      <w:r>
        <w:continuationSeparator/>
      </w:r>
    </w:p>
    <w:p w14:paraId="08598B85" w14:textId="77777777" w:rsidR="002979BA" w:rsidRDefault="002979BA"/>
  </w:endnote>
  <w:endnote w:type="continuationNotice" w:id="1">
    <w:p w14:paraId="2CDE9D29" w14:textId="77777777" w:rsidR="002979BA" w:rsidRDefault="00297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484259943" name="Picture 148425994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DEA4" w14:textId="77777777" w:rsidR="0033403B" w:rsidRDefault="00891CF6">
    <w:pPr>
      <w:pStyle w:val="Footer"/>
    </w:pPr>
    <w:r>
      <w:rPr>
        <w:noProof/>
        <w14:ligatures w14:val="standardContextual"/>
      </w:rPr>
      <mc:AlternateContent>
        <mc:Choice Requires="wps">
          <w:drawing>
            <wp:anchor distT="0" distB="0" distL="0" distR="0" simplePos="0" relativeHeight="251658245" behindDoc="0" locked="0" layoutInCell="1" allowOverlap="1" wp14:anchorId="0AE1EB3B" wp14:editId="1809FE98">
              <wp:simplePos x="635" y="635"/>
              <wp:positionH relativeFrom="page">
                <wp:align>center</wp:align>
              </wp:positionH>
              <wp:positionV relativeFrom="page">
                <wp:align>bottom</wp:align>
              </wp:positionV>
              <wp:extent cx="656590" cy="369570"/>
              <wp:effectExtent l="0" t="0" r="10160" b="0"/>
              <wp:wrapNone/>
              <wp:docPr id="20634210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1EB3B" id="_x0000_t202" coordsize="21600,21600" o:spt="202" path="m,l,21600r21600,l21600,xe">
              <v:stroke joinstyle="miter"/>
              <v:path gradientshapeok="t" o:connecttype="rect"/>
            </v:shapetype>
            <v:shape id="Text Box 2" o:spid="_x0000_s1029"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2621" w14:textId="77777777" w:rsidR="0033403B" w:rsidRDefault="00891CF6">
    <w:pPr>
      <w:pStyle w:val="Footer"/>
    </w:pPr>
    <w:r>
      <w:rPr>
        <w:noProof/>
        <w14:ligatures w14:val="standardContextual"/>
      </w:rPr>
      <mc:AlternateContent>
        <mc:Choice Requires="wps">
          <w:drawing>
            <wp:anchor distT="0" distB="0" distL="0" distR="0" simplePos="0" relativeHeight="251658246" behindDoc="0" locked="0" layoutInCell="1" allowOverlap="1" wp14:anchorId="5278BD9F" wp14:editId="7D0F63A3">
              <wp:simplePos x="914400" y="10072048"/>
              <wp:positionH relativeFrom="page">
                <wp:align>center</wp:align>
              </wp:positionH>
              <wp:positionV relativeFrom="page">
                <wp:align>bottom</wp:align>
              </wp:positionV>
              <wp:extent cx="656590" cy="369570"/>
              <wp:effectExtent l="0" t="0" r="10160" b="0"/>
              <wp:wrapNone/>
              <wp:docPr id="6953738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8BD9F" id="_x0000_t202" coordsize="21600,21600" o:spt="202" path="m,l,21600r21600,l21600,xe">
              <v:stroke joinstyle="miter"/>
              <v:path gradientshapeok="t" o:connecttype="rect"/>
            </v:shapetype>
            <v:shape id="Text Box 3" o:spid="_x0000_s1030"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9FAD" w14:textId="77777777" w:rsidR="0033403B" w:rsidRDefault="00891CF6">
    <w:pPr>
      <w:pStyle w:val="Footer"/>
    </w:pPr>
    <w:r>
      <w:rPr>
        <w:noProof/>
        <w14:ligatures w14:val="standardContextual"/>
      </w:rPr>
      <mc:AlternateContent>
        <mc:Choice Requires="wps">
          <w:drawing>
            <wp:anchor distT="0" distB="0" distL="0" distR="0" simplePos="0" relativeHeight="251658244" behindDoc="0" locked="0" layoutInCell="1" allowOverlap="1" wp14:anchorId="526E4D1D" wp14:editId="6C9136C3">
              <wp:simplePos x="635" y="635"/>
              <wp:positionH relativeFrom="page">
                <wp:align>center</wp:align>
              </wp:positionH>
              <wp:positionV relativeFrom="page">
                <wp:align>bottom</wp:align>
              </wp:positionV>
              <wp:extent cx="656590" cy="369570"/>
              <wp:effectExtent l="0" t="0" r="10160" b="0"/>
              <wp:wrapNone/>
              <wp:docPr id="551271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E4D1D" id="_x0000_t202" coordsize="21600,21600" o:spt="202" path="m,l,21600r21600,l21600,xe">
              <v:stroke joinstyle="miter"/>
              <v:path gradientshapeok="t" o:connecttype="rect"/>
            </v:shapetype>
            <v:shape id="Text Box 1" o:spid="_x0000_s1031"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E3C8" w14:textId="77777777" w:rsidR="002979BA" w:rsidRDefault="002979BA" w:rsidP="00207717">
      <w:pPr>
        <w:spacing w:before="120"/>
      </w:pPr>
      <w:r>
        <w:separator/>
      </w:r>
    </w:p>
  </w:footnote>
  <w:footnote w:type="continuationSeparator" w:id="0">
    <w:p w14:paraId="73C50FF3" w14:textId="77777777" w:rsidR="002979BA" w:rsidRDefault="002979BA">
      <w:r>
        <w:continuationSeparator/>
      </w:r>
    </w:p>
    <w:p w14:paraId="6A01D622" w14:textId="77777777" w:rsidR="002979BA" w:rsidRDefault="002979BA"/>
  </w:footnote>
  <w:footnote w:type="continuationNotice" w:id="1">
    <w:p w14:paraId="60A29808" w14:textId="77777777" w:rsidR="002979BA" w:rsidRDefault="00297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2439" w14:textId="2AF8D255" w:rsidR="00E95664" w:rsidRPr="0051568D" w:rsidRDefault="00E95664" w:rsidP="00E95664">
    <w:pPr>
      <w:pStyle w:val="Header"/>
    </w:pPr>
    <w:r w:rsidRPr="00FA2ACD">
      <w:t xml:space="preserve">Client Incident Management System for Phase </w:t>
    </w:r>
    <w:r w:rsidR="00825E37">
      <w:t>Two</w:t>
    </w:r>
    <w:r w:rsidRPr="00FA2ACD">
      <w:t xml:space="preserve"> changes scheduled for </w:t>
    </w:r>
    <w:r>
      <w:t>9 December 2024</w:t>
    </w:r>
    <w:r w:rsidRPr="00FA2ACD">
      <w:t xml:space="preserve"> </w:t>
    </w:r>
    <w:r>
      <w:t xml:space="preserve">- </w:t>
    </w:r>
    <w:r w:rsidRPr="002E470A">
      <w:t>Information on changes to existing CIMS IT systems and guidance</w:t>
    </w:r>
    <w:r w:rsidR="000D0055">
      <w:t>.</w:t>
    </w:r>
  </w:p>
  <w:p w14:paraId="01FD96D1" w14:textId="42DBAEEA"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058AF3C9" w14:textId="77777777" w:rsidR="009610EA" w:rsidRDefault="00961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5A94C21"/>
    <w:multiLevelType w:val="hybridMultilevel"/>
    <w:tmpl w:val="9BDE3E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7D71D5"/>
    <w:multiLevelType w:val="multilevel"/>
    <w:tmpl w:val="7DC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A13FB"/>
    <w:multiLevelType w:val="hybridMultilevel"/>
    <w:tmpl w:val="EC2C0F22"/>
    <w:lvl w:ilvl="0" w:tplc="4CDE586C">
      <w:start w:val="1"/>
      <w:numFmt w:val="bullet"/>
      <w:pStyle w:val="DHHSbullet1"/>
      <w:lvlText w:val="•"/>
      <w:lvlJc w:val="left"/>
      <w:pPr>
        <w:ind w:left="284" w:hanging="284"/>
      </w:pPr>
      <w:rPr>
        <w:rFonts w:ascii="Calibri" w:hAnsi="Calibri" w:hint="default"/>
      </w:rPr>
    </w:lvl>
    <w:lvl w:ilvl="1" w:tplc="922C2B24">
      <w:start w:val="1"/>
      <w:numFmt w:val="bullet"/>
      <w:lvlRestart w:val="0"/>
      <w:pStyle w:val="DHHSbullet2"/>
      <w:lvlText w:val="–"/>
      <w:lvlJc w:val="left"/>
      <w:pPr>
        <w:ind w:left="567" w:hanging="283"/>
      </w:pPr>
      <w:rPr>
        <w:rFonts w:ascii="Calibri" w:hAnsi="Calibri" w:hint="default"/>
      </w:rPr>
    </w:lvl>
    <w:lvl w:ilvl="2" w:tplc="541E8D3E">
      <w:start w:val="1"/>
      <w:numFmt w:val="decimal"/>
      <w:lvlRestart w:val="0"/>
      <w:lvlText w:val=""/>
      <w:lvlJc w:val="left"/>
      <w:pPr>
        <w:ind w:left="0" w:firstLine="0"/>
      </w:pPr>
    </w:lvl>
    <w:lvl w:ilvl="3" w:tplc="EC82B51A">
      <w:start w:val="1"/>
      <w:numFmt w:val="decimal"/>
      <w:lvlRestart w:val="0"/>
      <w:lvlText w:val=""/>
      <w:lvlJc w:val="left"/>
      <w:pPr>
        <w:ind w:left="0" w:firstLine="0"/>
      </w:pPr>
    </w:lvl>
    <w:lvl w:ilvl="4" w:tplc="5694DD42">
      <w:start w:val="1"/>
      <w:numFmt w:val="decimal"/>
      <w:lvlRestart w:val="0"/>
      <w:lvlText w:val=""/>
      <w:lvlJc w:val="left"/>
      <w:pPr>
        <w:ind w:left="0" w:firstLine="0"/>
      </w:pPr>
    </w:lvl>
    <w:lvl w:ilvl="5" w:tplc="E7C89EF2">
      <w:start w:val="1"/>
      <w:numFmt w:val="decimal"/>
      <w:lvlRestart w:val="0"/>
      <w:lvlText w:val=""/>
      <w:lvlJc w:val="left"/>
      <w:pPr>
        <w:ind w:left="0" w:firstLine="0"/>
      </w:pPr>
    </w:lvl>
    <w:lvl w:ilvl="6" w:tplc="3536C2C2">
      <w:start w:val="1"/>
      <w:numFmt w:val="decimal"/>
      <w:lvlRestart w:val="0"/>
      <w:lvlText w:val=""/>
      <w:lvlJc w:val="left"/>
      <w:pPr>
        <w:ind w:left="0" w:firstLine="0"/>
      </w:pPr>
    </w:lvl>
    <w:lvl w:ilvl="7" w:tplc="460224B8">
      <w:start w:val="1"/>
      <w:numFmt w:val="decimal"/>
      <w:lvlRestart w:val="0"/>
      <w:lvlText w:val=""/>
      <w:lvlJc w:val="left"/>
      <w:pPr>
        <w:ind w:left="0" w:firstLine="0"/>
      </w:pPr>
    </w:lvl>
    <w:lvl w:ilvl="8" w:tplc="2BAE0772">
      <w:start w:val="1"/>
      <w:numFmt w:val="decimal"/>
      <w:lvlRestart w:val="0"/>
      <w:lvlText w:val=""/>
      <w:lvlJc w:val="left"/>
      <w:pPr>
        <w:ind w:left="0" w:firstLine="0"/>
      </w:pPr>
    </w:lvl>
  </w:abstractNum>
  <w:abstractNum w:abstractNumId="6" w15:restartNumberingAfterBreak="0">
    <w:nsid w:val="15120F79"/>
    <w:multiLevelType w:val="multilevel"/>
    <w:tmpl w:val="94947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B3899"/>
    <w:multiLevelType w:val="multilevel"/>
    <w:tmpl w:val="F1D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B34E2"/>
    <w:multiLevelType w:val="multilevel"/>
    <w:tmpl w:val="031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495"/>
    <w:multiLevelType w:val="multilevel"/>
    <w:tmpl w:val="86B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B6480"/>
    <w:multiLevelType w:val="hybridMultilevel"/>
    <w:tmpl w:val="BE903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665959"/>
    <w:multiLevelType w:val="multilevel"/>
    <w:tmpl w:val="D0C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755D4"/>
    <w:multiLevelType w:val="multilevel"/>
    <w:tmpl w:val="D5E2C7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6DA7970"/>
    <w:multiLevelType w:val="multilevel"/>
    <w:tmpl w:val="0CC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DF7CC1"/>
    <w:multiLevelType w:val="multilevel"/>
    <w:tmpl w:val="BD20E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8E0914"/>
    <w:multiLevelType w:val="multilevel"/>
    <w:tmpl w:val="D79AB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85D15"/>
    <w:multiLevelType w:val="multilevel"/>
    <w:tmpl w:val="8C3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F7F85"/>
    <w:multiLevelType w:val="multilevel"/>
    <w:tmpl w:val="D2E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E8E4AA8"/>
    <w:multiLevelType w:val="hybridMultilevel"/>
    <w:tmpl w:val="84DE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2A6F6C"/>
    <w:multiLevelType w:val="multilevel"/>
    <w:tmpl w:val="C348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7397F"/>
    <w:multiLevelType w:val="multilevel"/>
    <w:tmpl w:val="1ABE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8985D9E"/>
    <w:multiLevelType w:val="multilevel"/>
    <w:tmpl w:val="A21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D17C5E"/>
    <w:multiLevelType w:val="multilevel"/>
    <w:tmpl w:val="F0B05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0747C"/>
    <w:multiLevelType w:val="hybridMultilevel"/>
    <w:tmpl w:val="317CCF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BB4692A"/>
    <w:multiLevelType w:val="multilevel"/>
    <w:tmpl w:val="835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875D9F"/>
    <w:multiLevelType w:val="multilevel"/>
    <w:tmpl w:val="B25AD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69450">
    <w:abstractNumId w:val="14"/>
  </w:num>
  <w:num w:numId="2" w16cid:durableId="254634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095433">
    <w:abstractNumId w:val="21"/>
  </w:num>
  <w:num w:numId="4" w16cid:durableId="321544592">
    <w:abstractNumId w:val="20"/>
  </w:num>
  <w:num w:numId="5" w16cid:durableId="2124225984">
    <w:abstractNumId w:val="25"/>
  </w:num>
  <w:num w:numId="6" w16cid:durableId="948318071">
    <w:abstractNumId w:val="15"/>
  </w:num>
  <w:num w:numId="7" w16cid:durableId="1287540436">
    <w:abstractNumId w:val="3"/>
  </w:num>
  <w:num w:numId="8" w16cid:durableId="18991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778312">
    <w:abstractNumId w:val="5"/>
  </w:num>
  <w:num w:numId="10" w16cid:durableId="1825199683">
    <w:abstractNumId w:val="4"/>
  </w:num>
  <w:num w:numId="11" w16cid:durableId="379673830">
    <w:abstractNumId w:val="7"/>
  </w:num>
  <w:num w:numId="12" w16cid:durableId="1204899954">
    <w:abstractNumId w:val="13"/>
  </w:num>
  <w:num w:numId="13" w16cid:durableId="851987924">
    <w:abstractNumId w:val="9"/>
  </w:num>
  <w:num w:numId="14" w16cid:durableId="842008730">
    <w:abstractNumId w:val="8"/>
  </w:num>
  <w:num w:numId="15" w16cid:durableId="1207831909">
    <w:abstractNumId w:val="19"/>
  </w:num>
  <w:num w:numId="16" w16cid:durableId="531302861">
    <w:abstractNumId w:val="23"/>
  </w:num>
  <w:num w:numId="17" w16cid:durableId="727146293">
    <w:abstractNumId w:val="16"/>
  </w:num>
  <w:num w:numId="18" w16cid:durableId="151220263">
    <w:abstractNumId w:val="17"/>
  </w:num>
  <w:num w:numId="19" w16cid:durableId="491725080">
    <w:abstractNumId w:val="6"/>
  </w:num>
  <w:num w:numId="20" w16cid:durableId="1036077082">
    <w:abstractNumId w:val="30"/>
  </w:num>
  <w:num w:numId="21" w16cid:durableId="1091395379">
    <w:abstractNumId w:val="24"/>
  </w:num>
  <w:num w:numId="22" w16cid:durableId="841048444">
    <w:abstractNumId w:val="27"/>
  </w:num>
  <w:num w:numId="23" w16cid:durableId="693766872">
    <w:abstractNumId w:val="26"/>
  </w:num>
  <w:num w:numId="24" w16cid:durableId="1711370452">
    <w:abstractNumId w:val="18"/>
  </w:num>
  <w:num w:numId="25" w16cid:durableId="2002809962">
    <w:abstractNumId w:val="29"/>
  </w:num>
  <w:num w:numId="26" w16cid:durableId="1835024045">
    <w:abstractNumId w:val="11"/>
  </w:num>
  <w:num w:numId="27" w16cid:durableId="677390330">
    <w:abstractNumId w:val="22"/>
  </w:num>
  <w:num w:numId="28" w16cid:durableId="1338769878">
    <w:abstractNumId w:val="10"/>
  </w:num>
  <w:num w:numId="29" w16cid:durableId="739524279">
    <w:abstractNumId w:val="12"/>
  </w:num>
  <w:num w:numId="30" w16cid:durableId="265694707">
    <w:abstractNumId w:val="28"/>
  </w:num>
  <w:num w:numId="31" w16cid:durableId="133530447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3C6"/>
    <w:rsid w:val="00004475"/>
    <w:rsid w:val="00005347"/>
    <w:rsid w:val="000072B6"/>
    <w:rsid w:val="00010029"/>
    <w:rsid w:val="0001021B"/>
    <w:rsid w:val="00011D89"/>
    <w:rsid w:val="000154FD"/>
    <w:rsid w:val="00020938"/>
    <w:rsid w:val="0002145C"/>
    <w:rsid w:val="00022271"/>
    <w:rsid w:val="000235E8"/>
    <w:rsid w:val="00024D89"/>
    <w:rsid w:val="000250B6"/>
    <w:rsid w:val="00033049"/>
    <w:rsid w:val="00033D81"/>
    <w:rsid w:val="00037366"/>
    <w:rsid w:val="000376AD"/>
    <w:rsid w:val="00041B97"/>
    <w:rsid w:val="00041BF0"/>
    <w:rsid w:val="00042C8A"/>
    <w:rsid w:val="000439FE"/>
    <w:rsid w:val="0004536B"/>
    <w:rsid w:val="00046B68"/>
    <w:rsid w:val="000522CF"/>
    <w:rsid w:val="000527DD"/>
    <w:rsid w:val="000578B2"/>
    <w:rsid w:val="0006008D"/>
    <w:rsid w:val="00060959"/>
    <w:rsid w:val="00060C8F"/>
    <w:rsid w:val="0006298A"/>
    <w:rsid w:val="00062C2C"/>
    <w:rsid w:val="0006422B"/>
    <w:rsid w:val="000643BD"/>
    <w:rsid w:val="000663CD"/>
    <w:rsid w:val="000733FE"/>
    <w:rsid w:val="00074219"/>
    <w:rsid w:val="00074ED5"/>
    <w:rsid w:val="0007722C"/>
    <w:rsid w:val="00080D26"/>
    <w:rsid w:val="0008218F"/>
    <w:rsid w:val="0008508E"/>
    <w:rsid w:val="00086557"/>
    <w:rsid w:val="00087951"/>
    <w:rsid w:val="0009050A"/>
    <w:rsid w:val="0009113B"/>
    <w:rsid w:val="000923A9"/>
    <w:rsid w:val="00093402"/>
    <w:rsid w:val="00093A0A"/>
    <w:rsid w:val="00094DA3"/>
    <w:rsid w:val="00096CD1"/>
    <w:rsid w:val="000A012C"/>
    <w:rsid w:val="000A0EB9"/>
    <w:rsid w:val="000A186C"/>
    <w:rsid w:val="000A1EA4"/>
    <w:rsid w:val="000A2476"/>
    <w:rsid w:val="000A641A"/>
    <w:rsid w:val="000B2117"/>
    <w:rsid w:val="000B3C53"/>
    <w:rsid w:val="000B3EDB"/>
    <w:rsid w:val="000B543D"/>
    <w:rsid w:val="000B55F9"/>
    <w:rsid w:val="000B5BF7"/>
    <w:rsid w:val="000B6BC8"/>
    <w:rsid w:val="000B6CDE"/>
    <w:rsid w:val="000B6F21"/>
    <w:rsid w:val="000C0303"/>
    <w:rsid w:val="000C31F4"/>
    <w:rsid w:val="000C42EA"/>
    <w:rsid w:val="000C4546"/>
    <w:rsid w:val="000C54CE"/>
    <w:rsid w:val="000C54DF"/>
    <w:rsid w:val="000C63CA"/>
    <w:rsid w:val="000D0055"/>
    <w:rsid w:val="000D1242"/>
    <w:rsid w:val="000D2786"/>
    <w:rsid w:val="000D79CF"/>
    <w:rsid w:val="000E0970"/>
    <w:rsid w:val="000E3CC7"/>
    <w:rsid w:val="000E6BD4"/>
    <w:rsid w:val="000E6D6D"/>
    <w:rsid w:val="000F09CD"/>
    <w:rsid w:val="000F1208"/>
    <w:rsid w:val="000F1F1E"/>
    <w:rsid w:val="000F2259"/>
    <w:rsid w:val="000F2DDA"/>
    <w:rsid w:val="000F2EA0"/>
    <w:rsid w:val="000F5213"/>
    <w:rsid w:val="00101001"/>
    <w:rsid w:val="001031B3"/>
    <w:rsid w:val="00103276"/>
    <w:rsid w:val="0010392D"/>
    <w:rsid w:val="0010447F"/>
    <w:rsid w:val="00104B84"/>
    <w:rsid w:val="00104FE3"/>
    <w:rsid w:val="00105291"/>
    <w:rsid w:val="0010714F"/>
    <w:rsid w:val="001120C5"/>
    <w:rsid w:val="001136BD"/>
    <w:rsid w:val="001157B3"/>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6A22"/>
    <w:rsid w:val="00176D38"/>
    <w:rsid w:val="001771DD"/>
    <w:rsid w:val="001778A9"/>
    <w:rsid w:val="00177995"/>
    <w:rsid w:val="00177A8C"/>
    <w:rsid w:val="00183D5B"/>
    <w:rsid w:val="00186B33"/>
    <w:rsid w:val="00192F9D"/>
    <w:rsid w:val="00196EB8"/>
    <w:rsid w:val="00196EFB"/>
    <w:rsid w:val="001979FF"/>
    <w:rsid w:val="00197B17"/>
    <w:rsid w:val="001A1950"/>
    <w:rsid w:val="001A1C54"/>
    <w:rsid w:val="001A202A"/>
    <w:rsid w:val="001A3ACE"/>
    <w:rsid w:val="001B058F"/>
    <w:rsid w:val="001B15AB"/>
    <w:rsid w:val="001B4F5A"/>
    <w:rsid w:val="001B673C"/>
    <w:rsid w:val="001B6B96"/>
    <w:rsid w:val="001B7228"/>
    <w:rsid w:val="001B738B"/>
    <w:rsid w:val="001C09DB"/>
    <w:rsid w:val="001C277E"/>
    <w:rsid w:val="001C2A72"/>
    <w:rsid w:val="001C31B7"/>
    <w:rsid w:val="001C4229"/>
    <w:rsid w:val="001D0721"/>
    <w:rsid w:val="001D0B75"/>
    <w:rsid w:val="001D18F9"/>
    <w:rsid w:val="001D39A5"/>
    <w:rsid w:val="001D3C09"/>
    <w:rsid w:val="001D44E8"/>
    <w:rsid w:val="001D60EC"/>
    <w:rsid w:val="001D6F59"/>
    <w:rsid w:val="001E44DF"/>
    <w:rsid w:val="001E5A16"/>
    <w:rsid w:val="001E6379"/>
    <w:rsid w:val="001E68A5"/>
    <w:rsid w:val="001E6BB0"/>
    <w:rsid w:val="001E7282"/>
    <w:rsid w:val="001F3826"/>
    <w:rsid w:val="001F5A4C"/>
    <w:rsid w:val="001F6E46"/>
    <w:rsid w:val="001F77A2"/>
    <w:rsid w:val="001F7C91"/>
    <w:rsid w:val="002000FB"/>
    <w:rsid w:val="002033B7"/>
    <w:rsid w:val="00206463"/>
    <w:rsid w:val="00206F2F"/>
    <w:rsid w:val="00207717"/>
    <w:rsid w:val="0021053D"/>
    <w:rsid w:val="00210A92"/>
    <w:rsid w:val="002140AE"/>
    <w:rsid w:val="00216C03"/>
    <w:rsid w:val="00220C04"/>
    <w:rsid w:val="00221B3A"/>
    <w:rsid w:val="0022278D"/>
    <w:rsid w:val="00222E74"/>
    <w:rsid w:val="00226E3E"/>
    <w:rsid w:val="0022701F"/>
    <w:rsid w:val="00227C68"/>
    <w:rsid w:val="00230F15"/>
    <w:rsid w:val="00233311"/>
    <w:rsid w:val="002333F5"/>
    <w:rsid w:val="00233724"/>
    <w:rsid w:val="002365B4"/>
    <w:rsid w:val="002373EC"/>
    <w:rsid w:val="00242378"/>
    <w:rsid w:val="002432E1"/>
    <w:rsid w:val="0024482C"/>
    <w:rsid w:val="00246207"/>
    <w:rsid w:val="00246C5E"/>
    <w:rsid w:val="00250960"/>
    <w:rsid w:val="00250DC4"/>
    <w:rsid w:val="00251343"/>
    <w:rsid w:val="00252042"/>
    <w:rsid w:val="002536A4"/>
    <w:rsid w:val="00254F58"/>
    <w:rsid w:val="002550DE"/>
    <w:rsid w:val="00260882"/>
    <w:rsid w:val="002620BC"/>
    <w:rsid w:val="00262802"/>
    <w:rsid w:val="00263A90"/>
    <w:rsid w:val="0026408B"/>
    <w:rsid w:val="00267C3E"/>
    <w:rsid w:val="002709BB"/>
    <w:rsid w:val="0027131C"/>
    <w:rsid w:val="00273BAC"/>
    <w:rsid w:val="00273E8A"/>
    <w:rsid w:val="002763B3"/>
    <w:rsid w:val="002802E3"/>
    <w:rsid w:val="00280C4B"/>
    <w:rsid w:val="0028213D"/>
    <w:rsid w:val="002831BA"/>
    <w:rsid w:val="0028340A"/>
    <w:rsid w:val="002862F1"/>
    <w:rsid w:val="00291373"/>
    <w:rsid w:val="0029597D"/>
    <w:rsid w:val="002962C3"/>
    <w:rsid w:val="0029752B"/>
    <w:rsid w:val="002979BA"/>
    <w:rsid w:val="002A0A9C"/>
    <w:rsid w:val="002A483C"/>
    <w:rsid w:val="002A57E8"/>
    <w:rsid w:val="002B0C7C"/>
    <w:rsid w:val="002B1729"/>
    <w:rsid w:val="002B36C7"/>
    <w:rsid w:val="002B4DD4"/>
    <w:rsid w:val="002B5277"/>
    <w:rsid w:val="002B5375"/>
    <w:rsid w:val="002B77C1"/>
    <w:rsid w:val="002C0ED7"/>
    <w:rsid w:val="002C2728"/>
    <w:rsid w:val="002D1E0D"/>
    <w:rsid w:val="002D2DF3"/>
    <w:rsid w:val="002D30C3"/>
    <w:rsid w:val="002D3669"/>
    <w:rsid w:val="002D4B20"/>
    <w:rsid w:val="002D5006"/>
    <w:rsid w:val="002E01D0"/>
    <w:rsid w:val="002E161D"/>
    <w:rsid w:val="002E1F9C"/>
    <w:rsid w:val="002E3100"/>
    <w:rsid w:val="002E6C95"/>
    <w:rsid w:val="002E7C36"/>
    <w:rsid w:val="002F1258"/>
    <w:rsid w:val="002F3ADF"/>
    <w:rsid w:val="002F3D32"/>
    <w:rsid w:val="002F48F1"/>
    <w:rsid w:val="002F5F31"/>
    <w:rsid w:val="002F5F46"/>
    <w:rsid w:val="00302047"/>
    <w:rsid w:val="00302216"/>
    <w:rsid w:val="00303E53"/>
    <w:rsid w:val="00305CC1"/>
    <w:rsid w:val="00306E5F"/>
    <w:rsid w:val="00307E14"/>
    <w:rsid w:val="00312522"/>
    <w:rsid w:val="00314054"/>
    <w:rsid w:val="00316F27"/>
    <w:rsid w:val="003214F1"/>
    <w:rsid w:val="00322E4B"/>
    <w:rsid w:val="003252EE"/>
    <w:rsid w:val="00327870"/>
    <w:rsid w:val="00327E0D"/>
    <w:rsid w:val="003324A6"/>
    <w:rsid w:val="0033259D"/>
    <w:rsid w:val="003333D2"/>
    <w:rsid w:val="0033403B"/>
    <w:rsid w:val="00335A5E"/>
    <w:rsid w:val="0033655D"/>
    <w:rsid w:val="00337339"/>
    <w:rsid w:val="003406C6"/>
    <w:rsid w:val="003418CC"/>
    <w:rsid w:val="003459BD"/>
    <w:rsid w:val="00347E50"/>
    <w:rsid w:val="00350D38"/>
    <w:rsid w:val="00351405"/>
    <w:rsid w:val="00351B36"/>
    <w:rsid w:val="003521F0"/>
    <w:rsid w:val="00357B4E"/>
    <w:rsid w:val="00363D45"/>
    <w:rsid w:val="0036542E"/>
    <w:rsid w:val="00365BE7"/>
    <w:rsid w:val="00366345"/>
    <w:rsid w:val="003667EC"/>
    <w:rsid w:val="0037125D"/>
    <w:rsid w:val="003716FD"/>
    <w:rsid w:val="0037204B"/>
    <w:rsid w:val="003727C5"/>
    <w:rsid w:val="00373A29"/>
    <w:rsid w:val="003744CF"/>
    <w:rsid w:val="00374717"/>
    <w:rsid w:val="003764BC"/>
    <w:rsid w:val="0037676C"/>
    <w:rsid w:val="003776BC"/>
    <w:rsid w:val="00377A1A"/>
    <w:rsid w:val="00381043"/>
    <w:rsid w:val="003810F0"/>
    <w:rsid w:val="003829E5"/>
    <w:rsid w:val="00386109"/>
    <w:rsid w:val="00386944"/>
    <w:rsid w:val="003934DE"/>
    <w:rsid w:val="003953AD"/>
    <w:rsid w:val="003956CC"/>
    <w:rsid w:val="00395C9A"/>
    <w:rsid w:val="003A04E1"/>
    <w:rsid w:val="003A0853"/>
    <w:rsid w:val="003A1B08"/>
    <w:rsid w:val="003A6B67"/>
    <w:rsid w:val="003B13B6"/>
    <w:rsid w:val="003B14C3"/>
    <w:rsid w:val="003B15E6"/>
    <w:rsid w:val="003B1BDC"/>
    <w:rsid w:val="003B3C56"/>
    <w:rsid w:val="003B408A"/>
    <w:rsid w:val="003C08A2"/>
    <w:rsid w:val="003C2045"/>
    <w:rsid w:val="003C284A"/>
    <w:rsid w:val="003C43A1"/>
    <w:rsid w:val="003C4FC0"/>
    <w:rsid w:val="003C55F4"/>
    <w:rsid w:val="003C777A"/>
    <w:rsid w:val="003C7897"/>
    <w:rsid w:val="003C7A3F"/>
    <w:rsid w:val="003D2766"/>
    <w:rsid w:val="003D2A74"/>
    <w:rsid w:val="003D3E8F"/>
    <w:rsid w:val="003D6475"/>
    <w:rsid w:val="003D6EE6"/>
    <w:rsid w:val="003D7000"/>
    <w:rsid w:val="003D7E30"/>
    <w:rsid w:val="003E375C"/>
    <w:rsid w:val="003E4086"/>
    <w:rsid w:val="003E4E73"/>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6535"/>
    <w:rsid w:val="00430172"/>
    <w:rsid w:val="00430393"/>
    <w:rsid w:val="0043152E"/>
    <w:rsid w:val="00431806"/>
    <w:rsid w:val="00431D40"/>
    <w:rsid w:val="004350F9"/>
    <w:rsid w:val="004361A7"/>
    <w:rsid w:val="004362E5"/>
    <w:rsid w:val="00437AC5"/>
    <w:rsid w:val="00442C6C"/>
    <w:rsid w:val="00443CBE"/>
    <w:rsid w:val="00443E8A"/>
    <w:rsid w:val="004441BC"/>
    <w:rsid w:val="004468B4"/>
    <w:rsid w:val="0045230A"/>
    <w:rsid w:val="00454AD0"/>
    <w:rsid w:val="00455F1E"/>
    <w:rsid w:val="00457337"/>
    <w:rsid w:val="00460ECE"/>
    <w:rsid w:val="00462E3D"/>
    <w:rsid w:val="0046440A"/>
    <w:rsid w:val="004655D3"/>
    <w:rsid w:val="00466E79"/>
    <w:rsid w:val="00470D7D"/>
    <w:rsid w:val="00471167"/>
    <w:rsid w:val="0047372D"/>
    <w:rsid w:val="00473B86"/>
    <w:rsid w:val="00473BA3"/>
    <w:rsid w:val="004743DD"/>
    <w:rsid w:val="00474CEA"/>
    <w:rsid w:val="00476C35"/>
    <w:rsid w:val="00477394"/>
    <w:rsid w:val="004818D2"/>
    <w:rsid w:val="004823D2"/>
    <w:rsid w:val="00483968"/>
    <w:rsid w:val="004841BE"/>
    <w:rsid w:val="00484F86"/>
    <w:rsid w:val="00487859"/>
    <w:rsid w:val="00490746"/>
    <w:rsid w:val="00490852"/>
    <w:rsid w:val="00491C9C"/>
    <w:rsid w:val="00492F30"/>
    <w:rsid w:val="004946F4"/>
    <w:rsid w:val="0049487E"/>
    <w:rsid w:val="00497F1F"/>
    <w:rsid w:val="004A160D"/>
    <w:rsid w:val="004A2153"/>
    <w:rsid w:val="004A3E81"/>
    <w:rsid w:val="004A4195"/>
    <w:rsid w:val="004A5C62"/>
    <w:rsid w:val="004A5CE5"/>
    <w:rsid w:val="004A707D"/>
    <w:rsid w:val="004B2378"/>
    <w:rsid w:val="004B2E6B"/>
    <w:rsid w:val="004B4185"/>
    <w:rsid w:val="004C4839"/>
    <w:rsid w:val="004C5541"/>
    <w:rsid w:val="004C6EEE"/>
    <w:rsid w:val="004C702B"/>
    <w:rsid w:val="004D0033"/>
    <w:rsid w:val="004D016B"/>
    <w:rsid w:val="004D1B22"/>
    <w:rsid w:val="004D23CC"/>
    <w:rsid w:val="004D316D"/>
    <w:rsid w:val="004D36F2"/>
    <w:rsid w:val="004D76CE"/>
    <w:rsid w:val="004E1106"/>
    <w:rsid w:val="004E138F"/>
    <w:rsid w:val="004E4649"/>
    <w:rsid w:val="004E5326"/>
    <w:rsid w:val="004E5C2B"/>
    <w:rsid w:val="004F00DD"/>
    <w:rsid w:val="004F2133"/>
    <w:rsid w:val="004F2E59"/>
    <w:rsid w:val="004F5398"/>
    <w:rsid w:val="004F55F1"/>
    <w:rsid w:val="004F6936"/>
    <w:rsid w:val="004F7B35"/>
    <w:rsid w:val="0050081A"/>
    <w:rsid w:val="00503DC6"/>
    <w:rsid w:val="0050448F"/>
    <w:rsid w:val="00505AA0"/>
    <w:rsid w:val="00506F5D"/>
    <w:rsid w:val="00510C37"/>
    <w:rsid w:val="005126D0"/>
    <w:rsid w:val="00513109"/>
    <w:rsid w:val="00514667"/>
    <w:rsid w:val="005152DC"/>
    <w:rsid w:val="0051568D"/>
    <w:rsid w:val="00517820"/>
    <w:rsid w:val="00520E62"/>
    <w:rsid w:val="00525253"/>
    <w:rsid w:val="00526AC7"/>
    <w:rsid w:val="00526C15"/>
    <w:rsid w:val="00536499"/>
    <w:rsid w:val="005403E1"/>
    <w:rsid w:val="00542A03"/>
    <w:rsid w:val="0054351C"/>
    <w:rsid w:val="00543903"/>
    <w:rsid w:val="00543F11"/>
    <w:rsid w:val="00545092"/>
    <w:rsid w:val="005461DD"/>
    <w:rsid w:val="00546305"/>
    <w:rsid w:val="00547A95"/>
    <w:rsid w:val="00550A40"/>
    <w:rsid w:val="0055119B"/>
    <w:rsid w:val="00561202"/>
    <w:rsid w:val="0057026F"/>
    <w:rsid w:val="00572031"/>
    <w:rsid w:val="00572282"/>
    <w:rsid w:val="00573304"/>
    <w:rsid w:val="00573438"/>
    <w:rsid w:val="00573CE3"/>
    <w:rsid w:val="00576E84"/>
    <w:rsid w:val="00580394"/>
    <w:rsid w:val="005806FB"/>
    <w:rsid w:val="005809CD"/>
    <w:rsid w:val="005825C3"/>
    <w:rsid w:val="00582B8C"/>
    <w:rsid w:val="00584330"/>
    <w:rsid w:val="0058757E"/>
    <w:rsid w:val="00587C16"/>
    <w:rsid w:val="00593A99"/>
    <w:rsid w:val="00596A4B"/>
    <w:rsid w:val="0059718E"/>
    <w:rsid w:val="00597507"/>
    <w:rsid w:val="005A1C0F"/>
    <w:rsid w:val="005A2AF8"/>
    <w:rsid w:val="005A479D"/>
    <w:rsid w:val="005A701B"/>
    <w:rsid w:val="005B1C6D"/>
    <w:rsid w:val="005B21B6"/>
    <w:rsid w:val="005B3A08"/>
    <w:rsid w:val="005B5900"/>
    <w:rsid w:val="005B5F07"/>
    <w:rsid w:val="005B7A63"/>
    <w:rsid w:val="005C0955"/>
    <w:rsid w:val="005C1FD8"/>
    <w:rsid w:val="005C49DA"/>
    <w:rsid w:val="005C50F3"/>
    <w:rsid w:val="005C54B5"/>
    <w:rsid w:val="005C571E"/>
    <w:rsid w:val="005C5D80"/>
    <w:rsid w:val="005C5D91"/>
    <w:rsid w:val="005C78C3"/>
    <w:rsid w:val="005D07B8"/>
    <w:rsid w:val="005D1125"/>
    <w:rsid w:val="005D2515"/>
    <w:rsid w:val="005D548B"/>
    <w:rsid w:val="005D6597"/>
    <w:rsid w:val="005D72CE"/>
    <w:rsid w:val="005E14E7"/>
    <w:rsid w:val="005E26A3"/>
    <w:rsid w:val="005E2ECB"/>
    <w:rsid w:val="005E447E"/>
    <w:rsid w:val="005E4FD1"/>
    <w:rsid w:val="005E7FA4"/>
    <w:rsid w:val="005F0775"/>
    <w:rsid w:val="005F0CF5"/>
    <w:rsid w:val="005F0E41"/>
    <w:rsid w:val="005F21EB"/>
    <w:rsid w:val="005F2D72"/>
    <w:rsid w:val="005F64CF"/>
    <w:rsid w:val="006041AD"/>
    <w:rsid w:val="00605908"/>
    <w:rsid w:val="00607850"/>
    <w:rsid w:val="00610589"/>
    <w:rsid w:val="00610639"/>
    <w:rsid w:val="00610D7C"/>
    <w:rsid w:val="00613414"/>
    <w:rsid w:val="006159C2"/>
    <w:rsid w:val="00620154"/>
    <w:rsid w:val="00620296"/>
    <w:rsid w:val="0062408D"/>
    <w:rsid w:val="006240CC"/>
    <w:rsid w:val="00624940"/>
    <w:rsid w:val="006254F8"/>
    <w:rsid w:val="00627DA7"/>
    <w:rsid w:val="00630DA4"/>
    <w:rsid w:val="00631CD4"/>
    <w:rsid w:val="00632597"/>
    <w:rsid w:val="00632602"/>
    <w:rsid w:val="00634D13"/>
    <w:rsid w:val="006358B4"/>
    <w:rsid w:val="00641724"/>
    <w:rsid w:val="006419AA"/>
    <w:rsid w:val="00644B1F"/>
    <w:rsid w:val="00644B7E"/>
    <w:rsid w:val="00644BFB"/>
    <w:rsid w:val="006454E6"/>
    <w:rsid w:val="00646235"/>
    <w:rsid w:val="00646A68"/>
    <w:rsid w:val="00647645"/>
    <w:rsid w:val="00647D2F"/>
    <w:rsid w:val="006505BD"/>
    <w:rsid w:val="006508EA"/>
    <w:rsid w:val="0065092E"/>
    <w:rsid w:val="00650D17"/>
    <w:rsid w:val="006557A7"/>
    <w:rsid w:val="00656290"/>
    <w:rsid w:val="00657D7A"/>
    <w:rsid w:val="006601C9"/>
    <w:rsid w:val="006608D8"/>
    <w:rsid w:val="0066105B"/>
    <w:rsid w:val="006621D7"/>
    <w:rsid w:val="0066302A"/>
    <w:rsid w:val="006646F2"/>
    <w:rsid w:val="00667770"/>
    <w:rsid w:val="0067023A"/>
    <w:rsid w:val="00670597"/>
    <w:rsid w:val="006706D0"/>
    <w:rsid w:val="006734CA"/>
    <w:rsid w:val="00675DD0"/>
    <w:rsid w:val="00677574"/>
    <w:rsid w:val="00683878"/>
    <w:rsid w:val="0068454C"/>
    <w:rsid w:val="00685E87"/>
    <w:rsid w:val="00690A52"/>
    <w:rsid w:val="006918EC"/>
    <w:rsid w:val="00691B62"/>
    <w:rsid w:val="006933B5"/>
    <w:rsid w:val="00693D14"/>
    <w:rsid w:val="00695A93"/>
    <w:rsid w:val="00696F27"/>
    <w:rsid w:val="006A18C2"/>
    <w:rsid w:val="006A3383"/>
    <w:rsid w:val="006A5361"/>
    <w:rsid w:val="006B077C"/>
    <w:rsid w:val="006B16AF"/>
    <w:rsid w:val="006B2B1D"/>
    <w:rsid w:val="006B3E92"/>
    <w:rsid w:val="006B67B6"/>
    <w:rsid w:val="006B6803"/>
    <w:rsid w:val="006C2819"/>
    <w:rsid w:val="006C3FAE"/>
    <w:rsid w:val="006C5EFE"/>
    <w:rsid w:val="006D0F16"/>
    <w:rsid w:val="006D1AB1"/>
    <w:rsid w:val="006D20A8"/>
    <w:rsid w:val="006D2A3F"/>
    <w:rsid w:val="006D2D8C"/>
    <w:rsid w:val="006D2FBC"/>
    <w:rsid w:val="006D56BF"/>
    <w:rsid w:val="006E138B"/>
    <w:rsid w:val="006E1867"/>
    <w:rsid w:val="006E2BD1"/>
    <w:rsid w:val="006F0330"/>
    <w:rsid w:val="006F1FDC"/>
    <w:rsid w:val="006F6664"/>
    <w:rsid w:val="006F6B8C"/>
    <w:rsid w:val="007013EF"/>
    <w:rsid w:val="007055BD"/>
    <w:rsid w:val="00715101"/>
    <w:rsid w:val="00716F00"/>
    <w:rsid w:val="007173CA"/>
    <w:rsid w:val="007216AA"/>
    <w:rsid w:val="00721AB5"/>
    <w:rsid w:val="00721CFB"/>
    <w:rsid w:val="00721DEF"/>
    <w:rsid w:val="00724A43"/>
    <w:rsid w:val="00724FCA"/>
    <w:rsid w:val="007273AC"/>
    <w:rsid w:val="00731AD4"/>
    <w:rsid w:val="007346E4"/>
    <w:rsid w:val="00740F22"/>
    <w:rsid w:val="00741977"/>
    <w:rsid w:val="00741CF0"/>
    <w:rsid w:val="00741F1A"/>
    <w:rsid w:val="00743A2C"/>
    <w:rsid w:val="007447DA"/>
    <w:rsid w:val="007450F8"/>
    <w:rsid w:val="0074696E"/>
    <w:rsid w:val="00750135"/>
    <w:rsid w:val="00750EC2"/>
    <w:rsid w:val="00751021"/>
    <w:rsid w:val="00752B28"/>
    <w:rsid w:val="007541A9"/>
    <w:rsid w:val="00754E36"/>
    <w:rsid w:val="0076104A"/>
    <w:rsid w:val="00763139"/>
    <w:rsid w:val="00766F80"/>
    <w:rsid w:val="00770E07"/>
    <w:rsid w:val="00770F37"/>
    <w:rsid w:val="007711A0"/>
    <w:rsid w:val="00772D5E"/>
    <w:rsid w:val="0077463E"/>
    <w:rsid w:val="00776928"/>
    <w:rsid w:val="00776E0F"/>
    <w:rsid w:val="007774B1"/>
    <w:rsid w:val="00777BE1"/>
    <w:rsid w:val="007833D8"/>
    <w:rsid w:val="00785677"/>
    <w:rsid w:val="007869B9"/>
    <w:rsid w:val="00786F16"/>
    <w:rsid w:val="00791BD7"/>
    <w:rsid w:val="007933F7"/>
    <w:rsid w:val="00796E20"/>
    <w:rsid w:val="00797C32"/>
    <w:rsid w:val="007A11E8"/>
    <w:rsid w:val="007A611E"/>
    <w:rsid w:val="007B0914"/>
    <w:rsid w:val="007B1374"/>
    <w:rsid w:val="007B32E5"/>
    <w:rsid w:val="007B3DB9"/>
    <w:rsid w:val="007B589F"/>
    <w:rsid w:val="007B6186"/>
    <w:rsid w:val="007B7030"/>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3D17"/>
    <w:rsid w:val="007E3F9B"/>
    <w:rsid w:val="007E417A"/>
    <w:rsid w:val="007E7047"/>
    <w:rsid w:val="007E7315"/>
    <w:rsid w:val="007F31B6"/>
    <w:rsid w:val="007F3C06"/>
    <w:rsid w:val="007F3EBD"/>
    <w:rsid w:val="007F546C"/>
    <w:rsid w:val="007F5753"/>
    <w:rsid w:val="007F625F"/>
    <w:rsid w:val="007F665E"/>
    <w:rsid w:val="00800412"/>
    <w:rsid w:val="0080587B"/>
    <w:rsid w:val="00806468"/>
    <w:rsid w:val="008119CA"/>
    <w:rsid w:val="00811BBF"/>
    <w:rsid w:val="008126AF"/>
    <w:rsid w:val="00812C8C"/>
    <w:rsid w:val="008130C4"/>
    <w:rsid w:val="008155F0"/>
    <w:rsid w:val="00816735"/>
    <w:rsid w:val="0081681C"/>
    <w:rsid w:val="00820141"/>
    <w:rsid w:val="00820E0C"/>
    <w:rsid w:val="00820F2A"/>
    <w:rsid w:val="00822736"/>
    <w:rsid w:val="00823275"/>
    <w:rsid w:val="0082366F"/>
    <w:rsid w:val="00825E37"/>
    <w:rsid w:val="00830148"/>
    <w:rsid w:val="008338A2"/>
    <w:rsid w:val="00841AA9"/>
    <w:rsid w:val="00841F3D"/>
    <w:rsid w:val="00842219"/>
    <w:rsid w:val="008474FE"/>
    <w:rsid w:val="00850C70"/>
    <w:rsid w:val="0085232E"/>
    <w:rsid w:val="00853EE4"/>
    <w:rsid w:val="00855535"/>
    <w:rsid w:val="00857C5A"/>
    <w:rsid w:val="0086255E"/>
    <w:rsid w:val="008633F0"/>
    <w:rsid w:val="00867D9D"/>
    <w:rsid w:val="00872C54"/>
    <w:rsid w:val="00872E0A"/>
    <w:rsid w:val="00873594"/>
    <w:rsid w:val="00873BCF"/>
    <w:rsid w:val="00875285"/>
    <w:rsid w:val="0087564F"/>
    <w:rsid w:val="00884B62"/>
    <w:rsid w:val="00884DF9"/>
    <w:rsid w:val="0088529C"/>
    <w:rsid w:val="00887903"/>
    <w:rsid w:val="008918A7"/>
    <w:rsid w:val="00891CF6"/>
    <w:rsid w:val="0089270A"/>
    <w:rsid w:val="00893AB2"/>
    <w:rsid w:val="00893AF6"/>
    <w:rsid w:val="00894BC4"/>
    <w:rsid w:val="008A28A8"/>
    <w:rsid w:val="008A5B32"/>
    <w:rsid w:val="008A5D60"/>
    <w:rsid w:val="008B2029"/>
    <w:rsid w:val="008B2EE4"/>
    <w:rsid w:val="008B3821"/>
    <w:rsid w:val="008B4D3D"/>
    <w:rsid w:val="008B57C7"/>
    <w:rsid w:val="008C1BC8"/>
    <w:rsid w:val="008C2F92"/>
    <w:rsid w:val="008C589D"/>
    <w:rsid w:val="008C59F8"/>
    <w:rsid w:val="008C6804"/>
    <w:rsid w:val="008C6D51"/>
    <w:rsid w:val="008C6DF5"/>
    <w:rsid w:val="008D006D"/>
    <w:rsid w:val="008D0E01"/>
    <w:rsid w:val="008D1CDF"/>
    <w:rsid w:val="008D2846"/>
    <w:rsid w:val="008D4236"/>
    <w:rsid w:val="008D462F"/>
    <w:rsid w:val="008D5C45"/>
    <w:rsid w:val="008D6DCF"/>
    <w:rsid w:val="008E0436"/>
    <w:rsid w:val="008E4376"/>
    <w:rsid w:val="008E7A0A"/>
    <w:rsid w:val="008E7B49"/>
    <w:rsid w:val="008F59F6"/>
    <w:rsid w:val="008F7BF4"/>
    <w:rsid w:val="00900719"/>
    <w:rsid w:val="009017AC"/>
    <w:rsid w:val="00902A9A"/>
    <w:rsid w:val="00904A1C"/>
    <w:rsid w:val="00905030"/>
    <w:rsid w:val="00906490"/>
    <w:rsid w:val="009111B2"/>
    <w:rsid w:val="009149A4"/>
    <w:rsid w:val="009151F5"/>
    <w:rsid w:val="0092386C"/>
    <w:rsid w:val="00924AE1"/>
    <w:rsid w:val="009257ED"/>
    <w:rsid w:val="009269B1"/>
    <w:rsid w:val="0092724D"/>
    <w:rsid w:val="009272B3"/>
    <w:rsid w:val="009315BE"/>
    <w:rsid w:val="00931EE2"/>
    <w:rsid w:val="0093338F"/>
    <w:rsid w:val="00934C18"/>
    <w:rsid w:val="00937BD9"/>
    <w:rsid w:val="00950E2C"/>
    <w:rsid w:val="00951D50"/>
    <w:rsid w:val="009525EB"/>
    <w:rsid w:val="0095470B"/>
    <w:rsid w:val="00954874"/>
    <w:rsid w:val="00954D01"/>
    <w:rsid w:val="009552F7"/>
    <w:rsid w:val="0095615A"/>
    <w:rsid w:val="0096024A"/>
    <w:rsid w:val="009610EA"/>
    <w:rsid w:val="00961400"/>
    <w:rsid w:val="00961B94"/>
    <w:rsid w:val="00961E86"/>
    <w:rsid w:val="00963646"/>
    <w:rsid w:val="0096513D"/>
    <w:rsid w:val="0096632D"/>
    <w:rsid w:val="00967124"/>
    <w:rsid w:val="00967335"/>
    <w:rsid w:val="0097035D"/>
    <w:rsid w:val="00970CF4"/>
    <w:rsid w:val="009718C7"/>
    <w:rsid w:val="0097559F"/>
    <w:rsid w:val="009761EA"/>
    <w:rsid w:val="0097761E"/>
    <w:rsid w:val="00982454"/>
    <w:rsid w:val="00982CF0"/>
    <w:rsid w:val="009853E1"/>
    <w:rsid w:val="00986B82"/>
    <w:rsid w:val="00986D8F"/>
    <w:rsid w:val="00986E6B"/>
    <w:rsid w:val="00987E0E"/>
    <w:rsid w:val="00990032"/>
    <w:rsid w:val="00990B19"/>
    <w:rsid w:val="0099153B"/>
    <w:rsid w:val="00991769"/>
    <w:rsid w:val="0099188D"/>
    <w:rsid w:val="0099232C"/>
    <w:rsid w:val="00994386"/>
    <w:rsid w:val="00994791"/>
    <w:rsid w:val="009A13D8"/>
    <w:rsid w:val="009A279E"/>
    <w:rsid w:val="009A3015"/>
    <w:rsid w:val="009A3490"/>
    <w:rsid w:val="009A7A42"/>
    <w:rsid w:val="009B0A6F"/>
    <w:rsid w:val="009B0A94"/>
    <w:rsid w:val="009B2AE8"/>
    <w:rsid w:val="009B5622"/>
    <w:rsid w:val="009B59E9"/>
    <w:rsid w:val="009B70AA"/>
    <w:rsid w:val="009C0789"/>
    <w:rsid w:val="009C1A3D"/>
    <w:rsid w:val="009C1CB1"/>
    <w:rsid w:val="009C5E77"/>
    <w:rsid w:val="009C67C5"/>
    <w:rsid w:val="009C7A7E"/>
    <w:rsid w:val="009D02E8"/>
    <w:rsid w:val="009D2F2B"/>
    <w:rsid w:val="009D51D0"/>
    <w:rsid w:val="009D70A4"/>
    <w:rsid w:val="009D7A52"/>
    <w:rsid w:val="009D7B14"/>
    <w:rsid w:val="009D7D46"/>
    <w:rsid w:val="009E08D1"/>
    <w:rsid w:val="009E1B95"/>
    <w:rsid w:val="009E496F"/>
    <w:rsid w:val="009E4B0D"/>
    <w:rsid w:val="009E5250"/>
    <w:rsid w:val="009E6178"/>
    <w:rsid w:val="009E6501"/>
    <w:rsid w:val="009E7A69"/>
    <w:rsid w:val="009E7F92"/>
    <w:rsid w:val="009F02A3"/>
    <w:rsid w:val="009F2F27"/>
    <w:rsid w:val="009F34AA"/>
    <w:rsid w:val="009F61F3"/>
    <w:rsid w:val="009F6BCB"/>
    <w:rsid w:val="009F7B78"/>
    <w:rsid w:val="00A0057A"/>
    <w:rsid w:val="00A02FA1"/>
    <w:rsid w:val="00A04CCE"/>
    <w:rsid w:val="00A05E71"/>
    <w:rsid w:val="00A07421"/>
    <w:rsid w:val="00A0776B"/>
    <w:rsid w:val="00A07F55"/>
    <w:rsid w:val="00A10FB9"/>
    <w:rsid w:val="00A11421"/>
    <w:rsid w:val="00A11FD8"/>
    <w:rsid w:val="00A1389F"/>
    <w:rsid w:val="00A14996"/>
    <w:rsid w:val="00A157B1"/>
    <w:rsid w:val="00A22229"/>
    <w:rsid w:val="00A229CB"/>
    <w:rsid w:val="00A23AC7"/>
    <w:rsid w:val="00A24442"/>
    <w:rsid w:val="00A252B9"/>
    <w:rsid w:val="00A2592A"/>
    <w:rsid w:val="00A32577"/>
    <w:rsid w:val="00A330BB"/>
    <w:rsid w:val="00A34ACD"/>
    <w:rsid w:val="00A36BA2"/>
    <w:rsid w:val="00A43052"/>
    <w:rsid w:val="00A44882"/>
    <w:rsid w:val="00A45125"/>
    <w:rsid w:val="00A47E00"/>
    <w:rsid w:val="00A513A9"/>
    <w:rsid w:val="00A54715"/>
    <w:rsid w:val="00A601B5"/>
    <w:rsid w:val="00A6061C"/>
    <w:rsid w:val="00A62D44"/>
    <w:rsid w:val="00A65009"/>
    <w:rsid w:val="00A668F5"/>
    <w:rsid w:val="00A67263"/>
    <w:rsid w:val="00A7161C"/>
    <w:rsid w:val="00A77AA3"/>
    <w:rsid w:val="00A77C42"/>
    <w:rsid w:val="00A8236D"/>
    <w:rsid w:val="00A854EB"/>
    <w:rsid w:val="00A872E5"/>
    <w:rsid w:val="00A91406"/>
    <w:rsid w:val="00A96E65"/>
    <w:rsid w:val="00A96ECE"/>
    <w:rsid w:val="00A97C72"/>
    <w:rsid w:val="00AA310B"/>
    <w:rsid w:val="00AA63D4"/>
    <w:rsid w:val="00AB06E8"/>
    <w:rsid w:val="00AB1A4F"/>
    <w:rsid w:val="00AB1CD3"/>
    <w:rsid w:val="00AB352F"/>
    <w:rsid w:val="00AB3777"/>
    <w:rsid w:val="00AC274B"/>
    <w:rsid w:val="00AC4764"/>
    <w:rsid w:val="00AC690B"/>
    <w:rsid w:val="00AC6D36"/>
    <w:rsid w:val="00AD0CBA"/>
    <w:rsid w:val="00AD26E2"/>
    <w:rsid w:val="00AD3696"/>
    <w:rsid w:val="00AD56C1"/>
    <w:rsid w:val="00AD784C"/>
    <w:rsid w:val="00AE126A"/>
    <w:rsid w:val="00AE1BAE"/>
    <w:rsid w:val="00AE3005"/>
    <w:rsid w:val="00AE3BD5"/>
    <w:rsid w:val="00AE59A0"/>
    <w:rsid w:val="00AE7145"/>
    <w:rsid w:val="00AF0C57"/>
    <w:rsid w:val="00AF26F3"/>
    <w:rsid w:val="00AF3C35"/>
    <w:rsid w:val="00AF5F04"/>
    <w:rsid w:val="00AF6B8E"/>
    <w:rsid w:val="00B00672"/>
    <w:rsid w:val="00B01B4D"/>
    <w:rsid w:val="00B04489"/>
    <w:rsid w:val="00B06571"/>
    <w:rsid w:val="00B068BA"/>
    <w:rsid w:val="00B07217"/>
    <w:rsid w:val="00B13851"/>
    <w:rsid w:val="00B13B1C"/>
    <w:rsid w:val="00B14652"/>
    <w:rsid w:val="00B14B5F"/>
    <w:rsid w:val="00B21F90"/>
    <w:rsid w:val="00B22291"/>
    <w:rsid w:val="00B23F9A"/>
    <w:rsid w:val="00B2417B"/>
    <w:rsid w:val="00B24E6F"/>
    <w:rsid w:val="00B26C07"/>
    <w:rsid w:val="00B26CB5"/>
    <w:rsid w:val="00B2752E"/>
    <w:rsid w:val="00B307CC"/>
    <w:rsid w:val="00B326B7"/>
    <w:rsid w:val="00B33B97"/>
    <w:rsid w:val="00B3588E"/>
    <w:rsid w:val="00B36849"/>
    <w:rsid w:val="00B4198F"/>
    <w:rsid w:val="00B41F3D"/>
    <w:rsid w:val="00B431E8"/>
    <w:rsid w:val="00B45141"/>
    <w:rsid w:val="00B4626A"/>
    <w:rsid w:val="00B519CD"/>
    <w:rsid w:val="00B5273A"/>
    <w:rsid w:val="00B551B4"/>
    <w:rsid w:val="00B57329"/>
    <w:rsid w:val="00B573AA"/>
    <w:rsid w:val="00B60E61"/>
    <w:rsid w:val="00B62B50"/>
    <w:rsid w:val="00B635B7"/>
    <w:rsid w:val="00B63AE8"/>
    <w:rsid w:val="00B65950"/>
    <w:rsid w:val="00B66D83"/>
    <w:rsid w:val="00B672C0"/>
    <w:rsid w:val="00B676FD"/>
    <w:rsid w:val="00B678B6"/>
    <w:rsid w:val="00B706E8"/>
    <w:rsid w:val="00B72B5F"/>
    <w:rsid w:val="00B75646"/>
    <w:rsid w:val="00B7629E"/>
    <w:rsid w:val="00B8450F"/>
    <w:rsid w:val="00B84637"/>
    <w:rsid w:val="00B90729"/>
    <w:rsid w:val="00B907DA"/>
    <w:rsid w:val="00B91FFE"/>
    <w:rsid w:val="00B950BC"/>
    <w:rsid w:val="00B95AB9"/>
    <w:rsid w:val="00B9714C"/>
    <w:rsid w:val="00BA29AD"/>
    <w:rsid w:val="00BA33CF"/>
    <w:rsid w:val="00BA3F8D"/>
    <w:rsid w:val="00BB1715"/>
    <w:rsid w:val="00BB7A10"/>
    <w:rsid w:val="00BC60BE"/>
    <w:rsid w:val="00BC7468"/>
    <w:rsid w:val="00BC7D4F"/>
    <w:rsid w:val="00BC7ED7"/>
    <w:rsid w:val="00BD2850"/>
    <w:rsid w:val="00BD4815"/>
    <w:rsid w:val="00BD4F22"/>
    <w:rsid w:val="00BD53C4"/>
    <w:rsid w:val="00BD6049"/>
    <w:rsid w:val="00BE28D2"/>
    <w:rsid w:val="00BE4A64"/>
    <w:rsid w:val="00BE5A63"/>
    <w:rsid w:val="00BE5E43"/>
    <w:rsid w:val="00BE6F7C"/>
    <w:rsid w:val="00BF557D"/>
    <w:rsid w:val="00BF7F58"/>
    <w:rsid w:val="00C01381"/>
    <w:rsid w:val="00C01AB1"/>
    <w:rsid w:val="00C026A0"/>
    <w:rsid w:val="00C03EA4"/>
    <w:rsid w:val="00C04F42"/>
    <w:rsid w:val="00C05F92"/>
    <w:rsid w:val="00C06137"/>
    <w:rsid w:val="00C06929"/>
    <w:rsid w:val="00C079B8"/>
    <w:rsid w:val="00C10037"/>
    <w:rsid w:val="00C123EA"/>
    <w:rsid w:val="00C12A49"/>
    <w:rsid w:val="00C133EE"/>
    <w:rsid w:val="00C13C38"/>
    <w:rsid w:val="00C149D0"/>
    <w:rsid w:val="00C231A0"/>
    <w:rsid w:val="00C26588"/>
    <w:rsid w:val="00C27DE9"/>
    <w:rsid w:val="00C32989"/>
    <w:rsid w:val="00C33388"/>
    <w:rsid w:val="00C35484"/>
    <w:rsid w:val="00C4173A"/>
    <w:rsid w:val="00C41FF3"/>
    <w:rsid w:val="00C44C67"/>
    <w:rsid w:val="00C50DED"/>
    <w:rsid w:val="00C51BAB"/>
    <w:rsid w:val="00C52217"/>
    <w:rsid w:val="00C54AED"/>
    <w:rsid w:val="00C6000C"/>
    <w:rsid w:val="00C602FF"/>
    <w:rsid w:val="00C60CF4"/>
    <w:rsid w:val="00C61174"/>
    <w:rsid w:val="00C6148F"/>
    <w:rsid w:val="00C61B6E"/>
    <w:rsid w:val="00C61CF6"/>
    <w:rsid w:val="00C621B1"/>
    <w:rsid w:val="00C62F7A"/>
    <w:rsid w:val="00C63B9C"/>
    <w:rsid w:val="00C6682F"/>
    <w:rsid w:val="00C67BF4"/>
    <w:rsid w:val="00C7275E"/>
    <w:rsid w:val="00C74C5D"/>
    <w:rsid w:val="00C75049"/>
    <w:rsid w:val="00C8454A"/>
    <w:rsid w:val="00C863C4"/>
    <w:rsid w:val="00C912F4"/>
    <w:rsid w:val="00C920EA"/>
    <w:rsid w:val="00C93C3E"/>
    <w:rsid w:val="00CA12E3"/>
    <w:rsid w:val="00CA1476"/>
    <w:rsid w:val="00CA6611"/>
    <w:rsid w:val="00CA6AE6"/>
    <w:rsid w:val="00CA782F"/>
    <w:rsid w:val="00CB187B"/>
    <w:rsid w:val="00CB2835"/>
    <w:rsid w:val="00CB3285"/>
    <w:rsid w:val="00CB3F0C"/>
    <w:rsid w:val="00CB4500"/>
    <w:rsid w:val="00CB6CCD"/>
    <w:rsid w:val="00CC0C72"/>
    <w:rsid w:val="00CC175E"/>
    <w:rsid w:val="00CC2BFD"/>
    <w:rsid w:val="00CC434C"/>
    <w:rsid w:val="00CD1A9A"/>
    <w:rsid w:val="00CD3476"/>
    <w:rsid w:val="00CD572A"/>
    <w:rsid w:val="00CD64CE"/>
    <w:rsid w:val="00CD64DF"/>
    <w:rsid w:val="00CE225F"/>
    <w:rsid w:val="00CE3298"/>
    <w:rsid w:val="00CE72B1"/>
    <w:rsid w:val="00CF2F50"/>
    <w:rsid w:val="00CF4148"/>
    <w:rsid w:val="00CF6198"/>
    <w:rsid w:val="00D02919"/>
    <w:rsid w:val="00D043B9"/>
    <w:rsid w:val="00D04C61"/>
    <w:rsid w:val="00D05B8D"/>
    <w:rsid w:val="00D05B9B"/>
    <w:rsid w:val="00D065A2"/>
    <w:rsid w:val="00D079AA"/>
    <w:rsid w:val="00D07BFA"/>
    <w:rsid w:val="00D07CB9"/>
    <w:rsid w:val="00D07F00"/>
    <w:rsid w:val="00D1130F"/>
    <w:rsid w:val="00D13869"/>
    <w:rsid w:val="00D148E1"/>
    <w:rsid w:val="00D17B72"/>
    <w:rsid w:val="00D2135F"/>
    <w:rsid w:val="00D2295D"/>
    <w:rsid w:val="00D24206"/>
    <w:rsid w:val="00D2424C"/>
    <w:rsid w:val="00D301AE"/>
    <w:rsid w:val="00D3185C"/>
    <w:rsid w:val="00D31B68"/>
    <w:rsid w:val="00D3205F"/>
    <w:rsid w:val="00D32C27"/>
    <w:rsid w:val="00D3318E"/>
    <w:rsid w:val="00D33E72"/>
    <w:rsid w:val="00D35BD6"/>
    <w:rsid w:val="00D361B5"/>
    <w:rsid w:val="00D402DB"/>
    <w:rsid w:val="00D411A2"/>
    <w:rsid w:val="00D417EE"/>
    <w:rsid w:val="00D4606D"/>
    <w:rsid w:val="00D471EE"/>
    <w:rsid w:val="00D50B9C"/>
    <w:rsid w:val="00D516D1"/>
    <w:rsid w:val="00D52807"/>
    <w:rsid w:val="00D52D73"/>
    <w:rsid w:val="00D52E58"/>
    <w:rsid w:val="00D56B20"/>
    <w:rsid w:val="00D578B3"/>
    <w:rsid w:val="00D618F4"/>
    <w:rsid w:val="00D714CC"/>
    <w:rsid w:val="00D72DB8"/>
    <w:rsid w:val="00D731FC"/>
    <w:rsid w:val="00D73566"/>
    <w:rsid w:val="00D75EA7"/>
    <w:rsid w:val="00D81ADF"/>
    <w:rsid w:val="00D81F21"/>
    <w:rsid w:val="00D8423D"/>
    <w:rsid w:val="00D84658"/>
    <w:rsid w:val="00D864F2"/>
    <w:rsid w:val="00D91AD5"/>
    <w:rsid w:val="00D943F8"/>
    <w:rsid w:val="00D95470"/>
    <w:rsid w:val="00D96B55"/>
    <w:rsid w:val="00D96E8B"/>
    <w:rsid w:val="00DA2619"/>
    <w:rsid w:val="00DA2E57"/>
    <w:rsid w:val="00DA4239"/>
    <w:rsid w:val="00DA65DE"/>
    <w:rsid w:val="00DB0B61"/>
    <w:rsid w:val="00DB1474"/>
    <w:rsid w:val="00DB2869"/>
    <w:rsid w:val="00DB2962"/>
    <w:rsid w:val="00DB51A6"/>
    <w:rsid w:val="00DB52FB"/>
    <w:rsid w:val="00DC013B"/>
    <w:rsid w:val="00DC090B"/>
    <w:rsid w:val="00DC1679"/>
    <w:rsid w:val="00DC219B"/>
    <w:rsid w:val="00DC2CDF"/>
    <w:rsid w:val="00DC2CF1"/>
    <w:rsid w:val="00DC3A7C"/>
    <w:rsid w:val="00DC4FCF"/>
    <w:rsid w:val="00DC50E0"/>
    <w:rsid w:val="00DC6386"/>
    <w:rsid w:val="00DD033F"/>
    <w:rsid w:val="00DD1130"/>
    <w:rsid w:val="00DD1951"/>
    <w:rsid w:val="00DD487D"/>
    <w:rsid w:val="00DD4A52"/>
    <w:rsid w:val="00DD4E83"/>
    <w:rsid w:val="00DD6628"/>
    <w:rsid w:val="00DD6945"/>
    <w:rsid w:val="00DE2D04"/>
    <w:rsid w:val="00DE3250"/>
    <w:rsid w:val="00DE4DFE"/>
    <w:rsid w:val="00DE6028"/>
    <w:rsid w:val="00DE69B1"/>
    <w:rsid w:val="00DE6C85"/>
    <w:rsid w:val="00DE78A3"/>
    <w:rsid w:val="00DF1A71"/>
    <w:rsid w:val="00DF4615"/>
    <w:rsid w:val="00DF50FC"/>
    <w:rsid w:val="00DF68C7"/>
    <w:rsid w:val="00DF731A"/>
    <w:rsid w:val="00E02C7D"/>
    <w:rsid w:val="00E04DE7"/>
    <w:rsid w:val="00E06B75"/>
    <w:rsid w:val="00E11332"/>
    <w:rsid w:val="00E11352"/>
    <w:rsid w:val="00E1278B"/>
    <w:rsid w:val="00E15D5E"/>
    <w:rsid w:val="00E170DC"/>
    <w:rsid w:val="00E17546"/>
    <w:rsid w:val="00E175AB"/>
    <w:rsid w:val="00E210B5"/>
    <w:rsid w:val="00E261B3"/>
    <w:rsid w:val="00E26818"/>
    <w:rsid w:val="00E27FFC"/>
    <w:rsid w:val="00E30B15"/>
    <w:rsid w:val="00E33237"/>
    <w:rsid w:val="00E35798"/>
    <w:rsid w:val="00E40181"/>
    <w:rsid w:val="00E54950"/>
    <w:rsid w:val="00E55FB3"/>
    <w:rsid w:val="00E55FE7"/>
    <w:rsid w:val="00E56A01"/>
    <w:rsid w:val="00E629A1"/>
    <w:rsid w:val="00E666A6"/>
    <w:rsid w:val="00E6794C"/>
    <w:rsid w:val="00E679E0"/>
    <w:rsid w:val="00E71591"/>
    <w:rsid w:val="00E71CEB"/>
    <w:rsid w:val="00E7474F"/>
    <w:rsid w:val="00E77901"/>
    <w:rsid w:val="00E80DE3"/>
    <w:rsid w:val="00E82C55"/>
    <w:rsid w:val="00E8787E"/>
    <w:rsid w:val="00E92AC3"/>
    <w:rsid w:val="00E95664"/>
    <w:rsid w:val="00EA2F6A"/>
    <w:rsid w:val="00EB00E0"/>
    <w:rsid w:val="00EB05D5"/>
    <w:rsid w:val="00EB13C3"/>
    <w:rsid w:val="00EB1931"/>
    <w:rsid w:val="00EB71EA"/>
    <w:rsid w:val="00EC059F"/>
    <w:rsid w:val="00EC1F24"/>
    <w:rsid w:val="00EC20FF"/>
    <w:rsid w:val="00EC22F6"/>
    <w:rsid w:val="00ED195F"/>
    <w:rsid w:val="00ED5B9B"/>
    <w:rsid w:val="00ED5DAA"/>
    <w:rsid w:val="00ED6BAD"/>
    <w:rsid w:val="00ED7447"/>
    <w:rsid w:val="00EE00D6"/>
    <w:rsid w:val="00EE11E7"/>
    <w:rsid w:val="00EE1488"/>
    <w:rsid w:val="00EE1730"/>
    <w:rsid w:val="00EE29AD"/>
    <w:rsid w:val="00EE3E24"/>
    <w:rsid w:val="00EE4D5D"/>
    <w:rsid w:val="00EE5131"/>
    <w:rsid w:val="00EE7D66"/>
    <w:rsid w:val="00EF109B"/>
    <w:rsid w:val="00EF201C"/>
    <w:rsid w:val="00EF2C72"/>
    <w:rsid w:val="00EF2E6C"/>
    <w:rsid w:val="00EF36AF"/>
    <w:rsid w:val="00EF3FD7"/>
    <w:rsid w:val="00EF59A3"/>
    <w:rsid w:val="00EF6675"/>
    <w:rsid w:val="00EF6DA4"/>
    <w:rsid w:val="00F0063D"/>
    <w:rsid w:val="00F00F9C"/>
    <w:rsid w:val="00F01E5F"/>
    <w:rsid w:val="00F024F3"/>
    <w:rsid w:val="00F029DC"/>
    <w:rsid w:val="00F02ABA"/>
    <w:rsid w:val="00F03701"/>
    <w:rsid w:val="00F0437A"/>
    <w:rsid w:val="00F061D7"/>
    <w:rsid w:val="00F06433"/>
    <w:rsid w:val="00F066AF"/>
    <w:rsid w:val="00F07515"/>
    <w:rsid w:val="00F101B8"/>
    <w:rsid w:val="00F10C7D"/>
    <w:rsid w:val="00F11037"/>
    <w:rsid w:val="00F1146D"/>
    <w:rsid w:val="00F11BB9"/>
    <w:rsid w:val="00F12C57"/>
    <w:rsid w:val="00F1662E"/>
    <w:rsid w:val="00F16F1B"/>
    <w:rsid w:val="00F250A9"/>
    <w:rsid w:val="00F2648A"/>
    <w:rsid w:val="00F267AF"/>
    <w:rsid w:val="00F30FF4"/>
    <w:rsid w:val="00F3122E"/>
    <w:rsid w:val="00F31811"/>
    <w:rsid w:val="00F32368"/>
    <w:rsid w:val="00F331AD"/>
    <w:rsid w:val="00F35287"/>
    <w:rsid w:val="00F40A70"/>
    <w:rsid w:val="00F43A37"/>
    <w:rsid w:val="00F4641B"/>
    <w:rsid w:val="00F46EB8"/>
    <w:rsid w:val="00F476B8"/>
    <w:rsid w:val="00F47D69"/>
    <w:rsid w:val="00F50CD1"/>
    <w:rsid w:val="00F511E4"/>
    <w:rsid w:val="00F51432"/>
    <w:rsid w:val="00F52D09"/>
    <w:rsid w:val="00F52E08"/>
    <w:rsid w:val="00F53A66"/>
    <w:rsid w:val="00F5462D"/>
    <w:rsid w:val="00F55B21"/>
    <w:rsid w:val="00F56EF6"/>
    <w:rsid w:val="00F60082"/>
    <w:rsid w:val="00F605DD"/>
    <w:rsid w:val="00F61A9F"/>
    <w:rsid w:val="00F61B5F"/>
    <w:rsid w:val="00F64696"/>
    <w:rsid w:val="00F65AA9"/>
    <w:rsid w:val="00F6768F"/>
    <w:rsid w:val="00F70999"/>
    <w:rsid w:val="00F72115"/>
    <w:rsid w:val="00F72C2C"/>
    <w:rsid w:val="00F73BB8"/>
    <w:rsid w:val="00F741F2"/>
    <w:rsid w:val="00F74C0A"/>
    <w:rsid w:val="00F74DEE"/>
    <w:rsid w:val="00F76CAB"/>
    <w:rsid w:val="00F772C6"/>
    <w:rsid w:val="00F815B5"/>
    <w:rsid w:val="00F83545"/>
    <w:rsid w:val="00F83565"/>
    <w:rsid w:val="00F85195"/>
    <w:rsid w:val="00F868E3"/>
    <w:rsid w:val="00F86EAB"/>
    <w:rsid w:val="00F938BA"/>
    <w:rsid w:val="00F972B1"/>
    <w:rsid w:val="00F97919"/>
    <w:rsid w:val="00FA01E6"/>
    <w:rsid w:val="00FA2C46"/>
    <w:rsid w:val="00FA3525"/>
    <w:rsid w:val="00FA5A53"/>
    <w:rsid w:val="00FB1697"/>
    <w:rsid w:val="00FB1ABA"/>
    <w:rsid w:val="00FB3501"/>
    <w:rsid w:val="00FB4769"/>
    <w:rsid w:val="00FB4CDA"/>
    <w:rsid w:val="00FB5B4E"/>
    <w:rsid w:val="00FB6481"/>
    <w:rsid w:val="00FB6D36"/>
    <w:rsid w:val="00FC0965"/>
    <w:rsid w:val="00FC0B2F"/>
    <w:rsid w:val="00FC0F81"/>
    <w:rsid w:val="00FC252F"/>
    <w:rsid w:val="00FC395C"/>
    <w:rsid w:val="00FC5E8E"/>
    <w:rsid w:val="00FD3766"/>
    <w:rsid w:val="00FD47C4"/>
    <w:rsid w:val="00FD60F5"/>
    <w:rsid w:val="00FE2DCF"/>
    <w:rsid w:val="00FE3FA7"/>
    <w:rsid w:val="00FF2A4E"/>
    <w:rsid w:val="00FF2FCE"/>
    <w:rsid w:val="00FF4F7D"/>
    <w:rsid w:val="00FF5E4E"/>
    <w:rsid w:val="00FF6D9D"/>
    <w:rsid w:val="00FF7DD5"/>
    <w:rsid w:val="05515610"/>
    <w:rsid w:val="0641D2EA"/>
    <w:rsid w:val="06DA48C4"/>
    <w:rsid w:val="0DDAAAA2"/>
    <w:rsid w:val="135B3549"/>
    <w:rsid w:val="14882A0C"/>
    <w:rsid w:val="153E7FBF"/>
    <w:rsid w:val="1767515F"/>
    <w:rsid w:val="18DC5C8D"/>
    <w:rsid w:val="215B2C19"/>
    <w:rsid w:val="23015DDF"/>
    <w:rsid w:val="26A658CC"/>
    <w:rsid w:val="29559845"/>
    <w:rsid w:val="2B4F4B66"/>
    <w:rsid w:val="307BD99B"/>
    <w:rsid w:val="3CE17EE9"/>
    <w:rsid w:val="4238DD67"/>
    <w:rsid w:val="56F21411"/>
    <w:rsid w:val="5A0E3F3E"/>
    <w:rsid w:val="5B73EEA2"/>
    <w:rsid w:val="5F82301A"/>
    <w:rsid w:val="60BBE352"/>
    <w:rsid w:val="686F79B7"/>
    <w:rsid w:val="6941875E"/>
    <w:rsid w:val="785FDE8A"/>
    <w:rsid w:val="7D2E2F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F9538F2-7016-4F03-824D-A07E6B55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D1CDF"/>
  </w:style>
  <w:style w:type="paragraph" w:customStyle="1" w:styleId="DHHSbullet1">
    <w:name w:val="DHHS bullet 1"/>
    <w:basedOn w:val="Normal"/>
    <w:uiPriority w:val="99"/>
    <w:qFormat/>
    <w:rsid w:val="00E35798"/>
    <w:pPr>
      <w:numPr>
        <w:numId w:val="9"/>
      </w:numPr>
      <w:spacing w:after="40" w:line="270" w:lineRule="atLeast"/>
    </w:pPr>
    <w:rPr>
      <w:rFonts w:eastAsia="Times"/>
      <w:sz w:val="20"/>
    </w:rPr>
  </w:style>
  <w:style w:type="paragraph" w:customStyle="1" w:styleId="DHHSbullet2">
    <w:name w:val="DHHS bullet 2"/>
    <w:basedOn w:val="Normal"/>
    <w:uiPriority w:val="99"/>
    <w:qFormat/>
    <w:rsid w:val="00E35798"/>
    <w:pPr>
      <w:numPr>
        <w:ilvl w:val="1"/>
        <w:numId w:val="9"/>
      </w:numPr>
      <w:spacing w:after="40" w:line="270" w:lineRule="atLeast"/>
    </w:pPr>
    <w:rPr>
      <w:rFonts w:eastAsia="Times"/>
      <w:sz w:val="20"/>
    </w:rPr>
  </w:style>
  <w:style w:type="character" w:customStyle="1" w:styleId="HeaderChar">
    <w:name w:val="Header Char"/>
    <w:basedOn w:val="DefaultParagraphFont"/>
    <w:link w:val="Header"/>
    <w:uiPriority w:val="10"/>
    <w:rsid w:val="00E95664"/>
    <w:rPr>
      <w:rFonts w:ascii="Arial" w:hAnsi="Arial" w:cs="Arial"/>
      <w:b/>
      <w:color w:val="201547"/>
      <w:sz w:val="18"/>
      <w:szCs w:val="18"/>
      <w:lang w:eastAsia="en-US"/>
    </w:rPr>
  </w:style>
  <w:style w:type="character" w:styleId="Mention">
    <w:name w:val="Mention"/>
    <w:basedOn w:val="DefaultParagraphFont"/>
    <w:uiPriority w:val="99"/>
    <w:unhideWhenUsed/>
    <w:rsid w:val="006C3FAE"/>
    <w:rPr>
      <w:color w:val="2B579A"/>
      <w:shd w:val="clear" w:color="auto" w:fill="E1DFDD"/>
    </w:rPr>
  </w:style>
  <w:style w:type="paragraph" w:styleId="TOCHeading">
    <w:name w:val="TOC Heading"/>
    <w:basedOn w:val="Heading1"/>
    <w:next w:val="Normal"/>
    <w:uiPriority w:val="71"/>
    <w:semiHidden/>
    <w:unhideWhenUsed/>
    <w:qFormat/>
    <w:rsid w:val="00477394"/>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6876707">
      <w:bodyDiv w:val="1"/>
      <w:marLeft w:val="0"/>
      <w:marRight w:val="0"/>
      <w:marTop w:val="0"/>
      <w:marBottom w:val="0"/>
      <w:divBdr>
        <w:top w:val="none" w:sz="0" w:space="0" w:color="auto"/>
        <w:left w:val="none" w:sz="0" w:space="0" w:color="auto"/>
        <w:bottom w:val="none" w:sz="0" w:space="0" w:color="auto"/>
        <w:right w:val="none" w:sz="0" w:space="0" w:color="auto"/>
      </w:divBdr>
    </w:div>
    <w:div w:id="410348324">
      <w:bodyDiv w:val="1"/>
      <w:marLeft w:val="0"/>
      <w:marRight w:val="0"/>
      <w:marTop w:val="0"/>
      <w:marBottom w:val="0"/>
      <w:divBdr>
        <w:top w:val="none" w:sz="0" w:space="0" w:color="auto"/>
        <w:left w:val="none" w:sz="0" w:space="0" w:color="auto"/>
        <w:bottom w:val="none" w:sz="0" w:space="0" w:color="auto"/>
        <w:right w:val="none" w:sz="0" w:space="0" w:color="auto"/>
      </w:divBdr>
      <w:divsChild>
        <w:div w:id="74327208">
          <w:marLeft w:val="0"/>
          <w:marRight w:val="0"/>
          <w:marTop w:val="0"/>
          <w:marBottom w:val="0"/>
          <w:divBdr>
            <w:top w:val="none" w:sz="0" w:space="0" w:color="auto"/>
            <w:left w:val="none" w:sz="0" w:space="0" w:color="auto"/>
            <w:bottom w:val="none" w:sz="0" w:space="0" w:color="auto"/>
            <w:right w:val="none" w:sz="0" w:space="0" w:color="auto"/>
          </w:divBdr>
        </w:div>
        <w:div w:id="173037855">
          <w:marLeft w:val="0"/>
          <w:marRight w:val="0"/>
          <w:marTop w:val="0"/>
          <w:marBottom w:val="0"/>
          <w:divBdr>
            <w:top w:val="none" w:sz="0" w:space="0" w:color="auto"/>
            <w:left w:val="none" w:sz="0" w:space="0" w:color="auto"/>
            <w:bottom w:val="none" w:sz="0" w:space="0" w:color="auto"/>
            <w:right w:val="none" w:sz="0" w:space="0" w:color="auto"/>
          </w:divBdr>
        </w:div>
        <w:div w:id="228728829">
          <w:marLeft w:val="0"/>
          <w:marRight w:val="0"/>
          <w:marTop w:val="0"/>
          <w:marBottom w:val="0"/>
          <w:divBdr>
            <w:top w:val="none" w:sz="0" w:space="0" w:color="auto"/>
            <w:left w:val="none" w:sz="0" w:space="0" w:color="auto"/>
            <w:bottom w:val="none" w:sz="0" w:space="0" w:color="auto"/>
            <w:right w:val="none" w:sz="0" w:space="0" w:color="auto"/>
          </w:divBdr>
        </w:div>
        <w:div w:id="912008598">
          <w:marLeft w:val="0"/>
          <w:marRight w:val="0"/>
          <w:marTop w:val="0"/>
          <w:marBottom w:val="0"/>
          <w:divBdr>
            <w:top w:val="none" w:sz="0" w:space="0" w:color="auto"/>
            <w:left w:val="none" w:sz="0" w:space="0" w:color="auto"/>
            <w:bottom w:val="none" w:sz="0" w:space="0" w:color="auto"/>
            <w:right w:val="none" w:sz="0" w:space="0" w:color="auto"/>
          </w:divBdr>
        </w:div>
        <w:div w:id="1169178509">
          <w:marLeft w:val="0"/>
          <w:marRight w:val="0"/>
          <w:marTop w:val="0"/>
          <w:marBottom w:val="0"/>
          <w:divBdr>
            <w:top w:val="none" w:sz="0" w:space="0" w:color="auto"/>
            <w:left w:val="none" w:sz="0" w:space="0" w:color="auto"/>
            <w:bottom w:val="none" w:sz="0" w:space="0" w:color="auto"/>
            <w:right w:val="none" w:sz="0" w:space="0" w:color="auto"/>
          </w:divBdr>
        </w:div>
        <w:div w:id="1559972878">
          <w:marLeft w:val="0"/>
          <w:marRight w:val="0"/>
          <w:marTop w:val="0"/>
          <w:marBottom w:val="0"/>
          <w:divBdr>
            <w:top w:val="none" w:sz="0" w:space="0" w:color="auto"/>
            <w:left w:val="none" w:sz="0" w:space="0" w:color="auto"/>
            <w:bottom w:val="none" w:sz="0" w:space="0" w:color="auto"/>
            <w:right w:val="none" w:sz="0" w:space="0" w:color="auto"/>
          </w:divBdr>
        </w:div>
        <w:div w:id="1725638520">
          <w:marLeft w:val="0"/>
          <w:marRight w:val="0"/>
          <w:marTop w:val="0"/>
          <w:marBottom w:val="0"/>
          <w:divBdr>
            <w:top w:val="none" w:sz="0" w:space="0" w:color="auto"/>
            <w:left w:val="none" w:sz="0" w:space="0" w:color="auto"/>
            <w:bottom w:val="none" w:sz="0" w:space="0" w:color="auto"/>
            <w:right w:val="none" w:sz="0" w:space="0" w:color="auto"/>
          </w:divBdr>
        </w:div>
        <w:div w:id="20535718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0301641">
      <w:bodyDiv w:val="1"/>
      <w:marLeft w:val="0"/>
      <w:marRight w:val="0"/>
      <w:marTop w:val="0"/>
      <w:marBottom w:val="0"/>
      <w:divBdr>
        <w:top w:val="none" w:sz="0" w:space="0" w:color="auto"/>
        <w:left w:val="none" w:sz="0" w:space="0" w:color="auto"/>
        <w:bottom w:val="none" w:sz="0" w:space="0" w:color="auto"/>
        <w:right w:val="none" w:sz="0" w:space="0" w:color="auto"/>
      </w:divBdr>
      <w:divsChild>
        <w:div w:id="14187924">
          <w:marLeft w:val="0"/>
          <w:marRight w:val="0"/>
          <w:marTop w:val="0"/>
          <w:marBottom w:val="0"/>
          <w:divBdr>
            <w:top w:val="none" w:sz="0" w:space="0" w:color="auto"/>
            <w:left w:val="none" w:sz="0" w:space="0" w:color="auto"/>
            <w:bottom w:val="none" w:sz="0" w:space="0" w:color="auto"/>
            <w:right w:val="none" w:sz="0" w:space="0" w:color="auto"/>
          </w:divBdr>
        </w:div>
        <w:div w:id="22094891">
          <w:marLeft w:val="0"/>
          <w:marRight w:val="0"/>
          <w:marTop w:val="0"/>
          <w:marBottom w:val="0"/>
          <w:divBdr>
            <w:top w:val="none" w:sz="0" w:space="0" w:color="auto"/>
            <w:left w:val="none" w:sz="0" w:space="0" w:color="auto"/>
            <w:bottom w:val="none" w:sz="0" w:space="0" w:color="auto"/>
            <w:right w:val="none" w:sz="0" w:space="0" w:color="auto"/>
          </w:divBdr>
        </w:div>
        <w:div w:id="452946725">
          <w:marLeft w:val="0"/>
          <w:marRight w:val="0"/>
          <w:marTop w:val="0"/>
          <w:marBottom w:val="0"/>
          <w:divBdr>
            <w:top w:val="none" w:sz="0" w:space="0" w:color="auto"/>
            <w:left w:val="none" w:sz="0" w:space="0" w:color="auto"/>
            <w:bottom w:val="none" w:sz="0" w:space="0" w:color="auto"/>
            <w:right w:val="none" w:sz="0" w:space="0" w:color="auto"/>
          </w:divBdr>
        </w:div>
        <w:div w:id="994526126">
          <w:marLeft w:val="0"/>
          <w:marRight w:val="0"/>
          <w:marTop w:val="0"/>
          <w:marBottom w:val="0"/>
          <w:divBdr>
            <w:top w:val="none" w:sz="0" w:space="0" w:color="auto"/>
            <w:left w:val="none" w:sz="0" w:space="0" w:color="auto"/>
            <w:bottom w:val="none" w:sz="0" w:space="0" w:color="auto"/>
            <w:right w:val="none" w:sz="0" w:space="0" w:color="auto"/>
          </w:divBdr>
          <w:divsChild>
            <w:div w:id="136920537">
              <w:marLeft w:val="-75"/>
              <w:marRight w:val="0"/>
              <w:marTop w:val="30"/>
              <w:marBottom w:val="30"/>
              <w:divBdr>
                <w:top w:val="none" w:sz="0" w:space="0" w:color="auto"/>
                <w:left w:val="none" w:sz="0" w:space="0" w:color="auto"/>
                <w:bottom w:val="none" w:sz="0" w:space="0" w:color="auto"/>
                <w:right w:val="none" w:sz="0" w:space="0" w:color="auto"/>
              </w:divBdr>
              <w:divsChild>
                <w:div w:id="13506508">
                  <w:marLeft w:val="0"/>
                  <w:marRight w:val="0"/>
                  <w:marTop w:val="0"/>
                  <w:marBottom w:val="0"/>
                  <w:divBdr>
                    <w:top w:val="none" w:sz="0" w:space="0" w:color="auto"/>
                    <w:left w:val="none" w:sz="0" w:space="0" w:color="auto"/>
                    <w:bottom w:val="none" w:sz="0" w:space="0" w:color="auto"/>
                    <w:right w:val="none" w:sz="0" w:space="0" w:color="auto"/>
                  </w:divBdr>
                  <w:divsChild>
                    <w:div w:id="1523595638">
                      <w:marLeft w:val="0"/>
                      <w:marRight w:val="0"/>
                      <w:marTop w:val="0"/>
                      <w:marBottom w:val="0"/>
                      <w:divBdr>
                        <w:top w:val="none" w:sz="0" w:space="0" w:color="auto"/>
                        <w:left w:val="none" w:sz="0" w:space="0" w:color="auto"/>
                        <w:bottom w:val="none" w:sz="0" w:space="0" w:color="auto"/>
                        <w:right w:val="none" w:sz="0" w:space="0" w:color="auto"/>
                      </w:divBdr>
                    </w:div>
                  </w:divsChild>
                </w:div>
                <w:div w:id="32468358">
                  <w:marLeft w:val="0"/>
                  <w:marRight w:val="0"/>
                  <w:marTop w:val="0"/>
                  <w:marBottom w:val="0"/>
                  <w:divBdr>
                    <w:top w:val="none" w:sz="0" w:space="0" w:color="auto"/>
                    <w:left w:val="none" w:sz="0" w:space="0" w:color="auto"/>
                    <w:bottom w:val="none" w:sz="0" w:space="0" w:color="auto"/>
                    <w:right w:val="none" w:sz="0" w:space="0" w:color="auto"/>
                  </w:divBdr>
                  <w:divsChild>
                    <w:div w:id="1737623816">
                      <w:marLeft w:val="0"/>
                      <w:marRight w:val="0"/>
                      <w:marTop w:val="0"/>
                      <w:marBottom w:val="0"/>
                      <w:divBdr>
                        <w:top w:val="none" w:sz="0" w:space="0" w:color="auto"/>
                        <w:left w:val="none" w:sz="0" w:space="0" w:color="auto"/>
                        <w:bottom w:val="none" w:sz="0" w:space="0" w:color="auto"/>
                        <w:right w:val="none" w:sz="0" w:space="0" w:color="auto"/>
                      </w:divBdr>
                    </w:div>
                  </w:divsChild>
                </w:div>
                <w:div w:id="42796177">
                  <w:marLeft w:val="0"/>
                  <w:marRight w:val="0"/>
                  <w:marTop w:val="0"/>
                  <w:marBottom w:val="0"/>
                  <w:divBdr>
                    <w:top w:val="none" w:sz="0" w:space="0" w:color="auto"/>
                    <w:left w:val="none" w:sz="0" w:space="0" w:color="auto"/>
                    <w:bottom w:val="none" w:sz="0" w:space="0" w:color="auto"/>
                    <w:right w:val="none" w:sz="0" w:space="0" w:color="auto"/>
                  </w:divBdr>
                  <w:divsChild>
                    <w:div w:id="1001199564">
                      <w:marLeft w:val="0"/>
                      <w:marRight w:val="0"/>
                      <w:marTop w:val="0"/>
                      <w:marBottom w:val="0"/>
                      <w:divBdr>
                        <w:top w:val="none" w:sz="0" w:space="0" w:color="auto"/>
                        <w:left w:val="none" w:sz="0" w:space="0" w:color="auto"/>
                        <w:bottom w:val="none" w:sz="0" w:space="0" w:color="auto"/>
                        <w:right w:val="none" w:sz="0" w:space="0" w:color="auto"/>
                      </w:divBdr>
                    </w:div>
                  </w:divsChild>
                </w:div>
                <w:div w:id="55514079">
                  <w:marLeft w:val="0"/>
                  <w:marRight w:val="0"/>
                  <w:marTop w:val="0"/>
                  <w:marBottom w:val="0"/>
                  <w:divBdr>
                    <w:top w:val="none" w:sz="0" w:space="0" w:color="auto"/>
                    <w:left w:val="none" w:sz="0" w:space="0" w:color="auto"/>
                    <w:bottom w:val="none" w:sz="0" w:space="0" w:color="auto"/>
                    <w:right w:val="none" w:sz="0" w:space="0" w:color="auto"/>
                  </w:divBdr>
                  <w:divsChild>
                    <w:div w:id="1614357176">
                      <w:marLeft w:val="0"/>
                      <w:marRight w:val="0"/>
                      <w:marTop w:val="0"/>
                      <w:marBottom w:val="0"/>
                      <w:divBdr>
                        <w:top w:val="none" w:sz="0" w:space="0" w:color="auto"/>
                        <w:left w:val="none" w:sz="0" w:space="0" w:color="auto"/>
                        <w:bottom w:val="none" w:sz="0" w:space="0" w:color="auto"/>
                        <w:right w:val="none" w:sz="0" w:space="0" w:color="auto"/>
                      </w:divBdr>
                    </w:div>
                  </w:divsChild>
                </w:div>
                <w:div w:id="61754877">
                  <w:marLeft w:val="0"/>
                  <w:marRight w:val="0"/>
                  <w:marTop w:val="0"/>
                  <w:marBottom w:val="0"/>
                  <w:divBdr>
                    <w:top w:val="none" w:sz="0" w:space="0" w:color="auto"/>
                    <w:left w:val="none" w:sz="0" w:space="0" w:color="auto"/>
                    <w:bottom w:val="none" w:sz="0" w:space="0" w:color="auto"/>
                    <w:right w:val="none" w:sz="0" w:space="0" w:color="auto"/>
                  </w:divBdr>
                  <w:divsChild>
                    <w:div w:id="647443920">
                      <w:marLeft w:val="0"/>
                      <w:marRight w:val="0"/>
                      <w:marTop w:val="0"/>
                      <w:marBottom w:val="0"/>
                      <w:divBdr>
                        <w:top w:val="none" w:sz="0" w:space="0" w:color="auto"/>
                        <w:left w:val="none" w:sz="0" w:space="0" w:color="auto"/>
                        <w:bottom w:val="none" w:sz="0" w:space="0" w:color="auto"/>
                        <w:right w:val="none" w:sz="0" w:space="0" w:color="auto"/>
                      </w:divBdr>
                    </w:div>
                  </w:divsChild>
                </w:div>
                <w:div w:id="67775375">
                  <w:marLeft w:val="0"/>
                  <w:marRight w:val="0"/>
                  <w:marTop w:val="0"/>
                  <w:marBottom w:val="0"/>
                  <w:divBdr>
                    <w:top w:val="none" w:sz="0" w:space="0" w:color="auto"/>
                    <w:left w:val="none" w:sz="0" w:space="0" w:color="auto"/>
                    <w:bottom w:val="none" w:sz="0" w:space="0" w:color="auto"/>
                    <w:right w:val="none" w:sz="0" w:space="0" w:color="auto"/>
                  </w:divBdr>
                  <w:divsChild>
                    <w:div w:id="1684088765">
                      <w:marLeft w:val="0"/>
                      <w:marRight w:val="0"/>
                      <w:marTop w:val="0"/>
                      <w:marBottom w:val="0"/>
                      <w:divBdr>
                        <w:top w:val="none" w:sz="0" w:space="0" w:color="auto"/>
                        <w:left w:val="none" w:sz="0" w:space="0" w:color="auto"/>
                        <w:bottom w:val="none" w:sz="0" w:space="0" w:color="auto"/>
                        <w:right w:val="none" w:sz="0" w:space="0" w:color="auto"/>
                      </w:divBdr>
                    </w:div>
                  </w:divsChild>
                </w:div>
                <w:div w:id="101415994">
                  <w:marLeft w:val="0"/>
                  <w:marRight w:val="0"/>
                  <w:marTop w:val="0"/>
                  <w:marBottom w:val="0"/>
                  <w:divBdr>
                    <w:top w:val="none" w:sz="0" w:space="0" w:color="auto"/>
                    <w:left w:val="none" w:sz="0" w:space="0" w:color="auto"/>
                    <w:bottom w:val="none" w:sz="0" w:space="0" w:color="auto"/>
                    <w:right w:val="none" w:sz="0" w:space="0" w:color="auto"/>
                  </w:divBdr>
                  <w:divsChild>
                    <w:div w:id="851844825">
                      <w:marLeft w:val="0"/>
                      <w:marRight w:val="0"/>
                      <w:marTop w:val="0"/>
                      <w:marBottom w:val="0"/>
                      <w:divBdr>
                        <w:top w:val="none" w:sz="0" w:space="0" w:color="auto"/>
                        <w:left w:val="none" w:sz="0" w:space="0" w:color="auto"/>
                        <w:bottom w:val="none" w:sz="0" w:space="0" w:color="auto"/>
                        <w:right w:val="none" w:sz="0" w:space="0" w:color="auto"/>
                      </w:divBdr>
                    </w:div>
                  </w:divsChild>
                </w:div>
                <w:div w:id="127433548">
                  <w:marLeft w:val="0"/>
                  <w:marRight w:val="0"/>
                  <w:marTop w:val="0"/>
                  <w:marBottom w:val="0"/>
                  <w:divBdr>
                    <w:top w:val="none" w:sz="0" w:space="0" w:color="auto"/>
                    <w:left w:val="none" w:sz="0" w:space="0" w:color="auto"/>
                    <w:bottom w:val="none" w:sz="0" w:space="0" w:color="auto"/>
                    <w:right w:val="none" w:sz="0" w:space="0" w:color="auto"/>
                  </w:divBdr>
                  <w:divsChild>
                    <w:div w:id="1016228955">
                      <w:marLeft w:val="0"/>
                      <w:marRight w:val="0"/>
                      <w:marTop w:val="0"/>
                      <w:marBottom w:val="0"/>
                      <w:divBdr>
                        <w:top w:val="none" w:sz="0" w:space="0" w:color="auto"/>
                        <w:left w:val="none" w:sz="0" w:space="0" w:color="auto"/>
                        <w:bottom w:val="none" w:sz="0" w:space="0" w:color="auto"/>
                        <w:right w:val="none" w:sz="0" w:space="0" w:color="auto"/>
                      </w:divBdr>
                    </w:div>
                  </w:divsChild>
                </w:div>
                <w:div w:id="128672704">
                  <w:marLeft w:val="0"/>
                  <w:marRight w:val="0"/>
                  <w:marTop w:val="0"/>
                  <w:marBottom w:val="0"/>
                  <w:divBdr>
                    <w:top w:val="none" w:sz="0" w:space="0" w:color="auto"/>
                    <w:left w:val="none" w:sz="0" w:space="0" w:color="auto"/>
                    <w:bottom w:val="none" w:sz="0" w:space="0" w:color="auto"/>
                    <w:right w:val="none" w:sz="0" w:space="0" w:color="auto"/>
                  </w:divBdr>
                  <w:divsChild>
                    <w:div w:id="681736257">
                      <w:marLeft w:val="0"/>
                      <w:marRight w:val="0"/>
                      <w:marTop w:val="0"/>
                      <w:marBottom w:val="0"/>
                      <w:divBdr>
                        <w:top w:val="none" w:sz="0" w:space="0" w:color="auto"/>
                        <w:left w:val="none" w:sz="0" w:space="0" w:color="auto"/>
                        <w:bottom w:val="none" w:sz="0" w:space="0" w:color="auto"/>
                        <w:right w:val="none" w:sz="0" w:space="0" w:color="auto"/>
                      </w:divBdr>
                    </w:div>
                  </w:divsChild>
                </w:div>
                <w:div w:id="154565336">
                  <w:marLeft w:val="0"/>
                  <w:marRight w:val="0"/>
                  <w:marTop w:val="0"/>
                  <w:marBottom w:val="0"/>
                  <w:divBdr>
                    <w:top w:val="none" w:sz="0" w:space="0" w:color="auto"/>
                    <w:left w:val="none" w:sz="0" w:space="0" w:color="auto"/>
                    <w:bottom w:val="none" w:sz="0" w:space="0" w:color="auto"/>
                    <w:right w:val="none" w:sz="0" w:space="0" w:color="auto"/>
                  </w:divBdr>
                  <w:divsChild>
                    <w:div w:id="1133717780">
                      <w:marLeft w:val="0"/>
                      <w:marRight w:val="0"/>
                      <w:marTop w:val="0"/>
                      <w:marBottom w:val="0"/>
                      <w:divBdr>
                        <w:top w:val="none" w:sz="0" w:space="0" w:color="auto"/>
                        <w:left w:val="none" w:sz="0" w:space="0" w:color="auto"/>
                        <w:bottom w:val="none" w:sz="0" w:space="0" w:color="auto"/>
                        <w:right w:val="none" w:sz="0" w:space="0" w:color="auto"/>
                      </w:divBdr>
                    </w:div>
                  </w:divsChild>
                </w:div>
                <w:div w:id="168563140">
                  <w:marLeft w:val="0"/>
                  <w:marRight w:val="0"/>
                  <w:marTop w:val="0"/>
                  <w:marBottom w:val="0"/>
                  <w:divBdr>
                    <w:top w:val="none" w:sz="0" w:space="0" w:color="auto"/>
                    <w:left w:val="none" w:sz="0" w:space="0" w:color="auto"/>
                    <w:bottom w:val="none" w:sz="0" w:space="0" w:color="auto"/>
                    <w:right w:val="none" w:sz="0" w:space="0" w:color="auto"/>
                  </w:divBdr>
                  <w:divsChild>
                    <w:div w:id="428965420">
                      <w:marLeft w:val="0"/>
                      <w:marRight w:val="0"/>
                      <w:marTop w:val="0"/>
                      <w:marBottom w:val="0"/>
                      <w:divBdr>
                        <w:top w:val="none" w:sz="0" w:space="0" w:color="auto"/>
                        <w:left w:val="none" w:sz="0" w:space="0" w:color="auto"/>
                        <w:bottom w:val="none" w:sz="0" w:space="0" w:color="auto"/>
                        <w:right w:val="none" w:sz="0" w:space="0" w:color="auto"/>
                      </w:divBdr>
                    </w:div>
                  </w:divsChild>
                </w:div>
                <w:div w:id="201135662">
                  <w:marLeft w:val="0"/>
                  <w:marRight w:val="0"/>
                  <w:marTop w:val="0"/>
                  <w:marBottom w:val="0"/>
                  <w:divBdr>
                    <w:top w:val="none" w:sz="0" w:space="0" w:color="auto"/>
                    <w:left w:val="none" w:sz="0" w:space="0" w:color="auto"/>
                    <w:bottom w:val="none" w:sz="0" w:space="0" w:color="auto"/>
                    <w:right w:val="none" w:sz="0" w:space="0" w:color="auto"/>
                  </w:divBdr>
                  <w:divsChild>
                    <w:div w:id="1870602079">
                      <w:marLeft w:val="0"/>
                      <w:marRight w:val="0"/>
                      <w:marTop w:val="0"/>
                      <w:marBottom w:val="0"/>
                      <w:divBdr>
                        <w:top w:val="none" w:sz="0" w:space="0" w:color="auto"/>
                        <w:left w:val="none" w:sz="0" w:space="0" w:color="auto"/>
                        <w:bottom w:val="none" w:sz="0" w:space="0" w:color="auto"/>
                        <w:right w:val="none" w:sz="0" w:space="0" w:color="auto"/>
                      </w:divBdr>
                    </w:div>
                  </w:divsChild>
                </w:div>
                <w:div w:id="201866169">
                  <w:marLeft w:val="0"/>
                  <w:marRight w:val="0"/>
                  <w:marTop w:val="0"/>
                  <w:marBottom w:val="0"/>
                  <w:divBdr>
                    <w:top w:val="none" w:sz="0" w:space="0" w:color="auto"/>
                    <w:left w:val="none" w:sz="0" w:space="0" w:color="auto"/>
                    <w:bottom w:val="none" w:sz="0" w:space="0" w:color="auto"/>
                    <w:right w:val="none" w:sz="0" w:space="0" w:color="auto"/>
                  </w:divBdr>
                  <w:divsChild>
                    <w:div w:id="1032993329">
                      <w:marLeft w:val="0"/>
                      <w:marRight w:val="0"/>
                      <w:marTop w:val="0"/>
                      <w:marBottom w:val="0"/>
                      <w:divBdr>
                        <w:top w:val="none" w:sz="0" w:space="0" w:color="auto"/>
                        <w:left w:val="none" w:sz="0" w:space="0" w:color="auto"/>
                        <w:bottom w:val="none" w:sz="0" w:space="0" w:color="auto"/>
                        <w:right w:val="none" w:sz="0" w:space="0" w:color="auto"/>
                      </w:divBdr>
                    </w:div>
                  </w:divsChild>
                </w:div>
                <w:div w:id="262034195">
                  <w:marLeft w:val="0"/>
                  <w:marRight w:val="0"/>
                  <w:marTop w:val="0"/>
                  <w:marBottom w:val="0"/>
                  <w:divBdr>
                    <w:top w:val="none" w:sz="0" w:space="0" w:color="auto"/>
                    <w:left w:val="none" w:sz="0" w:space="0" w:color="auto"/>
                    <w:bottom w:val="none" w:sz="0" w:space="0" w:color="auto"/>
                    <w:right w:val="none" w:sz="0" w:space="0" w:color="auto"/>
                  </w:divBdr>
                  <w:divsChild>
                    <w:div w:id="560139842">
                      <w:marLeft w:val="0"/>
                      <w:marRight w:val="0"/>
                      <w:marTop w:val="0"/>
                      <w:marBottom w:val="0"/>
                      <w:divBdr>
                        <w:top w:val="none" w:sz="0" w:space="0" w:color="auto"/>
                        <w:left w:val="none" w:sz="0" w:space="0" w:color="auto"/>
                        <w:bottom w:val="none" w:sz="0" w:space="0" w:color="auto"/>
                        <w:right w:val="none" w:sz="0" w:space="0" w:color="auto"/>
                      </w:divBdr>
                    </w:div>
                  </w:divsChild>
                </w:div>
                <w:div w:id="282538787">
                  <w:marLeft w:val="0"/>
                  <w:marRight w:val="0"/>
                  <w:marTop w:val="0"/>
                  <w:marBottom w:val="0"/>
                  <w:divBdr>
                    <w:top w:val="none" w:sz="0" w:space="0" w:color="auto"/>
                    <w:left w:val="none" w:sz="0" w:space="0" w:color="auto"/>
                    <w:bottom w:val="none" w:sz="0" w:space="0" w:color="auto"/>
                    <w:right w:val="none" w:sz="0" w:space="0" w:color="auto"/>
                  </w:divBdr>
                  <w:divsChild>
                    <w:div w:id="1980107126">
                      <w:marLeft w:val="0"/>
                      <w:marRight w:val="0"/>
                      <w:marTop w:val="0"/>
                      <w:marBottom w:val="0"/>
                      <w:divBdr>
                        <w:top w:val="none" w:sz="0" w:space="0" w:color="auto"/>
                        <w:left w:val="none" w:sz="0" w:space="0" w:color="auto"/>
                        <w:bottom w:val="none" w:sz="0" w:space="0" w:color="auto"/>
                        <w:right w:val="none" w:sz="0" w:space="0" w:color="auto"/>
                      </w:divBdr>
                    </w:div>
                  </w:divsChild>
                </w:div>
                <w:div w:id="303782624">
                  <w:marLeft w:val="0"/>
                  <w:marRight w:val="0"/>
                  <w:marTop w:val="0"/>
                  <w:marBottom w:val="0"/>
                  <w:divBdr>
                    <w:top w:val="none" w:sz="0" w:space="0" w:color="auto"/>
                    <w:left w:val="none" w:sz="0" w:space="0" w:color="auto"/>
                    <w:bottom w:val="none" w:sz="0" w:space="0" w:color="auto"/>
                    <w:right w:val="none" w:sz="0" w:space="0" w:color="auto"/>
                  </w:divBdr>
                  <w:divsChild>
                    <w:div w:id="1771925929">
                      <w:marLeft w:val="0"/>
                      <w:marRight w:val="0"/>
                      <w:marTop w:val="0"/>
                      <w:marBottom w:val="0"/>
                      <w:divBdr>
                        <w:top w:val="none" w:sz="0" w:space="0" w:color="auto"/>
                        <w:left w:val="none" w:sz="0" w:space="0" w:color="auto"/>
                        <w:bottom w:val="none" w:sz="0" w:space="0" w:color="auto"/>
                        <w:right w:val="none" w:sz="0" w:space="0" w:color="auto"/>
                      </w:divBdr>
                    </w:div>
                  </w:divsChild>
                </w:div>
                <w:div w:id="311105395">
                  <w:marLeft w:val="0"/>
                  <w:marRight w:val="0"/>
                  <w:marTop w:val="0"/>
                  <w:marBottom w:val="0"/>
                  <w:divBdr>
                    <w:top w:val="none" w:sz="0" w:space="0" w:color="auto"/>
                    <w:left w:val="none" w:sz="0" w:space="0" w:color="auto"/>
                    <w:bottom w:val="none" w:sz="0" w:space="0" w:color="auto"/>
                    <w:right w:val="none" w:sz="0" w:space="0" w:color="auto"/>
                  </w:divBdr>
                  <w:divsChild>
                    <w:div w:id="1224491703">
                      <w:marLeft w:val="0"/>
                      <w:marRight w:val="0"/>
                      <w:marTop w:val="0"/>
                      <w:marBottom w:val="0"/>
                      <w:divBdr>
                        <w:top w:val="none" w:sz="0" w:space="0" w:color="auto"/>
                        <w:left w:val="none" w:sz="0" w:space="0" w:color="auto"/>
                        <w:bottom w:val="none" w:sz="0" w:space="0" w:color="auto"/>
                        <w:right w:val="none" w:sz="0" w:space="0" w:color="auto"/>
                      </w:divBdr>
                    </w:div>
                  </w:divsChild>
                </w:div>
                <w:div w:id="331027997">
                  <w:marLeft w:val="0"/>
                  <w:marRight w:val="0"/>
                  <w:marTop w:val="0"/>
                  <w:marBottom w:val="0"/>
                  <w:divBdr>
                    <w:top w:val="none" w:sz="0" w:space="0" w:color="auto"/>
                    <w:left w:val="none" w:sz="0" w:space="0" w:color="auto"/>
                    <w:bottom w:val="none" w:sz="0" w:space="0" w:color="auto"/>
                    <w:right w:val="none" w:sz="0" w:space="0" w:color="auto"/>
                  </w:divBdr>
                  <w:divsChild>
                    <w:div w:id="314990189">
                      <w:marLeft w:val="0"/>
                      <w:marRight w:val="0"/>
                      <w:marTop w:val="0"/>
                      <w:marBottom w:val="0"/>
                      <w:divBdr>
                        <w:top w:val="none" w:sz="0" w:space="0" w:color="auto"/>
                        <w:left w:val="none" w:sz="0" w:space="0" w:color="auto"/>
                        <w:bottom w:val="none" w:sz="0" w:space="0" w:color="auto"/>
                        <w:right w:val="none" w:sz="0" w:space="0" w:color="auto"/>
                      </w:divBdr>
                    </w:div>
                  </w:divsChild>
                </w:div>
                <w:div w:id="374670001">
                  <w:marLeft w:val="0"/>
                  <w:marRight w:val="0"/>
                  <w:marTop w:val="0"/>
                  <w:marBottom w:val="0"/>
                  <w:divBdr>
                    <w:top w:val="none" w:sz="0" w:space="0" w:color="auto"/>
                    <w:left w:val="none" w:sz="0" w:space="0" w:color="auto"/>
                    <w:bottom w:val="none" w:sz="0" w:space="0" w:color="auto"/>
                    <w:right w:val="none" w:sz="0" w:space="0" w:color="auto"/>
                  </w:divBdr>
                  <w:divsChild>
                    <w:div w:id="1125808734">
                      <w:marLeft w:val="0"/>
                      <w:marRight w:val="0"/>
                      <w:marTop w:val="0"/>
                      <w:marBottom w:val="0"/>
                      <w:divBdr>
                        <w:top w:val="none" w:sz="0" w:space="0" w:color="auto"/>
                        <w:left w:val="none" w:sz="0" w:space="0" w:color="auto"/>
                        <w:bottom w:val="none" w:sz="0" w:space="0" w:color="auto"/>
                        <w:right w:val="none" w:sz="0" w:space="0" w:color="auto"/>
                      </w:divBdr>
                    </w:div>
                  </w:divsChild>
                </w:div>
                <w:div w:id="392394517">
                  <w:marLeft w:val="0"/>
                  <w:marRight w:val="0"/>
                  <w:marTop w:val="0"/>
                  <w:marBottom w:val="0"/>
                  <w:divBdr>
                    <w:top w:val="none" w:sz="0" w:space="0" w:color="auto"/>
                    <w:left w:val="none" w:sz="0" w:space="0" w:color="auto"/>
                    <w:bottom w:val="none" w:sz="0" w:space="0" w:color="auto"/>
                    <w:right w:val="none" w:sz="0" w:space="0" w:color="auto"/>
                  </w:divBdr>
                  <w:divsChild>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sChild>
                </w:div>
                <w:div w:id="400563598">
                  <w:marLeft w:val="0"/>
                  <w:marRight w:val="0"/>
                  <w:marTop w:val="0"/>
                  <w:marBottom w:val="0"/>
                  <w:divBdr>
                    <w:top w:val="none" w:sz="0" w:space="0" w:color="auto"/>
                    <w:left w:val="none" w:sz="0" w:space="0" w:color="auto"/>
                    <w:bottom w:val="none" w:sz="0" w:space="0" w:color="auto"/>
                    <w:right w:val="none" w:sz="0" w:space="0" w:color="auto"/>
                  </w:divBdr>
                  <w:divsChild>
                    <w:div w:id="2057578489">
                      <w:marLeft w:val="0"/>
                      <w:marRight w:val="0"/>
                      <w:marTop w:val="0"/>
                      <w:marBottom w:val="0"/>
                      <w:divBdr>
                        <w:top w:val="none" w:sz="0" w:space="0" w:color="auto"/>
                        <w:left w:val="none" w:sz="0" w:space="0" w:color="auto"/>
                        <w:bottom w:val="none" w:sz="0" w:space="0" w:color="auto"/>
                        <w:right w:val="none" w:sz="0" w:space="0" w:color="auto"/>
                      </w:divBdr>
                    </w:div>
                  </w:divsChild>
                </w:div>
                <w:div w:id="405686193">
                  <w:marLeft w:val="0"/>
                  <w:marRight w:val="0"/>
                  <w:marTop w:val="0"/>
                  <w:marBottom w:val="0"/>
                  <w:divBdr>
                    <w:top w:val="none" w:sz="0" w:space="0" w:color="auto"/>
                    <w:left w:val="none" w:sz="0" w:space="0" w:color="auto"/>
                    <w:bottom w:val="none" w:sz="0" w:space="0" w:color="auto"/>
                    <w:right w:val="none" w:sz="0" w:space="0" w:color="auto"/>
                  </w:divBdr>
                  <w:divsChild>
                    <w:div w:id="1092436136">
                      <w:marLeft w:val="0"/>
                      <w:marRight w:val="0"/>
                      <w:marTop w:val="0"/>
                      <w:marBottom w:val="0"/>
                      <w:divBdr>
                        <w:top w:val="none" w:sz="0" w:space="0" w:color="auto"/>
                        <w:left w:val="none" w:sz="0" w:space="0" w:color="auto"/>
                        <w:bottom w:val="none" w:sz="0" w:space="0" w:color="auto"/>
                        <w:right w:val="none" w:sz="0" w:space="0" w:color="auto"/>
                      </w:divBdr>
                    </w:div>
                  </w:divsChild>
                </w:div>
                <w:div w:id="459346671">
                  <w:marLeft w:val="0"/>
                  <w:marRight w:val="0"/>
                  <w:marTop w:val="0"/>
                  <w:marBottom w:val="0"/>
                  <w:divBdr>
                    <w:top w:val="none" w:sz="0" w:space="0" w:color="auto"/>
                    <w:left w:val="none" w:sz="0" w:space="0" w:color="auto"/>
                    <w:bottom w:val="none" w:sz="0" w:space="0" w:color="auto"/>
                    <w:right w:val="none" w:sz="0" w:space="0" w:color="auto"/>
                  </w:divBdr>
                  <w:divsChild>
                    <w:div w:id="135922040">
                      <w:marLeft w:val="0"/>
                      <w:marRight w:val="0"/>
                      <w:marTop w:val="0"/>
                      <w:marBottom w:val="0"/>
                      <w:divBdr>
                        <w:top w:val="none" w:sz="0" w:space="0" w:color="auto"/>
                        <w:left w:val="none" w:sz="0" w:space="0" w:color="auto"/>
                        <w:bottom w:val="none" w:sz="0" w:space="0" w:color="auto"/>
                        <w:right w:val="none" w:sz="0" w:space="0" w:color="auto"/>
                      </w:divBdr>
                    </w:div>
                    <w:div w:id="631131031">
                      <w:marLeft w:val="0"/>
                      <w:marRight w:val="0"/>
                      <w:marTop w:val="0"/>
                      <w:marBottom w:val="0"/>
                      <w:divBdr>
                        <w:top w:val="none" w:sz="0" w:space="0" w:color="auto"/>
                        <w:left w:val="none" w:sz="0" w:space="0" w:color="auto"/>
                        <w:bottom w:val="none" w:sz="0" w:space="0" w:color="auto"/>
                        <w:right w:val="none" w:sz="0" w:space="0" w:color="auto"/>
                      </w:divBdr>
                    </w:div>
                    <w:div w:id="1946842525">
                      <w:marLeft w:val="0"/>
                      <w:marRight w:val="0"/>
                      <w:marTop w:val="0"/>
                      <w:marBottom w:val="0"/>
                      <w:divBdr>
                        <w:top w:val="none" w:sz="0" w:space="0" w:color="auto"/>
                        <w:left w:val="none" w:sz="0" w:space="0" w:color="auto"/>
                        <w:bottom w:val="none" w:sz="0" w:space="0" w:color="auto"/>
                        <w:right w:val="none" w:sz="0" w:space="0" w:color="auto"/>
                      </w:divBdr>
                    </w:div>
                    <w:div w:id="2127650727">
                      <w:marLeft w:val="0"/>
                      <w:marRight w:val="0"/>
                      <w:marTop w:val="0"/>
                      <w:marBottom w:val="0"/>
                      <w:divBdr>
                        <w:top w:val="none" w:sz="0" w:space="0" w:color="auto"/>
                        <w:left w:val="none" w:sz="0" w:space="0" w:color="auto"/>
                        <w:bottom w:val="none" w:sz="0" w:space="0" w:color="auto"/>
                        <w:right w:val="none" w:sz="0" w:space="0" w:color="auto"/>
                      </w:divBdr>
                    </w:div>
                  </w:divsChild>
                </w:div>
                <w:div w:id="460850138">
                  <w:marLeft w:val="0"/>
                  <w:marRight w:val="0"/>
                  <w:marTop w:val="0"/>
                  <w:marBottom w:val="0"/>
                  <w:divBdr>
                    <w:top w:val="none" w:sz="0" w:space="0" w:color="auto"/>
                    <w:left w:val="none" w:sz="0" w:space="0" w:color="auto"/>
                    <w:bottom w:val="none" w:sz="0" w:space="0" w:color="auto"/>
                    <w:right w:val="none" w:sz="0" w:space="0" w:color="auto"/>
                  </w:divBdr>
                  <w:divsChild>
                    <w:div w:id="427895361">
                      <w:marLeft w:val="0"/>
                      <w:marRight w:val="0"/>
                      <w:marTop w:val="0"/>
                      <w:marBottom w:val="0"/>
                      <w:divBdr>
                        <w:top w:val="none" w:sz="0" w:space="0" w:color="auto"/>
                        <w:left w:val="none" w:sz="0" w:space="0" w:color="auto"/>
                        <w:bottom w:val="none" w:sz="0" w:space="0" w:color="auto"/>
                        <w:right w:val="none" w:sz="0" w:space="0" w:color="auto"/>
                      </w:divBdr>
                    </w:div>
                  </w:divsChild>
                </w:div>
                <w:div w:id="467934787">
                  <w:marLeft w:val="0"/>
                  <w:marRight w:val="0"/>
                  <w:marTop w:val="0"/>
                  <w:marBottom w:val="0"/>
                  <w:divBdr>
                    <w:top w:val="none" w:sz="0" w:space="0" w:color="auto"/>
                    <w:left w:val="none" w:sz="0" w:space="0" w:color="auto"/>
                    <w:bottom w:val="none" w:sz="0" w:space="0" w:color="auto"/>
                    <w:right w:val="none" w:sz="0" w:space="0" w:color="auto"/>
                  </w:divBdr>
                  <w:divsChild>
                    <w:div w:id="808596384">
                      <w:marLeft w:val="0"/>
                      <w:marRight w:val="0"/>
                      <w:marTop w:val="0"/>
                      <w:marBottom w:val="0"/>
                      <w:divBdr>
                        <w:top w:val="none" w:sz="0" w:space="0" w:color="auto"/>
                        <w:left w:val="none" w:sz="0" w:space="0" w:color="auto"/>
                        <w:bottom w:val="none" w:sz="0" w:space="0" w:color="auto"/>
                        <w:right w:val="none" w:sz="0" w:space="0" w:color="auto"/>
                      </w:divBdr>
                    </w:div>
                  </w:divsChild>
                </w:div>
                <w:div w:id="522130859">
                  <w:marLeft w:val="0"/>
                  <w:marRight w:val="0"/>
                  <w:marTop w:val="0"/>
                  <w:marBottom w:val="0"/>
                  <w:divBdr>
                    <w:top w:val="none" w:sz="0" w:space="0" w:color="auto"/>
                    <w:left w:val="none" w:sz="0" w:space="0" w:color="auto"/>
                    <w:bottom w:val="none" w:sz="0" w:space="0" w:color="auto"/>
                    <w:right w:val="none" w:sz="0" w:space="0" w:color="auto"/>
                  </w:divBdr>
                  <w:divsChild>
                    <w:div w:id="1963681193">
                      <w:marLeft w:val="0"/>
                      <w:marRight w:val="0"/>
                      <w:marTop w:val="0"/>
                      <w:marBottom w:val="0"/>
                      <w:divBdr>
                        <w:top w:val="none" w:sz="0" w:space="0" w:color="auto"/>
                        <w:left w:val="none" w:sz="0" w:space="0" w:color="auto"/>
                        <w:bottom w:val="none" w:sz="0" w:space="0" w:color="auto"/>
                        <w:right w:val="none" w:sz="0" w:space="0" w:color="auto"/>
                      </w:divBdr>
                    </w:div>
                  </w:divsChild>
                </w:div>
                <w:div w:id="549924029">
                  <w:marLeft w:val="0"/>
                  <w:marRight w:val="0"/>
                  <w:marTop w:val="0"/>
                  <w:marBottom w:val="0"/>
                  <w:divBdr>
                    <w:top w:val="none" w:sz="0" w:space="0" w:color="auto"/>
                    <w:left w:val="none" w:sz="0" w:space="0" w:color="auto"/>
                    <w:bottom w:val="none" w:sz="0" w:space="0" w:color="auto"/>
                    <w:right w:val="none" w:sz="0" w:space="0" w:color="auto"/>
                  </w:divBdr>
                  <w:divsChild>
                    <w:div w:id="914584815">
                      <w:marLeft w:val="0"/>
                      <w:marRight w:val="0"/>
                      <w:marTop w:val="0"/>
                      <w:marBottom w:val="0"/>
                      <w:divBdr>
                        <w:top w:val="none" w:sz="0" w:space="0" w:color="auto"/>
                        <w:left w:val="none" w:sz="0" w:space="0" w:color="auto"/>
                        <w:bottom w:val="none" w:sz="0" w:space="0" w:color="auto"/>
                        <w:right w:val="none" w:sz="0" w:space="0" w:color="auto"/>
                      </w:divBdr>
                    </w:div>
                  </w:divsChild>
                </w:div>
                <w:div w:id="674454292">
                  <w:marLeft w:val="0"/>
                  <w:marRight w:val="0"/>
                  <w:marTop w:val="0"/>
                  <w:marBottom w:val="0"/>
                  <w:divBdr>
                    <w:top w:val="none" w:sz="0" w:space="0" w:color="auto"/>
                    <w:left w:val="none" w:sz="0" w:space="0" w:color="auto"/>
                    <w:bottom w:val="none" w:sz="0" w:space="0" w:color="auto"/>
                    <w:right w:val="none" w:sz="0" w:space="0" w:color="auto"/>
                  </w:divBdr>
                  <w:divsChild>
                    <w:div w:id="1889149368">
                      <w:marLeft w:val="0"/>
                      <w:marRight w:val="0"/>
                      <w:marTop w:val="0"/>
                      <w:marBottom w:val="0"/>
                      <w:divBdr>
                        <w:top w:val="none" w:sz="0" w:space="0" w:color="auto"/>
                        <w:left w:val="none" w:sz="0" w:space="0" w:color="auto"/>
                        <w:bottom w:val="none" w:sz="0" w:space="0" w:color="auto"/>
                        <w:right w:val="none" w:sz="0" w:space="0" w:color="auto"/>
                      </w:divBdr>
                    </w:div>
                  </w:divsChild>
                </w:div>
                <w:div w:id="699474262">
                  <w:marLeft w:val="0"/>
                  <w:marRight w:val="0"/>
                  <w:marTop w:val="0"/>
                  <w:marBottom w:val="0"/>
                  <w:divBdr>
                    <w:top w:val="none" w:sz="0" w:space="0" w:color="auto"/>
                    <w:left w:val="none" w:sz="0" w:space="0" w:color="auto"/>
                    <w:bottom w:val="none" w:sz="0" w:space="0" w:color="auto"/>
                    <w:right w:val="none" w:sz="0" w:space="0" w:color="auto"/>
                  </w:divBdr>
                  <w:divsChild>
                    <w:div w:id="635377755">
                      <w:marLeft w:val="0"/>
                      <w:marRight w:val="0"/>
                      <w:marTop w:val="0"/>
                      <w:marBottom w:val="0"/>
                      <w:divBdr>
                        <w:top w:val="none" w:sz="0" w:space="0" w:color="auto"/>
                        <w:left w:val="none" w:sz="0" w:space="0" w:color="auto"/>
                        <w:bottom w:val="none" w:sz="0" w:space="0" w:color="auto"/>
                        <w:right w:val="none" w:sz="0" w:space="0" w:color="auto"/>
                      </w:divBdr>
                    </w:div>
                    <w:div w:id="676346234">
                      <w:marLeft w:val="0"/>
                      <w:marRight w:val="0"/>
                      <w:marTop w:val="0"/>
                      <w:marBottom w:val="0"/>
                      <w:divBdr>
                        <w:top w:val="none" w:sz="0" w:space="0" w:color="auto"/>
                        <w:left w:val="none" w:sz="0" w:space="0" w:color="auto"/>
                        <w:bottom w:val="none" w:sz="0" w:space="0" w:color="auto"/>
                        <w:right w:val="none" w:sz="0" w:space="0" w:color="auto"/>
                      </w:divBdr>
                    </w:div>
                    <w:div w:id="682823193">
                      <w:marLeft w:val="0"/>
                      <w:marRight w:val="0"/>
                      <w:marTop w:val="0"/>
                      <w:marBottom w:val="0"/>
                      <w:divBdr>
                        <w:top w:val="none" w:sz="0" w:space="0" w:color="auto"/>
                        <w:left w:val="none" w:sz="0" w:space="0" w:color="auto"/>
                        <w:bottom w:val="none" w:sz="0" w:space="0" w:color="auto"/>
                        <w:right w:val="none" w:sz="0" w:space="0" w:color="auto"/>
                      </w:divBdr>
                    </w:div>
                    <w:div w:id="1627662170">
                      <w:marLeft w:val="0"/>
                      <w:marRight w:val="0"/>
                      <w:marTop w:val="0"/>
                      <w:marBottom w:val="0"/>
                      <w:divBdr>
                        <w:top w:val="none" w:sz="0" w:space="0" w:color="auto"/>
                        <w:left w:val="none" w:sz="0" w:space="0" w:color="auto"/>
                        <w:bottom w:val="none" w:sz="0" w:space="0" w:color="auto"/>
                        <w:right w:val="none" w:sz="0" w:space="0" w:color="auto"/>
                      </w:divBdr>
                    </w:div>
                    <w:div w:id="1947813036">
                      <w:marLeft w:val="0"/>
                      <w:marRight w:val="0"/>
                      <w:marTop w:val="0"/>
                      <w:marBottom w:val="0"/>
                      <w:divBdr>
                        <w:top w:val="none" w:sz="0" w:space="0" w:color="auto"/>
                        <w:left w:val="none" w:sz="0" w:space="0" w:color="auto"/>
                        <w:bottom w:val="none" w:sz="0" w:space="0" w:color="auto"/>
                        <w:right w:val="none" w:sz="0" w:space="0" w:color="auto"/>
                      </w:divBdr>
                    </w:div>
                    <w:div w:id="1966085296">
                      <w:marLeft w:val="0"/>
                      <w:marRight w:val="0"/>
                      <w:marTop w:val="0"/>
                      <w:marBottom w:val="0"/>
                      <w:divBdr>
                        <w:top w:val="none" w:sz="0" w:space="0" w:color="auto"/>
                        <w:left w:val="none" w:sz="0" w:space="0" w:color="auto"/>
                        <w:bottom w:val="none" w:sz="0" w:space="0" w:color="auto"/>
                        <w:right w:val="none" w:sz="0" w:space="0" w:color="auto"/>
                      </w:divBdr>
                    </w:div>
                    <w:div w:id="2112435251">
                      <w:marLeft w:val="0"/>
                      <w:marRight w:val="0"/>
                      <w:marTop w:val="0"/>
                      <w:marBottom w:val="0"/>
                      <w:divBdr>
                        <w:top w:val="none" w:sz="0" w:space="0" w:color="auto"/>
                        <w:left w:val="none" w:sz="0" w:space="0" w:color="auto"/>
                        <w:bottom w:val="none" w:sz="0" w:space="0" w:color="auto"/>
                        <w:right w:val="none" w:sz="0" w:space="0" w:color="auto"/>
                      </w:divBdr>
                    </w:div>
                  </w:divsChild>
                </w:div>
                <w:div w:id="704908406">
                  <w:marLeft w:val="0"/>
                  <w:marRight w:val="0"/>
                  <w:marTop w:val="0"/>
                  <w:marBottom w:val="0"/>
                  <w:divBdr>
                    <w:top w:val="none" w:sz="0" w:space="0" w:color="auto"/>
                    <w:left w:val="none" w:sz="0" w:space="0" w:color="auto"/>
                    <w:bottom w:val="none" w:sz="0" w:space="0" w:color="auto"/>
                    <w:right w:val="none" w:sz="0" w:space="0" w:color="auto"/>
                  </w:divBdr>
                  <w:divsChild>
                    <w:div w:id="1701592099">
                      <w:marLeft w:val="0"/>
                      <w:marRight w:val="0"/>
                      <w:marTop w:val="0"/>
                      <w:marBottom w:val="0"/>
                      <w:divBdr>
                        <w:top w:val="none" w:sz="0" w:space="0" w:color="auto"/>
                        <w:left w:val="none" w:sz="0" w:space="0" w:color="auto"/>
                        <w:bottom w:val="none" w:sz="0" w:space="0" w:color="auto"/>
                        <w:right w:val="none" w:sz="0" w:space="0" w:color="auto"/>
                      </w:divBdr>
                    </w:div>
                  </w:divsChild>
                </w:div>
                <w:div w:id="744494224">
                  <w:marLeft w:val="0"/>
                  <w:marRight w:val="0"/>
                  <w:marTop w:val="0"/>
                  <w:marBottom w:val="0"/>
                  <w:divBdr>
                    <w:top w:val="none" w:sz="0" w:space="0" w:color="auto"/>
                    <w:left w:val="none" w:sz="0" w:space="0" w:color="auto"/>
                    <w:bottom w:val="none" w:sz="0" w:space="0" w:color="auto"/>
                    <w:right w:val="none" w:sz="0" w:space="0" w:color="auto"/>
                  </w:divBdr>
                  <w:divsChild>
                    <w:div w:id="1116412564">
                      <w:marLeft w:val="0"/>
                      <w:marRight w:val="0"/>
                      <w:marTop w:val="0"/>
                      <w:marBottom w:val="0"/>
                      <w:divBdr>
                        <w:top w:val="none" w:sz="0" w:space="0" w:color="auto"/>
                        <w:left w:val="none" w:sz="0" w:space="0" w:color="auto"/>
                        <w:bottom w:val="none" w:sz="0" w:space="0" w:color="auto"/>
                        <w:right w:val="none" w:sz="0" w:space="0" w:color="auto"/>
                      </w:divBdr>
                    </w:div>
                  </w:divsChild>
                </w:div>
                <w:div w:id="796097977">
                  <w:marLeft w:val="0"/>
                  <w:marRight w:val="0"/>
                  <w:marTop w:val="0"/>
                  <w:marBottom w:val="0"/>
                  <w:divBdr>
                    <w:top w:val="none" w:sz="0" w:space="0" w:color="auto"/>
                    <w:left w:val="none" w:sz="0" w:space="0" w:color="auto"/>
                    <w:bottom w:val="none" w:sz="0" w:space="0" w:color="auto"/>
                    <w:right w:val="none" w:sz="0" w:space="0" w:color="auto"/>
                  </w:divBdr>
                  <w:divsChild>
                    <w:div w:id="806044524">
                      <w:marLeft w:val="0"/>
                      <w:marRight w:val="0"/>
                      <w:marTop w:val="0"/>
                      <w:marBottom w:val="0"/>
                      <w:divBdr>
                        <w:top w:val="none" w:sz="0" w:space="0" w:color="auto"/>
                        <w:left w:val="none" w:sz="0" w:space="0" w:color="auto"/>
                        <w:bottom w:val="none" w:sz="0" w:space="0" w:color="auto"/>
                        <w:right w:val="none" w:sz="0" w:space="0" w:color="auto"/>
                      </w:divBdr>
                    </w:div>
                  </w:divsChild>
                </w:div>
                <w:div w:id="796990207">
                  <w:marLeft w:val="0"/>
                  <w:marRight w:val="0"/>
                  <w:marTop w:val="0"/>
                  <w:marBottom w:val="0"/>
                  <w:divBdr>
                    <w:top w:val="none" w:sz="0" w:space="0" w:color="auto"/>
                    <w:left w:val="none" w:sz="0" w:space="0" w:color="auto"/>
                    <w:bottom w:val="none" w:sz="0" w:space="0" w:color="auto"/>
                    <w:right w:val="none" w:sz="0" w:space="0" w:color="auto"/>
                  </w:divBdr>
                  <w:divsChild>
                    <w:div w:id="398018006">
                      <w:marLeft w:val="0"/>
                      <w:marRight w:val="0"/>
                      <w:marTop w:val="0"/>
                      <w:marBottom w:val="0"/>
                      <w:divBdr>
                        <w:top w:val="none" w:sz="0" w:space="0" w:color="auto"/>
                        <w:left w:val="none" w:sz="0" w:space="0" w:color="auto"/>
                        <w:bottom w:val="none" w:sz="0" w:space="0" w:color="auto"/>
                        <w:right w:val="none" w:sz="0" w:space="0" w:color="auto"/>
                      </w:divBdr>
                    </w:div>
                  </w:divsChild>
                </w:div>
                <w:div w:id="829443827">
                  <w:marLeft w:val="0"/>
                  <w:marRight w:val="0"/>
                  <w:marTop w:val="0"/>
                  <w:marBottom w:val="0"/>
                  <w:divBdr>
                    <w:top w:val="none" w:sz="0" w:space="0" w:color="auto"/>
                    <w:left w:val="none" w:sz="0" w:space="0" w:color="auto"/>
                    <w:bottom w:val="none" w:sz="0" w:space="0" w:color="auto"/>
                    <w:right w:val="none" w:sz="0" w:space="0" w:color="auto"/>
                  </w:divBdr>
                  <w:divsChild>
                    <w:div w:id="1194465116">
                      <w:marLeft w:val="0"/>
                      <w:marRight w:val="0"/>
                      <w:marTop w:val="0"/>
                      <w:marBottom w:val="0"/>
                      <w:divBdr>
                        <w:top w:val="none" w:sz="0" w:space="0" w:color="auto"/>
                        <w:left w:val="none" w:sz="0" w:space="0" w:color="auto"/>
                        <w:bottom w:val="none" w:sz="0" w:space="0" w:color="auto"/>
                        <w:right w:val="none" w:sz="0" w:space="0" w:color="auto"/>
                      </w:divBdr>
                    </w:div>
                  </w:divsChild>
                </w:div>
                <w:div w:id="866718740">
                  <w:marLeft w:val="0"/>
                  <w:marRight w:val="0"/>
                  <w:marTop w:val="0"/>
                  <w:marBottom w:val="0"/>
                  <w:divBdr>
                    <w:top w:val="none" w:sz="0" w:space="0" w:color="auto"/>
                    <w:left w:val="none" w:sz="0" w:space="0" w:color="auto"/>
                    <w:bottom w:val="none" w:sz="0" w:space="0" w:color="auto"/>
                    <w:right w:val="none" w:sz="0" w:space="0" w:color="auto"/>
                  </w:divBdr>
                  <w:divsChild>
                    <w:div w:id="1776628280">
                      <w:marLeft w:val="0"/>
                      <w:marRight w:val="0"/>
                      <w:marTop w:val="0"/>
                      <w:marBottom w:val="0"/>
                      <w:divBdr>
                        <w:top w:val="none" w:sz="0" w:space="0" w:color="auto"/>
                        <w:left w:val="none" w:sz="0" w:space="0" w:color="auto"/>
                        <w:bottom w:val="none" w:sz="0" w:space="0" w:color="auto"/>
                        <w:right w:val="none" w:sz="0" w:space="0" w:color="auto"/>
                      </w:divBdr>
                    </w:div>
                  </w:divsChild>
                </w:div>
                <w:div w:id="888226550">
                  <w:marLeft w:val="0"/>
                  <w:marRight w:val="0"/>
                  <w:marTop w:val="0"/>
                  <w:marBottom w:val="0"/>
                  <w:divBdr>
                    <w:top w:val="none" w:sz="0" w:space="0" w:color="auto"/>
                    <w:left w:val="none" w:sz="0" w:space="0" w:color="auto"/>
                    <w:bottom w:val="none" w:sz="0" w:space="0" w:color="auto"/>
                    <w:right w:val="none" w:sz="0" w:space="0" w:color="auto"/>
                  </w:divBdr>
                  <w:divsChild>
                    <w:div w:id="1295673966">
                      <w:marLeft w:val="0"/>
                      <w:marRight w:val="0"/>
                      <w:marTop w:val="0"/>
                      <w:marBottom w:val="0"/>
                      <w:divBdr>
                        <w:top w:val="none" w:sz="0" w:space="0" w:color="auto"/>
                        <w:left w:val="none" w:sz="0" w:space="0" w:color="auto"/>
                        <w:bottom w:val="none" w:sz="0" w:space="0" w:color="auto"/>
                        <w:right w:val="none" w:sz="0" w:space="0" w:color="auto"/>
                      </w:divBdr>
                    </w:div>
                  </w:divsChild>
                </w:div>
                <w:div w:id="892543625">
                  <w:marLeft w:val="0"/>
                  <w:marRight w:val="0"/>
                  <w:marTop w:val="0"/>
                  <w:marBottom w:val="0"/>
                  <w:divBdr>
                    <w:top w:val="none" w:sz="0" w:space="0" w:color="auto"/>
                    <w:left w:val="none" w:sz="0" w:space="0" w:color="auto"/>
                    <w:bottom w:val="none" w:sz="0" w:space="0" w:color="auto"/>
                    <w:right w:val="none" w:sz="0" w:space="0" w:color="auto"/>
                  </w:divBdr>
                  <w:divsChild>
                    <w:div w:id="830605247">
                      <w:marLeft w:val="0"/>
                      <w:marRight w:val="0"/>
                      <w:marTop w:val="0"/>
                      <w:marBottom w:val="0"/>
                      <w:divBdr>
                        <w:top w:val="none" w:sz="0" w:space="0" w:color="auto"/>
                        <w:left w:val="none" w:sz="0" w:space="0" w:color="auto"/>
                        <w:bottom w:val="none" w:sz="0" w:space="0" w:color="auto"/>
                        <w:right w:val="none" w:sz="0" w:space="0" w:color="auto"/>
                      </w:divBdr>
                    </w:div>
                    <w:div w:id="1078870916">
                      <w:marLeft w:val="0"/>
                      <w:marRight w:val="0"/>
                      <w:marTop w:val="0"/>
                      <w:marBottom w:val="0"/>
                      <w:divBdr>
                        <w:top w:val="none" w:sz="0" w:space="0" w:color="auto"/>
                        <w:left w:val="none" w:sz="0" w:space="0" w:color="auto"/>
                        <w:bottom w:val="none" w:sz="0" w:space="0" w:color="auto"/>
                        <w:right w:val="none" w:sz="0" w:space="0" w:color="auto"/>
                      </w:divBdr>
                    </w:div>
                    <w:div w:id="1086729783">
                      <w:marLeft w:val="0"/>
                      <w:marRight w:val="0"/>
                      <w:marTop w:val="0"/>
                      <w:marBottom w:val="0"/>
                      <w:divBdr>
                        <w:top w:val="none" w:sz="0" w:space="0" w:color="auto"/>
                        <w:left w:val="none" w:sz="0" w:space="0" w:color="auto"/>
                        <w:bottom w:val="none" w:sz="0" w:space="0" w:color="auto"/>
                        <w:right w:val="none" w:sz="0" w:space="0" w:color="auto"/>
                      </w:divBdr>
                    </w:div>
                    <w:div w:id="1271010040">
                      <w:marLeft w:val="0"/>
                      <w:marRight w:val="0"/>
                      <w:marTop w:val="0"/>
                      <w:marBottom w:val="0"/>
                      <w:divBdr>
                        <w:top w:val="none" w:sz="0" w:space="0" w:color="auto"/>
                        <w:left w:val="none" w:sz="0" w:space="0" w:color="auto"/>
                        <w:bottom w:val="none" w:sz="0" w:space="0" w:color="auto"/>
                        <w:right w:val="none" w:sz="0" w:space="0" w:color="auto"/>
                      </w:divBdr>
                    </w:div>
                    <w:div w:id="1365985261">
                      <w:marLeft w:val="0"/>
                      <w:marRight w:val="0"/>
                      <w:marTop w:val="0"/>
                      <w:marBottom w:val="0"/>
                      <w:divBdr>
                        <w:top w:val="none" w:sz="0" w:space="0" w:color="auto"/>
                        <w:left w:val="none" w:sz="0" w:space="0" w:color="auto"/>
                        <w:bottom w:val="none" w:sz="0" w:space="0" w:color="auto"/>
                        <w:right w:val="none" w:sz="0" w:space="0" w:color="auto"/>
                      </w:divBdr>
                    </w:div>
                    <w:div w:id="1615818590">
                      <w:marLeft w:val="0"/>
                      <w:marRight w:val="0"/>
                      <w:marTop w:val="0"/>
                      <w:marBottom w:val="0"/>
                      <w:divBdr>
                        <w:top w:val="none" w:sz="0" w:space="0" w:color="auto"/>
                        <w:left w:val="none" w:sz="0" w:space="0" w:color="auto"/>
                        <w:bottom w:val="none" w:sz="0" w:space="0" w:color="auto"/>
                        <w:right w:val="none" w:sz="0" w:space="0" w:color="auto"/>
                      </w:divBdr>
                    </w:div>
                  </w:divsChild>
                </w:div>
                <w:div w:id="938097087">
                  <w:marLeft w:val="0"/>
                  <w:marRight w:val="0"/>
                  <w:marTop w:val="0"/>
                  <w:marBottom w:val="0"/>
                  <w:divBdr>
                    <w:top w:val="none" w:sz="0" w:space="0" w:color="auto"/>
                    <w:left w:val="none" w:sz="0" w:space="0" w:color="auto"/>
                    <w:bottom w:val="none" w:sz="0" w:space="0" w:color="auto"/>
                    <w:right w:val="none" w:sz="0" w:space="0" w:color="auto"/>
                  </w:divBdr>
                  <w:divsChild>
                    <w:div w:id="1865749347">
                      <w:marLeft w:val="0"/>
                      <w:marRight w:val="0"/>
                      <w:marTop w:val="0"/>
                      <w:marBottom w:val="0"/>
                      <w:divBdr>
                        <w:top w:val="none" w:sz="0" w:space="0" w:color="auto"/>
                        <w:left w:val="none" w:sz="0" w:space="0" w:color="auto"/>
                        <w:bottom w:val="none" w:sz="0" w:space="0" w:color="auto"/>
                        <w:right w:val="none" w:sz="0" w:space="0" w:color="auto"/>
                      </w:divBdr>
                    </w:div>
                  </w:divsChild>
                </w:div>
                <w:div w:id="947010087">
                  <w:marLeft w:val="0"/>
                  <w:marRight w:val="0"/>
                  <w:marTop w:val="0"/>
                  <w:marBottom w:val="0"/>
                  <w:divBdr>
                    <w:top w:val="none" w:sz="0" w:space="0" w:color="auto"/>
                    <w:left w:val="none" w:sz="0" w:space="0" w:color="auto"/>
                    <w:bottom w:val="none" w:sz="0" w:space="0" w:color="auto"/>
                    <w:right w:val="none" w:sz="0" w:space="0" w:color="auto"/>
                  </w:divBdr>
                  <w:divsChild>
                    <w:div w:id="2048602964">
                      <w:marLeft w:val="0"/>
                      <w:marRight w:val="0"/>
                      <w:marTop w:val="0"/>
                      <w:marBottom w:val="0"/>
                      <w:divBdr>
                        <w:top w:val="none" w:sz="0" w:space="0" w:color="auto"/>
                        <w:left w:val="none" w:sz="0" w:space="0" w:color="auto"/>
                        <w:bottom w:val="none" w:sz="0" w:space="0" w:color="auto"/>
                        <w:right w:val="none" w:sz="0" w:space="0" w:color="auto"/>
                      </w:divBdr>
                    </w:div>
                  </w:divsChild>
                </w:div>
                <w:div w:id="950747153">
                  <w:marLeft w:val="0"/>
                  <w:marRight w:val="0"/>
                  <w:marTop w:val="0"/>
                  <w:marBottom w:val="0"/>
                  <w:divBdr>
                    <w:top w:val="none" w:sz="0" w:space="0" w:color="auto"/>
                    <w:left w:val="none" w:sz="0" w:space="0" w:color="auto"/>
                    <w:bottom w:val="none" w:sz="0" w:space="0" w:color="auto"/>
                    <w:right w:val="none" w:sz="0" w:space="0" w:color="auto"/>
                  </w:divBdr>
                  <w:divsChild>
                    <w:div w:id="2114740743">
                      <w:marLeft w:val="0"/>
                      <w:marRight w:val="0"/>
                      <w:marTop w:val="0"/>
                      <w:marBottom w:val="0"/>
                      <w:divBdr>
                        <w:top w:val="none" w:sz="0" w:space="0" w:color="auto"/>
                        <w:left w:val="none" w:sz="0" w:space="0" w:color="auto"/>
                        <w:bottom w:val="none" w:sz="0" w:space="0" w:color="auto"/>
                        <w:right w:val="none" w:sz="0" w:space="0" w:color="auto"/>
                      </w:divBdr>
                    </w:div>
                  </w:divsChild>
                </w:div>
                <w:div w:id="1044983789">
                  <w:marLeft w:val="0"/>
                  <w:marRight w:val="0"/>
                  <w:marTop w:val="0"/>
                  <w:marBottom w:val="0"/>
                  <w:divBdr>
                    <w:top w:val="none" w:sz="0" w:space="0" w:color="auto"/>
                    <w:left w:val="none" w:sz="0" w:space="0" w:color="auto"/>
                    <w:bottom w:val="none" w:sz="0" w:space="0" w:color="auto"/>
                    <w:right w:val="none" w:sz="0" w:space="0" w:color="auto"/>
                  </w:divBdr>
                  <w:divsChild>
                    <w:div w:id="1570991944">
                      <w:marLeft w:val="0"/>
                      <w:marRight w:val="0"/>
                      <w:marTop w:val="0"/>
                      <w:marBottom w:val="0"/>
                      <w:divBdr>
                        <w:top w:val="none" w:sz="0" w:space="0" w:color="auto"/>
                        <w:left w:val="none" w:sz="0" w:space="0" w:color="auto"/>
                        <w:bottom w:val="none" w:sz="0" w:space="0" w:color="auto"/>
                        <w:right w:val="none" w:sz="0" w:space="0" w:color="auto"/>
                      </w:divBdr>
                    </w:div>
                  </w:divsChild>
                </w:div>
                <w:div w:id="1054349832">
                  <w:marLeft w:val="0"/>
                  <w:marRight w:val="0"/>
                  <w:marTop w:val="0"/>
                  <w:marBottom w:val="0"/>
                  <w:divBdr>
                    <w:top w:val="none" w:sz="0" w:space="0" w:color="auto"/>
                    <w:left w:val="none" w:sz="0" w:space="0" w:color="auto"/>
                    <w:bottom w:val="none" w:sz="0" w:space="0" w:color="auto"/>
                    <w:right w:val="none" w:sz="0" w:space="0" w:color="auto"/>
                  </w:divBdr>
                  <w:divsChild>
                    <w:div w:id="1033313697">
                      <w:marLeft w:val="0"/>
                      <w:marRight w:val="0"/>
                      <w:marTop w:val="0"/>
                      <w:marBottom w:val="0"/>
                      <w:divBdr>
                        <w:top w:val="none" w:sz="0" w:space="0" w:color="auto"/>
                        <w:left w:val="none" w:sz="0" w:space="0" w:color="auto"/>
                        <w:bottom w:val="none" w:sz="0" w:space="0" w:color="auto"/>
                        <w:right w:val="none" w:sz="0" w:space="0" w:color="auto"/>
                      </w:divBdr>
                    </w:div>
                  </w:divsChild>
                </w:div>
                <w:div w:id="1084448325">
                  <w:marLeft w:val="0"/>
                  <w:marRight w:val="0"/>
                  <w:marTop w:val="0"/>
                  <w:marBottom w:val="0"/>
                  <w:divBdr>
                    <w:top w:val="none" w:sz="0" w:space="0" w:color="auto"/>
                    <w:left w:val="none" w:sz="0" w:space="0" w:color="auto"/>
                    <w:bottom w:val="none" w:sz="0" w:space="0" w:color="auto"/>
                    <w:right w:val="none" w:sz="0" w:space="0" w:color="auto"/>
                  </w:divBdr>
                  <w:divsChild>
                    <w:div w:id="1524594201">
                      <w:marLeft w:val="0"/>
                      <w:marRight w:val="0"/>
                      <w:marTop w:val="0"/>
                      <w:marBottom w:val="0"/>
                      <w:divBdr>
                        <w:top w:val="none" w:sz="0" w:space="0" w:color="auto"/>
                        <w:left w:val="none" w:sz="0" w:space="0" w:color="auto"/>
                        <w:bottom w:val="none" w:sz="0" w:space="0" w:color="auto"/>
                        <w:right w:val="none" w:sz="0" w:space="0" w:color="auto"/>
                      </w:divBdr>
                    </w:div>
                  </w:divsChild>
                </w:div>
                <w:div w:id="1090810527">
                  <w:marLeft w:val="0"/>
                  <w:marRight w:val="0"/>
                  <w:marTop w:val="0"/>
                  <w:marBottom w:val="0"/>
                  <w:divBdr>
                    <w:top w:val="none" w:sz="0" w:space="0" w:color="auto"/>
                    <w:left w:val="none" w:sz="0" w:space="0" w:color="auto"/>
                    <w:bottom w:val="none" w:sz="0" w:space="0" w:color="auto"/>
                    <w:right w:val="none" w:sz="0" w:space="0" w:color="auto"/>
                  </w:divBdr>
                  <w:divsChild>
                    <w:div w:id="631057726">
                      <w:marLeft w:val="0"/>
                      <w:marRight w:val="0"/>
                      <w:marTop w:val="0"/>
                      <w:marBottom w:val="0"/>
                      <w:divBdr>
                        <w:top w:val="none" w:sz="0" w:space="0" w:color="auto"/>
                        <w:left w:val="none" w:sz="0" w:space="0" w:color="auto"/>
                        <w:bottom w:val="none" w:sz="0" w:space="0" w:color="auto"/>
                        <w:right w:val="none" w:sz="0" w:space="0" w:color="auto"/>
                      </w:divBdr>
                    </w:div>
                  </w:divsChild>
                </w:div>
                <w:div w:id="1125655271">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
                  </w:divsChild>
                </w:div>
                <w:div w:id="1143962088">
                  <w:marLeft w:val="0"/>
                  <w:marRight w:val="0"/>
                  <w:marTop w:val="0"/>
                  <w:marBottom w:val="0"/>
                  <w:divBdr>
                    <w:top w:val="none" w:sz="0" w:space="0" w:color="auto"/>
                    <w:left w:val="none" w:sz="0" w:space="0" w:color="auto"/>
                    <w:bottom w:val="none" w:sz="0" w:space="0" w:color="auto"/>
                    <w:right w:val="none" w:sz="0" w:space="0" w:color="auto"/>
                  </w:divBdr>
                  <w:divsChild>
                    <w:div w:id="56637649">
                      <w:marLeft w:val="0"/>
                      <w:marRight w:val="0"/>
                      <w:marTop w:val="0"/>
                      <w:marBottom w:val="0"/>
                      <w:divBdr>
                        <w:top w:val="none" w:sz="0" w:space="0" w:color="auto"/>
                        <w:left w:val="none" w:sz="0" w:space="0" w:color="auto"/>
                        <w:bottom w:val="none" w:sz="0" w:space="0" w:color="auto"/>
                        <w:right w:val="none" w:sz="0" w:space="0" w:color="auto"/>
                      </w:divBdr>
                    </w:div>
                    <w:div w:id="96291381">
                      <w:marLeft w:val="0"/>
                      <w:marRight w:val="0"/>
                      <w:marTop w:val="0"/>
                      <w:marBottom w:val="0"/>
                      <w:divBdr>
                        <w:top w:val="none" w:sz="0" w:space="0" w:color="auto"/>
                        <w:left w:val="none" w:sz="0" w:space="0" w:color="auto"/>
                        <w:bottom w:val="none" w:sz="0" w:space="0" w:color="auto"/>
                        <w:right w:val="none" w:sz="0" w:space="0" w:color="auto"/>
                      </w:divBdr>
                    </w:div>
                    <w:div w:id="585381161">
                      <w:marLeft w:val="0"/>
                      <w:marRight w:val="0"/>
                      <w:marTop w:val="0"/>
                      <w:marBottom w:val="0"/>
                      <w:divBdr>
                        <w:top w:val="none" w:sz="0" w:space="0" w:color="auto"/>
                        <w:left w:val="none" w:sz="0" w:space="0" w:color="auto"/>
                        <w:bottom w:val="none" w:sz="0" w:space="0" w:color="auto"/>
                        <w:right w:val="none" w:sz="0" w:space="0" w:color="auto"/>
                      </w:divBdr>
                    </w:div>
                  </w:divsChild>
                </w:div>
                <w:div w:id="1214972351">
                  <w:marLeft w:val="0"/>
                  <w:marRight w:val="0"/>
                  <w:marTop w:val="0"/>
                  <w:marBottom w:val="0"/>
                  <w:divBdr>
                    <w:top w:val="none" w:sz="0" w:space="0" w:color="auto"/>
                    <w:left w:val="none" w:sz="0" w:space="0" w:color="auto"/>
                    <w:bottom w:val="none" w:sz="0" w:space="0" w:color="auto"/>
                    <w:right w:val="none" w:sz="0" w:space="0" w:color="auto"/>
                  </w:divBdr>
                  <w:divsChild>
                    <w:div w:id="747727164">
                      <w:marLeft w:val="0"/>
                      <w:marRight w:val="0"/>
                      <w:marTop w:val="0"/>
                      <w:marBottom w:val="0"/>
                      <w:divBdr>
                        <w:top w:val="none" w:sz="0" w:space="0" w:color="auto"/>
                        <w:left w:val="none" w:sz="0" w:space="0" w:color="auto"/>
                        <w:bottom w:val="none" w:sz="0" w:space="0" w:color="auto"/>
                        <w:right w:val="none" w:sz="0" w:space="0" w:color="auto"/>
                      </w:divBdr>
                    </w:div>
                    <w:div w:id="1333295808">
                      <w:marLeft w:val="0"/>
                      <w:marRight w:val="0"/>
                      <w:marTop w:val="0"/>
                      <w:marBottom w:val="0"/>
                      <w:divBdr>
                        <w:top w:val="none" w:sz="0" w:space="0" w:color="auto"/>
                        <w:left w:val="none" w:sz="0" w:space="0" w:color="auto"/>
                        <w:bottom w:val="none" w:sz="0" w:space="0" w:color="auto"/>
                        <w:right w:val="none" w:sz="0" w:space="0" w:color="auto"/>
                      </w:divBdr>
                    </w:div>
                  </w:divsChild>
                </w:div>
                <w:div w:id="1226572390">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sChild>
                </w:div>
                <w:div w:id="1340306629">
                  <w:marLeft w:val="0"/>
                  <w:marRight w:val="0"/>
                  <w:marTop w:val="0"/>
                  <w:marBottom w:val="0"/>
                  <w:divBdr>
                    <w:top w:val="none" w:sz="0" w:space="0" w:color="auto"/>
                    <w:left w:val="none" w:sz="0" w:space="0" w:color="auto"/>
                    <w:bottom w:val="none" w:sz="0" w:space="0" w:color="auto"/>
                    <w:right w:val="none" w:sz="0" w:space="0" w:color="auto"/>
                  </w:divBdr>
                  <w:divsChild>
                    <w:div w:id="1919710682">
                      <w:marLeft w:val="0"/>
                      <w:marRight w:val="0"/>
                      <w:marTop w:val="0"/>
                      <w:marBottom w:val="0"/>
                      <w:divBdr>
                        <w:top w:val="none" w:sz="0" w:space="0" w:color="auto"/>
                        <w:left w:val="none" w:sz="0" w:space="0" w:color="auto"/>
                        <w:bottom w:val="none" w:sz="0" w:space="0" w:color="auto"/>
                        <w:right w:val="none" w:sz="0" w:space="0" w:color="auto"/>
                      </w:divBdr>
                    </w:div>
                  </w:divsChild>
                </w:div>
                <w:div w:id="1377194526">
                  <w:marLeft w:val="0"/>
                  <w:marRight w:val="0"/>
                  <w:marTop w:val="0"/>
                  <w:marBottom w:val="0"/>
                  <w:divBdr>
                    <w:top w:val="none" w:sz="0" w:space="0" w:color="auto"/>
                    <w:left w:val="none" w:sz="0" w:space="0" w:color="auto"/>
                    <w:bottom w:val="none" w:sz="0" w:space="0" w:color="auto"/>
                    <w:right w:val="none" w:sz="0" w:space="0" w:color="auto"/>
                  </w:divBdr>
                  <w:divsChild>
                    <w:div w:id="101535086">
                      <w:marLeft w:val="0"/>
                      <w:marRight w:val="0"/>
                      <w:marTop w:val="0"/>
                      <w:marBottom w:val="0"/>
                      <w:divBdr>
                        <w:top w:val="none" w:sz="0" w:space="0" w:color="auto"/>
                        <w:left w:val="none" w:sz="0" w:space="0" w:color="auto"/>
                        <w:bottom w:val="none" w:sz="0" w:space="0" w:color="auto"/>
                        <w:right w:val="none" w:sz="0" w:space="0" w:color="auto"/>
                      </w:divBdr>
                    </w:div>
                    <w:div w:id="441346440">
                      <w:marLeft w:val="0"/>
                      <w:marRight w:val="0"/>
                      <w:marTop w:val="0"/>
                      <w:marBottom w:val="0"/>
                      <w:divBdr>
                        <w:top w:val="none" w:sz="0" w:space="0" w:color="auto"/>
                        <w:left w:val="none" w:sz="0" w:space="0" w:color="auto"/>
                        <w:bottom w:val="none" w:sz="0" w:space="0" w:color="auto"/>
                        <w:right w:val="none" w:sz="0" w:space="0" w:color="auto"/>
                      </w:divBdr>
                    </w:div>
                    <w:div w:id="1046565899">
                      <w:marLeft w:val="0"/>
                      <w:marRight w:val="0"/>
                      <w:marTop w:val="0"/>
                      <w:marBottom w:val="0"/>
                      <w:divBdr>
                        <w:top w:val="none" w:sz="0" w:space="0" w:color="auto"/>
                        <w:left w:val="none" w:sz="0" w:space="0" w:color="auto"/>
                        <w:bottom w:val="none" w:sz="0" w:space="0" w:color="auto"/>
                        <w:right w:val="none" w:sz="0" w:space="0" w:color="auto"/>
                      </w:divBdr>
                    </w:div>
                  </w:divsChild>
                </w:div>
                <w:div w:id="1380089599">
                  <w:marLeft w:val="0"/>
                  <w:marRight w:val="0"/>
                  <w:marTop w:val="0"/>
                  <w:marBottom w:val="0"/>
                  <w:divBdr>
                    <w:top w:val="none" w:sz="0" w:space="0" w:color="auto"/>
                    <w:left w:val="none" w:sz="0" w:space="0" w:color="auto"/>
                    <w:bottom w:val="none" w:sz="0" w:space="0" w:color="auto"/>
                    <w:right w:val="none" w:sz="0" w:space="0" w:color="auto"/>
                  </w:divBdr>
                  <w:divsChild>
                    <w:div w:id="1723864254">
                      <w:marLeft w:val="0"/>
                      <w:marRight w:val="0"/>
                      <w:marTop w:val="0"/>
                      <w:marBottom w:val="0"/>
                      <w:divBdr>
                        <w:top w:val="none" w:sz="0" w:space="0" w:color="auto"/>
                        <w:left w:val="none" w:sz="0" w:space="0" w:color="auto"/>
                        <w:bottom w:val="none" w:sz="0" w:space="0" w:color="auto"/>
                        <w:right w:val="none" w:sz="0" w:space="0" w:color="auto"/>
                      </w:divBdr>
                    </w:div>
                  </w:divsChild>
                </w:div>
                <w:div w:id="1480659266">
                  <w:marLeft w:val="0"/>
                  <w:marRight w:val="0"/>
                  <w:marTop w:val="0"/>
                  <w:marBottom w:val="0"/>
                  <w:divBdr>
                    <w:top w:val="none" w:sz="0" w:space="0" w:color="auto"/>
                    <w:left w:val="none" w:sz="0" w:space="0" w:color="auto"/>
                    <w:bottom w:val="none" w:sz="0" w:space="0" w:color="auto"/>
                    <w:right w:val="none" w:sz="0" w:space="0" w:color="auto"/>
                  </w:divBdr>
                  <w:divsChild>
                    <w:div w:id="334186850">
                      <w:marLeft w:val="0"/>
                      <w:marRight w:val="0"/>
                      <w:marTop w:val="0"/>
                      <w:marBottom w:val="0"/>
                      <w:divBdr>
                        <w:top w:val="none" w:sz="0" w:space="0" w:color="auto"/>
                        <w:left w:val="none" w:sz="0" w:space="0" w:color="auto"/>
                        <w:bottom w:val="none" w:sz="0" w:space="0" w:color="auto"/>
                        <w:right w:val="none" w:sz="0" w:space="0" w:color="auto"/>
                      </w:divBdr>
                    </w:div>
                  </w:divsChild>
                </w:div>
                <w:div w:id="1488941407">
                  <w:marLeft w:val="0"/>
                  <w:marRight w:val="0"/>
                  <w:marTop w:val="0"/>
                  <w:marBottom w:val="0"/>
                  <w:divBdr>
                    <w:top w:val="none" w:sz="0" w:space="0" w:color="auto"/>
                    <w:left w:val="none" w:sz="0" w:space="0" w:color="auto"/>
                    <w:bottom w:val="none" w:sz="0" w:space="0" w:color="auto"/>
                    <w:right w:val="none" w:sz="0" w:space="0" w:color="auto"/>
                  </w:divBdr>
                  <w:divsChild>
                    <w:div w:id="2027168226">
                      <w:marLeft w:val="0"/>
                      <w:marRight w:val="0"/>
                      <w:marTop w:val="0"/>
                      <w:marBottom w:val="0"/>
                      <w:divBdr>
                        <w:top w:val="none" w:sz="0" w:space="0" w:color="auto"/>
                        <w:left w:val="none" w:sz="0" w:space="0" w:color="auto"/>
                        <w:bottom w:val="none" w:sz="0" w:space="0" w:color="auto"/>
                        <w:right w:val="none" w:sz="0" w:space="0" w:color="auto"/>
                      </w:divBdr>
                    </w:div>
                    <w:div w:id="2110080921">
                      <w:marLeft w:val="0"/>
                      <w:marRight w:val="0"/>
                      <w:marTop w:val="0"/>
                      <w:marBottom w:val="0"/>
                      <w:divBdr>
                        <w:top w:val="none" w:sz="0" w:space="0" w:color="auto"/>
                        <w:left w:val="none" w:sz="0" w:space="0" w:color="auto"/>
                        <w:bottom w:val="none" w:sz="0" w:space="0" w:color="auto"/>
                        <w:right w:val="none" w:sz="0" w:space="0" w:color="auto"/>
                      </w:divBdr>
                    </w:div>
                  </w:divsChild>
                </w:div>
                <w:div w:id="1494226342">
                  <w:marLeft w:val="0"/>
                  <w:marRight w:val="0"/>
                  <w:marTop w:val="0"/>
                  <w:marBottom w:val="0"/>
                  <w:divBdr>
                    <w:top w:val="none" w:sz="0" w:space="0" w:color="auto"/>
                    <w:left w:val="none" w:sz="0" w:space="0" w:color="auto"/>
                    <w:bottom w:val="none" w:sz="0" w:space="0" w:color="auto"/>
                    <w:right w:val="none" w:sz="0" w:space="0" w:color="auto"/>
                  </w:divBdr>
                  <w:divsChild>
                    <w:div w:id="382599460">
                      <w:marLeft w:val="0"/>
                      <w:marRight w:val="0"/>
                      <w:marTop w:val="0"/>
                      <w:marBottom w:val="0"/>
                      <w:divBdr>
                        <w:top w:val="none" w:sz="0" w:space="0" w:color="auto"/>
                        <w:left w:val="none" w:sz="0" w:space="0" w:color="auto"/>
                        <w:bottom w:val="none" w:sz="0" w:space="0" w:color="auto"/>
                        <w:right w:val="none" w:sz="0" w:space="0" w:color="auto"/>
                      </w:divBdr>
                    </w:div>
                  </w:divsChild>
                </w:div>
                <w:div w:id="1497381250">
                  <w:marLeft w:val="0"/>
                  <w:marRight w:val="0"/>
                  <w:marTop w:val="0"/>
                  <w:marBottom w:val="0"/>
                  <w:divBdr>
                    <w:top w:val="none" w:sz="0" w:space="0" w:color="auto"/>
                    <w:left w:val="none" w:sz="0" w:space="0" w:color="auto"/>
                    <w:bottom w:val="none" w:sz="0" w:space="0" w:color="auto"/>
                    <w:right w:val="none" w:sz="0" w:space="0" w:color="auto"/>
                  </w:divBdr>
                  <w:divsChild>
                    <w:div w:id="1486703994">
                      <w:marLeft w:val="0"/>
                      <w:marRight w:val="0"/>
                      <w:marTop w:val="0"/>
                      <w:marBottom w:val="0"/>
                      <w:divBdr>
                        <w:top w:val="none" w:sz="0" w:space="0" w:color="auto"/>
                        <w:left w:val="none" w:sz="0" w:space="0" w:color="auto"/>
                        <w:bottom w:val="none" w:sz="0" w:space="0" w:color="auto"/>
                        <w:right w:val="none" w:sz="0" w:space="0" w:color="auto"/>
                      </w:divBdr>
                    </w:div>
                  </w:divsChild>
                </w:div>
                <w:div w:id="1525705180">
                  <w:marLeft w:val="0"/>
                  <w:marRight w:val="0"/>
                  <w:marTop w:val="0"/>
                  <w:marBottom w:val="0"/>
                  <w:divBdr>
                    <w:top w:val="none" w:sz="0" w:space="0" w:color="auto"/>
                    <w:left w:val="none" w:sz="0" w:space="0" w:color="auto"/>
                    <w:bottom w:val="none" w:sz="0" w:space="0" w:color="auto"/>
                    <w:right w:val="none" w:sz="0" w:space="0" w:color="auto"/>
                  </w:divBdr>
                  <w:divsChild>
                    <w:div w:id="953706172">
                      <w:marLeft w:val="0"/>
                      <w:marRight w:val="0"/>
                      <w:marTop w:val="0"/>
                      <w:marBottom w:val="0"/>
                      <w:divBdr>
                        <w:top w:val="none" w:sz="0" w:space="0" w:color="auto"/>
                        <w:left w:val="none" w:sz="0" w:space="0" w:color="auto"/>
                        <w:bottom w:val="none" w:sz="0" w:space="0" w:color="auto"/>
                        <w:right w:val="none" w:sz="0" w:space="0" w:color="auto"/>
                      </w:divBdr>
                    </w:div>
                  </w:divsChild>
                </w:div>
                <w:div w:id="1571499370">
                  <w:marLeft w:val="0"/>
                  <w:marRight w:val="0"/>
                  <w:marTop w:val="0"/>
                  <w:marBottom w:val="0"/>
                  <w:divBdr>
                    <w:top w:val="none" w:sz="0" w:space="0" w:color="auto"/>
                    <w:left w:val="none" w:sz="0" w:space="0" w:color="auto"/>
                    <w:bottom w:val="none" w:sz="0" w:space="0" w:color="auto"/>
                    <w:right w:val="none" w:sz="0" w:space="0" w:color="auto"/>
                  </w:divBdr>
                  <w:divsChild>
                    <w:div w:id="1761560507">
                      <w:marLeft w:val="0"/>
                      <w:marRight w:val="0"/>
                      <w:marTop w:val="0"/>
                      <w:marBottom w:val="0"/>
                      <w:divBdr>
                        <w:top w:val="none" w:sz="0" w:space="0" w:color="auto"/>
                        <w:left w:val="none" w:sz="0" w:space="0" w:color="auto"/>
                        <w:bottom w:val="none" w:sz="0" w:space="0" w:color="auto"/>
                        <w:right w:val="none" w:sz="0" w:space="0" w:color="auto"/>
                      </w:divBdr>
                    </w:div>
                    <w:div w:id="1914385588">
                      <w:marLeft w:val="0"/>
                      <w:marRight w:val="0"/>
                      <w:marTop w:val="0"/>
                      <w:marBottom w:val="0"/>
                      <w:divBdr>
                        <w:top w:val="none" w:sz="0" w:space="0" w:color="auto"/>
                        <w:left w:val="none" w:sz="0" w:space="0" w:color="auto"/>
                        <w:bottom w:val="none" w:sz="0" w:space="0" w:color="auto"/>
                        <w:right w:val="none" w:sz="0" w:space="0" w:color="auto"/>
                      </w:divBdr>
                    </w:div>
                    <w:div w:id="2098093926">
                      <w:marLeft w:val="0"/>
                      <w:marRight w:val="0"/>
                      <w:marTop w:val="0"/>
                      <w:marBottom w:val="0"/>
                      <w:divBdr>
                        <w:top w:val="none" w:sz="0" w:space="0" w:color="auto"/>
                        <w:left w:val="none" w:sz="0" w:space="0" w:color="auto"/>
                        <w:bottom w:val="none" w:sz="0" w:space="0" w:color="auto"/>
                        <w:right w:val="none" w:sz="0" w:space="0" w:color="auto"/>
                      </w:divBdr>
                    </w:div>
                  </w:divsChild>
                </w:div>
                <w:div w:id="1585648052">
                  <w:marLeft w:val="0"/>
                  <w:marRight w:val="0"/>
                  <w:marTop w:val="0"/>
                  <w:marBottom w:val="0"/>
                  <w:divBdr>
                    <w:top w:val="none" w:sz="0" w:space="0" w:color="auto"/>
                    <w:left w:val="none" w:sz="0" w:space="0" w:color="auto"/>
                    <w:bottom w:val="none" w:sz="0" w:space="0" w:color="auto"/>
                    <w:right w:val="none" w:sz="0" w:space="0" w:color="auto"/>
                  </w:divBdr>
                  <w:divsChild>
                    <w:div w:id="1335306218">
                      <w:marLeft w:val="0"/>
                      <w:marRight w:val="0"/>
                      <w:marTop w:val="0"/>
                      <w:marBottom w:val="0"/>
                      <w:divBdr>
                        <w:top w:val="none" w:sz="0" w:space="0" w:color="auto"/>
                        <w:left w:val="none" w:sz="0" w:space="0" w:color="auto"/>
                        <w:bottom w:val="none" w:sz="0" w:space="0" w:color="auto"/>
                        <w:right w:val="none" w:sz="0" w:space="0" w:color="auto"/>
                      </w:divBdr>
                    </w:div>
                  </w:divsChild>
                </w:div>
                <w:div w:id="1606884659">
                  <w:marLeft w:val="0"/>
                  <w:marRight w:val="0"/>
                  <w:marTop w:val="0"/>
                  <w:marBottom w:val="0"/>
                  <w:divBdr>
                    <w:top w:val="none" w:sz="0" w:space="0" w:color="auto"/>
                    <w:left w:val="none" w:sz="0" w:space="0" w:color="auto"/>
                    <w:bottom w:val="none" w:sz="0" w:space="0" w:color="auto"/>
                    <w:right w:val="none" w:sz="0" w:space="0" w:color="auto"/>
                  </w:divBdr>
                  <w:divsChild>
                    <w:div w:id="1166440382">
                      <w:marLeft w:val="0"/>
                      <w:marRight w:val="0"/>
                      <w:marTop w:val="0"/>
                      <w:marBottom w:val="0"/>
                      <w:divBdr>
                        <w:top w:val="none" w:sz="0" w:space="0" w:color="auto"/>
                        <w:left w:val="none" w:sz="0" w:space="0" w:color="auto"/>
                        <w:bottom w:val="none" w:sz="0" w:space="0" w:color="auto"/>
                        <w:right w:val="none" w:sz="0" w:space="0" w:color="auto"/>
                      </w:divBdr>
                    </w:div>
                  </w:divsChild>
                </w:div>
                <w:div w:id="1655601208">
                  <w:marLeft w:val="0"/>
                  <w:marRight w:val="0"/>
                  <w:marTop w:val="0"/>
                  <w:marBottom w:val="0"/>
                  <w:divBdr>
                    <w:top w:val="none" w:sz="0" w:space="0" w:color="auto"/>
                    <w:left w:val="none" w:sz="0" w:space="0" w:color="auto"/>
                    <w:bottom w:val="none" w:sz="0" w:space="0" w:color="auto"/>
                    <w:right w:val="none" w:sz="0" w:space="0" w:color="auto"/>
                  </w:divBdr>
                  <w:divsChild>
                    <w:div w:id="12415810">
                      <w:marLeft w:val="0"/>
                      <w:marRight w:val="0"/>
                      <w:marTop w:val="0"/>
                      <w:marBottom w:val="0"/>
                      <w:divBdr>
                        <w:top w:val="none" w:sz="0" w:space="0" w:color="auto"/>
                        <w:left w:val="none" w:sz="0" w:space="0" w:color="auto"/>
                        <w:bottom w:val="none" w:sz="0" w:space="0" w:color="auto"/>
                        <w:right w:val="none" w:sz="0" w:space="0" w:color="auto"/>
                      </w:divBdr>
                    </w:div>
                  </w:divsChild>
                </w:div>
                <w:div w:id="1722437039">
                  <w:marLeft w:val="0"/>
                  <w:marRight w:val="0"/>
                  <w:marTop w:val="0"/>
                  <w:marBottom w:val="0"/>
                  <w:divBdr>
                    <w:top w:val="none" w:sz="0" w:space="0" w:color="auto"/>
                    <w:left w:val="none" w:sz="0" w:space="0" w:color="auto"/>
                    <w:bottom w:val="none" w:sz="0" w:space="0" w:color="auto"/>
                    <w:right w:val="none" w:sz="0" w:space="0" w:color="auto"/>
                  </w:divBdr>
                  <w:divsChild>
                    <w:div w:id="561330102">
                      <w:marLeft w:val="0"/>
                      <w:marRight w:val="0"/>
                      <w:marTop w:val="0"/>
                      <w:marBottom w:val="0"/>
                      <w:divBdr>
                        <w:top w:val="none" w:sz="0" w:space="0" w:color="auto"/>
                        <w:left w:val="none" w:sz="0" w:space="0" w:color="auto"/>
                        <w:bottom w:val="none" w:sz="0" w:space="0" w:color="auto"/>
                        <w:right w:val="none" w:sz="0" w:space="0" w:color="auto"/>
                      </w:divBdr>
                    </w:div>
                    <w:div w:id="658775261">
                      <w:marLeft w:val="0"/>
                      <w:marRight w:val="0"/>
                      <w:marTop w:val="0"/>
                      <w:marBottom w:val="0"/>
                      <w:divBdr>
                        <w:top w:val="none" w:sz="0" w:space="0" w:color="auto"/>
                        <w:left w:val="none" w:sz="0" w:space="0" w:color="auto"/>
                        <w:bottom w:val="none" w:sz="0" w:space="0" w:color="auto"/>
                        <w:right w:val="none" w:sz="0" w:space="0" w:color="auto"/>
                      </w:divBdr>
                    </w:div>
                    <w:div w:id="1307931372">
                      <w:marLeft w:val="0"/>
                      <w:marRight w:val="0"/>
                      <w:marTop w:val="0"/>
                      <w:marBottom w:val="0"/>
                      <w:divBdr>
                        <w:top w:val="none" w:sz="0" w:space="0" w:color="auto"/>
                        <w:left w:val="none" w:sz="0" w:space="0" w:color="auto"/>
                        <w:bottom w:val="none" w:sz="0" w:space="0" w:color="auto"/>
                        <w:right w:val="none" w:sz="0" w:space="0" w:color="auto"/>
                      </w:divBdr>
                    </w:div>
                    <w:div w:id="1382948514">
                      <w:marLeft w:val="0"/>
                      <w:marRight w:val="0"/>
                      <w:marTop w:val="0"/>
                      <w:marBottom w:val="0"/>
                      <w:divBdr>
                        <w:top w:val="none" w:sz="0" w:space="0" w:color="auto"/>
                        <w:left w:val="none" w:sz="0" w:space="0" w:color="auto"/>
                        <w:bottom w:val="none" w:sz="0" w:space="0" w:color="auto"/>
                        <w:right w:val="none" w:sz="0" w:space="0" w:color="auto"/>
                      </w:divBdr>
                    </w:div>
                  </w:divsChild>
                </w:div>
                <w:div w:id="1750153247">
                  <w:marLeft w:val="0"/>
                  <w:marRight w:val="0"/>
                  <w:marTop w:val="0"/>
                  <w:marBottom w:val="0"/>
                  <w:divBdr>
                    <w:top w:val="none" w:sz="0" w:space="0" w:color="auto"/>
                    <w:left w:val="none" w:sz="0" w:space="0" w:color="auto"/>
                    <w:bottom w:val="none" w:sz="0" w:space="0" w:color="auto"/>
                    <w:right w:val="none" w:sz="0" w:space="0" w:color="auto"/>
                  </w:divBdr>
                  <w:divsChild>
                    <w:div w:id="114371004">
                      <w:marLeft w:val="0"/>
                      <w:marRight w:val="0"/>
                      <w:marTop w:val="0"/>
                      <w:marBottom w:val="0"/>
                      <w:divBdr>
                        <w:top w:val="none" w:sz="0" w:space="0" w:color="auto"/>
                        <w:left w:val="none" w:sz="0" w:space="0" w:color="auto"/>
                        <w:bottom w:val="none" w:sz="0" w:space="0" w:color="auto"/>
                        <w:right w:val="none" w:sz="0" w:space="0" w:color="auto"/>
                      </w:divBdr>
                    </w:div>
                    <w:div w:id="634995025">
                      <w:marLeft w:val="0"/>
                      <w:marRight w:val="0"/>
                      <w:marTop w:val="0"/>
                      <w:marBottom w:val="0"/>
                      <w:divBdr>
                        <w:top w:val="none" w:sz="0" w:space="0" w:color="auto"/>
                        <w:left w:val="none" w:sz="0" w:space="0" w:color="auto"/>
                        <w:bottom w:val="none" w:sz="0" w:space="0" w:color="auto"/>
                        <w:right w:val="none" w:sz="0" w:space="0" w:color="auto"/>
                      </w:divBdr>
                    </w:div>
                    <w:div w:id="1286037431">
                      <w:marLeft w:val="0"/>
                      <w:marRight w:val="0"/>
                      <w:marTop w:val="0"/>
                      <w:marBottom w:val="0"/>
                      <w:divBdr>
                        <w:top w:val="none" w:sz="0" w:space="0" w:color="auto"/>
                        <w:left w:val="none" w:sz="0" w:space="0" w:color="auto"/>
                        <w:bottom w:val="none" w:sz="0" w:space="0" w:color="auto"/>
                        <w:right w:val="none" w:sz="0" w:space="0" w:color="auto"/>
                      </w:divBdr>
                    </w:div>
                  </w:divsChild>
                </w:div>
                <w:div w:id="1767850503">
                  <w:marLeft w:val="0"/>
                  <w:marRight w:val="0"/>
                  <w:marTop w:val="0"/>
                  <w:marBottom w:val="0"/>
                  <w:divBdr>
                    <w:top w:val="none" w:sz="0" w:space="0" w:color="auto"/>
                    <w:left w:val="none" w:sz="0" w:space="0" w:color="auto"/>
                    <w:bottom w:val="none" w:sz="0" w:space="0" w:color="auto"/>
                    <w:right w:val="none" w:sz="0" w:space="0" w:color="auto"/>
                  </w:divBdr>
                  <w:divsChild>
                    <w:div w:id="93214345">
                      <w:marLeft w:val="0"/>
                      <w:marRight w:val="0"/>
                      <w:marTop w:val="0"/>
                      <w:marBottom w:val="0"/>
                      <w:divBdr>
                        <w:top w:val="none" w:sz="0" w:space="0" w:color="auto"/>
                        <w:left w:val="none" w:sz="0" w:space="0" w:color="auto"/>
                        <w:bottom w:val="none" w:sz="0" w:space="0" w:color="auto"/>
                        <w:right w:val="none" w:sz="0" w:space="0" w:color="auto"/>
                      </w:divBdr>
                    </w:div>
                  </w:divsChild>
                </w:div>
                <w:div w:id="1779178599">
                  <w:marLeft w:val="0"/>
                  <w:marRight w:val="0"/>
                  <w:marTop w:val="0"/>
                  <w:marBottom w:val="0"/>
                  <w:divBdr>
                    <w:top w:val="none" w:sz="0" w:space="0" w:color="auto"/>
                    <w:left w:val="none" w:sz="0" w:space="0" w:color="auto"/>
                    <w:bottom w:val="none" w:sz="0" w:space="0" w:color="auto"/>
                    <w:right w:val="none" w:sz="0" w:space="0" w:color="auto"/>
                  </w:divBdr>
                  <w:divsChild>
                    <w:div w:id="161631016">
                      <w:marLeft w:val="0"/>
                      <w:marRight w:val="0"/>
                      <w:marTop w:val="0"/>
                      <w:marBottom w:val="0"/>
                      <w:divBdr>
                        <w:top w:val="none" w:sz="0" w:space="0" w:color="auto"/>
                        <w:left w:val="none" w:sz="0" w:space="0" w:color="auto"/>
                        <w:bottom w:val="none" w:sz="0" w:space="0" w:color="auto"/>
                        <w:right w:val="none" w:sz="0" w:space="0" w:color="auto"/>
                      </w:divBdr>
                    </w:div>
                    <w:div w:id="1722483352">
                      <w:marLeft w:val="0"/>
                      <w:marRight w:val="0"/>
                      <w:marTop w:val="0"/>
                      <w:marBottom w:val="0"/>
                      <w:divBdr>
                        <w:top w:val="none" w:sz="0" w:space="0" w:color="auto"/>
                        <w:left w:val="none" w:sz="0" w:space="0" w:color="auto"/>
                        <w:bottom w:val="none" w:sz="0" w:space="0" w:color="auto"/>
                        <w:right w:val="none" w:sz="0" w:space="0" w:color="auto"/>
                      </w:divBdr>
                    </w:div>
                  </w:divsChild>
                </w:div>
                <w:div w:id="1826703308">
                  <w:marLeft w:val="0"/>
                  <w:marRight w:val="0"/>
                  <w:marTop w:val="0"/>
                  <w:marBottom w:val="0"/>
                  <w:divBdr>
                    <w:top w:val="none" w:sz="0" w:space="0" w:color="auto"/>
                    <w:left w:val="none" w:sz="0" w:space="0" w:color="auto"/>
                    <w:bottom w:val="none" w:sz="0" w:space="0" w:color="auto"/>
                    <w:right w:val="none" w:sz="0" w:space="0" w:color="auto"/>
                  </w:divBdr>
                  <w:divsChild>
                    <w:div w:id="108594175">
                      <w:marLeft w:val="0"/>
                      <w:marRight w:val="0"/>
                      <w:marTop w:val="0"/>
                      <w:marBottom w:val="0"/>
                      <w:divBdr>
                        <w:top w:val="none" w:sz="0" w:space="0" w:color="auto"/>
                        <w:left w:val="none" w:sz="0" w:space="0" w:color="auto"/>
                        <w:bottom w:val="none" w:sz="0" w:space="0" w:color="auto"/>
                        <w:right w:val="none" w:sz="0" w:space="0" w:color="auto"/>
                      </w:divBdr>
                    </w:div>
                    <w:div w:id="489173039">
                      <w:marLeft w:val="0"/>
                      <w:marRight w:val="0"/>
                      <w:marTop w:val="0"/>
                      <w:marBottom w:val="0"/>
                      <w:divBdr>
                        <w:top w:val="none" w:sz="0" w:space="0" w:color="auto"/>
                        <w:left w:val="none" w:sz="0" w:space="0" w:color="auto"/>
                        <w:bottom w:val="none" w:sz="0" w:space="0" w:color="auto"/>
                        <w:right w:val="none" w:sz="0" w:space="0" w:color="auto"/>
                      </w:divBdr>
                    </w:div>
                    <w:div w:id="1387490858">
                      <w:marLeft w:val="0"/>
                      <w:marRight w:val="0"/>
                      <w:marTop w:val="0"/>
                      <w:marBottom w:val="0"/>
                      <w:divBdr>
                        <w:top w:val="none" w:sz="0" w:space="0" w:color="auto"/>
                        <w:left w:val="none" w:sz="0" w:space="0" w:color="auto"/>
                        <w:bottom w:val="none" w:sz="0" w:space="0" w:color="auto"/>
                        <w:right w:val="none" w:sz="0" w:space="0" w:color="auto"/>
                      </w:divBdr>
                    </w:div>
                  </w:divsChild>
                </w:div>
                <w:div w:id="1867400409">
                  <w:marLeft w:val="0"/>
                  <w:marRight w:val="0"/>
                  <w:marTop w:val="0"/>
                  <w:marBottom w:val="0"/>
                  <w:divBdr>
                    <w:top w:val="none" w:sz="0" w:space="0" w:color="auto"/>
                    <w:left w:val="none" w:sz="0" w:space="0" w:color="auto"/>
                    <w:bottom w:val="none" w:sz="0" w:space="0" w:color="auto"/>
                    <w:right w:val="none" w:sz="0" w:space="0" w:color="auto"/>
                  </w:divBdr>
                  <w:divsChild>
                    <w:div w:id="1310743474">
                      <w:marLeft w:val="0"/>
                      <w:marRight w:val="0"/>
                      <w:marTop w:val="0"/>
                      <w:marBottom w:val="0"/>
                      <w:divBdr>
                        <w:top w:val="none" w:sz="0" w:space="0" w:color="auto"/>
                        <w:left w:val="none" w:sz="0" w:space="0" w:color="auto"/>
                        <w:bottom w:val="none" w:sz="0" w:space="0" w:color="auto"/>
                        <w:right w:val="none" w:sz="0" w:space="0" w:color="auto"/>
                      </w:divBdr>
                    </w:div>
                  </w:divsChild>
                </w:div>
                <w:div w:id="1891333590">
                  <w:marLeft w:val="0"/>
                  <w:marRight w:val="0"/>
                  <w:marTop w:val="0"/>
                  <w:marBottom w:val="0"/>
                  <w:divBdr>
                    <w:top w:val="none" w:sz="0" w:space="0" w:color="auto"/>
                    <w:left w:val="none" w:sz="0" w:space="0" w:color="auto"/>
                    <w:bottom w:val="none" w:sz="0" w:space="0" w:color="auto"/>
                    <w:right w:val="none" w:sz="0" w:space="0" w:color="auto"/>
                  </w:divBdr>
                  <w:divsChild>
                    <w:div w:id="1260799981">
                      <w:marLeft w:val="0"/>
                      <w:marRight w:val="0"/>
                      <w:marTop w:val="0"/>
                      <w:marBottom w:val="0"/>
                      <w:divBdr>
                        <w:top w:val="none" w:sz="0" w:space="0" w:color="auto"/>
                        <w:left w:val="none" w:sz="0" w:space="0" w:color="auto"/>
                        <w:bottom w:val="none" w:sz="0" w:space="0" w:color="auto"/>
                        <w:right w:val="none" w:sz="0" w:space="0" w:color="auto"/>
                      </w:divBdr>
                    </w:div>
                  </w:divsChild>
                </w:div>
                <w:div w:id="1891845629">
                  <w:marLeft w:val="0"/>
                  <w:marRight w:val="0"/>
                  <w:marTop w:val="0"/>
                  <w:marBottom w:val="0"/>
                  <w:divBdr>
                    <w:top w:val="none" w:sz="0" w:space="0" w:color="auto"/>
                    <w:left w:val="none" w:sz="0" w:space="0" w:color="auto"/>
                    <w:bottom w:val="none" w:sz="0" w:space="0" w:color="auto"/>
                    <w:right w:val="none" w:sz="0" w:space="0" w:color="auto"/>
                  </w:divBdr>
                  <w:divsChild>
                    <w:div w:id="409619289">
                      <w:marLeft w:val="0"/>
                      <w:marRight w:val="0"/>
                      <w:marTop w:val="0"/>
                      <w:marBottom w:val="0"/>
                      <w:divBdr>
                        <w:top w:val="none" w:sz="0" w:space="0" w:color="auto"/>
                        <w:left w:val="none" w:sz="0" w:space="0" w:color="auto"/>
                        <w:bottom w:val="none" w:sz="0" w:space="0" w:color="auto"/>
                        <w:right w:val="none" w:sz="0" w:space="0" w:color="auto"/>
                      </w:divBdr>
                    </w:div>
                    <w:div w:id="948975616">
                      <w:marLeft w:val="0"/>
                      <w:marRight w:val="0"/>
                      <w:marTop w:val="0"/>
                      <w:marBottom w:val="0"/>
                      <w:divBdr>
                        <w:top w:val="none" w:sz="0" w:space="0" w:color="auto"/>
                        <w:left w:val="none" w:sz="0" w:space="0" w:color="auto"/>
                        <w:bottom w:val="none" w:sz="0" w:space="0" w:color="auto"/>
                        <w:right w:val="none" w:sz="0" w:space="0" w:color="auto"/>
                      </w:divBdr>
                    </w:div>
                    <w:div w:id="2143837775">
                      <w:marLeft w:val="0"/>
                      <w:marRight w:val="0"/>
                      <w:marTop w:val="0"/>
                      <w:marBottom w:val="0"/>
                      <w:divBdr>
                        <w:top w:val="none" w:sz="0" w:space="0" w:color="auto"/>
                        <w:left w:val="none" w:sz="0" w:space="0" w:color="auto"/>
                        <w:bottom w:val="none" w:sz="0" w:space="0" w:color="auto"/>
                        <w:right w:val="none" w:sz="0" w:space="0" w:color="auto"/>
                      </w:divBdr>
                    </w:div>
                  </w:divsChild>
                </w:div>
                <w:div w:id="1908419527">
                  <w:marLeft w:val="0"/>
                  <w:marRight w:val="0"/>
                  <w:marTop w:val="0"/>
                  <w:marBottom w:val="0"/>
                  <w:divBdr>
                    <w:top w:val="none" w:sz="0" w:space="0" w:color="auto"/>
                    <w:left w:val="none" w:sz="0" w:space="0" w:color="auto"/>
                    <w:bottom w:val="none" w:sz="0" w:space="0" w:color="auto"/>
                    <w:right w:val="none" w:sz="0" w:space="0" w:color="auto"/>
                  </w:divBdr>
                  <w:divsChild>
                    <w:div w:id="771318794">
                      <w:marLeft w:val="0"/>
                      <w:marRight w:val="0"/>
                      <w:marTop w:val="0"/>
                      <w:marBottom w:val="0"/>
                      <w:divBdr>
                        <w:top w:val="none" w:sz="0" w:space="0" w:color="auto"/>
                        <w:left w:val="none" w:sz="0" w:space="0" w:color="auto"/>
                        <w:bottom w:val="none" w:sz="0" w:space="0" w:color="auto"/>
                        <w:right w:val="none" w:sz="0" w:space="0" w:color="auto"/>
                      </w:divBdr>
                    </w:div>
                  </w:divsChild>
                </w:div>
                <w:div w:id="1945460532">
                  <w:marLeft w:val="0"/>
                  <w:marRight w:val="0"/>
                  <w:marTop w:val="0"/>
                  <w:marBottom w:val="0"/>
                  <w:divBdr>
                    <w:top w:val="none" w:sz="0" w:space="0" w:color="auto"/>
                    <w:left w:val="none" w:sz="0" w:space="0" w:color="auto"/>
                    <w:bottom w:val="none" w:sz="0" w:space="0" w:color="auto"/>
                    <w:right w:val="none" w:sz="0" w:space="0" w:color="auto"/>
                  </w:divBdr>
                  <w:divsChild>
                    <w:div w:id="780997009">
                      <w:marLeft w:val="0"/>
                      <w:marRight w:val="0"/>
                      <w:marTop w:val="0"/>
                      <w:marBottom w:val="0"/>
                      <w:divBdr>
                        <w:top w:val="none" w:sz="0" w:space="0" w:color="auto"/>
                        <w:left w:val="none" w:sz="0" w:space="0" w:color="auto"/>
                        <w:bottom w:val="none" w:sz="0" w:space="0" w:color="auto"/>
                        <w:right w:val="none" w:sz="0" w:space="0" w:color="auto"/>
                      </w:divBdr>
                    </w:div>
                  </w:divsChild>
                </w:div>
                <w:div w:id="1955551448">
                  <w:marLeft w:val="0"/>
                  <w:marRight w:val="0"/>
                  <w:marTop w:val="0"/>
                  <w:marBottom w:val="0"/>
                  <w:divBdr>
                    <w:top w:val="none" w:sz="0" w:space="0" w:color="auto"/>
                    <w:left w:val="none" w:sz="0" w:space="0" w:color="auto"/>
                    <w:bottom w:val="none" w:sz="0" w:space="0" w:color="auto"/>
                    <w:right w:val="none" w:sz="0" w:space="0" w:color="auto"/>
                  </w:divBdr>
                  <w:divsChild>
                    <w:div w:id="947005656">
                      <w:marLeft w:val="0"/>
                      <w:marRight w:val="0"/>
                      <w:marTop w:val="0"/>
                      <w:marBottom w:val="0"/>
                      <w:divBdr>
                        <w:top w:val="none" w:sz="0" w:space="0" w:color="auto"/>
                        <w:left w:val="none" w:sz="0" w:space="0" w:color="auto"/>
                        <w:bottom w:val="none" w:sz="0" w:space="0" w:color="auto"/>
                        <w:right w:val="none" w:sz="0" w:space="0" w:color="auto"/>
                      </w:divBdr>
                    </w:div>
                    <w:div w:id="1926570066">
                      <w:marLeft w:val="0"/>
                      <w:marRight w:val="0"/>
                      <w:marTop w:val="0"/>
                      <w:marBottom w:val="0"/>
                      <w:divBdr>
                        <w:top w:val="none" w:sz="0" w:space="0" w:color="auto"/>
                        <w:left w:val="none" w:sz="0" w:space="0" w:color="auto"/>
                        <w:bottom w:val="none" w:sz="0" w:space="0" w:color="auto"/>
                        <w:right w:val="none" w:sz="0" w:space="0" w:color="auto"/>
                      </w:divBdr>
                    </w:div>
                  </w:divsChild>
                </w:div>
                <w:div w:id="2045403745">
                  <w:marLeft w:val="0"/>
                  <w:marRight w:val="0"/>
                  <w:marTop w:val="0"/>
                  <w:marBottom w:val="0"/>
                  <w:divBdr>
                    <w:top w:val="none" w:sz="0" w:space="0" w:color="auto"/>
                    <w:left w:val="none" w:sz="0" w:space="0" w:color="auto"/>
                    <w:bottom w:val="none" w:sz="0" w:space="0" w:color="auto"/>
                    <w:right w:val="none" w:sz="0" w:space="0" w:color="auto"/>
                  </w:divBdr>
                  <w:divsChild>
                    <w:div w:id="780494925">
                      <w:marLeft w:val="0"/>
                      <w:marRight w:val="0"/>
                      <w:marTop w:val="0"/>
                      <w:marBottom w:val="0"/>
                      <w:divBdr>
                        <w:top w:val="none" w:sz="0" w:space="0" w:color="auto"/>
                        <w:left w:val="none" w:sz="0" w:space="0" w:color="auto"/>
                        <w:bottom w:val="none" w:sz="0" w:space="0" w:color="auto"/>
                        <w:right w:val="none" w:sz="0" w:space="0" w:color="auto"/>
                      </w:divBdr>
                    </w:div>
                  </w:divsChild>
                </w:div>
                <w:div w:id="2052685541">
                  <w:marLeft w:val="0"/>
                  <w:marRight w:val="0"/>
                  <w:marTop w:val="0"/>
                  <w:marBottom w:val="0"/>
                  <w:divBdr>
                    <w:top w:val="none" w:sz="0" w:space="0" w:color="auto"/>
                    <w:left w:val="none" w:sz="0" w:space="0" w:color="auto"/>
                    <w:bottom w:val="none" w:sz="0" w:space="0" w:color="auto"/>
                    <w:right w:val="none" w:sz="0" w:space="0" w:color="auto"/>
                  </w:divBdr>
                  <w:divsChild>
                    <w:div w:id="2127460280">
                      <w:marLeft w:val="0"/>
                      <w:marRight w:val="0"/>
                      <w:marTop w:val="0"/>
                      <w:marBottom w:val="0"/>
                      <w:divBdr>
                        <w:top w:val="none" w:sz="0" w:space="0" w:color="auto"/>
                        <w:left w:val="none" w:sz="0" w:space="0" w:color="auto"/>
                        <w:bottom w:val="none" w:sz="0" w:space="0" w:color="auto"/>
                        <w:right w:val="none" w:sz="0" w:space="0" w:color="auto"/>
                      </w:divBdr>
                    </w:div>
                  </w:divsChild>
                </w:div>
                <w:div w:id="2083671212">
                  <w:marLeft w:val="0"/>
                  <w:marRight w:val="0"/>
                  <w:marTop w:val="0"/>
                  <w:marBottom w:val="0"/>
                  <w:divBdr>
                    <w:top w:val="none" w:sz="0" w:space="0" w:color="auto"/>
                    <w:left w:val="none" w:sz="0" w:space="0" w:color="auto"/>
                    <w:bottom w:val="none" w:sz="0" w:space="0" w:color="auto"/>
                    <w:right w:val="none" w:sz="0" w:space="0" w:color="auto"/>
                  </w:divBdr>
                  <w:divsChild>
                    <w:div w:id="352387132">
                      <w:marLeft w:val="0"/>
                      <w:marRight w:val="0"/>
                      <w:marTop w:val="0"/>
                      <w:marBottom w:val="0"/>
                      <w:divBdr>
                        <w:top w:val="none" w:sz="0" w:space="0" w:color="auto"/>
                        <w:left w:val="none" w:sz="0" w:space="0" w:color="auto"/>
                        <w:bottom w:val="none" w:sz="0" w:space="0" w:color="auto"/>
                        <w:right w:val="none" w:sz="0" w:space="0" w:color="auto"/>
                      </w:divBdr>
                    </w:div>
                    <w:div w:id="2079788776">
                      <w:marLeft w:val="0"/>
                      <w:marRight w:val="0"/>
                      <w:marTop w:val="0"/>
                      <w:marBottom w:val="0"/>
                      <w:divBdr>
                        <w:top w:val="none" w:sz="0" w:space="0" w:color="auto"/>
                        <w:left w:val="none" w:sz="0" w:space="0" w:color="auto"/>
                        <w:bottom w:val="none" w:sz="0" w:space="0" w:color="auto"/>
                        <w:right w:val="none" w:sz="0" w:space="0" w:color="auto"/>
                      </w:divBdr>
                    </w:div>
                  </w:divsChild>
                </w:div>
                <w:div w:id="2119712870">
                  <w:marLeft w:val="0"/>
                  <w:marRight w:val="0"/>
                  <w:marTop w:val="0"/>
                  <w:marBottom w:val="0"/>
                  <w:divBdr>
                    <w:top w:val="none" w:sz="0" w:space="0" w:color="auto"/>
                    <w:left w:val="none" w:sz="0" w:space="0" w:color="auto"/>
                    <w:bottom w:val="none" w:sz="0" w:space="0" w:color="auto"/>
                    <w:right w:val="none" w:sz="0" w:space="0" w:color="auto"/>
                  </w:divBdr>
                  <w:divsChild>
                    <w:div w:id="1129207911">
                      <w:marLeft w:val="0"/>
                      <w:marRight w:val="0"/>
                      <w:marTop w:val="0"/>
                      <w:marBottom w:val="0"/>
                      <w:divBdr>
                        <w:top w:val="none" w:sz="0" w:space="0" w:color="auto"/>
                        <w:left w:val="none" w:sz="0" w:space="0" w:color="auto"/>
                        <w:bottom w:val="none" w:sz="0" w:space="0" w:color="auto"/>
                        <w:right w:val="none" w:sz="0" w:space="0" w:color="auto"/>
                      </w:divBdr>
                    </w:div>
                  </w:divsChild>
                </w:div>
                <w:div w:id="2122021096">
                  <w:marLeft w:val="0"/>
                  <w:marRight w:val="0"/>
                  <w:marTop w:val="0"/>
                  <w:marBottom w:val="0"/>
                  <w:divBdr>
                    <w:top w:val="none" w:sz="0" w:space="0" w:color="auto"/>
                    <w:left w:val="none" w:sz="0" w:space="0" w:color="auto"/>
                    <w:bottom w:val="none" w:sz="0" w:space="0" w:color="auto"/>
                    <w:right w:val="none" w:sz="0" w:space="0" w:color="auto"/>
                  </w:divBdr>
                  <w:divsChild>
                    <w:div w:id="288975592">
                      <w:marLeft w:val="0"/>
                      <w:marRight w:val="0"/>
                      <w:marTop w:val="0"/>
                      <w:marBottom w:val="0"/>
                      <w:divBdr>
                        <w:top w:val="none" w:sz="0" w:space="0" w:color="auto"/>
                        <w:left w:val="none" w:sz="0" w:space="0" w:color="auto"/>
                        <w:bottom w:val="none" w:sz="0" w:space="0" w:color="auto"/>
                        <w:right w:val="none" w:sz="0" w:space="0" w:color="auto"/>
                      </w:divBdr>
                    </w:div>
                  </w:divsChild>
                </w:div>
                <w:div w:id="2125879320">
                  <w:marLeft w:val="0"/>
                  <w:marRight w:val="0"/>
                  <w:marTop w:val="0"/>
                  <w:marBottom w:val="0"/>
                  <w:divBdr>
                    <w:top w:val="none" w:sz="0" w:space="0" w:color="auto"/>
                    <w:left w:val="none" w:sz="0" w:space="0" w:color="auto"/>
                    <w:bottom w:val="none" w:sz="0" w:space="0" w:color="auto"/>
                    <w:right w:val="none" w:sz="0" w:space="0" w:color="auto"/>
                  </w:divBdr>
                  <w:divsChild>
                    <w:div w:id="1532837325">
                      <w:marLeft w:val="0"/>
                      <w:marRight w:val="0"/>
                      <w:marTop w:val="0"/>
                      <w:marBottom w:val="0"/>
                      <w:divBdr>
                        <w:top w:val="none" w:sz="0" w:space="0" w:color="auto"/>
                        <w:left w:val="none" w:sz="0" w:space="0" w:color="auto"/>
                        <w:bottom w:val="none" w:sz="0" w:space="0" w:color="auto"/>
                        <w:right w:val="none" w:sz="0" w:space="0" w:color="auto"/>
                      </w:divBdr>
                    </w:div>
                  </w:divsChild>
                </w:div>
                <w:div w:id="2126384053">
                  <w:marLeft w:val="0"/>
                  <w:marRight w:val="0"/>
                  <w:marTop w:val="0"/>
                  <w:marBottom w:val="0"/>
                  <w:divBdr>
                    <w:top w:val="none" w:sz="0" w:space="0" w:color="auto"/>
                    <w:left w:val="none" w:sz="0" w:space="0" w:color="auto"/>
                    <w:bottom w:val="none" w:sz="0" w:space="0" w:color="auto"/>
                    <w:right w:val="none" w:sz="0" w:space="0" w:color="auto"/>
                  </w:divBdr>
                  <w:divsChild>
                    <w:div w:id="18858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058121">
      <w:bodyDiv w:val="1"/>
      <w:marLeft w:val="0"/>
      <w:marRight w:val="0"/>
      <w:marTop w:val="0"/>
      <w:marBottom w:val="0"/>
      <w:divBdr>
        <w:top w:val="none" w:sz="0" w:space="0" w:color="auto"/>
        <w:left w:val="none" w:sz="0" w:space="0" w:color="auto"/>
        <w:bottom w:val="none" w:sz="0" w:space="0" w:color="auto"/>
        <w:right w:val="none" w:sz="0" w:space="0" w:color="auto"/>
      </w:divBdr>
      <w:divsChild>
        <w:div w:id="22823506">
          <w:marLeft w:val="0"/>
          <w:marRight w:val="0"/>
          <w:marTop w:val="0"/>
          <w:marBottom w:val="0"/>
          <w:divBdr>
            <w:top w:val="none" w:sz="0" w:space="0" w:color="auto"/>
            <w:left w:val="none" w:sz="0" w:space="0" w:color="auto"/>
            <w:bottom w:val="none" w:sz="0" w:space="0" w:color="auto"/>
            <w:right w:val="none" w:sz="0" w:space="0" w:color="auto"/>
          </w:divBdr>
        </w:div>
        <w:div w:id="35472552">
          <w:marLeft w:val="0"/>
          <w:marRight w:val="0"/>
          <w:marTop w:val="0"/>
          <w:marBottom w:val="0"/>
          <w:divBdr>
            <w:top w:val="none" w:sz="0" w:space="0" w:color="auto"/>
            <w:left w:val="none" w:sz="0" w:space="0" w:color="auto"/>
            <w:bottom w:val="none" w:sz="0" w:space="0" w:color="auto"/>
            <w:right w:val="none" w:sz="0" w:space="0" w:color="auto"/>
          </w:divBdr>
        </w:div>
        <w:div w:id="342710429">
          <w:marLeft w:val="0"/>
          <w:marRight w:val="0"/>
          <w:marTop w:val="0"/>
          <w:marBottom w:val="0"/>
          <w:divBdr>
            <w:top w:val="none" w:sz="0" w:space="0" w:color="auto"/>
            <w:left w:val="none" w:sz="0" w:space="0" w:color="auto"/>
            <w:bottom w:val="none" w:sz="0" w:space="0" w:color="auto"/>
            <w:right w:val="none" w:sz="0" w:space="0" w:color="auto"/>
          </w:divBdr>
        </w:div>
        <w:div w:id="526984230">
          <w:marLeft w:val="0"/>
          <w:marRight w:val="0"/>
          <w:marTop w:val="0"/>
          <w:marBottom w:val="0"/>
          <w:divBdr>
            <w:top w:val="none" w:sz="0" w:space="0" w:color="auto"/>
            <w:left w:val="none" w:sz="0" w:space="0" w:color="auto"/>
            <w:bottom w:val="none" w:sz="0" w:space="0" w:color="auto"/>
            <w:right w:val="none" w:sz="0" w:space="0" w:color="auto"/>
          </w:divBdr>
        </w:div>
        <w:div w:id="1323503299">
          <w:marLeft w:val="0"/>
          <w:marRight w:val="0"/>
          <w:marTop w:val="0"/>
          <w:marBottom w:val="0"/>
          <w:divBdr>
            <w:top w:val="none" w:sz="0" w:space="0" w:color="auto"/>
            <w:left w:val="none" w:sz="0" w:space="0" w:color="auto"/>
            <w:bottom w:val="none" w:sz="0" w:space="0" w:color="auto"/>
            <w:right w:val="none" w:sz="0" w:space="0" w:color="auto"/>
          </w:divBdr>
        </w:div>
        <w:div w:id="1549948767">
          <w:marLeft w:val="0"/>
          <w:marRight w:val="0"/>
          <w:marTop w:val="0"/>
          <w:marBottom w:val="0"/>
          <w:divBdr>
            <w:top w:val="none" w:sz="0" w:space="0" w:color="auto"/>
            <w:left w:val="none" w:sz="0" w:space="0" w:color="auto"/>
            <w:bottom w:val="none" w:sz="0" w:space="0" w:color="auto"/>
            <w:right w:val="none" w:sz="0" w:space="0" w:color="auto"/>
          </w:divBdr>
        </w:div>
        <w:div w:id="1623807266">
          <w:marLeft w:val="0"/>
          <w:marRight w:val="0"/>
          <w:marTop w:val="0"/>
          <w:marBottom w:val="0"/>
          <w:divBdr>
            <w:top w:val="none" w:sz="0" w:space="0" w:color="auto"/>
            <w:left w:val="none" w:sz="0" w:space="0" w:color="auto"/>
            <w:bottom w:val="none" w:sz="0" w:space="0" w:color="auto"/>
            <w:right w:val="none" w:sz="0" w:space="0" w:color="auto"/>
          </w:divBdr>
        </w:div>
        <w:div w:id="2087216164">
          <w:marLeft w:val="0"/>
          <w:marRight w:val="0"/>
          <w:marTop w:val="0"/>
          <w:marBottom w:val="0"/>
          <w:divBdr>
            <w:top w:val="none" w:sz="0" w:space="0" w:color="auto"/>
            <w:left w:val="none" w:sz="0" w:space="0" w:color="auto"/>
            <w:bottom w:val="none" w:sz="0" w:space="0" w:color="auto"/>
            <w:right w:val="none" w:sz="0" w:space="0" w:color="auto"/>
          </w:divBdr>
        </w:div>
      </w:divsChild>
    </w:div>
    <w:div w:id="18757311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cim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yperlink" Target="https://providers.dffh.vic.gov.au/cim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291f911517972c9a1746deb20cb4be46">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06cf556eb221900dab7da13d24180c94"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BAC-DM-19088 - Att 2 - Information sheet - notable changes to CIMS policy</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https://dhhsvicgovau.sharepoint.com/sites/ourbriefings/_layouts/15/wrkstat.aspx?List=f564a0ab-7d10-463c-8b8b-579d03fbf2e1&amp;WorkflowInstanceName=7c66e9cc-687a-4634-859a-ebcb081d8f36</Url>
      <Description>ok</Description>
    </Validate_x0020_File_x0020_Name_x0020_Memorand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8E879CC-C826-48FA-B1E2-5C91C11F5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Client Incident Management System Phase Two changes - Scheduled 9 December 2024</vt:lpstr>
    </vt:vector>
  </TitlesOfParts>
  <Company>Victoria State Government, Department of Families, Fairness and Housing</Company>
  <LinksUpToDate>false</LinksUpToDate>
  <CharactersWithSpaces>13437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Phase Two changes - Scheduled 9 December 2024</dc:title>
  <dc:subject>Client Incident Management System Phase Two changes - Scheduled 9 December 2024</dc:subject>
  <dc:creator>Children and Families Division</dc:creator>
  <cp:keywords>CIMS, policy, changes</cp:keywords>
  <cp:revision>12</cp:revision>
  <cp:lastPrinted>2021-01-30T19:27:00Z</cp:lastPrinted>
  <dcterms:created xsi:type="dcterms:W3CDTF">2024-10-08T02:33:00Z</dcterms:created>
  <dcterms:modified xsi:type="dcterms:W3CDTF">2024-10-23T02:55:00Z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eff6527d8ee348aed63eeb77010f720608b9820a7590ef6d791d3e3739c52f1d</vt:lpwstr>
  </property>
</Properties>
</file>