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77777777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7E2CD01D" w:rsidR="00AD784C" w:rsidRPr="00CF58FB" w:rsidRDefault="00797028" w:rsidP="00CF58FB">
            <w:pPr>
              <w:pStyle w:val="Documenttitle"/>
            </w:pPr>
            <w:r>
              <w:t xml:space="preserve">Emergency </w:t>
            </w:r>
            <w:r w:rsidR="00AB7702">
              <w:t xml:space="preserve">Information </w:t>
            </w:r>
            <w:r>
              <w:t>Form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D778E7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6F8A2134" w14:textId="19CABD7D" w:rsidR="00797028" w:rsidRDefault="00AB7702" w:rsidP="008A5D60">
      <w:pPr>
        <w:pStyle w:val="Introtext"/>
      </w:pPr>
      <w:r>
        <w:t>Confidentialit</w:t>
      </w:r>
      <w:r w:rsidR="00AE4389">
        <w:t>y</w:t>
      </w:r>
    </w:p>
    <w:p w14:paraId="15D08FB4" w14:textId="5F0E525F" w:rsidR="00467D32" w:rsidRDefault="00AE4389" w:rsidP="008A5D60">
      <w:pPr>
        <w:pStyle w:val="Body"/>
      </w:pPr>
      <w:r w:rsidRPr="00984B3E">
        <w:t xml:space="preserve">Client privacy is paramount. Service providers should follow the </w:t>
      </w:r>
      <w:r w:rsidR="00984B3E" w:rsidRPr="00984B3E">
        <w:t>p</w:t>
      </w:r>
      <w:r w:rsidRPr="00984B3E">
        <w:t>rocedures below to ensure that staff can readily access client information without comp</w:t>
      </w:r>
      <w:r w:rsidR="00984B3E" w:rsidRPr="00984B3E">
        <w:t>romising confidentiality.</w:t>
      </w:r>
    </w:p>
    <w:p w14:paraId="491FE62C" w14:textId="304302D6" w:rsidR="008A5D60" w:rsidRDefault="009178DE" w:rsidP="008A5D60">
      <w:pPr>
        <w:pStyle w:val="Body"/>
      </w:pPr>
      <w:r>
        <w:t xml:space="preserve">You must follow these </w:t>
      </w:r>
      <w:r w:rsidR="00797028">
        <w:t>procedures:</w:t>
      </w:r>
    </w:p>
    <w:p w14:paraId="3BE043E3" w14:textId="743171EE" w:rsidR="00797028" w:rsidRDefault="00467D32" w:rsidP="0003443F">
      <w:pPr>
        <w:pStyle w:val="Body"/>
        <w:numPr>
          <w:ilvl w:val="0"/>
          <w:numId w:val="12"/>
        </w:numPr>
      </w:pPr>
      <w:r>
        <w:t>The form must be legible and up to date for each client living in the home.</w:t>
      </w:r>
    </w:p>
    <w:p w14:paraId="4006BE3A" w14:textId="533F47A2" w:rsidR="00467D32" w:rsidRDefault="00467D32" w:rsidP="0003443F">
      <w:pPr>
        <w:pStyle w:val="Body"/>
        <w:numPr>
          <w:ilvl w:val="0"/>
          <w:numId w:val="12"/>
        </w:numPr>
      </w:pPr>
      <w:r>
        <w:t>Information about the client must be available to all staff when undertaking outings including emergency evacuations, either by:</w:t>
      </w:r>
    </w:p>
    <w:p w14:paraId="38E1D774" w14:textId="5DD1E01D" w:rsidR="00467D32" w:rsidRDefault="000D13FE" w:rsidP="00467D32">
      <w:pPr>
        <w:pStyle w:val="Body"/>
        <w:numPr>
          <w:ilvl w:val="1"/>
          <w:numId w:val="12"/>
        </w:numPr>
      </w:pPr>
      <w:r>
        <w:t>Maintaining electronic documents that are readily accessible by staff</w:t>
      </w:r>
    </w:p>
    <w:p w14:paraId="3DC09294" w14:textId="04D996A8" w:rsidR="000D13FE" w:rsidRDefault="000D13FE" w:rsidP="00467D32">
      <w:pPr>
        <w:pStyle w:val="Body"/>
        <w:numPr>
          <w:ilvl w:val="1"/>
          <w:numId w:val="12"/>
        </w:numPr>
      </w:pPr>
      <w:r>
        <w:t>Keeping a laminated hard copy of documents inside the evacuation pack stored in a lockable staff office.</w:t>
      </w:r>
    </w:p>
    <w:p w14:paraId="70C8273F" w14:textId="70B5DB47" w:rsidR="008A5D60" w:rsidRDefault="000D13FE" w:rsidP="008A5D60">
      <w:pPr>
        <w:pStyle w:val="Tablecaption"/>
      </w:pPr>
      <w:r>
        <w:t>Client details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3681"/>
        <w:gridCol w:w="6520"/>
      </w:tblGrid>
      <w:tr w:rsidR="00A5201B" w14:paraId="739CD589" w14:textId="451C4035" w:rsidTr="007A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auto"/>
          </w:tcPr>
          <w:p w14:paraId="2931A378" w14:textId="584BA588" w:rsidR="00A5201B" w:rsidRDefault="00A5201B" w:rsidP="00351405">
            <w:pPr>
              <w:pStyle w:val="Tabletext"/>
            </w:pPr>
            <w:r>
              <w:t>Name</w:t>
            </w:r>
          </w:p>
        </w:tc>
        <w:tc>
          <w:tcPr>
            <w:tcW w:w="6520" w:type="dxa"/>
            <w:shd w:val="clear" w:color="auto" w:fill="auto"/>
          </w:tcPr>
          <w:p w14:paraId="1DFD8C86" w14:textId="6A071837" w:rsidR="00A5201B" w:rsidRDefault="00A5201B" w:rsidP="00351405">
            <w:pPr>
              <w:pStyle w:val="Tabletext"/>
            </w:pPr>
          </w:p>
        </w:tc>
      </w:tr>
      <w:tr w:rsidR="00A5201B" w14:paraId="0EDD7437" w14:textId="6C18A2E2" w:rsidTr="00A5201B">
        <w:trPr>
          <w:trHeight w:val="70"/>
        </w:trPr>
        <w:tc>
          <w:tcPr>
            <w:tcW w:w="3681" w:type="dxa"/>
          </w:tcPr>
          <w:p w14:paraId="62B8D94F" w14:textId="1D885CC8" w:rsidR="00A5201B" w:rsidRPr="002365B4" w:rsidRDefault="00A5201B" w:rsidP="00956196">
            <w:pPr>
              <w:pStyle w:val="Tabletext6pt"/>
            </w:pPr>
            <w:r>
              <w:t>Date of birth</w:t>
            </w:r>
          </w:p>
        </w:tc>
        <w:tc>
          <w:tcPr>
            <w:tcW w:w="6520" w:type="dxa"/>
          </w:tcPr>
          <w:p w14:paraId="045399F9" w14:textId="1FB0FE98" w:rsidR="00A5201B" w:rsidRPr="002365B4" w:rsidRDefault="00A5201B" w:rsidP="00956196">
            <w:pPr>
              <w:pStyle w:val="Tabletext6pt"/>
            </w:pPr>
            <w:r w:rsidRPr="002365B4">
              <w:t xml:space="preserve"> </w:t>
            </w:r>
          </w:p>
        </w:tc>
      </w:tr>
      <w:tr w:rsidR="00A5201B" w14:paraId="25C194B3" w14:textId="77777777" w:rsidTr="00A5201B">
        <w:trPr>
          <w:trHeight w:val="70"/>
        </w:trPr>
        <w:tc>
          <w:tcPr>
            <w:tcW w:w="3681" w:type="dxa"/>
          </w:tcPr>
          <w:p w14:paraId="5347F8D2" w14:textId="1A0FC138" w:rsidR="00A5201B" w:rsidRDefault="00A5201B" w:rsidP="00956196">
            <w:pPr>
              <w:pStyle w:val="Tabletext6pt"/>
            </w:pPr>
            <w:r>
              <w:t>Gender</w:t>
            </w:r>
          </w:p>
        </w:tc>
        <w:tc>
          <w:tcPr>
            <w:tcW w:w="6520" w:type="dxa"/>
          </w:tcPr>
          <w:p w14:paraId="0B218136" w14:textId="77777777" w:rsidR="00A5201B" w:rsidRPr="002365B4" w:rsidRDefault="00A5201B" w:rsidP="00956196">
            <w:pPr>
              <w:pStyle w:val="Tabletext6pt"/>
            </w:pPr>
          </w:p>
        </w:tc>
      </w:tr>
      <w:tr w:rsidR="00A5201B" w14:paraId="21FC9374" w14:textId="3B229845" w:rsidTr="00A5201B">
        <w:trPr>
          <w:trHeight w:val="70"/>
        </w:trPr>
        <w:tc>
          <w:tcPr>
            <w:tcW w:w="3681" w:type="dxa"/>
          </w:tcPr>
          <w:p w14:paraId="0F91DD2D" w14:textId="3CC5A31C" w:rsidR="00A5201B" w:rsidRDefault="00A5201B" w:rsidP="00956196">
            <w:pPr>
              <w:pStyle w:val="Tabletext6pt"/>
            </w:pPr>
            <w:r>
              <w:t>Address</w:t>
            </w:r>
          </w:p>
        </w:tc>
        <w:tc>
          <w:tcPr>
            <w:tcW w:w="6520" w:type="dxa"/>
          </w:tcPr>
          <w:p w14:paraId="69DEC370" w14:textId="050F3082" w:rsidR="00A5201B" w:rsidRPr="002365B4" w:rsidRDefault="00A5201B" w:rsidP="00956196">
            <w:pPr>
              <w:pStyle w:val="Tabletext6pt"/>
            </w:pPr>
          </w:p>
        </w:tc>
      </w:tr>
      <w:tr w:rsidR="00A5201B" w14:paraId="76EEB47C" w14:textId="171CBCB9" w:rsidTr="00A5201B">
        <w:trPr>
          <w:trHeight w:val="70"/>
        </w:trPr>
        <w:tc>
          <w:tcPr>
            <w:tcW w:w="3681" w:type="dxa"/>
          </w:tcPr>
          <w:p w14:paraId="657DFB60" w14:textId="6DEFA72C" w:rsidR="00A5201B" w:rsidRDefault="00A5201B" w:rsidP="00956196">
            <w:pPr>
              <w:pStyle w:val="Tabletext6pt"/>
            </w:pPr>
            <w:r>
              <w:t>Doctor’s name</w:t>
            </w:r>
          </w:p>
        </w:tc>
        <w:tc>
          <w:tcPr>
            <w:tcW w:w="6520" w:type="dxa"/>
          </w:tcPr>
          <w:p w14:paraId="2D2170BC" w14:textId="77777777" w:rsidR="00A5201B" w:rsidRDefault="00A5201B" w:rsidP="00956196">
            <w:pPr>
              <w:pStyle w:val="Tabletext6pt"/>
            </w:pPr>
          </w:p>
        </w:tc>
      </w:tr>
      <w:tr w:rsidR="00A5201B" w14:paraId="56C8E856" w14:textId="2A4BC62C" w:rsidTr="00A5201B">
        <w:trPr>
          <w:trHeight w:val="70"/>
        </w:trPr>
        <w:tc>
          <w:tcPr>
            <w:tcW w:w="3681" w:type="dxa"/>
          </w:tcPr>
          <w:p w14:paraId="54AF6055" w14:textId="458CF763" w:rsidR="00A5201B" w:rsidRDefault="00A5201B" w:rsidP="00956196">
            <w:pPr>
              <w:pStyle w:val="Tabletext6pt"/>
            </w:pPr>
            <w:r>
              <w:t>Doctor’s phone (business and after hours)</w:t>
            </w:r>
          </w:p>
        </w:tc>
        <w:tc>
          <w:tcPr>
            <w:tcW w:w="6520" w:type="dxa"/>
          </w:tcPr>
          <w:p w14:paraId="670F7358" w14:textId="77777777" w:rsidR="00A5201B" w:rsidRDefault="00A5201B" w:rsidP="00956196">
            <w:pPr>
              <w:pStyle w:val="Tabletext6pt"/>
            </w:pPr>
          </w:p>
        </w:tc>
      </w:tr>
      <w:tr w:rsidR="00A5201B" w14:paraId="0DD5415D" w14:textId="50A50FD8" w:rsidTr="00A5201B">
        <w:trPr>
          <w:trHeight w:val="70"/>
        </w:trPr>
        <w:tc>
          <w:tcPr>
            <w:tcW w:w="3681" w:type="dxa"/>
          </w:tcPr>
          <w:p w14:paraId="5DDDAB65" w14:textId="166497BB" w:rsidR="00A5201B" w:rsidRDefault="00A5201B" w:rsidP="00956196">
            <w:pPr>
              <w:pStyle w:val="Tabletext6pt"/>
            </w:pPr>
            <w:r>
              <w:t>Specialist name (if applicable)</w:t>
            </w:r>
          </w:p>
        </w:tc>
        <w:tc>
          <w:tcPr>
            <w:tcW w:w="6520" w:type="dxa"/>
          </w:tcPr>
          <w:p w14:paraId="1C052E7D" w14:textId="77777777" w:rsidR="00A5201B" w:rsidRDefault="00A5201B" w:rsidP="00956196">
            <w:pPr>
              <w:pStyle w:val="Tabletext6pt"/>
            </w:pPr>
          </w:p>
        </w:tc>
      </w:tr>
      <w:tr w:rsidR="00A5201B" w14:paraId="55B36A91" w14:textId="3757F7F1" w:rsidTr="00A5201B">
        <w:trPr>
          <w:trHeight w:val="70"/>
        </w:trPr>
        <w:tc>
          <w:tcPr>
            <w:tcW w:w="3681" w:type="dxa"/>
          </w:tcPr>
          <w:p w14:paraId="2A936D98" w14:textId="5DE397C7" w:rsidR="00A5201B" w:rsidRDefault="00A5201B" w:rsidP="00956196">
            <w:pPr>
              <w:pStyle w:val="Tabletext6pt"/>
            </w:pPr>
            <w:r>
              <w:t>Specialist’s phone (business and after hours)</w:t>
            </w:r>
          </w:p>
        </w:tc>
        <w:tc>
          <w:tcPr>
            <w:tcW w:w="6520" w:type="dxa"/>
          </w:tcPr>
          <w:p w14:paraId="74E02334" w14:textId="4BFB5FDD" w:rsidR="00A5201B" w:rsidRDefault="00A5201B" w:rsidP="00956196">
            <w:pPr>
              <w:pStyle w:val="Tabletext6pt"/>
            </w:pPr>
          </w:p>
        </w:tc>
      </w:tr>
      <w:tr w:rsidR="00A5201B" w14:paraId="38B62137" w14:textId="6036835A" w:rsidTr="00A5201B">
        <w:trPr>
          <w:trHeight w:val="70"/>
        </w:trPr>
        <w:tc>
          <w:tcPr>
            <w:tcW w:w="3681" w:type="dxa"/>
          </w:tcPr>
          <w:p w14:paraId="06608260" w14:textId="5C72713D" w:rsidR="00A5201B" w:rsidRDefault="00A5201B" w:rsidP="00956196">
            <w:pPr>
              <w:pStyle w:val="Tabletext6pt"/>
            </w:pPr>
            <w:r>
              <w:t>Medical / health alerts</w:t>
            </w:r>
          </w:p>
        </w:tc>
        <w:tc>
          <w:tcPr>
            <w:tcW w:w="6520" w:type="dxa"/>
          </w:tcPr>
          <w:p w14:paraId="3F764EB4" w14:textId="2D6F1E7B" w:rsidR="00A5201B" w:rsidRDefault="00A5201B" w:rsidP="00956196">
            <w:pPr>
              <w:pStyle w:val="Tabletext6pt"/>
            </w:pPr>
          </w:p>
        </w:tc>
      </w:tr>
      <w:tr w:rsidR="00A5201B" w14:paraId="07BC1076" w14:textId="0187F6AC" w:rsidTr="00A5201B">
        <w:trPr>
          <w:trHeight w:val="70"/>
        </w:trPr>
        <w:tc>
          <w:tcPr>
            <w:tcW w:w="3681" w:type="dxa"/>
          </w:tcPr>
          <w:p w14:paraId="1006F162" w14:textId="16EE3075" w:rsidR="00A5201B" w:rsidRDefault="00A5201B" w:rsidP="00956196">
            <w:pPr>
              <w:pStyle w:val="Tabletext6pt"/>
            </w:pPr>
            <w:r>
              <w:t>Health Care card number</w:t>
            </w:r>
          </w:p>
        </w:tc>
        <w:tc>
          <w:tcPr>
            <w:tcW w:w="6520" w:type="dxa"/>
          </w:tcPr>
          <w:p w14:paraId="7566E715" w14:textId="4AC5BA11" w:rsidR="00A5201B" w:rsidRDefault="00A5201B" w:rsidP="00956196">
            <w:pPr>
              <w:pStyle w:val="Tabletext6pt"/>
            </w:pPr>
          </w:p>
        </w:tc>
      </w:tr>
      <w:tr w:rsidR="00A5201B" w14:paraId="33A8A14C" w14:textId="18F3064B" w:rsidTr="00A5201B">
        <w:trPr>
          <w:trHeight w:val="70"/>
        </w:trPr>
        <w:tc>
          <w:tcPr>
            <w:tcW w:w="3681" w:type="dxa"/>
          </w:tcPr>
          <w:p w14:paraId="20EC6B8C" w14:textId="5143529C" w:rsidR="00A5201B" w:rsidRDefault="00A5201B" w:rsidP="00956196">
            <w:pPr>
              <w:pStyle w:val="Tabletext6pt"/>
            </w:pPr>
            <w:r>
              <w:t>Medicare card number</w:t>
            </w:r>
          </w:p>
        </w:tc>
        <w:tc>
          <w:tcPr>
            <w:tcW w:w="6520" w:type="dxa"/>
          </w:tcPr>
          <w:p w14:paraId="28E6A730" w14:textId="1EC51BDA" w:rsidR="00A5201B" w:rsidRDefault="00A5201B" w:rsidP="00956196">
            <w:pPr>
              <w:pStyle w:val="Tabletext6pt"/>
            </w:pPr>
          </w:p>
        </w:tc>
      </w:tr>
      <w:tr w:rsidR="00A5201B" w14:paraId="0E1E94F6" w14:textId="5119B8CF" w:rsidTr="00A5201B">
        <w:trPr>
          <w:trHeight w:val="70"/>
        </w:trPr>
        <w:tc>
          <w:tcPr>
            <w:tcW w:w="3681" w:type="dxa"/>
          </w:tcPr>
          <w:p w14:paraId="097550B3" w14:textId="5768029E" w:rsidR="00A5201B" w:rsidRDefault="00A5201B" w:rsidP="00956196">
            <w:pPr>
              <w:pStyle w:val="Tabletext6pt"/>
            </w:pPr>
            <w:r>
              <w:t>Guardian Name</w:t>
            </w:r>
          </w:p>
        </w:tc>
        <w:tc>
          <w:tcPr>
            <w:tcW w:w="6520" w:type="dxa"/>
          </w:tcPr>
          <w:p w14:paraId="74A58CFC" w14:textId="4C395551" w:rsidR="00A5201B" w:rsidRDefault="00A5201B" w:rsidP="00956196">
            <w:pPr>
              <w:pStyle w:val="Tabletext6pt"/>
            </w:pPr>
          </w:p>
        </w:tc>
      </w:tr>
      <w:tr w:rsidR="00A5201B" w14:paraId="538D0258" w14:textId="51C1040C" w:rsidTr="00A5201B">
        <w:trPr>
          <w:trHeight w:val="70"/>
        </w:trPr>
        <w:tc>
          <w:tcPr>
            <w:tcW w:w="3681" w:type="dxa"/>
          </w:tcPr>
          <w:p w14:paraId="6E0E0AD3" w14:textId="0314F2CF" w:rsidR="00A5201B" w:rsidRDefault="00A5201B" w:rsidP="00956196">
            <w:pPr>
              <w:pStyle w:val="Tabletext6pt"/>
            </w:pPr>
            <w:r>
              <w:t>Guardian relationship to client</w:t>
            </w:r>
          </w:p>
        </w:tc>
        <w:tc>
          <w:tcPr>
            <w:tcW w:w="6520" w:type="dxa"/>
          </w:tcPr>
          <w:p w14:paraId="2BC22EE0" w14:textId="55B39DE1" w:rsidR="00A5201B" w:rsidRDefault="00A5201B" w:rsidP="00956196">
            <w:pPr>
              <w:pStyle w:val="Tabletext6pt"/>
            </w:pPr>
          </w:p>
        </w:tc>
      </w:tr>
      <w:tr w:rsidR="00A5201B" w14:paraId="5E58F502" w14:textId="5F8E5A2C" w:rsidTr="00A5201B">
        <w:trPr>
          <w:trHeight w:val="70"/>
        </w:trPr>
        <w:tc>
          <w:tcPr>
            <w:tcW w:w="3681" w:type="dxa"/>
          </w:tcPr>
          <w:p w14:paraId="21957D71" w14:textId="7211FD4A" w:rsidR="00A5201B" w:rsidRDefault="00A5201B" w:rsidP="00956196">
            <w:pPr>
              <w:pStyle w:val="Tabletext6pt"/>
            </w:pPr>
            <w:r>
              <w:t>Guardian phone</w:t>
            </w:r>
          </w:p>
        </w:tc>
        <w:tc>
          <w:tcPr>
            <w:tcW w:w="6520" w:type="dxa"/>
          </w:tcPr>
          <w:p w14:paraId="7EFA2B38" w14:textId="372EE590" w:rsidR="00A5201B" w:rsidRDefault="00A5201B" w:rsidP="00956196">
            <w:pPr>
              <w:pStyle w:val="Tabletext6pt"/>
            </w:pPr>
          </w:p>
        </w:tc>
      </w:tr>
      <w:tr w:rsidR="00A5201B" w14:paraId="7C29BFB9" w14:textId="77777777" w:rsidTr="00A5201B">
        <w:trPr>
          <w:trHeight w:val="70"/>
        </w:trPr>
        <w:tc>
          <w:tcPr>
            <w:tcW w:w="3681" w:type="dxa"/>
          </w:tcPr>
          <w:p w14:paraId="562B6414" w14:textId="74DA0065" w:rsidR="00A5201B" w:rsidRDefault="00A5201B" w:rsidP="00956196">
            <w:pPr>
              <w:pStyle w:val="Tabletext6pt"/>
            </w:pPr>
            <w:r>
              <w:t>Guardian email</w:t>
            </w:r>
          </w:p>
        </w:tc>
        <w:tc>
          <w:tcPr>
            <w:tcW w:w="6520" w:type="dxa"/>
          </w:tcPr>
          <w:p w14:paraId="59AB42C2" w14:textId="77777777" w:rsidR="00A5201B" w:rsidRDefault="00A5201B" w:rsidP="00956196">
            <w:pPr>
              <w:pStyle w:val="Tabletext6pt"/>
            </w:pPr>
          </w:p>
        </w:tc>
      </w:tr>
    </w:tbl>
    <w:p w14:paraId="7A0B7005" w14:textId="6A8C902F" w:rsidR="00A5201B" w:rsidRDefault="00AB48E5" w:rsidP="00AB48E5">
      <w:pPr>
        <w:pStyle w:val="Tablecaption"/>
      </w:pPr>
      <w:r>
        <w:lastRenderedPageBreak/>
        <w:t>Other relevant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B48E5" w14:paraId="5F291369" w14:textId="77777777" w:rsidTr="007A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51B9C78B" w14:textId="77777777" w:rsidR="00AB48E5" w:rsidRDefault="00AB48E5" w:rsidP="003B1BDC">
            <w:pPr>
              <w:pStyle w:val="Body"/>
            </w:pPr>
          </w:p>
        </w:tc>
      </w:tr>
      <w:tr w:rsidR="00AB48E5" w14:paraId="3A6450D8" w14:textId="77777777" w:rsidTr="007A1A80">
        <w:tc>
          <w:tcPr>
            <w:tcW w:w="10194" w:type="dxa"/>
          </w:tcPr>
          <w:p w14:paraId="69F6C159" w14:textId="77777777" w:rsidR="00AB48E5" w:rsidRDefault="00AB48E5" w:rsidP="003B1BDC">
            <w:pPr>
              <w:pStyle w:val="Body"/>
            </w:pPr>
          </w:p>
        </w:tc>
      </w:tr>
      <w:tr w:rsidR="00FB22DC" w14:paraId="3D3F4AB3" w14:textId="77777777" w:rsidTr="007A1A80">
        <w:tc>
          <w:tcPr>
            <w:tcW w:w="10194" w:type="dxa"/>
          </w:tcPr>
          <w:p w14:paraId="3CC71A0D" w14:textId="77777777" w:rsidR="00FB22DC" w:rsidRDefault="00FB22DC" w:rsidP="003B1BDC">
            <w:pPr>
              <w:pStyle w:val="Body"/>
            </w:pPr>
          </w:p>
        </w:tc>
      </w:tr>
      <w:tr w:rsidR="00FB22DC" w14:paraId="5844B542" w14:textId="77777777" w:rsidTr="007A1A80">
        <w:tc>
          <w:tcPr>
            <w:tcW w:w="10194" w:type="dxa"/>
          </w:tcPr>
          <w:p w14:paraId="63ABFE39" w14:textId="77777777" w:rsidR="00FB22DC" w:rsidRDefault="00FB22DC" w:rsidP="003B1BDC">
            <w:pPr>
              <w:pStyle w:val="Body"/>
            </w:pPr>
          </w:p>
        </w:tc>
      </w:tr>
      <w:tr w:rsidR="00FB22DC" w14:paraId="2DC6BD55" w14:textId="77777777" w:rsidTr="007A1A80">
        <w:tc>
          <w:tcPr>
            <w:tcW w:w="10194" w:type="dxa"/>
          </w:tcPr>
          <w:p w14:paraId="6970F729" w14:textId="77777777" w:rsidR="00FB22DC" w:rsidRDefault="00FB22DC" w:rsidP="003B1BDC">
            <w:pPr>
              <w:pStyle w:val="Body"/>
            </w:pPr>
          </w:p>
        </w:tc>
      </w:tr>
      <w:tr w:rsidR="00FB22DC" w14:paraId="006CC602" w14:textId="77777777" w:rsidTr="007A1A80">
        <w:tc>
          <w:tcPr>
            <w:tcW w:w="10194" w:type="dxa"/>
          </w:tcPr>
          <w:p w14:paraId="6A74083C" w14:textId="77777777" w:rsidR="00FB22DC" w:rsidRDefault="00FB22DC" w:rsidP="003B1BDC">
            <w:pPr>
              <w:pStyle w:val="Body"/>
            </w:pPr>
          </w:p>
        </w:tc>
      </w:tr>
      <w:tr w:rsidR="00FB22DC" w14:paraId="7DB3FE7B" w14:textId="77777777" w:rsidTr="007A1A80">
        <w:tc>
          <w:tcPr>
            <w:tcW w:w="10194" w:type="dxa"/>
          </w:tcPr>
          <w:p w14:paraId="3BB08390" w14:textId="77777777" w:rsidR="00FB22DC" w:rsidRDefault="00FB22DC" w:rsidP="003B1BDC">
            <w:pPr>
              <w:pStyle w:val="Body"/>
            </w:pPr>
          </w:p>
        </w:tc>
      </w:tr>
      <w:tr w:rsidR="00FB22DC" w14:paraId="5C57CB43" w14:textId="77777777" w:rsidTr="007A1A80">
        <w:tc>
          <w:tcPr>
            <w:tcW w:w="10194" w:type="dxa"/>
          </w:tcPr>
          <w:p w14:paraId="3498934D" w14:textId="77777777" w:rsidR="00FB22DC" w:rsidRDefault="00FB22DC" w:rsidP="003B1BDC">
            <w:pPr>
              <w:pStyle w:val="Body"/>
            </w:pPr>
          </w:p>
        </w:tc>
      </w:tr>
      <w:tr w:rsidR="00FB22DC" w14:paraId="379092E1" w14:textId="77777777" w:rsidTr="007A1A80">
        <w:tc>
          <w:tcPr>
            <w:tcW w:w="10194" w:type="dxa"/>
          </w:tcPr>
          <w:p w14:paraId="1E54D588" w14:textId="77777777" w:rsidR="00FB22DC" w:rsidRDefault="00FB22DC" w:rsidP="003B1BDC">
            <w:pPr>
              <w:pStyle w:val="Body"/>
            </w:pPr>
          </w:p>
        </w:tc>
      </w:tr>
      <w:tr w:rsidR="00FB22DC" w14:paraId="05BB577D" w14:textId="77777777" w:rsidTr="007A1A80">
        <w:tc>
          <w:tcPr>
            <w:tcW w:w="10194" w:type="dxa"/>
          </w:tcPr>
          <w:p w14:paraId="2F590902" w14:textId="77777777" w:rsidR="00FB22DC" w:rsidRDefault="00FB22DC" w:rsidP="003B1BDC">
            <w:pPr>
              <w:pStyle w:val="Body"/>
            </w:pPr>
          </w:p>
        </w:tc>
      </w:tr>
      <w:tr w:rsidR="00FB22DC" w14:paraId="5F7EA72A" w14:textId="77777777" w:rsidTr="007A1A80">
        <w:tc>
          <w:tcPr>
            <w:tcW w:w="10194" w:type="dxa"/>
          </w:tcPr>
          <w:p w14:paraId="58DE3406" w14:textId="77777777" w:rsidR="00FB22DC" w:rsidRDefault="00FB22DC" w:rsidP="003B1BDC">
            <w:pPr>
              <w:pStyle w:val="Body"/>
            </w:pPr>
          </w:p>
        </w:tc>
      </w:tr>
      <w:tr w:rsidR="007A1A80" w14:paraId="17E7BF78" w14:textId="77777777" w:rsidTr="007A1A80">
        <w:tc>
          <w:tcPr>
            <w:tcW w:w="10194" w:type="dxa"/>
          </w:tcPr>
          <w:p w14:paraId="3EEFFDC8" w14:textId="77777777" w:rsidR="007A1A80" w:rsidRDefault="007A1A80" w:rsidP="003B1BDC">
            <w:pPr>
              <w:pStyle w:val="Body"/>
            </w:pPr>
          </w:p>
        </w:tc>
      </w:tr>
    </w:tbl>
    <w:p w14:paraId="4D628B22" w14:textId="77777777" w:rsidR="00A5201B" w:rsidRDefault="00A5201B" w:rsidP="003B1BDC">
      <w:pPr>
        <w:pStyle w:val="Body"/>
      </w:pPr>
    </w:p>
    <w:p w14:paraId="12B64E70" w14:textId="0A6ED534" w:rsidR="00FB22DC" w:rsidRDefault="00FB22DC" w:rsidP="00FB22DC">
      <w:pPr>
        <w:pStyle w:val="Tablecaption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7A1A80" w14:paraId="4FFBA627" w14:textId="238161C3" w:rsidTr="0008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76EBD29C" w14:textId="4CE534BE" w:rsidR="007A1A80" w:rsidRDefault="007A1A80" w:rsidP="00693995">
            <w:pPr>
              <w:pStyle w:val="Body"/>
            </w:pPr>
            <w:r>
              <w:t>Name of staff member completing the form</w:t>
            </w:r>
          </w:p>
        </w:tc>
        <w:tc>
          <w:tcPr>
            <w:tcW w:w="7229" w:type="dxa"/>
            <w:shd w:val="clear" w:color="auto" w:fill="auto"/>
          </w:tcPr>
          <w:p w14:paraId="3590396D" w14:textId="77777777" w:rsidR="007A1A80" w:rsidRDefault="007A1A80" w:rsidP="00693995">
            <w:pPr>
              <w:pStyle w:val="Body"/>
            </w:pPr>
          </w:p>
        </w:tc>
      </w:tr>
      <w:tr w:rsidR="007A1A80" w14:paraId="296107A4" w14:textId="211FADC7" w:rsidTr="00085C2C">
        <w:tc>
          <w:tcPr>
            <w:tcW w:w="2972" w:type="dxa"/>
          </w:tcPr>
          <w:p w14:paraId="04220D33" w14:textId="2D9CF9E5" w:rsidR="007A1A80" w:rsidRDefault="007A1A80" w:rsidP="00693995">
            <w:pPr>
              <w:pStyle w:val="Body"/>
            </w:pPr>
            <w:r>
              <w:t>Signature and date</w:t>
            </w:r>
          </w:p>
        </w:tc>
        <w:tc>
          <w:tcPr>
            <w:tcW w:w="7229" w:type="dxa"/>
          </w:tcPr>
          <w:p w14:paraId="575A8129" w14:textId="77777777" w:rsidR="007A1A80" w:rsidRDefault="007A1A80" w:rsidP="00693995">
            <w:pPr>
              <w:pStyle w:val="Body"/>
            </w:pPr>
          </w:p>
        </w:tc>
      </w:tr>
    </w:tbl>
    <w:p w14:paraId="40F68448" w14:textId="77777777" w:rsidR="00FB22DC" w:rsidRDefault="00FB22DC" w:rsidP="003B1BDC">
      <w:pPr>
        <w:pStyle w:val="Body"/>
      </w:pPr>
    </w:p>
    <w:p w14:paraId="49AFD5ED" w14:textId="77777777" w:rsidR="00A5201B" w:rsidRPr="003B1BDC" w:rsidRDefault="00A5201B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4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9B561B1" w14:textId="77777777" w:rsidR="00D778E7" w:rsidRDefault="00990641" w:rsidP="00D778E7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6986F6C2" w:rsidR="0055119B" w:rsidRDefault="00990641" w:rsidP="00D778E7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8F43" w14:textId="77777777" w:rsidR="001112E9" w:rsidRDefault="001112E9">
      <w:r>
        <w:separator/>
      </w:r>
    </w:p>
    <w:p w14:paraId="2FC0AB1F" w14:textId="77777777" w:rsidR="001112E9" w:rsidRDefault="001112E9"/>
  </w:endnote>
  <w:endnote w:type="continuationSeparator" w:id="0">
    <w:p w14:paraId="5AB13E48" w14:textId="77777777" w:rsidR="001112E9" w:rsidRDefault="001112E9">
      <w:r>
        <w:continuationSeparator/>
      </w:r>
    </w:p>
    <w:p w14:paraId="5CAF2845" w14:textId="77777777" w:rsidR="001112E9" w:rsidRDefault="00111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C2D9" w14:textId="77777777" w:rsidR="001112E9" w:rsidRDefault="001112E9" w:rsidP="00207717">
      <w:pPr>
        <w:spacing w:before="120"/>
      </w:pPr>
      <w:r>
        <w:separator/>
      </w:r>
    </w:p>
  </w:footnote>
  <w:footnote w:type="continuationSeparator" w:id="0">
    <w:p w14:paraId="56990094" w14:textId="77777777" w:rsidR="001112E9" w:rsidRDefault="001112E9">
      <w:r>
        <w:continuationSeparator/>
      </w:r>
    </w:p>
    <w:p w14:paraId="46B81FCE" w14:textId="77777777" w:rsidR="001112E9" w:rsidRDefault="00111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4567FA1F" w:rsidR="00083ACC" w:rsidRDefault="00083ACC" w:rsidP="0017674D">
    <w:pPr>
      <w:pStyle w:val="Header"/>
    </w:pPr>
    <w:r>
      <w:t xml:space="preserve">Emergency </w:t>
    </w:r>
    <w:r w:rsidR="00A5201B">
      <w:t>information</w:t>
    </w:r>
    <w:r>
      <w:t xml:space="preserve"> form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5C2C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12E9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86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4EF7"/>
    <w:rsid w:val="00905030"/>
    <w:rsid w:val="00906490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0BC"/>
    <w:rsid w:val="00D554FB"/>
    <w:rsid w:val="00D56B20"/>
    <w:rsid w:val="00D578B3"/>
    <w:rsid w:val="00D618F4"/>
    <w:rsid w:val="00D714CC"/>
    <w:rsid w:val="00D75EA7"/>
    <w:rsid w:val="00D766FD"/>
    <w:rsid w:val="00D778E7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B5CC7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CD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17A7"/>
    <w:rsid w:val="00F938BA"/>
    <w:rsid w:val="00F972B1"/>
    <w:rsid w:val="00F97919"/>
    <w:rsid w:val="00FA2C46"/>
    <w:rsid w:val="00FA3525"/>
    <w:rsid w:val="00FA5A53"/>
    <w:rsid w:val="00FB22DC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A9A62045F74FA9FA1B6E577B9CA8" ma:contentTypeVersion="12" ma:contentTypeDescription="Create a new document." ma:contentTypeScope="" ma:versionID="8641ee2cad14107abac0f28cb9683976">
  <xsd:schema xmlns:xsd="http://www.w3.org/2001/XMLSchema" xmlns:xs="http://www.w3.org/2001/XMLSchema" xmlns:p="http://schemas.microsoft.com/office/2006/metadata/properties" xmlns:ns2="0ced85dd-e685-4b25-b0e5-fa92d9bab7c8" xmlns:ns3="6a789da3-e4ea-4b23-8bf5-2e3680092418" xmlns:ns4="5ce0f2b5-5be5-4508-bce9-d7011ece0659" targetNamespace="http://schemas.microsoft.com/office/2006/metadata/properties" ma:root="true" ma:fieldsID="149d859db038484a8ef74b0122d6d6b8" ns2:_="" ns3:_="" ns4:_="">
    <xsd:import namespace="0ced85dd-e685-4b25-b0e5-fa92d9bab7c8"/>
    <xsd:import namespace="6a789da3-e4ea-4b23-8bf5-2e368009241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85dd-e685-4b25-b0e5-fa92d9bab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9da3-e4ea-4b23-8bf5-2e368009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20164f-e4c7-4ef0-93c5-2d3c29e77e26}" ma:internalName="TaxCatchAll" ma:showField="CatchAllData" ma:web="6a789da3-e4ea-4b23-8bf5-2e368009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ced85dd-e685-4b25-b0e5-fa92d9bab7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ABA35-C60D-4AC3-A8B3-92431381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85dd-e685-4b25-b0e5-fa92d9bab7c8"/>
    <ds:schemaRef ds:uri="6a789da3-e4ea-4b23-8bf5-2e368009241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186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1777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18</cp:revision>
  <cp:lastPrinted>2021-01-29T05:27:00Z</cp:lastPrinted>
  <dcterms:created xsi:type="dcterms:W3CDTF">2023-11-09T01:37:00Z</dcterms:created>
  <dcterms:modified xsi:type="dcterms:W3CDTF">2023-11-09T23:05:00Z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0x010100F38FA9A62045F74FA9FA1B6E577B9CA8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