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E996" w14:textId="77777777" w:rsidR="00002990" w:rsidRPr="003072C6" w:rsidRDefault="002523F0" w:rsidP="00A55989">
      <w:pPr>
        <w:pStyle w:val="DHHSbodynospace"/>
      </w:pPr>
      <w:r>
        <w:rPr>
          <w:noProof/>
          <w:lang w:eastAsia="en-AU"/>
        </w:rPr>
        <w:drawing>
          <wp:anchor distT="0" distB="0" distL="114300" distR="114300" simplePos="0" relativeHeight="251662336" behindDoc="1" locked="1" layoutInCell="0" allowOverlap="1" wp14:anchorId="3FF383EE" wp14:editId="7C19142E">
            <wp:simplePos x="0" y="0"/>
            <wp:positionH relativeFrom="page">
              <wp:posOffset>0</wp:posOffset>
            </wp:positionH>
            <wp:positionV relativeFrom="page">
              <wp:posOffset>0</wp:posOffset>
            </wp:positionV>
            <wp:extent cx="7563485" cy="10701655"/>
            <wp:effectExtent l="0" t="0" r="0" b="4445"/>
            <wp:wrapNone/>
            <wp:docPr id="100"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16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63D2A8E4" w14:textId="77777777" w:rsidTr="004C5777">
        <w:trPr>
          <w:trHeight w:val="3988"/>
        </w:trPr>
        <w:tc>
          <w:tcPr>
            <w:tcW w:w="7938" w:type="dxa"/>
            <w:shd w:val="clear" w:color="auto" w:fill="auto"/>
          </w:tcPr>
          <w:p w14:paraId="501CF715" w14:textId="77777777" w:rsidR="002523F0" w:rsidRPr="003072C6" w:rsidRDefault="002523F0" w:rsidP="002523F0">
            <w:pPr>
              <w:pStyle w:val="DHHSreportmaintitlewhite"/>
            </w:pPr>
            <w:r>
              <w:t xml:space="preserve">Vulnerable people in </w:t>
            </w:r>
            <w:r>
              <w:br/>
              <w:t>emergencies policy</w:t>
            </w:r>
          </w:p>
          <w:p w14:paraId="023FC76F" w14:textId="77777777" w:rsidR="00444D82" w:rsidRPr="003072C6" w:rsidRDefault="00444D82" w:rsidP="00E91933">
            <w:pPr>
              <w:pStyle w:val="DHHSreportsubtitlewhite"/>
            </w:pPr>
          </w:p>
        </w:tc>
      </w:tr>
      <w:tr w:rsidR="001817CD" w:rsidRPr="003072C6" w14:paraId="3693EA07" w14:textId="77777777" w:rsidTr="004C5777">
        <w:trPr>
          <w:trHeight w:val="4664"/>
        </w:trPr>
        <w:tc>
          <w:tcPr>
            <w:tcW w:w="10252" w:type="dxa"/>
            <w:shd w:val="clear" w:color="auto" w:fill="auto"/>
          </w:tcPr>
          <w:p w14:paraId="23A61C2F" w14:textId="77777777" w:rsidR="00BC01C1" w:rsidRPr="003072C6" w:rsidRDefault="00BC01C1" w:rsidP="004F3441">
            <w:pPr>
              <w:pStyle w:val="Coverinstructions"/>
            </w:pPr>
          </w:p>
        </w:tc>
      </w:tr>
    </w:tbl>
    <w:p w14:paraId="6385D5CC" w14:textId="77777777" w:rsidR="0069374A" w:rsidRPr="003072C6" w:rsidRDefault="0069374A" w:rsidP="00C2657D">
      <w:pPr>
        <w:pStyle w:val="DHHSbodynospace"/>
        <w:ind w:left="-454"/>
      </w:pPr>
    </w:p>
    <w:p w14:paraId="2067E959" w14:textId="77777777" w:rsidR="00C51B1C" w:rsidRDefault="00C51B1C" w:rsidP="00CA6D4E">
      <w:pPr>
        <w:pStyle w:val="DHHSbodynospace"/>
        <w:sectPr w:rsidR="00C51B1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38462D16" w14:textId="77777777" w:rsidR="003D7167" w:rsidRDefault="003D7167">
      <w:r>
        <w:lastRenderedPageBreak/>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542FA33A" w14:textId="77777777" w:rsidTr="002523F0">
        <w:trPr>
          <w:trHeight w:val="4313"/>
        </w:trPr>
        <w:tc>
          <w:tcPr>
            <w:tcW w:w="9298" w:type="dxa"/>
          </w:tcPr>
          <w:p w14:paraId="4D6FC6EF" w14:textId="566693EF" w:rsidR="00564E8F" w:rsidRPr="00605B5B" w:rsidRDefault="00564E8F" w:rsidP="00031263">
            <w:pPr>
              <w:pStyle w:val="DHHSbody"/>
              <w:rPr>
                <w:i/>
                <w:color w:val="008950"/>
                <w:sz w:val="26"/>
                <w:szCs w:val="26"/>
              </w:rPr>
            </w:pPr>
          </w:p>
        </w:tc>
      </w:tr>
      <w:tr w:rsidR="00564E8F" w:rsidRPr="003072C6" w14:paraId="0F67FC33" w14:textId="77777777" w:rsidTr="002523F0">
        <w:trPr>
          <w:trHeight w:val="6336"/>
        </w:trPr>
        <w:tc>
          <w:tcPr>
            <w:tcW w:w="9298" w:type="dxa"/>
            <w:vAlign w:val="bottom"/>
          </w:tcPr>
          <w:p w14:paraId="4295D132" w14:textId="77777777" w:rsidR="002523F0" w:rsidRPr="00A80B7D" w:rsidRDefault="002523F0" w:rsidP="002523F0">
            <w:pPr>
              <w:pStyle w:val="DHHSaccessibilitypara"/>
            </w:pPr>
            <w:r w:rsidRPr="00A80B7D">
              <w:t xml:space="preserve">To receive this publication in an accessible format phone </w:t>
            </w:r>
            <w:r>
              <w:t>9096 8849,</w:t>
            </w:r>
            <w:r w:rsidRPr="00A80B7D">
              <w:t xml:space="preserve"> using the National Relay Service 13 36 77 if required, or </w:t>
            </w:r>
            <w:hyperlink r:id="rId15" w:history="1">
              <w:r w:rsidRPr="009C59E9">
                <w:rPr>
                  <w:rStyle w:val="Hyperlink"/>
                </w:rPr>
                <w:t>email Recovery</w:t>
              </w:r>
            </w:hyperlink>
            <w:r>
              <w:t xml:space="preserve"> &lt;</w:t>
            </w:r>
            <w:r w:rsidRPr="009C59E9">
              <w:t>recovery@dhhs.vic.gov.au</w:t>
            </w:r>
            <w:r>
              <w:t xml:space="preserve">&gt; </w:t>
            </w:r>
          </w:p>
          <w:p w14:paraId="08873EF0" w14:textId="77777777" w:rsidR="002523F0" w:rsidRPr="00F46B0B" w:rsidRDefault="002523F0" w:rsidP="002523F0">
            <w:pPr>
              <w:pStyle w:val="DHHSbody"/>
            </w:pPr>
            <w:r w:rsidRPr="00F46B0B">
              <w:t>Authorised and published by the Victorian Government, 1 Treasury Place, Melbourne.</w:t>
            </w:r>
          </w:p>
          <w:p w14:paraId="47863383" w14:textId="77777777" w:rsidR="002523F0" w:rsidRPr="00A80B7D" w:rsidRDefault="002523F0" w:rsidP="002523F0">
            <w:pPr>
              <w:pStyle w:val="DHHSbody"/>
            </w:pPr>
            <w:r w:rsidRPr="00F46B0B">
              <w:t>© State of Victoria, Department of Health and Human Services</w:t>
            </w:r>
            <w:r>
              <w:t>, February 2018</w:t>
            </w:r>
            <w:r w:rsidRPr="00A80B7D">
              <w:t>.</w:t>
            </w:r>
          </w:p>
          <w:p w14:paraId="0272F685" w14:textId="77777777" w:rsidR="00564E8F" w:rsidRPr="003072C6" w:rsidRDefault="002523F0" w:rsidP="002523F0">
            <w:pPr>
              <w:pStyle w:val="DHHSbody"/>
            </w:pPr>
            <w:r w:rsidRPr="002F1575">
              <w:rPr>
                <w:szCs w:val="19"/>
              </w:rPr>
              <w:t>Available at</w:t>
            </w:r>
            <w:r>
              <w:t xml:space="preserve"> </w:t>
            </w:r>
            <w:hyperlink r:id="rId16" w:history="1">
              <w:r w:rsidRPr="009C59E9">
                <w:rPr>
                  <w:rStyle w:val="Hyperlink"/>
                </w:rPr>
                <w:t>Emergency preparedness</w:t>
              </w:r>
            </w:hyperlink>
            <w:r>
              <w:t xml:space="preserve"> &lt;</w:t>
            </w:r>
            <w:r w:rsidRPr="009C59E9">
              <w:t>https://providers.dhhs.vic.gov.au/emergency-preparedness</w:t>
            </w:r>
            <w:r>
              <w:t>&gt;</w:t>
            </w:r>
          </w:p>
        </w:tc>
      </w:tr>
      <w:tr w:rsidR="009906C7" w:rsidRPr="003072C6" w14:paraId="58967E83" w14:textId="77777777" w:rsidTr="002523F0">
        <w:tc>
          <w:tcPr>
            <w:tcW w:w="9298" w:type="dxa"/>
            <w:vAlign w:val="bottom"/>
          </w:tcPr>
          <w:p w14:paraId="2342E6A1" w14:textId="77777777" w:rsidR="009906C7" w:rsidRPr="003072C6" w:rsidRDefault="009906C7" w:rsidP="009906C7">
            <w:pPr>
              <w:pStyle w:val="DHHSbody"/>
            </w:pPr>
          </w:p>
        </w:tc>
      </w:tr>
    </w:tbl>
    <w:p w14:paraId="20804122" w14:textId="77777777" w:rsidR="00ED4D17" w:rsidRPr="003072C6" w:rsidRDefault="00ED4D17" w:rsidP="003072C6">
      <w:pPr>
        <w:pStyle w:val="DHHSbody"/>
      </w:pPr>
    </w:p>
    <w:p w14:paraId="734F6B26" w14:textId="77777777" w:rsidR="00AC0C3B" w:rsidRPr="001E7A42" w:rsidRDefault="00AC0C3B" w:rsidP="004E1EDE">
      <w:pPr>
        <w:pStyle w:val="DHHSTOCheadingreport"/>
      </w:pPr>
      <w:r w:rsidRPr="001E7A42">
        <w:lastRenderedPageBreak/>
        <w:t>Contents</w:t>
      </w:r>
    </w:p>
    <w:p w14:paraId="7C9DCE96" w14:textId="1F458783" w:rsidR="00040CB3" w:rsidRDefault="00E15DA9">
      <w:pPr>
        <w:pStyle w:val="TOC1"/>
        <w:tabs>
          <w:tab w:val="left" w:pos="567"/>
        </w:tabs>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105157298" w:history="1">
        <w:r w:rsidR="00040CB3" w:rsidRPr="00405022">
          <w:rPr>
            <w:rStyle w:val="Hyperlink"/>
          </w:rPr>
          <w:t>1.</w:t>
        </w:r>
        <w:r w:rsidR="00040CB3">
          <w:rPr>
            <w:rFonts w:asciiTheme="minorHAnsi" w:eastAsiaTheme="minorEastAsia" w:hAnsiTheme="minorHAnsi" w:cstheme="minorBidi"/>
            <w:b w:val="0"/>
            <w:sz w:val="22"/>
            <w:szCs w:val="22"/>
            <w:lang w:eastAsia="en-AU"/>
          </w:rPr>
          <w:tab/>
        </w:r>
        <w:r w:rsidR="00040CB3" w:rsidRPr="00405022">
          <w:rPr>
            <w:rStyle w:val="Hyperlink"/>
          </w:rPr>
          <w:t>Context</w:t>
        </w:r>
        <w:r w:rsidR="00040CB3">
          <w:rPr>
            <w:webHidden/>
          </w:rPr>
          <w:tab/>
        </w:r>
        <w:r w:rsidR="00040CB3">
          <w:rPr>
            <w:webHidden/>
          </w:rPr>
          <w:fldChar w:fldCharType="begin"/>
        </w:r>
        <w:r w:rsidR="00040CB3">
          <w:rPr>
            <w:webHidden/>
          </w:rPr>
          <w:instrText xml:space="preserve"> PAGEREF _Toc105157298 \h </w:instrText>
        </w:r>
        <w:r w:rsidR="00040CB3">
          <w:rPr>
            <w:webHidden/>
          </w:rPr>
        </w:r>
        <w:r w:rsidR="00040CB3">
          <w:rPr>
            <w:webHidden/>
          </w:rPr>
          <w:fldChar w:fldCharType="separate"/>
        </w:r>
        <w:r w:rsidR="00040CB3">
          <w:rPr>
            <w:webHidden/>
          </w:rPr>
          <w:t>6</w:t>
        </w:r>
        <w:r w:rsidR="00040CB3">
          <w:rPr>
            <w:webHidden/>
          </w:rPr>
          <w:fldChar w:fldCharType="end"/>
        </w:r>
      </w:hyperlink>
    </w:p>
    <w:p w14:paraId="4D0B4F6C" w14:textId="6788ED10" w:rsidR="00040CB3" w:rsidRDefault="00DF2FFD">
      <w:pPr>
        <w:pStyle w:val="TOC2"/>
        <w:tabs>
          <w:tab w:val="left" w:pos="567"/>
        </w:tabs>
        <w:rPr>
          <w:rFonts w:asciiTheme="minorHAnsi" w:eastAsiaTheme="minorEastAsia" w:hAnsiTheme="minorHAnsi" w:cstheme="minorBidi"/>
          <w:sz w:val="22"/>
          <w:szCs w:val="22"/>
          <w:lang w:eastAsia="en-AU"/>
        </w:rPr>
      </w:pPr>
      <w:hyperlink w:anchor="_Toc105157299" w:history="1">
        <w:r w:rsidR="00040CB3" w:rsidRPr="00405022">
          <w:rPr>
            <w:rStyle w:val="Hyperlink"/>
          </w:rPr>
          <w:t>1.1</w:t>
        </w:r>
        <w:r w:rsidR="00040CB3">
          <w:rPr>
            <w:rFonts w:asciiTheme="minorHAnsi" w:eastAsiaTheme="minorEastAsia" w:hAnsiTheme="minorHAnsi" w:cstheme="minorBidi"/>
            <w:sz w:val="22"/>
            <w:szCs w:val="22"/>
            <w:lang w:eastAsia="en-AU"/>
          </w:rPr>
          <w:tab/>
        </w:r>
        <w:r w:rsidR="00040CB3" w:rsidRPr="00405022">
          <w:rPr>
            <w:rStyle w:val="Hyperlink"/>
          </w:rPr>
          <w:t>2009 Victorian Bushfires Royal Commission</w:t>
        </w:r>
        <w:r w:rsidR="00040CB3">
          <w:rPr>
            <w:webHidden/>
          </w:rPr>
          <w:tab/>
        </w:r>
        <w:r w:rsidR="00040CB3">
          <w:rPr>
            <w:webHidden/>
          </w:rPr>
          <w:fldChar w:fldCharType="begin"/>
        </w:r>
        <w:r w:rsidR="00040CB3">
          <w:rPr>
            <w:webHidden/>
          </w:rPr>
          <w:instrText xml:space="preserve"> PAGEREF _Toc105157299 \h </w:instrText>
        </w:r>
        <w:r w:rsidR="00040CB3">
          <w:rPr>
            <w:webHidden/>
          </w:rPr>
        </w:r>
        <w:r w:rsidR="00040CB3">
          <w:rPr>
            <w:webHidden/>
          </w:rPr>
          <w:fldChar w:fldCharType="separate"/>
        </w:r>
        <w:r w:rsidR="00040CB3">
          <w:rPr>
            <w:webHidden/>
          </w:rPr>
          <w:t>6</w:t>
        </w:r>
        <w:r w:rsidR="00040CB3">
          <w:rPr>
            <w:webHidden/>
          </w:rPr>
          <w:fldChar w:fldCharType="end"/>
        </w:r>
      </w:hyperlink>
    </w:p>
    <w:p w14:paraId="45F2C79D" w14:textId="104DB3EA" w:rsidR="00040CB3" w:rsidRDefault="00DF2FFD">
      <w:pPr>
        <w:pStyle w:val="TOC2"/>
        <w:tabs>
          <w:tab w:val="left" w:pos="567"/>
        </w:tabs>
        <w:rPr>
          <w:rFonts w:asciiTheme="minorHAnsi" w:eastAsiaTheme="minorEastAsia" w:hAnsiTheme="minorHAnsi" w:cstheme="minorBidi"/>
          <w:sz w:val="22"/>
          <w:szCs w:val="22"/>
          <w:lang w:eastAsia="en-AU"/>
        </w:rPr>
      </w:pPr>
      <w:hyperlink w:anchor="_Toc105157300" w:history="1">
        <w:r w:rsidR="00040CB3" w:rsidRPr="00405022">
          <w:rPr>
            <w:rStyle w:val="Hyperlink"/>
          </w:rPr>
          <w:t>1.2</w:t>
        </w:r>
        <w:r w:rsidR="00040CB3">
          <w:rPr>
            <w:rFonts w:asciiTheme="minorHAnsi" w:eastAsiaTheme="minorEastAsia" w:hAnsiTheme="minorHAnsi" w:cstheme="minorBidi"/>
            <w:sz w:val="22"/>
            <w:szCs w:val="22"/>
            <w:lang w:eastAsia="en-AU"/>
          </w:rPr>
          <w:tab/>
        </w:r>
        <w:r w:rsidR="00040CB3" w:rsidRPr="00405022">
          <w:rPr>
            <w:rStyle w:val="Hyperlink"/>
          </w:rPr>
          <w:t>2010-11 Victorian Flood Review</w:t>
        </w:r>
        <w:r w:rsidR="00040CB3">
          <w:rPr>
            <w:webHidden/>
          </w:rPr>
          <w:tab/>
        </w:r>
        <w:r w:rsidR="00040CB3">
          <w:rPr>
            <w:webHidden/>
          </w:rPr>
          <w:fldChar w:fldCharType="begin"/>
        </w:r>
        <w:r w:rsidR="00040CB3">
          <w:rPr>
            <w:webHidden/>
          </w:rPr>
          <w:instrText xml:space="preserve"> PAGEREF _Toc105157300 \h </w:instrText>
        </w:r>
        <w:r w:rsidR="00040CB3">
          <w:rPr>
            <w:webHidden/>
          </w:rPr>
        </w:r>
        <w:r w:rsidR="00040CB3">
          <w:rPr>
            <w:webHidden/>
          </w:rPr>
          <w:fldChar w:fldCharType="separate"/>
        </w:r>
        <w:r w:rsidR="00040CB3">
          <w:rPr>
            <w:webHidden/>
          </w:rPr>
          <w:t>6</w:t>
        </w:r>
        <w:r w:rsidR="00040CB3">
          <w:rPr>
            <w:webHidden/>
          </w:rPr>
          <w:fldChar w:fldCharType="end"/>
        </w:r>
      </w:hyperlink>
    </w:p>
    <w:p w14:paraId="0DE0A2A9" w14:textId="364363A1" w:rsidR="00040CB3" w:rsidRDefault="00DF2FFD">
      <w:pPr>
        <w:pStyle w:val="TOC1"/>
        <w:tabs>
          <w:tab w:val="left" w:pos="567"/>
        </w:tabs>
        <w:rPr>
          <w:rFonts w:asciiTheme="minorHAnsi" w:eastAsiaTheme="minorEastAsia" w:hAnsiTheme="minorHAnsi" w:cstheme="minorBidi"/>
          <w:b w:val="0"/>
          <w:sz w:val="22"/>
          <w:szCs w:val="22"/>
          <w:lang w:eastAsia="en-AU"/>
        </w:rPr>
      </w:pPr>
      <w:hyperlink w:anchor="_Toc105157301" w:history="1">
        <w:r w:rsidR="00040CB3" w:rsidRPr="00405022">
          <w:rPr>
            <w:rStyle w:val="Hyperlink"/>
          </w:rPr>
          <w:t>2.</w:t>
        </w:r>
        <w:r w:rsidR="00040CB3">
          <w:rPr>
            <w:rFonts w:asciiTheme="minorHAnsi" w:eastAsiaTheme="minorEastAsia" w:hAnsiTheme="minorHAnsi" w:cstheme="minorBidi"/>
            <w:b w:val="0"/>
            <w:sz w:val="22"/>
            <w:szCs w:val="22"/>
            <w:lang w:eastAsia="en-AU"/>
          </w:rPr>
          <w:tab/>
        </w:r>
        <w:r w:rsidR="00040CB3" w:rsidRPr="00405022">
          <w:rPr>
            <w:rStyle w:val="Hyperlink"/>
          </w:rPr>
          <w:t>Purpose</w:t>
        </w:r>
        <w:r w:rsidR="00040CB3">
          <w:rPr>
            <w:webHidden/>
          </w:rPr>
          <w:tab/>
        </w:r>
        <w:r w:rsidR="00040CB3">
          <w:rPr>
            <w:webHidden/>
          </w:rPr>
          <w:fldChar w:fldCharType="begin"/>
        </w:r>
        <w:r w:rsidR="00040CB3">
          <w:rPr>
            <w:webHidden/>
          </w:rPr>
          <w:instrText xml:space="preserve"> PAGEREF _Toc105157301 \h </w:instrText>
        </w:r>
        <w:r w:rsidR="00040CB3">
          <w:rPr>
            <w:webHidden/>
          </w:rPr>
        </w:r>
        <w:r w:rsidR="00040CB3">
          <w:rPr>
            <w:webHidden/>
          </w:rPr>
          <w:fldChar w:fldCharType="separate"/>
        </w:r>
        <w:r w:rsidR="00040CB3">
          <w:rPr>
            <w:webHidden/>
          </w:rPr>
          <w:t>6</w:t>
        </w:r>
        <w:r w:rsidR="00040CB3">
          <w:rPr>
            <w:webHidden/>
          </w:rPr>
          <w:fldChar w:fldCharType="end"/>
        </w:r>
      </w:hyperlink>
    </w:p>
    <w:p w14:paraId="7DCCF1F3" w14:textId="483B91F2" w:rsidR="00040CB3" w:rsidRDefault="00DF2FFD">
      <w:pPr>
        <w:pStyle w:val="TOC1"/>
        <w:tabs>
          <w:tab w:val="left" w:pos="567"/>
        </w:tabs>
        <w:rPr>
          <w:rFonts w:asciiTheme="minorHAnsi" w:eastAsiaTheme="minorEastAsia" w:hAnsiTheme="minorHAnsi" w:cstheme="minorBidi"/>
          <w:b w:val="0"/>
          <w:sz w:val="22"/>
          <w:szCs w:val="22"/>
          <w:lang w:eastAsia="en-AU"/>
        </w:rPr>
      </w:pPr>
      <w:hyperlink w:anchor="_Toc105157302" w:history="1">
        <w:r w:rsidR="00040CB3" w:rsidRPr="00405022">
          <w:rPr>
            <w:rStyle w:val="Hyperlink"/>
          </w:rPr>
          <w:t>3.</w:t>
        </w:r>
        <w:r w:rsidR="00040CB3">
          <w:rPr>
            <w:rFonts w:asciiTheme="minorHAnsi" w:eastAsiaTheme="minorEastAsia" w:hAnsiTheme="minorHAnsi" w:cstheme="minorBidi"/>
            <w:b w:val="0"/>
            <w:sz w:val="22"/>
            <w:szCs w:val="22"/>
            <w:lang w:eastAsia="en-AU"/>
          </w:rPr>
          <w:tab/>
        </w:r>
        <w:r w:rsidR="00040CB3" w:rsidRPr="00405022">
          <w:rPr>
            <w:rStyle w:val="Hyperlink"/>
          </w:rPr>
          <w:t>Principles</w:t>
        </w:r>
        <w:r w:rsidR="00040CB3">
          <w:rPr>
            <w:webHidden/>
          </w:rPr>
          <w:tab/>
        </w:r>
        <w:r w:rsidR="00040CB3">
          <w:rPr>
            <w:webHidden/>
          </w:rPr>
          <w:fldChar w:fldCharType="begin"/>
        </w:r>
        <w:r w:rsidR="00040CB3">
          <w:rPr>
            <w:webHidden/>
          </w:rPr>
          <w:instrText xml:space="preserve"> PAGEREF _Toc105157302 \h </w:instrText>
        </w:r>
        <w:r w:rsidR="00040CB3">
          <w:rPr>
            <w:webHidden/>
          </w:rPr>
        </w:r>
        <w:r w:rsidR="00040CB3">
          <w:rPr>
            <w:webHidden/>
          </w:rPr>
          <w:fldChar w:fldCharType="separate"/>
        </w:r>
        <w:r w:rsidR="00040CB3">
          <w:rPr>
            <w:webHidden/>
          </w:rPr>
          <w:t>7</w:t>
        </w:r>
        <w:r w:rsidR="00040CB3">
          <w:rPr>
            <w:webHidden/>
          </w:rPr>
          <w:fldChar w:fldCharType="end"/>
        </w:r>
      </w:hyperlink>
    </w:p>
    <w:p w14:paraId="3A6AFF33" w14:textId="339D84C0" w:rsidR="00040CB3" w:rsidRDefault="00DF2FFD">
      <w:pPr>
        <w:pStyle w:val="TOC2"/>
        <w:tabs>
          <w:tab w:val="left" w:pos="567"/>
        </w:tabs>
        <w:rPr>
          <w:rFonts w:asciiTheme="minorHAnsi" w:eastAsiaTheme="minorEastAsia" w:hAnsiTheme="minorHAnsi" w:cstheme="minorBidi"/>
          <w:sz w:val="22"/>
          <w:szCs w:val="22"/>
          <w:lang w:eastAsia="en-AU"/>
        </w:rPr>
      </w:pPr>
      <w:hyperlink w:anchor="_Toc105157303" w:history="1">
        <w:r w:rsidR="00040CB3" w:rsidRPr="00405022">
          <w:rPr>
            <w:rStyle w:val="Hyperlink"/>
          </w:rPr>
          <w:t>3.1</w:t>
        </w:r>
        <w:r w:rsidR="00040CB3">
          <w:rPr>
            <w:rFonts w:asciiTheme="minorHAnsi" w:eastAsiaTheme="minorEastAsia" w:hAnsiTheme="minorHAnsi" w:cstheme="minorBidi"/>
            <w:sz w:val="22"/>
            <w:szCs w:val="22"/>
            <w:lang w:eastAsia="en-AU"/>
          </w:rPr>
          <w:tab/>
        </w:r>
        <w:r w:rsidR="00040CB3" w:rsidRPr="00405022">
          <w:rPr>
            <w:rStyle w:val="Hyperlink"/>
          </w:rPr>
          <w:t>Supporting local emergency planning and preparation</w:t>
        </w:r>
        <w:r w:rsidR="00040CB3">
          <w:rPr>
            <w:webHidden/>
          </w:rPr>
          <w:tab/>
        </w:r>
        <w:r w:rsidR="00040CB3">
          <w:rPr>
            <w:webHidden/>
          </w:rPr>
          <w:fldChar w:fldCharType="begin"/>
        </w:r>
        <w:r w:rsidR="00040CB3">
          <w:rPr>
            <w:webHidden/>
          </w:rPr>
          <w:instrText xml:space="preserve"> PAGEREF _Toc105157303 \h </w:instrText>
        </w:r>
        <w:r w:rsidR="00040CB3">
          <w:rPr>
            <w:webHidden/>
          </w:rPr>
        </w:r>
        <w:r w:rsidR="00040CB3">
          <w:rPr>
            <w:webHidden/>
          </w:rPr>
          <w:fldChar w:fldCharType="separate"/>
        </w:r>
        <w:r w:rsidR="00040CB3">
          <w:rPr>
            <w:webHidden/>
          </w:rPr>
          <w:t>7</w:t>
        </w:r>
        <w:r w:rsidR="00040CB3">
          <w:rPr>
            <w:webHidden/>
          </w:rPr>
          <w:fldChar w:fldCharType="end"/>
        </w:r>
      </w:hyperlink>
    </w:p>
    <w:p w14:paraId="35CD0E30" w14:textId="7A11EEF2" w:rsidR="00040CB3" w:rsidRDefault="00DF2FFD">
      <w:pPr>
        <w:pStyle w:val="TOC2"/>
        <w:tabs>
          <w:tab w:val="left" w:pos="567"/>
        </w:tabs>
        <w:rPr>
          <w:rFonts w:asciiTheme="minorHAnsi" w:eastAsiaTheme="minorEastAsia" w:hAnsiTheme="minorHAnsi" w:cstheme="minorBidi"/>
          <w:sz w:val="22"/>
          <w:szCs w:val="22"/>
          <w:lang w:eastAsia="en-AU"/>
        </w:rPr>
      </w:pPr>
      <w:hyperlink w:anchor="_Toc105157304" w:history="1">
        <w:r w:rsidR="00040CB3" w:rsidRPr="00405022">
          <w:rPr>
            <w:rStyle w:val="Hyperlink"/>
          </w:rPr>
          <w:t>3.2</w:t>
        </w:r>
        <w:r w:rsidR="00040CB3">
          <w:rPr>
            <w:rFonts w:asciiTheme="minorHAnsi" w:eastAsiaTheme="minorEastAsia" w:hAnsiTheme="minorHAnsi" w:cstheme="minorBidi"/>
            <w:sz w:val="22"/>
            <w:szCs w:val="22"/>
            <w:lang w:eastAsia="en-AU"/>
          </w:rPr>
          <w:tab/>
        </w:r>
        <w:r w:rsidR="00040CB3" w:rsidRPr="00405022">
          <w:rPr>
            <w:rStyle w:val="Hyperlink"/>
          </w:rPr>
          <w:t>Integrating emergency planning with service delivery</w:t>
        </w:r>
        <w:r w:rsidR="00040CB3">
          <w:rPr>
            <w:webHidden/>
          </w:rPr>
          <w:tab/>
        </w:r>
        <w:r w:rsidR="00040CB3">
          <w:rPr>
            <w:webHidden/>
          </w:rPr>
          <w:fldChar w:fldCharType="begin"/>
        </w:r>
        <w:r w:rsidR="00040CB3">
          <w:rPr>
            <w:webHidden/>
          </w:rPr>
          <w:instrText xml:space="preserve"> PAGEREF _Toc105157304 \h </w:instrText>
        </w:r>
        <w:r w:rsidR="00040CB3">
          <w:rPr>
            <w:webHidden/>
          </w:rPr>
        </w:r>
        <w:r w:rsidR="00040CB3">
          <w:rPr>
            <w:webHidden/>
          </w:rPr>
          <w:fldChar w:fldCharType="separate"/>
        </w:r>
        <w:r w:rsidR="00040CB3">
          <w:rPr>
            <w:webHidden/>
          </w:rPr>
          <w:t>7</w:t>
        </w:r>
        <w:r w:rsidR="00040CB3">
          <w:rPr>
            <w:webHidden/>
          </w:rPr>
          <w:fldChar w:fldCharType="end"/>
        </w:r>
      </w:hyperlink>
    </w:p>
    <w:p w14:paraId="16A605EE" w14:textId="2713BE94" w:rsidR="00040CB3" w:rsidRDefault="00DF2FFD">
      <w:pPr>
        <w:pStyle w:val="TOC2"/>
        <w:tabs>
          <w:tab w:val="left" w:pos="567"/>
        </w:tabs>
        <w:rPr>
          <w:rFonts w:asciiTheme="minorHAnsi" w:eastAsiaTheme="minorEastAsia" w:hAnsiTheme="minorHAnsi" w:cstheme="minorBidi"/>
          <w:sz w:val="22"/>
          <w:szCs w:val="22"/>
          <w:lang w:eastAsia="en-AU"/>
        </w:rPr>
      </w:pPr>
      <w:hyperlink w:anchor="_Toc105157305" w:history="1">
        <w:r w:rsidR="00040CB3" w:rsidRPr="00405022">
          <w:rPr>
            <w:rStyle w:val="Hyperlink"/>
          </w:rPr>
          <w:t>3.3</w:t>
        </w:r>
        <w:r w:rsidR="00040CB3">
          <w:rPr>
            <w:rFonts w:asciiTheme="minorHAnsi" w:eastAsiaTheme="minorEastAsia" w:hAnsiTheme="minorHAnsi" w:cstheme="minorBidi"/>
            <w:sz w:val="22"/>
            <w:szCs w:val="22"/>
            <w:lang w:eastAsia="en-AU"/>
          </w:rPr>
          <w:tab/>
        </w:r>
        <w:r w:rsidR="00040CB3" w:rsidRPr="00405022">
          <w:rPr>
            <w:rStyle w:val="Hyperlink"/>
          </w:rPr>
          <w:t>Encouraging personal and community preparation and resilience</w:t>
        </w:r>
        <w:r w:rsidR="00040CB3">
          <w:rPr>
            <w:webHidden/>
          </w:rPr>
          <w:tab/>
        </w:r>
        <w:r w:rsidR="00040CB3">
          <w:rPr>
            <w:webHidden/>
          </w:rPr>
          <w:fldChar w:fldCharType="begin"/>
        </w:r>
        <w:r w:rsidR="00040CB3">
          <w:rPr>
            <w:webHidden/>
          </w:rPr>
          <w:instrText xml:space="preserve"> PAGEREF _Toc105157305 \h </w:instrText>
        </w:r>
        <w:r w:rsidR="00040CB3">
          <w:rPr>
            <w:webHidden/>
          </w:rPr>
        </w:r>
        <w:r w:rsidR="00040CB3">
          <w:rPr>
            <w:webHidden/>
          </w:rPr>
          <w:fldChar w:fldCharType="separate"/>
        </w:r>
        <w:r w:rsidR="00040CB3">
          <w:rPr>
            <w:webHidden/>
          </w:rPr>
          <w:t>7</w:t>
        </w:r>
        <w:r w:rsidR="00040CB3">
          <w:rPr>
            <w:webHidden/>
          </w:rPr>
          <w:fldChar w:fldCharType="end"/>
        </w:r>
      </w:hyperlink>
    </w:p>
    <w:p w14:paraId="7A3E41AA" w14:textId="4B92BA0A" w:rsidR="00040CB3" w:rsidRDefault="00DF2FFD">
      <w:pPr>
        <w:pStyle w:val="TOC1"/>
        <w:tabs>
          <w:tab w:val="left" w:pos="567"/>
        </w:tabs>
        <w:rPr>
          <w:rFonts w:asciiTheme="minorHAnsi" w:eastAsiaTheme="minorEastAsia" w:hAnsiTheme="minorHAnsi" w:cstheme="minorBidi"/>
          <w:b w:val="0"/>
          <w:sz w:val="22"/>
          <w:szCs w:val="22"/>
          <w:lang w:eastAsia="en-AU"/>
        </w:rPr>
      </w:pPr>
      <w:hyperlink w:anchor="_Toc105157306" w:history="1">
        <w:r w:rsidR="00040CB3" w:rsidRPr="00405022">
          <w:rPr>
            <w:rStyle w:val="Hyperlink"/>
          </w:rPr>
          <w:t>4.</w:t>
        </w:r>
        <w:r w:rsidR="00040CB3">
          <w:rPr>
            <w:rFonts w:asciiTheme="minorHAnsi" w:eastAsiaTheme="minorEastAsia" w:hAnsiTheme="minorHAnsi" w:cstheme="minorBidi"/>
            <w:b w:val="0"/>
            <w:sz w:val="22"/>
            <w:szCs w:val="22"/>
            <w:lang w:eastAsia="en-AU"/>
          </w:rPr>
          <w:tab/>
        </w:r>
        <w:r w:rsidR="00040CB3" w:rsidRPr="00405022">
          <w:rPr>
            <w:rStyle w:val="Hyperlink"/>
          </w:rPr>
          <w:t>Scope</w:t>
        </w:r>
        <w:r w:rsidR="00040CB3">
          <w:rPr>
            <w:webHidden/>
          </w:rPr>
          <w:tab/>
        </w:r>
        <w:r w:rsidR="00040CB3">
          <w:rPr>
            <w:webHidden/>
          </w:rPr>
          <w:fldChar w:fldCharType="begin"/>
        </w:r>
        <w:r w:rsidR="00040CB3">
          <w:rPr>
            <w:webHidden/>
          </w:rPr>
          <w:instrText xml:space="preserve"> PAGEREF _Toc105157306 \h </w:instrText>
        </w:r>
        <w:r w:rsidR="00040CB3">
          <w:rPr>
            <w:webHidden/>
          </w:rPr>
        </w:r>
        <w:r w:rsidR="00040CB3">
          <w:rPr>
            <w:webHidden/>
          </w:rPr>
          <w:fldChar w:fldCharType="separate"/>
        </w:r>
        <w:r w:rsidR="00040CB3">
          <w:rPr>
            <w:webHidden/>
          </w:rPr>
          <w:t>7</w:t>
        </w:r>
        <w:r w:rsidR="00040CB3">
          <w:rPr>
            <w:webHidden/>
          </w:rPr>
          <w:fldChar w:fldCharType="end"/>
        </w:r>
      </w:hyperlink>
    </w:p>
    <w:p w14:paraId="416A1E87" w14:textId="3694FA35" w:rsidR="00040CB3" w:rsidRDefault="00DF2FFD">
      <w:pPr>
        <w:pStyle w:val="TOC1"/>
        <w:tabs>
          <w:tab w:val="left" w:pos="567"/>
        </w:tabs>
        <w:rPr>
          <w:rFonts w:asciiTheme="minorHAnsi" w:eastAsiaTheme="minorEastAsia" w:hAnsiTheme="minorHAnsi" w:cstheme="minorBidi"/>
          <w:b w:val="0"/>
          <w:sz w:val="22"/>
          <w:szCs w:val="22"/>
          <w:lang w:eastAsia="en-AU"/>
        </w:rPr>
      </w:pPr>
      <w:hyperlink w:anchor="_Toc105157307" w:history="1">
        <w:r w:rsidR="00040CB3" w:rsidRPr="00405022">
          <w:rPr>
            <w:rStyle w:val="Hyperlink"/>
          </w:rPr>
          <w:t>5.</w:t>
        </w:r>
        <w:r w:rsidR="00040CB3">
          <w:rPr>
            <w:rFonts w:asciiTheme="minorHAnsi" w:eastAsiaTheme="minorEastAsia" w:hAnsiTheme="minorHAnsi" w:cstheme="minorBidi"/>
            <w:b w:val="0"/>
            <w:sz w:val="22"/>
            <w:szCs w:val="22"/>
            <w:lang w:eastAsia="en-AU"/>
          </w:rPr>
          <w:tab/>
        </w:r>
        <w:r w:rsidR="00040CB3" w:rsidRPr="00405022">
          <w:rPr>
            <w:rStyle w:val="Hyperlink"/>
          </w:rPr>
          <w:t>Planning for vulnerable people in emergencies</w:t>
        </w:r>
        <w:r w:rsidR="00040CB3">
          <w:rPr>
            <w:webHidden/>
          </w:rPr>
          <w:tab/>
        </w:r>
        <w:r w:rsidR="00040CB3">
          <w:rPr>
            <w:webHidden/>
          </w:rPr>
          <w:fldChar w:fldCharType="begin"/>
        </w:r>
        <w:r w:rsidR="00040CB3">
          <w:rPr>
            <w:webHidden/>
          </w:rPr>
          <w:instrText xml:space="preserve"> PAGEREF _Toc105157307 \h </w:instrText>
        </w:r>
        <w:r w:rsidR="00040CB3">
          <w:rPr>
            <w:webHidden/>
          </w:rPr>
        </w:r>
        <w:r w:rsidR="00040CB3">
          <w:rPr>
            <w:webHidden/>
          </w:rPr>
          <w:fldChar w:fldCharType="separate"/>
        </w:r>
        <w:r w:rsidR="00040CB3">
          <w:rPr>
            <w:webHidden/>
          </w:rPr>
          <w:t>8</w:t>
        </w:r>
        <w:r w:rsidR="00040CB3">
          <w:rPr>
            <w:webHidden/>
          </w:rPr>
          <w:fldChar w:fldCharType="end"/>
        </w:r>
      </w:hyperlink>
    </w:p>
    <w:p w14:paraId="1F21FFFB" w14:textId="2D85E908" w:rsidR="00040CB3" w:rsidRDefault="00DF2FFD">
      <w:pPr>
        <w:pStyle w:val="TOC2"/>
        <w:tabs>
          <w:tab w:val="left" w:pos="567"/>
        </w:tabs>
        <w:rPr>
          <w:rFonts w:asciiTheme="minorHAnsi" w:eastAsiaTheme="minorEastAsia" w:hAnsiTheme="minorHAnsi" w:cstheme="minorBidi"/>
          <w:sz w:val="22"/>
          <w:szCs w:val="22"/>
          <w:lang w:eastAsia="en-AU"/>
        </w:rPr>
      </w:pPr>
      <w:hyperlink w:anchor="_Toc105157308" w:history="1">
        <w:r w:rsidR="00040CB3" w:rsidRPr="00405022">
          <w:rPr>
            <w:rStyle w:val="Hyperlink"/>
          </w:rPr>
          <w:t>5.1</w:t>
        </w:r>
        <w:r w:rsidR="00040CB3">
          <w:rPr>
            <w:rFonts w:asciiTheme="minorHAnsi" w:eastAsiaTheme="minorEastAsia" w:hAnsiTheme="minorHAnsi" w:cstheme="minorBidi"/>
            <w:sz w:val="22"/>
            <w:szCs w:val="22"/>
            <w:lang w:eastAsia="en-AU"/>
          </w:rPr>
          <w:tab/>
        </w:r>
        <w:r w:rsidR="00040CB3" w:rsidRPr="00405022">
          <w:rPr>
            <w:rStyle w:val="Hyperlink"/>
          </w:rPr>
          <w:t>The role of funded agencies in planning for vulnerable people in emergencies</w:t>
        </w:r>
        <w:r w:rsidR="00040CB3">
          <w:rPr>
            <w:webHidden/>
          </w:rPr>
          <w:tab/>
        </w:r>
        <w:r w:rsidR="00040CB3">
          <w:rPr>
            <w:webHidden/>
          </w:rPr>
          <w:fldChar w:fldCharType="begin"/>
        </w:r>
        <w:r w:rsidR="00040CB3">
          <w:rPr>
            <w:webHidden/>
          </w:rPr>
          <w:instrText xml:space="preserve"> PAGEREF _Toc105157308 \h </w:instrText>
        </w:r>
        <w:r w:rsidR="00040CB3">
          <w:rPr>
            <w:webHidden/>
          </w:rPr>
        </w:r>
        <w:r w:rsidR="00040CB3">
          <w:rPr>
            <w:webHidden/>
          </w:rPr>
          <w:fldChar w:fldCharType="separate"/>
        </w:r>
        <w:r w:rsidR="00040CB3">
          <w:rPr>
            <w:webHidden/>
          </w:rPr>
          <w:t>8</w:t>
        </w:r>
        <w:r w:rsidR="00040CB3">
          <w:rPr>
            <w:webHidden/>
          </w:rPr>
          <w:fldChar w:fldCharType="end"/>
        </w:r>
      </w:hyperlink>
    </w:p>
    <w:p w14:paraId="7665F8FA" w14:textId="32594D75" w:rsidR="00040CB3" w:rsidRDefault="00DF2FFD">
      <w:pPr>
        <w:pStyle w:val="TOC2"/>
        <w:tabs>
          <w:tab w:val="left" w:pos="567"/>
        </w:tabs>
        <w:rPr>
          <w:rFonts w:asciiTheme="minorHAnsi" w:eastAsiaTheme="minorEastAsia" w:hAnsiTheme="minorHAnsi" w:cstheme="minorBidi"/>
          <w:sz w:val="22"/>
          <w:szCs w:val="22"/>
          <w:lang w:eastAsia="en-AU"/>
        </w:rPr>
      </w:pPr>
      <w:hyperlink w:anchor="_Toc105157309" w:history="1">
        <w:r w:rsidR="00040CB3" w:rsidRPr="00405022">
          <w:rPr>
            <w:rStyle w:val="Hyperlink"/>
          </w:rPr>
          <w:t>5.2</w:t>
        </w:r>
        <w:r w:rsidR="00040CB3">
          <w:rPr>
            <w:rFonts w:asciiTheme="minorHAnsi" w:eastAsiaTheme="minorEastAsia" w:hAnsiTheme="minorHAnsi" w:cstheme="minorBidi"/>
            <w:sz w:val="22"/>
            <w:szCs w:val="22"/>
            <w:lang w:eastAsia="en-AU"/>
          </w:rPr>
          <w:tab/>
        </w:r>
        <w:r w:rsidR="00040CB3" w:rsidRPr="00405022">
          <w:rPr>
            <w:rStyle w:val="Hyperlink"/>
          </w:rPr>
          <w:t>The role of Red Cross in planning for vulnerable people in emergencies</w:t>
        </w:r>
        <w:r w:rsidR="00040CB3">
          <w:rPr>
            <w:webHidden/>
          </w:rPr>
          <w:tab/>
        </w:r>
        <w:r w:rsidR="00040CB3">
          <w:rPr>
            <w:webHidden/>
          </w:rPr>
          <w:fldChar w:fldCharType="begin"/>
        </w:r>
        <w:r w:rsidR="00040CB3">
          <w:rPr>
            <w:webHidden/>
          </w:rPr>
          <w:instrText xml:space="preserve"> PAGEREF _Toc105157309 \h </w:instrText>
        </w:r>
        <w:r w:rsidR="00040CB3">
          <w:rPr>
            <w:webHidden/>
          </w:rPr>
        </w:r>
        <w:r w:rsidR="00040CB3">
          <w:rPr>
            <w:webHidden/>
          </w:rPr>
          <w:fldChar w:fldCharType="separate"/>
        </w:r>
        <w:r w:rsidR="00040CB3">
          <w:rPr>
            <w:webHidden/>
          </w:rPr>
          <w:t>9</w:t>
        </w:r>
        <w:r w:rsidR="00040CB3">
          <w:rPr>
            <w:webHidden/>
          </w:rPr>
          <w:fldChar w:fldCharType="end"/>
        </w:r>
      </w:hyperlink>
    </w:p>
    <w:p w14:paraId="410D82E2" w14:textId="70CF0F79" w:rsidR="00040CB3" w:rsidRDefault="00DF2FFD">
      <w:pPr>
        <w:pStyle w:val="TOC1"/>
        <w:tabs>
          <w:tab w:val="left" w:pos="567"/>
        </w:tabs>
        <w:rPr>
          <w:rFonts w:asciiTheme="minorHAnsi" w:eastAsiaTheme="minorEastAsia" w:hAnsiTheme="minorHAnsi" w:cstheme="minorBidi"/>
          <w:b w:val="0"/>
          <w:sz w:val="22"/>
          <w:szCs w:val="22"/>
          <w:lang w:eastAsia="en-AU"/>
        </w:rPr>
      </w:pPr>
      <w:hyperlink w:anchor="_Toc105157310" w:history="1">
        <w:r w:rsidR="00040CB3" w:rsidRPr="00405022">
          <w:rPr>
            <w:rStyle w:val="Hyperlink"/>
          </w:rPr>
          <w:t>6.</w:t>
        </w:r>
        <w:r w:rsidR="00040CB3">
          <w:rPr>
            <w:rFonts w:asciiTheme="minorHAnsi" w:eastAsiaTheme="minorEastAsia" w:hAnsiTheme="minorHAnsi" w:cstheme="minorBidi"/>
            <w:b w:val="0"/>
            <w:sz w:val="22"/>
            <w:szCs w:val="22"/>
            <w:lang w:eastAsia="en-AU"/>
          </w:rPr>
          <w:tab/>
        </w:r>
        <w:r w:rsidR="00040CB3" w:rsidRPr="00405022">
          <w:rPr>
            <w:rStyle w:val="Hyperlink"/>
          </w:rPr>
          <w:t>Vulnerable persons registers</w:t>
        </w:r>
        <w:r w:rsidR="00040CB3">
          <w:rPr>
            <w:webHidden/>
          </w:rPr>
          <w:tab/>
        </w:r>
        <w:r w:rsidR="00040CB3">
          <w:rPr>
            <w:webHidden/>
          </w:rPr>
          <w:fldChar w:fldCharType="begin"/>
        </w:r>
        <w:r w:rsidR="00040CB3">
          <w:rPr>
            <w:webHidden/>
          </w:rPr>
          <w:instrText xml:space="preserve"> PAGEREF _Toc105157310 \h </w:instrText>
        </w:r>
        <w:r w:rsidR="00040CB3">
          <w:rPr>
            <w:webHidden/>
          </w:rPr>
        </w:r>
        <w:r w:rsidR="00040CB3">
          <w:rPr>
            <w:webHidden/>
          </w:rPr>
          <w:fldChar w:fldCharType="separate"/>
        </w:r>
        <w:r w:rsidR="00040CB3">
          <w:rPr>
            <w:webHidden/>
          </w:rPr>
          <w:t>9</w:t>
        </w:r>
        <w:r w:rsidR="00040CB3">
          <w:rPr>
            <w:webHidden/>
          </w:rPr>
          <w:fldChar w:fldCharType="end"/>
        </w:r>
      </w:hyperlink>
    </w:p>
    <w:p w14:paraId="3E62FFE1" w14:textId="06B513C1" w:rsidR="00040CB3" w:rsidRDefault="00DF2FFD">
      <w:pPr>
        <w:pStyle w:val="TOC2"/>
        <w:tabs>
          <w:tab w:val="left" w:pos="567"/>
        </w:tabs>
        <w:rPr>
          <w:rFonts w:asciiTheme="minorHAnsi" w:eastAsiaTheme="minorEastAsia" w:hAnsiTheme="minorHAnsi" w:cstheme="minorBidi"/>
          <w:sz w:val="22"/>
          <w:szCs w:val="22"/>
          <w:lang w:eastAsia="en-AU"/>
        </w:rPr>
      </w:pPr>
      <w:hyperlink w:anchor="_Toc105157311" w:history="1">
        <w:r w:rsidR="00040CB3" w:rsidRPr="00405022">
          <w:rPr>
            <w:rStyle w:val="Hyperlink"/>
          </w:rPr>
          <w:t>6.1</w:t>
        </w:r>
        <w:r w:rsidR="00040CB3">
          <w:rPr>
            <w:rFonts w:asciiTheme="minorHAnsi" w:eastAsiaTheme="minorEastAsia" w:hAnsiTheme="minorHAnsi" w:cstheme="minorBidi"/>
            <w:sz w:val="22"/>
            <w:szCs w:val="22"/>
            <w:lang w:eastAsia="en-AU"/>
          </w:rPr>
          <w:tab/>
        </w:r>
        <w:r w:rsidR="00040CB3" w:rsidRPr="00405022">
          <w:rPr>
            <w:rStyle w:val="Hyperlink"/>
          </w:rPr>
          <w:t>The role of funded agencies in screening for Vulnerable Persons Registers</w:t>
        </w:r>
        <w:r w:rsidR="00040CB3">
          <w:rPr>
            <w:webHidden/>
          </w:rPr>
          <w:tab/>
        </w:r>
        <w:r w:rsidR="00040CB3">
          <w:rPr>
            <w:webHidden/>
          </w:rPr>
          <w:fldChar w:fldCharType="begin"/>
        </w:r>
        <w:r w:rsidR="00040CB3">
          <w:rPr>
            <w:webHidden/>
          </w:rPr>
          <w:instrText xml:space="preserve"> PAGEREF _Toc105157311 \h </w:instrText>
        </w:r>
        <w:r w:rsidR="00040CB3">
          <w:rPr>
            <w:webHidden/>
          </w:rPr>
        </w:r>
        <w:r w:rsidR="00040CB3">
          <w:rPr>
            <w:webHidden/>
          </w:rPr>
          <w:fldChar w:fldCharType="separate"/>
        </w:r>
        <w:r w:rsidR="00040CB3">
          <w:rPr>
            <w:webHidden/>
          </w:rPr>
          <w:t>10</w:t>
        </w:r>
        <w:r w:rsidR="00040CB3">
          <w:rPr>
            <w:webHidden/>
          </w:rPr>
          <w:fldChar w:fldCharType="end"/>
        </w:r>
      </w:hyperlink>
    </w:p>
    <w:p w14:paraId="76FF242A" w14:textId="448229B8" w:rsidR="00040CB3" w:rsidRDefault="00DF2FFD">
      <w:pPr>
        <w:pStyle w:val="TOC2"/>
        <w:tabs>
          <w:tab w:val="left" w:pos="567"/>
        </w:tabs>
        <w:rPr>
          <w:rFonts w:asciiTheme="minorHAnsi" w:eastAsiaTheme="minorEastAsia" w:hAnsiTheme="minorHAnsi" w:cstheme="minorBidi"/>
          <w:sz w:val="22"/>
          <w:szCs w:val="22"/>
          <w:lang w:eastAsia="en-AU"/>
        </w:rPr>
      </w:pPr>
      <w:hyperlink w:anchor="_Toc105157312" w:history="1">
        <w:r w:rsidR="00040CB3" w:rsidRPr="00405022">
          <w:rPr>
            <w:rStyle w:val="Hyperlink"/>
          </w:rPr>
          <w:t>6.2</w:t>
        </w:r>
        <w:r w:rsidR="00040CB3">
          <w:rPr>
            <w:rFonts w:asciiTheme="minorHAnsi" w:eastAsiaTheme="minorEastAsia" w:hAnsiTheme="minorHAnsi" w:cstheme="minorBidi"/>
            <w:sz w:val="22"/>
            <w:szCs w:val="22"/>
            <w:lang w:eastAsia="en-AU"/>
          </w:rPr>
          <w:tab/>
        </w:r>
        <w:r w:rsidR="00040CB3" w:rsidRPr="00405022">
          <w:rPr>
            <w:rStyle w:val="Hyperlink"/>
          </w:rPr>
          <w:t>The role of municipal councils in coordinating local implementation of Vulnerable Persons Registers</w:t>
        </w:r>
        <w:r w:rsidR="00040CB3">
          <w:rPr>
            <w:webHidden/>
          </w:rPr>
          <w:tab/>
        </w:r>
        <w:r w:rsidR="00040CB3">
          <w:rPr>
            <w:webHidden/>
          </w:rPr>
          <w:fldChar w:fldCharType="begin"/>
        </w:r>
        <w:r w:rsidR="00040CB3">
          <w:rPr>
            <w:webHidden/>
          </w:rPr>
          <w:instrText xml:space="preserve"> PAGEREF _Toc105157312 \h </w:instrText>
        </w:r>
        <w:r w:rsidR="00040CB3">
          <w:rPr>
            <w:webHidden/>
          </w:rPr>
        </w:r>
        <w:r w:rsidR="00040CB3">
          <w:rPr>
            <w:webHidden/>
          </w:rPr>
          <w:fldChar w:fldCharType="separate"/>
        </w:r>
        <w:r w:rsidR="00040CB3">
          <w:rPr>
            <w:webHidden/>
          </w:rPr>
          <w:t>10</w:t>
        </w:r>
        <w:r w:rsidR="00040CB3">
          <w:rPr>
            <w:webHidden/>
          </w:rPr>
          <w:fldChar w:fldCharType="end"/>
        </w:r>
      </w:hyperlink>
    </w:p>
    <w:p w14:paraId="351B5FC3" w14:textId="6A0301ED" w:rsidR="00040CB3" w:rsidRDefault="00DF2FFD">
      <w:pPr>
        <w:pStyle w:val="TOC1"/>
        <w:tabs>
          <w:tab w:val="left" w:pos="567"/>
        </w:tabs>
        <w:rPr>
          <w:rFonts w:asciiTheme="minorHAnsi" w:eastAsiaTheme="minorEastAsia" w:hAnsiTheme="minorHAnsi" w:cstheme="minorBidi"/>
          <w:b w:val="0"/>
          <w:sz w:val="22"/>
          <w:szCs w:val="22"/>
          <w:lang w:eastAsia="en-AU"/>
        </w:rPr>
      </w:pPr>
      <w:hyperlink w:anchor="_Toc105157313" w:history="1">
        <w:r w:rsidR="00040CB3" w:rsidRPr="00405022">
          <w:rPr>
            <w:rStyle w:val="Hyperlink"/>
          </w:rPr>
          <w:t>7.</w:t>
        </w:r>
        <w:r w:rsidR="00040CB3">
          <w:rPr>
            <w:rFonts w:asciiTheme="minorHAnsi" w:eastAsiaTheme="minorEastAsia" w:hAnsiTheme="minorHAnsi" w:cstheme="minorBidi"/>
            <w:b w:val="0"/>
            <w:sz w:val="22"/>
            <w:szCs w:val="22"/>
            <w:lang w:eastAsia="en-AU"/>
          </w:rPr>
          <w:tab/>
        </w:r>
        <w:r w:rsidR="00040CB3" w:rsidRPr="00405022">
          <w:rPr>
            <w:rStyle w:val="Hyperlink"/>
          </w:rPr>
          <w:t>Identification of facilities housing vulnerable people</w:t>
        </w:r>
        <w:r w:rsidR="00040CB3">
          <w:rPr>
            <w:webHidden/>
          </w:rPr>
          <w:tab/>
        </w:r>
        <w:r w:rsidR="00040CB3">
          <w:rPr>
            <w:webHidden/>
          </w:rPr>
          <w:fldChar w:fldCharType="begin"/>
        </w:r>
        <w:r w:rsidR="00040CB3">
          <w:rPr>
            <w:webHidden/>
          </w:rPr>
          <w:instrText xml:space="preserve"> PAGEREF _Toc105157313 \h </w:instrText>
        </w:r>
        <w:r w:rsidR="00040CB3">
          <w:rPr>
            <w:webHidden/>
          </w:rPr>
        </w:r>
        <w:r w:rsidR="00040CB3">
          <w:rPr>
            <w:webHidden/>
          </w:rPr>
          <w:fldChar w:fldCharType="separate"/>
        </w:r>
        <w:r w:rsidR="00040CB3">
          <w:rPr>
            <w:webHidden/>
          </w:rPr>
          <w:t>11</w:t>
        </w:r>
        <w:r w:rsidR="00040CB3">
          <w:rPr>
            <w:webHidden/>
          </w:rPr>
          <w:fldChar w:fldCharType="end"/>
        </w:r>
      </w:hyperlink>
    </w:p>
    <w:p w14:paraId="76358318" w14:textId="1A26F7C4" w:rsidR="00040CB3" w:rsidRDefault="00DF2FFD">
      <w:pPr>
        <w:pStyle w:val="TOC2"/>
        <w:tabs>
          <w:tab w:val="left" w:pos="567"/>
        </w:tabs>
        <w:rPr>
          <w:rFonts w:asciiTheme="minorHAnsi" w:eastAsiaTheme="minorEastAsia" w:hAnsiTheme="minorHAnsi" w:cstheme="minorBidi"/>
          <w:sz w:val="22"/>
          <w:szCs w:val="22"/>
          <w:lang w:eastAsia="en-AU"/>
        </w:rPr>
      </w:pPr>
      <w:hyperlink w:anchor="_Toc105157314" w:history="1">
        <w:r w:rsidR="00040CB3" w:rsidRPr="00405022">
          <w:rPr>
            <w:rStyle w:val="Hyperlink"/>
          </w:rPr>
          <w:t>7.1</w:t>
        </w:r>
        <w:r w:rsidR="00040CB3">
          <w:rPr>
            <w:rFonts w:asciiTheme="minorHAnsi" w:eastAsiaTheme="minorEastAsia" w:hAnsiTheme="minorHAnsi" w:cstheme="minorBidi"/>
            <w:sz w:val="22"/>
            <w:szCs w:val="22"/>
            <w:lang w:eastAsia="en-AU"/>
          </w:rPr>
          <w:tab/>
        </w:r>
        <w:r w:rsidR="00040CB3" w:rsidRPr="00405022">
          <w:rPr>
            <w:rStyle w:val="Hyperlink"/>
          </w:rPr>
          <w:t>The role of municipal councils in developing and maintaining a list of local facilities where vulnerable people are likely to be situated</w:t>
        </w:r>
        <w:r w:rsidR="00040CB3">
          <w:rPr>
            <w:webHidden/>
          </w:rPr>
          <w:tab/>
        </w:r>
        <w:r w:rsidR="00040CB3">
          <w:rPr>
            <w:webHidden/>
          </w:rPr>
          <w:fldChar w:fldCharType="begin"/>
        </w:r>
        <w:r w:rsidR="00040CB3">
          <w:rPr>
            <w:webHidden/>
          </w:rPr>
          <w:instrText xml:space="preserve"> PAGEREF _Toc105157314 \h </w:instrText>
        </w:r>
        <w:r w:rsidR="00040CB3">
          <w:rPr>
            <w:webHidden/>
          </w:rPr>
        </w:r>
        <w:r w:rsidR="00040CB3">
          <w:rPr>
            <w:webHidden/>
          </w:rPr>
          <w:fldChar w:fldCharType="separate"/>
        </w:r>
        <w:r w:rsidR="00040CB3">
          <w:rPr>
            <w:webHidden/>
          </w:rPr>
          <w:t>11</w:t>
        </w:r>
        <w:r w:rsidR="00040CB3">
          <w:rPr>
            <w:webHidden/>
          </w:rPr>
          <w:fldChar w:fldCharType="end"/>
        </w:r>
      </w:hyperlink>
    </w:p>
    <w:p w14:paraId="7DF325F4" w14:textId="3AE25044" w:rsidR="00040CB3" w:rsidRDefault="00DF2FFD">
      <w:pPr>
        <w:pStyle w:val="TOC1"/>
        <w:rPr>
          <w:rFonts w:asciiTheme="minorHAnsi" w:eastAsiaTheme="minorEastAsia" w:hAnsiTheme="minorHAnsi" w:cstheme="minorBidi"/>
          <w:b w:val="0"/>
          <w:sz w:val="22"/>
          <w:szCs w:val="22"/>
          <w:lang w:eastAsia="en-AU"/>
        </w:rPr>
      </w:pPr>
      <w:hyperlink w:anchor="_Toc105157315" w:history="1">
        <w:r w:rsidR="00040CB3" w:rsidRPr="00405022">
          <w:rPr>
            <w:rStyle w:val="Hyperlink"/>
          </w:rPr>
          <w:t>Appendix 1 - List of Municipal Councils in CFA Districts</w:t>
        </w:r>
        <w:r w:rsidR="00040CB3">
          <w:rPr>
            <w:webHidden/>
          </w:rPr>
          <w:tab/>
        </w:r>
        <w:r w:rsidR="00040CB3">
          <w:rPr>
            <w:webHidden/>
          </w:rPr>
          <w:fldChar w:fldCharType="begin"/>
        </w:r>
        <w:r w:rsidR="00040CB3">
          <w:rPr>
            <w:webHidden/>
          </w:rPr>
          <w:instrText xml:space="preserve"> PAGEREF _Toc105157315 \h </w:instrText>
        </w:r>
        <w:r w:rsidR="00040CB3">
          <w:rPr>
            <w:webHidden/>
          </w:rPr>
        </w:r>
        <w:r w:rsidR="00040CB3">
          <w:rPr>
            <w:webHidden/>
          </w:rPr>
          <w:fldChar w:fldCharType="separate"/>
        </w:r>
        <w:r w:rsidR="00040CB3">
          <w:rPr>
            <w:webHidden/>
          </w:rPr>
          <w:t>12</w:t>
        </w:r>
        <w:r w:rsidR="00040CB3">
          <w:rPr>
            <w:webHidden/>
          </w:rPr>
          <w:fldChar w:fldCharType="end"/>
        </w:r>
      </w:hyperlink>
    </w:p>
    <w:p w14:paraId="7403F3C1" w14:textId="792F1847" w:rsidR="00040CB3" w:rsidRDefault="00DF2FFD">
      <w:pPr>
        <w:pStyle w:val="TOC1"/>
        <w:rPr>
          <w:rFonts w:asciiTheme="minorHAnsi" w:eastAsiaTheme="minorEastAsia" w:hAnsiTheme="minorHAnsi" w:cstheme="minorBidi"/>
          <w:b w:val="0"/>
          <w:sz w:val="22"/>
          <w:szCs w:val="22"/>
          <w:lang w:eastAsia="en-AU"/>
        </w:rPr>
      </w:pPr>
      <w:hyperlink w:anchor="_Toc105157316" w:history="1">
        <w:r w:rsidR="00040CB3" w:rsidRPr="00405022">
          <w:rPr>
            <w:rStyle w:val="Hyperlink"/>
          </w:rPr>
          <w:t>Appendix 2 – Resources</w:t>
        </w:r>
        <w:r w:rsidR="00040CB3">
          <w:rPr>
            <w:webHidden/>
          </w:rPr>
          <w:tab/>
        </w:r>
        <w:r w:rsidR="00040CB3">
          <w:rPr>
            <w:webHidden/>
          </w:rPr>
          <w:fldChar w:fldCharType="begin"/>
        </w:r>
        <w:r w:rsidR="00040CB3">
          <w:rPr>
            <w:webHidden/>
          </w:rPr>
          <w:instrText xml:space="preserve"> PAGEREF _Toc105157316 \h </w:instrText>
        </w:r>
        <w:r w:rsidR="00040CB3">
          <w:rPr>
            <w:webHidden/>
          </w:rPr>
        </w:r>
        <w:r w:rsidR="00040CB3">
          <w:rPr>
            <w:webHidden/>
          </w:rPr>
          <w:fldChar w:fldCharType="separate"/>
        </w:r>
        <w:r w:rsidR="00040CB3">
          <w:rPr>
            <w:webHidden/>
          </w:rPr>
          <w:t>13</w:t>
        </w:r>
        <w:r w:rsidR="00040CB3">
          <w:rPr>
            <w:webHidden/>
          </w:rPr>
          <w:fldChar w:fldCharType="end"/>
        </w:r>
      </w:hyperlink>
    </w:p>
    <w:p w14:paraId="3678A8CF" w14:textId="56AB2587" w:rsidR="002523F0" w:rsidRDefault="00E15DA9" w:rsidP="00213772">
      <w:pPr>
        <w:pStyle w:val="TOC2"/>
        <w:rPr>
          <w:noProof w:val="0"/>
        </w:rPr>
      </w:pPr>
      <w:r w:rsidRPr="003072C6">
        <w:rPr>
          <w:noProof w:val="0"/>
        </w:rPr>
        <w:fldChar w:fldCharType="end"/>
      </w:r>
    </w:p>
    <w:p w14:paraId="4DF0E218" w14:textId="77777777" w:rsidR="002523F0" w:rsidRPr="00481D51" w:rsidRDefault="002523F0" w:rsidP="002523F0">
      <w:pPr>
        <w:pStyle w:val="DHSReportHd1"/>
        <w:rPr>
          <w:color w:val="0F243E"/>
        </w:rPr>
      </w:pPr>
      <w:r>
        <w:br w:type="page"/>
      </w:r>
      <w:bookmarkStart w:id="0" w:name="_Toc350514744"/>
      <w:r w:rsidRPr="00481D51">
        <w:rPr>
          <w:color w:val="0F243E"/>
        </w:rPr>
        <w:lastRenderedPageBreak/>
        <w:t xml:space="preserve">Document </w:t>
      </w:r>
      <w:r>
        <w:rPr>
          <w:color w:val="0F243E"/>
        </w:rPr>
        <w:t>i</w:t>
      </w:r>
      <w:r w:rsidRPr="00481D51">
        <w:rPr>
          <w:color w:val="0F243E"/>
        </w:rPr>
        <w:t>nformation</w:t>
      </w:r>
      <w:bookmarkEnd w:id="0"/>
    </w:p>
    <w:p w14:paraId="2D1E84D7" w14:textId="77777777" w:rsidR="002523F0" w:rsidRPr="00471C07" w:rsidRDefault="002523F0" w:rsidP="002523F0">
      <w:pPr>
        <w:pStyle w:val="DHHSbody"/>
      </w:pPr>
      <w:r w:rsidRPr="00471C07">
        <w:t xml:space="preserve">This document has been prepared by the Department of Health </w:t>
      </w:r>
      <w:r>
        <w:t>and</w:t>
      </w:r>
      <w:r w:rsidRPr="00471C07">
        <w:t xml:space="preserve"> Human Services, Emergency Management Branch. </w:t>
      </w:r>
    </w:p>
    <w:tbl>
      <w:tblPr>
        <w:tblStyle w:val="TableGrid"/>
        <w:tblW w:w="0" w:type="auto"/>
        <w:tblLayout w:type="fixed"/>
        <w:tblLook w:val="04A0" w:firstRow="1" w:lastRow="0" w:firstColumn="1" w:lastColumn="0" w:noHBand="0" w:noVBand="1"/>
      </w:tblPr>
      <w:tblGrid>
        <w:gridCol w:w="2540"/>
        <w:gridCol w:w="6598"/>
      </w:tblGrid>
      <w:tr w:rsidR="002523F0" w:rsidRPr="00471C07" w14:paraId="4FBE6D82" w14:textId="77777777" w:rsidTr="006D120A">
        <w:trPr>
          <w:trHeight w:val="292"/>
          <w:tblHeader/>
        </w:trPr>
        <w:tc>
          <w:tcPr>
            <w:tcW w:w="2540" w:type="dxa"/>
          </w:tcPr>
          <w:p w14:paraId="06DB08F2" w14:textId="77777777" w:rsidR="002523F0" w:rsidRPr="00481D51" w:rsidRDefault="002523F0" w:rsidP="006D120A">
            <w:pPr>
              <w:pStyle w:val="DHHStablecolhead"/>
            </w:pPr>
            <w:r w:rsidRPr="00481D51">
              <w:t>Criteria</w:t>
            </w:r>
          </w:p>
        </w:tc>
        <w:tc>
          <w:tcPr>
            <w:tcW w:w="6598" w:type="dxa"/>
          </w:tcPr>
          <w:p w14:paraId="1BF2E16A" w14:textId="77777777" w:rsidR="002523F0" w:rsidRPr="00481D51" w:rsidRDefault="002523F0" w:rsidP="006D120A">
            <w:pPr>
              <w:pStyle w:val="DHHStablecolhead"/>
            </w:pPr>
            <w:r w:rsidRPr="00481D51">
              <w:t>Details</w:t>
            </w:r>
          </w:p>
        </w:tc>
      </w:tr>
      <w:tr w:rsidR="002523F0" w:rsidRPr="00471C07" w14:paraId="5AF4A24D" w14:textId="77777777" w:rsidTr="006D120A">
        <w:trPr>
          <w:trHeight w:val="292"/>
        </w:trPr>
        <w:tc>
          <w:tcPr>
            <w:tcW w:w="2540" w:type="dxa"/>
          </w:tcPr>
          <w:p w14:paraId="577BF170" w14:textId="77777777" w:rsidR="002523F0" w:rsidRPr="00471C07" w:rsidRDefault="002523F0" w:rsidP="006D120A">
            <w:pPr>
              <w:pStyle w:val="DHHStabletext"/>
            </w:pPr>
            <w:r w:rsidRPr="00471C07">
              <w:t>Document title</w:t>
            </w:r>
          </w:p>
        </w:tc>
        <w:tc>
          <w:tcPr>
            <w:tcW w:w="6598" w:type="dxa"/>
          </w:tcPr>
          <w:p w14:paraId="48EA2E07" w14:textId="77777777" w:rsidR="002523F0" w:rsidRPr="00471C07" w:rsidRDefault="002523F0" w:rsidP="006D120A">
            <w:pPr>
              <w:pStyle w:val="DHHStabletext"/>
              <w:rPr>
                <w:b/>
                <w:color w:val="006FB7"/>
              </w:rPr>
            </w:pPr>
            <w:r>
              <w:t>Vulnerable people in emergencies policy</w:t>
            </w:r>
            <w:r w:rsidRPr="00471C07">
              <w:t xml:space="preserve"> </w:t>
            </w:r>
          </w:p>
        </w:tc>
      </w:tr>
      <w:tr w:rsidR="002523F0" w:rsidRPr="00471C07" w14:paraId="38739989" w14:textId="77777777" w:rsidTr="006D120A">
        <w:trPr>
          <w:trHeight w:val="292"/>
        </w:trPr>
        <w:tc>
          <w:tcPr>
            <w:tcW w:w="2540" w:type="dxa"/>
          </w:tcPr>
          <w:p w14:paraId="7603430E" w14:textId="77777777" w:rsidR="002523F0" w:rsidRPr="00471C07" w:rsidRDefault="002523F0" w:rsidP="006D120A">
            <w:pPr>
              <w:pStyle w:val="DHHStabletext"/>
            </w:pPr>
            <w:r w:rsidRPr="00471C07">
              <w:t>Document owner</w:t>
            </w:r>
          </w:p>
        </w:tc>
        <w:tc>
          <w:tcPr>
            <w:tcW w:w="6598" w:type="dxa"/>
          </w:tcPr>
          <w:p w14:paraId="76305D2E" w14:textId="77777777" w:rsidR="002523F0" w:rsidRPr="00471C07" w:rsidRDefault="002523F0" w:rsidP="006D120A">
            <w:pPr>
              <w:pStyle w:val="DHHStabletext"/>
            </w:pPr>
            <w:r w:rsidRPr="00471C07">
              <w:t xml:space="preserve">Director, Emergency Management Branch, Regulation, Health Protection and Emergency Management Division, Department of Health </w:t>
            </w:r>
            <w:r>
              <w:t>and</w:t>
            </w:r>
            <w:r w:rsidRPr="00471C07">
              <w:t xml:space="preserve"> Human Services</w:t>
            </w:r>
          </w:p>
        </w:tc>
      </w:tr>
      <w:tr w:rsidR="002523F0" w:rsidRPr="00471C07" w14:paraId="0D5DA3E9" w14:textId="77777777" w:rsidTr="006D120A">
        <w:trPr>
          <w:trHeight w:val="292"/>
        </w:trPr>
        <w:tc>
          <w:tcPr>
            <w:tcW w:w="2540" w:type="dxa"/>
          </w:tcPr>
          <w:p w14:paraId="45D5DEEE" w14:textId="77777777" w:rsidR="002523F0" w:rsidRPr="00471C07" w:rsidRDefault="002523F0" w:rsidP="006D120A">
            <w:pPr>
              <w:pStyle w:val="DHHStabletext"/>
            </w:pPr>
            <w:r w:rsidRPr="00471C07">
              <w:t>Document custodian</w:t>
            </w:r>
          </w:p>
        </w:tc>
        <w:tc>
          <w:tcPr>
            <w:tcW w:w="6598" w:type="dxa"/>
          </w:tcPr>
          <w:p w14:paraId="38D63936" w14:textId="77777777" w:rsidR="002523F0" w:rsidRPr="00471C07" w:rsidRDefault="002523F0" w:rsidP="006D120A">
            <w:pPr>
              <w:pStyle w:val="DHHStabletext"/>
            </w:pPr>
            <w:r w:rsidRPr="00471C07">
              <w:t xml:space="preserve">Director, Emergency Management Branch, Regulation, Health Protection and Emergency Management Division, Department of Health </w:t>
            </w:r>
            <w:r>
              <w:t>and</w:t>
            </w:r>
            <w:r w:rsidRPr="00471C07">
              <w:t xml:space="preserve"> Human Services</w:t>
            </w:r>
          </w:p>
        </w:tc>
      </w:tr>
      <w:tr w:rsidR="002523F0" w:rsidRPr="00471C07" w14:paraId="01593CFF" w14:textId="77777777" w:rsidTr="006D120A">
        <w:trPr>
          <w:trHeight w:val="292"/>
        </w:trPr>
        <w:tc>
          <w:tcPr>
            <w:tcW w:w="2540" w:type="dxa"/>
          </w:tcPr>
          <w:p w14:paraId="5C65EC92" w14:textId="77777777" w:rsidR="002523F0" w:rsidRPr="00471C07" w:rsidRDefault="002523F0" w:rsidP="006D120A">
            <w:pPr>
              <w:pStyle w:val="DHHStabletext"/>
            </w:pPr>
            <w:r w:rsidRPr="00471C07">
              <w:t>Version</w:t>
            </w:r>
          </w:p>
        </w:tc>
        <w:tc>
          <w:tcPr>
            <w:tcW w:w="6598" w:type="dxa"/>
          </w:tcPr>
          <w:p w14:paraId="4D318F74" w14:textId="77777777" w:rsidR="002523F0" w:rsidRPr="00471C07" w:rsidRDefault="002523F0" w:rsidP="006D120A">
            <w:pPr>
              <w:pStyle w:val="DHHStabletext"/>
            </w:pPr>
            <w:r>
              <w:t>3</w:t>
            </w:r>
          </w:p>
        </w:tc>
      </w:tr>
      <w:tr w:rsidR="002523F0" w:rsidRPr="00471C07" w14:paraId="6F3EDFE2" w14:textId="77777777" w:rsidTr="006D120A">
        <w:trPr>
          <w:trHeight w:val="292"/>
        </w:trPr>
        <w:tc>
          <w:tcPr>
            <w:tcW w:w="2540" w:type="dxa"/>
          </w:tcPr>
          <w:p w14:paraId="5785ACAC" w14:textId="77777777" w:rsidR="002523F0" w:rsidRPr="00471C07" w:rsidRDefault="002523F0" w:rsidP="006D120A">
            <w:pPr>
              <w:pStyle w:val="DHHStabletext"/>
            </w:pPr>
            <w:r w:rsidRPr="00471C07">
              <w:t>Issue date</w:t>
            </w:r>
          </w:p>
        </w:tc>
        <w:tc>
          <w:tcPr>
            <w:tcW w:w="6598" w:type="dxa"/>
          </w:tcPr>
          <w:p w14:paraId="3E3E1881" w14:textId="77777777" w:rsidR="002523F0" w:rsidRPr="00471C07" w:rsidRDefault="002523F0" w:rsidP="006D120A">
            <w:pPr>
              <w:pStyle w:val="DHHStabletext"/>
            </w:pPr>
            <w:r>
              <w:t>February 2018</w:t>
            </w:r>
          </w:p>
        </w:tc>
      </w:tr>
    </w:tbl>
    <w:p w14:paraId="5A1FC4D4" w14:textId="77777777" w:rsidR="002523F0" w:rsidRPr="00D54DD1" w:rsidRDefault="002523F0" w:rsidP="002523F0">
      <w:pPr>
        <w:pStyle w:val="DHHSbody"/>
      </w:pPr>
      <w:r w:rsidRPr="00D54DD1">
        <w:t>This is a managed document and replaces the:</w:t>
      </w:r>
    </w:p>
    <w:p w14:paraId="0FCEF03B" w14:textId="77777777" w:rsidR="002523F0" w:rsidRPr="00D54DD1" w:rsidRDefault="002523F0" w:rsidP="002523F0">
      <w:pPr>
        <w:pStyle w:val="DHHSbody"/>
      </w:pPr>
      <w:r w:rsidRPr="00D54DD1">
        <w:t xml:space="preserve">Department of Health and Human Services Vulnerable people in emergencies policy May 2015 </w:t>
      </w:r>
    </w:p>
    <w:p w14:paraId="10E2BA8A" w14:textId="77777777" w:rsidR="002523F0" w:rsidRPr="00D54DD1" w:rsidRDefault="002523F0" w:rsidP="002523F0">
      <w:pPr>
        <w:pStyle w:val="DHHSbody"/>
      </w:pPr>
      <w:r w:rsidRPr="00D54DD1">
        <w:t xml:space="preserve">For identification of amendments each page contains a release number and a page number. </w:t>
      </w:r>
    </w:p>
    <w:p w14:paraId="651AEEF6" w14:textId="77777777" w:rsidR="002523F0" w:rsidRPr="00D54DD1" w:rsidRDefault="002523F0" w:rsidP="002523F0">
      <w:pPr>
        <w:pStyle w:val="DHHSbody"/>
      </w:pPr>
      <w:r w:rsidRPr="00D54DD1">
        <w:t xml:space="preserve">Changes will only be issued as a complete replacement document. </w:t>
      </w:r>
    </w:p>
    <w:p w14:paraId="554E415C" w14:textId="77777777" w:rsidR="002523F0" w:rsidRPr="00D54DD1" w:rsidRDefault="002523F0" w:rsidP="002523F0">
      <w:pPr>
        <w:pStyle w:val="DHHSbody"/>
      </w:pPr>
      <w:r w:rsidRPr="00D54DD1">
        <w:t>Recipients should remove superseded versions from circulation.</w:t>
      </w:r>
    </w:p>
    <w:tbl>
      <w:tblPr>
        <w:tblStyle w:val="TableGrid"/>
        <w:tblW w:w="0" w:type="auto"/>
        <w:tblLayout w:type="fixed"/>
        <w:tblLook w:val="04A0" w:firstRow="1" w:lastRow="0" w:firstColumn="1" w:lastColumn="0" w:noHBand="0" w:noVBand="1"/>
      </w:tblPr>
      <w:tblGrid>
        <w:gridCol w:w="1134"/>
        <w:gridCol w:w="2410"/>
        <w:gridCol w:w="2268"/>
        <w:gridCol w:w="3431"/>
      </w:tblGrid>
      <w:tr w:rsidR="002523F0" w:rsidRPr="00471C07" w14:paraId="026908E8" w14:textId="77777777" w:rsidTr="006D120A">
        <w:trPr>
          <w:tblHeader/>
        </w:trPr>
        <w:tc>
          <w:tcPr>
            <w:tcW w:w="1134" w:type="dxa"/>
          </w:tcPr>
          <w:p w14:paraId="362E5923" w14:textId="77777777" w:rsidR="002523F0" w:rsidRPr="00481D51" w:rsidRDefault="002523F0" w:rsidP="006D120A">
            <w:pPr>
              <w:spacing w:before="80" w:after="60"/>
              <w:rPr>
                <w:rFonts w:ascii="Arial" w:hAnsi="Arial"/>
                <w:b/>
                <w:color w:val="0F243E"/>
              </w:rPr>
            </w:pPr>
            <w:r w:rsidRPr="00481D51">
              <w:rPr>
                <w:rFonts w:ascii="Arial" w:hAnsi="Arial"/>
                <w:b/>
                <w:color w:val="0F243E"/>
              </w:rPr>
              <w:t>Ver</w:t>
            </w:r>
            <w:r>
              <w:rPr>
                <w:rFonts w:ascii="Arial" w:hAnsi="Arial"/>
                <w:b/>
                <w:color w:val="0F243E"/>
              </w:rPr>
              <w:t>sion</w:t>
            </w:r>
          </w:p>
        </w:tc>
        <w:tc>
          <w:tcPr>
            <w:tcW w:w="2410" w:type="dxa"/>
          </w:tcPr>
          <w:p w14:paraId="2B1E7114" w14:textId="77777777" w:rsidR="002523F0" w:rsidRPr="00481D51" w:rsidRDefault="002523F0" w:rsidP="006D120A">
            <w:pPr>
              <w:spacing w:before="80" w:after="60"/>
              <w:rPr>
                <w:rFonts w:ascii="Arial" w:hAnsi="Arial"/>
                <w:b/>
                <w:color w:val="0F243E"/>
              </w:rPr>
            </w:pPr>
            <w:r w:rsidRPr="00481D51">
              <w:rPr>
                <w:rFonts w:ascii="Arial" w:hAnsi="Arial"/>
                <w:b/>
                <w:color w:val="0F243E"/>
              </w:rPr>
              <w:t>Document name</w:t>
            </w:r>
          </w:p>
        </w:tc>
        <w:tc>
          <w:tcPr>
            <w:tcW w:w="2268" w:type="dxa"/>
          </w:tcPr>
          <w:p w14:paraId="49E4CC2E" w14:textId="77777777" w:rsidR="002523F0" w:rsidRPr="00481D51" w:rsidRDefault="002523F0" w:rsidP="006D120A">
            <w:pPr>
              <w:spacing w:before="80" w:after="60"/>
              <w:rPr>
                <w:rFonts w:ascii="Arial" w:hAnsi="Arial"/>
                <w:b/>
                <w:color w:val="0F243E"/>
              </w:rPr>
            </w:pPr>
            <w:r w:rsidRPr="00481D51">
              <w:rPr>
                <w:rFonts w:ascii="Arial" w:hAnsi="Arial"/>
                <w:b/>
                <w:color w:val="0F243E"/>
              </w:rPr>
              <w:t>Date</w:t>
            </w:r>
          </w:p>
        </w:tc>
        <w:tc>
          <w:tcPr>
            <w:tcW w:w="3431" w:type="dxa"/>
          </w:tcPr>
          <w:p w14:paraId="6979D83A" w14:textId="77777777" w:rsidR="002523F0" w:rsidRPr="00481D51" w:rsidRDefault="002523F0" w:rsidP="006D120A">
            <w:pPr>
              <w:spacing w:before="80" w:after="60"/>
              <w:rPr>
                <w:rFonts w:ascii="Arial" w:hAnsi="Arial"/>
                <w:b/>
                <w:color w:val="0F243E"/>
              </w:rPr>
            </w:pPr>
            <w:r w:rsidRPr="00481D51">
              <w:rPr>
                <w:rFonts w:ascii="Arial" w:hAnsi="Arial"/>
                <w:b/>
                <w:color w:val="0F243E"/>
              </w:rPr>
              <w:t>Action</w:t>
            </w:r>
          </w:p>
        </w:tc>
      </w:tr>
      <w:tr w:rsidR="002523F0" w:rsidRPr="00471C07" w14:paraId="387D8788" w14:textId="77777777" w:rsidTr="006D120A">
        <w:tc>
          <w:tcPr>
            <w:tcW w:w="1134" w:type="dxa"/>
          </w:tcPr>
          <w:p w14:paraId="12876BF9" w14:textId="77777777" w:rsidR="002523F0" w:rsidRPr="00471C07" w:rsidRDefault="002523F0" w:rsidP="006D120A">
            <w:pPr>
              <w:pStyle w:val="DHHStabletext"/>
            </w:pPr>
          </w:p>
        </w:tc>
        <w:tc>
          <w:tcPr>
            <w:tcW w:w="2410" w:type="dxa"/>
          </w:tcPr>
          <w:p w14:paraId="7045F211" w14:textId="77777777" w:rsidR="002523F0" w:rsidRPr="00471C07" w:rsidRDefault="002523F0" w:rsidP="006D120A">
            <w:pPr>
              <w:pStyle w:val="DHHStabletext"/>
            </w:pPr>
            <w:r w:rsidRPr="00471C07">
              <w:t>Vulnerable people in bushfire risk areas policy 2011-12</w:t>
            </w:r>
          </w:p>
        </w:tc>
        <w:tc>
          <w:tcPr>
            <w:tcW w:w="2268" w:type="dxa"/>
          </w:tcPr>
          <w:p w14:paraId="46647960" w14:textId="77777777" w:rsidR="002523F0" w:rsidRPr="00471C07" w:rsidRDefault="002523F0" w:rsidP="006D120A">
            <w:pPr>
              <w:pStyle w:val="DHHStabletext"/>
            </w:pPr>
          </w:p>
        </w:tc>
        <w:tc>
          <w:tcPr>
            <w:tcW w:w="3431" w:type="dxa"/>
          </w:tcPr>
          <w:p w14:paraId="179133D1" w14:textId="77777777" w:rsidR="002523F0" w:rsidRPr="00471C07" w:rsidRDefault="002523F0" w:rsidP="006D120A">
            <w:pPr>
              <w:pStyle w:val="DHHStabletext"/>
            </w:pPr>
            <w:r>
              <w:t>First published 2011.</w:t>
            </w:r>
          </w:p>
        </w:tc>
      </w:tr>
      <w:tr w:rsidR="002523F0" w:rsidRPr="00471C07" w14:paraId="0FBD9772" w14:textId="77777777" w:rsidTr="006D120A">
        <w:tc>
          <w:tcPr>
            <w:tcW w:w="1134" w:type="dxa"/>
          </w:tcPr>
          <w:p w14:paraId="42C5457F" w14:textId="77777777" w:rsidR="002523F0" w:rsidRPr="00471C07" w:rsidRDefault="002523F0" w:rsidP="006D120A">
            <w:pPr>
              <w:pStyle w:val="DHHStabletext"/>
            </w:pPr>
            <w:r>
              <w:t>1.</w:t>
            </w:r>
          </w:p>
        </w:tc>
        <w:tc>
          <w:tcPr>
            <w:tcW w:w="2410" w:type="dxa"/>
          </w:tcPr>
          <w:p w14:paraId="2507F1DB" w14:textId="77777777" w:rsidR="002523F0" w:rsidRPr="00471C07" w:rsidRDefault="002523F0" w:rsidP="006D120A">
            <w:pPr>
              <w:pStyle w:val="DHHStabletext"/>
            </w:pPr>
            <w:r>
              <w:t>Vulnerable people in emergencies policy</w:t>
            </w:r>
          </w:p>
        </w:tc>
        <w:tc>
          <w:tcPr>
            <w:tcW w:w="2268" w:type="dxa"/>
          </w:tcPr>
          <w:p w14:paraId="3CD6146F" w14:textId="77777777" w:rsidR="002523F0" w:rsidRPr="00471C07" w:rsidRDefault="002523F0" w:rsidP="006D120A">
            <w:pPr>
              <w:pStyle w:val="DHHStabletext"/>
            </w:pPr>
            <w:r w:rsidRPr="00471C07">
              <w:t>November 2012</w:t>
            </w:r>
          </w:p>
        </w:tc>
        <w:tc>
          <w:tcPr>
            <w:tcW w:w="3431" w:type="dxa"/>
          </w:tcPr>
          <w:p w14:paraId="7BDAB0CD" w14:textId="77777777" w:rsidR="002523F0" w:rsidRPr="00471C07" w:rsidRDefault="002523F0" w:rsidP="006D120A">
            <w:pPr>
              <w:pStyle w:val="DHHStabletext"/>
            </w:pPr>
            <w:r w:rsidRPr="00471C07">
              <w:t>Updated to reflect ‘all hazards’ approach, EMMV and the Vulnerable Persons Register</w:t>
            </w:r>
          </w:p>
        </w:tc>
      </w:tr>
      <w:tr w:rsidR="002523F0" w:rsidRPr="00471C07" w14:paraId="4526E434" w14:textId="77777777" w:rsidTr="006D120A">
        <w:tc>
          <w:tcPr>
            <w:tcW w:w="1134" w:type="dxa"/>
          </w:tcPr>
          <w:p w14:paraId="7767A456" w14:textId="77777777" w:rsidR="002523F0" w:rsidRPr="00471C07" w:rsidRDefault="002523F0" w:rsidP="006D120A">
            <w:pPr>
              <w:pStyle w:val="DHHStabletext"/>
            </w:pPr>
            <w:r>
              <w:t xml:space="preserve">2. </w:t>
            </w:r>
          </w:p>
        </w:tc>
        <w:tc>
          <w:tcPr>
            <w:tcW w:w="2410" w:type="dxa"/>
          </w:tcPr>
          <w:p w14:paraId="5E1872B9" w14:textId="77777777" w:rsidR="002523F0" w:rsidRPr="00471C07" w:rsidRDefault="002523F0" w:rsidP="006D120A">
            <w:pPr>
              <w:pStyle w:val="DHHStabletext"/>
            </w:pPr>
            <w:r w:rsidRPr="00471C07">
              <w:t>Vulnerab</w:t>
            </w:r>
            <w:r>
              <w:t>le people in emergencies policy</w:t>
            </w:r>
          </w:p>
        </w:tc>
        <w:tc>
          <w:tcPr>
            <w:tcW w:w="2268" w:type="dxa"/>
          </w:tcPr>
          <w:p w14:paraId="6AF60A3B" w14:textId="77777777" w:rsidR="002523F0" w:rsidRPr="00471C07" w:rsidRDefault="002523F0" w:rsidP="006D120A">
            <w:pPr>
              <w:pStyle w:val="DHHStabletext"/>
            </w:pPr>
            <w:r>
              <w:t>May 2015</w:t>
            </w:r>
          </w:p>
        </w:tc>
        <w:tc>
          <w:tcPr>
            <w:tcW w:w="3431" w:type="dxa"/>
          </w:tcPr>
          <w:p w14:paraId="7BF37044" w14:textId="77777777" w:rsidR="002523F0" w:rsidRPr="00471C07" w:rsidRDefault="002523F0" w:rsidP="006D120A">
            <w:pPr>
              <w:pStyle w:val="DHHStabletext"/>
            </w:pPr>
            <w:r w:rsidRPr="00471C07">
              <w:t>Updated to reflect machinery of government changes</w:t>
            </w:r>
          </w:p>
        </w:tc>
      </w:tr>
      <w:tr w:rsidR="002523F0" w:rsidRPr="00471C07" w14:paraId="2F740B81" w14:textId="77777777" w:rsidTr="006D120A">
        <w:tc>
          <w:tcPr>
            <w:tcW w:w="1134" w:type="dxa"/>
          </w:tcPr>
          <w:p w14:paraId="000D7058" w14:textId="77777777" w:rsidR="002523F0" w:rsidRDefault="002523F0" w:rsidP="006D120A">
            <w:pPr>
              <w:pStyle w:val="DHHStabletext"/>
            </w:pPr>
            <w:r>
              <w:t>3.</w:t>
            </w:r>
          </w:p>
        </w:tc>
        <w:tc>
          <w:tcPr>
            <w:tcW w:w="2410" w:type="dxa"/>
          </w:tcPr>
          <w:p w14:paraId="1E9B7E18" w14:textId="77777777" w:rsidR="002523F0" w:rsidRPr="00471C07" w:rsidRDefault="002523F0" w:rsidP="006D120A">
            <w:pPr>
              <w:pStyle w:val="DHHStabletext"/>
            </w:pPr>
            <w:r w:rsidRPr="00471C07">
              <w:t>Vulnerab</w:t>
            </w:r>
            <w:r>
              <w:t>le people in emergencies policy</w:t>
            </w:r>
          </w:p>
        </w:tc>
        <w:tc>
          <w:tcPr>
            <w:tcW w:w="2268" w:type="dxa"/>
          </w:tcPr>
          <w:p w14:paraId="4E4112F2" w14:textId="77777777" w:rsidR="002523F0" w:rsidRDefault="002523F0" w:rsidP="006D120A">
            <w:pPr>
              <w:pStyle w:val="DHHStabletext"/>
            </w:pPr>
            <w:r>
              <w:t>February 2018</w:t>
            </w:r>
          </w:p>
        </w:tc>
        <w:tc>
          <w:tcPr>
            <w:tcW w:w="3431" w:type="dxa"/>
          </w:tcPr>
          <w:p w14:paraId="3180A62E" w14:textId="77777777" w:rsidR="002523F0" w:rsidRPr="00471C07" w:rsidRDefault="002523F0" w:rsidP="006D120A">
            <w:pPr>
              <w:pStyle w:val="DHHStabletext"/>
            </w:pPr>
            <w:r>
              <w:t>Reformatted to accessible format requirements</w:t>
            </w:r>
          </w:p>
        </w:tc>
      </w:tr>
    </w:tbl>
    <w:p w14:paraId="11EA10B5" w14:textId="77777777" w:rsidR="002523F0" w:rsidRPr="003072C6" w:rsidRDefault="002523F0" w:rsidP="002523F0">
      <w:pPr>
        <w:pStyle w:val="DHHSbodynospace"/>
      </w:pPr>
    </w:p>
    <w:p w14:paraId="5B8FB61C" w14:textId="77777777" w:rsidR="00AC0C3B" w:rsidRPr="003072C6" w:rsidRDefault="00AC0C3B" w:rsidP="00E91933">
      <w:pPr>
        <w:pStyle w:val="DHHSbody"/>
      </w:pPr>
    </w:p>
    <w:p w14:paraId="334A3F84"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427381A5" w14:textId="77777777" w:rsidR="002523F0" w:rsidRPr="00701045" w:rsidRDefault="002523F0" w:rsidP="002523F0">
      <w:pPr>
        <w:pStyle w:val="Heading1"/>
      </w:pPr>
      <w:bookmarkStart w:id="1" w:name="_Toc419116131"/>
      <w:bookmarkStart w:id="2" w:name="_Toc503967399"/>
      <w:bookmarkStart w:id="3" w:name="_Toc105157298"/>
      <w:r>
        <w:lastRenderedPageBreak/>
        <w:t>1.</w:t>
      </w:r>
      <w:r>
        <w:tab/>
        <w:t>Context</w:t>
      </w:r>
      <w:bookmarkEnd w:id="1"/>
      <w:bookmarkEnd w:id="2"/>
      <w:bookmarkEnd w:id="3"/>
    </w:p>
    <w:p w14:paraId="644176D9" w14:textId="77777777" w:rsidR="002523F0" w:rsidRDefault="002523F0" w:rsidP="002523F0">
      <w:pPr>
        <w:pStyle w:val="Heading2"/>
      </w:pPr>
      <w:bookmarkStart w:id="4" w:name="_Toc503967400"/>
      <w:bookmarkStart w:id="5" w:name="_Toc105157299"/>
      <w:r>
        <w:t>1.1</w:t>
      </w:r>
      <w:r>
        <w:tab/>
        <w:t>2009 Victorian Bushfires Royal Commission</w:t>
      </w:r>
      <w:bookmarkEnd w:id="4"/>
      <w:bookmarkEnd w:id="5"/>
      <w:r>
        <w:t xml:space="preserve"> </w:t>
      </w:r>
    </w:p>
    <w:p w14:paraId="3E794FDA" w14:textId="77777777" w:rsidR="002523F0" w:rsidRDefault="002523F0" w:rsidP="002523F0">
      <w:pPr>
        <w:pStyle w:val="DHHSbody"/>
      </w:pPr>
      <w:r>
        <w:t xml:space="preserve">The 2009 Victorian Bushfires Royal Commission (the VBRC) was established on 16 February 2009 to investigate the causes and responses to the bushfires that impacted parts of </w:t>
      </w:r>
      <w:smartTag w:uri="urn:schemas-microsoft-com:office:smarttags" w:element="place">
        <w:smartTag w:uri="urn:schemas-microsoft-com:office:smarttags" w:element="State">
          <w:r>
            <w:t>Victoria</w:t>
          </w:r>
        </w:smartTag>
      </w:smartTag>
      <w:r>
        <w:t xml:space="preserve"> in late January and February 2009. The VBRC Final Report in July 2010 made 67 recommendations, including </w:t>
      </w:r>
      <w:r w:rsidRPr="00132768">
        <w:rPr>
          <w:b/>
        </w:rPr>
        <w:t>Recommendation 3</w:t>
      </w:r>
      <w:r>
        <w:t>:</w:t>
      </w:r>
    </w:p>
    <w:tbl>
      <w:tblPr>
        <w:tblW w:w="0" w:type="auto"/>
        <w:shd w:val="clear" w:color="auto" w:fill="DEDCE3"/>
        <w:tblLook w:val="01E0" w:firstRow="1" w:lastRow="1" w:firstColumn="1" w:lastColumn="1" w:noHBand="0" w:noVBand="0"/>
      </w:tblPr>
      <w:tblGrid>
        <w:gridCol w:w="9514"/>
      </w:tblGrid>
      <w:tr w:rsidR="002523F0" w14:paraId="7111DC95" w14:textId="77777777" w:rsidTr="006D120A">
        <w:tc>
          <w:tcPr>
            <w:tcW w:w="9514" w:type="dxa"/>
            <w:shd w:val="clear" w:color="auto" w:fill="DEDCE3"/>
          </w:tcPr>
          <w:p w14:paraId="4EF9430C" w14:textId="77777777" w:rsidR="002523F0" w:rsidRDefault="002523F0" w:rsidP="006D120A">
            <w:pPr>
              <w:pStyle w:val="DHHStabletext"/>
            </w:pPr>
            <w:r w:rsidRPr="007F2E13">
              <w:t>The State establish mechanisms for helping municipal councils to undertake local planning that tailors bushfire safety options to the needs of individual communities. In doing this planning, councils should:</w:t>
            </w:r>
          </w:p>
          <w:p w14:paraId="4B8E0FEE" w14:textId="77777777" w:rsidR="002523F0" w:rsidRDefault="002523F0" w:rsidP="006D120A">
            <w:pPr>
              <w:pStyle w:val="DHHStabletext"/>
            </w:pPr>
            <w:r>
              <w:t xml:space="preserve">urgently develop for communities at risk of bushfire local plans that contain contingency options such as evacuation and shelter </w:t>
            </w:r>
          </w:p>
          <w:p w14:paraId="2405FEDF" w14:textId="77777777" w:rsidR="002523F0" w:rsidRDefault="002523F0" w:rsidP="006D120A">
            <w:pPr>
              <w:pStyle w:val="DHHStabletext"/>
              <w:ind w:left="720" w:hanging="720"/>
            </w:pPr>
            <w:r>
              <w:t>3.2</w:t>
            </w:r>
            <w:r>
              <w:tab/>
              <w:t>document in municipal emergency management plans and other relevant plans facilities where vulnerable people are likely to be situated - for example, aged care facilities, hospitals, schools and child care centres</w:t>
            </w:r>
          </w:p>
          <w:p w14:paraId="150F6996" w14:textId="77777777" w:rsidR="002523F0" w:rsidRDefault="002523F0" w:rsidP="006D120A">
            <w:pPr>
              <w:pStyle w:val="DHHStabletext"/>
              <w:ind w:left="720" w:hanging="720"/>
            </w:pPr>
            <w:r>
              <w:t>3.3</w:t>
            </w:r>
            <w:r>
              <w:tab/>
              <w:t>compile and maintain a list of vulnerable residents who need tailored advice of a recommendation to evacuate</w:t>
            </w:r>
          </w:p>
          <w:p w14:paraId="0B52584B" w14:textId="77777777" w:rsidR="002523F0" w:rsidRPr="00515F50" w:rsidRDefault="002523F0" w:rsidP="006D120A">
            <w:pPr>
              <w:pStyle w:val="DHHStabletext"/>
              <w:ind w:left="720" w:hanging="720"/>
            </w:pPr>
            <w:r>
              <w:t>3.4</w:t>
            </w:r>
            <w:r>
              <w:tab/>
              <w:t>provide this list to local police and anyone else with pre-arranged responsibility for helping vulnerable residents evacuate</w:t>
            </w:r>
          </w:p>
        </w:tc>
      </w:tr>
    </w:tbl>
    <w:p w14:paraId="554827D4" w14:textId="77777777" w:rsidR="002523F0" w:rsidRPr="00B216D4" w:rsidRDefault="002523F0" w:rsidP="002523F0">
      <w:pPr>
        <w:pStyle w:val="DHHSbodyaftertablefigure"/>
        <w:rPr>
          <w:bCs/>
        </w:rPr>
      </w:pPr>
      <w:r>
        <w:t xml:space="preserve">The Victorian Government accepted all 67 recommendations and the Department of Health and the Department of Human Services (replaced by the Department of Health and Human Services) were designated as the lead agencies for responding to Recommendation 3 and specifically 3.2, 3.3 and 3.4. </w:t>
      </w:r>
      <w:r w:rsidRPr="005744D8">
        <w:rPr>
          <w:bCs/>
        </w:rPr>
        <w:t xml:space="preserve">Victoria Police is responsible for developing </w:t>
      </w:r>
      <w:r>
        <w:rPr>
          <w:bCs/>
        </w:rPr>
        <w:t>a comprehensive approach to evacuation</w:t>
      </w:r>
      <w:r w:rsidRPr="005744D8">
        <w:rPr>
          <w:bCs/>
        </w:rPr>
        <w:t xml:space="preserve"> under Recommendation 5</w:t>
      </w:r>
      <w:r>
        <w:rPr>
          <w:bCs/>
        </w:rPr>
        <w:t xml:space="preserve"> of the VBRC Final Report</w:t>
      </w:r>
      <w:r w:rsidRPr="005744D8">
        <w:rPr>
          <w:bCs/>
        </w:rPr>
        <w:t>.</w:t>
      </w:r>
      <w:r w:rsidRPr="00B216D4">
        <w:rPr>
          <w:bCs/>
        </w:rPr>
        <w:t xml:space="preserve">  </w:t>
      </w:r>
    </w:p>
    <w:p w14:paraId="4C2CD8D7" w14:textId="77777777" w:rsidR="002523F0" w:rsidRDefault="002523F0" w:rsidP="002523F0">
      <w:pPr>
        <w:pStyle w:val="DHHSbody"/>
      </w:pPr>
      <w:r>
        <w:t xml:space="preserve">The Bushfires Royal Commission Implementation Monitor is responsible for monitoring progress against recommendations from the VBRC Final Report. </w:t>
      </w:r>
    </w:p>
    <w:p w14:paraId="6F878E5D" w14:textId="77777777" w:rsidR="002523F0" w:rsidRDefault="002523F0" w:rsidP="002523F0">
      <w:pPr>
        <w:pStyle w:val="Heading2"/>
      </w:pPr>
      <w:bookmarkStart w:id="6" w:name="_Toc503967401"/>
      <w:bookmarkStart w:id="7" w:name="_Toc105157300"/>
      <w:r>
        <w:t>1.2</w:t>
      </w:r>
      <w:r>
        <w:tab/>
        <w:t>2010-11 Victorian Flood Review</w:t>
      </w:r>
      <w:bookmarkEnd w:id="6"/>
      <w:bookmarkEnd w:id="7"/>
      <w:r>
        <w:t xml:space="preserve"> </w:t>
      </w:r>
    </w:p>
    <w:p w14:paraId="3E6D72F5" w14:textId="77777777" w:rsidR="002523F0" w:rsidRDefault="002523F0" w:rsidP="002523F0">
      <w:pPr>
        <w:pStyle w:val="DHHSbody"/>
      </w:pPr>
      <w:r w:rsidRPr="0051200E">
        <w:t xml:space="preserve">Recommendation 67 of the </w:t>
      </w:r>
      <w:r w:rsidRPr="00083887">
        <w:rPr>
          <w:i/>
        </w:rPr>
        <w:t>2010-11 Review of the Victorian Floods Warnings and Response</w:t>
      </w:r>
      <w:r w:rsidRPr="0051200E">
        <w:t xml:space="preserve"> suggested that that the definition of a vulnerable person and associated policy(ies) </w:t>
      </w:r>
      <w:r>
        <w:t>be</w:t>
      </w:r>
      <w:r w:rsidRPr="0051200E">
        <w:t xml:space="preserve"> a</w:t>
      </w:r>
      <w:r>
        <w:t>pplicable across ‘all hazards’.</w:t>
      </w:r>
    </w:p>
    <w:p w14:paraId="07DFED82" w14:textId="77777777" w:rsidR="002523F0" w:rsidRPr="00530281" w:rsidRDefault="002523F0" w:rsidP="002523F0">
      <w:pPr>
        <w:pStyle w:val="Heading1"/>
        <w:spacing w:before="240" w:after="240"/>
      </w:pPr>
      <w:bookmarkStart w:id="8" w:name="_Toc419116132"/>
      <w:bookmarkStart w:id="9" w:name="_Toc503967402"/>
      <w:bookmarkStart w:id="10" w:name="_Toc105157301"/>
      <w:r>
        <w:t>2.</w:t>
      </w:r>
      <w:r>
        <w:tab/>
      </w:r>
      <w:r w:rsidRPr="00530281">
        <w:t>Purpose</w:t>
      </w:r>
      <w:bookmarkEnd w:id="8"/>
      <w:bookmarkEnd w:id="9"/>
      <w:bookmarkEnd w:id="10"/>
    </w:p>
    <w:p w14:paraId="34A75929" w14:textId="77777777" w:rsidR="002523F0" w:rsidRPr="00A87BAD" w:rsidRDefault="002523F0" w:rsidP="002523F0">
      <w:pPr>
        <w:pStyle w:val="DHHSbody"/>
      </w:pPr>
      <w:r w:rsidRPr="00A87BAD">
        <w:t xml:space="preserve">The purpose of the </w:t>
      </w:r>
      <w:r>
        <w:t>p</w:t>
      </w:r>
      <w:r w:rsidRPr="00A87BAD">
        <w:t>olicy is to improve the safety of vulnerable people in emergencies, through supporting:</w:t>
      </w:r>
    </w:p>
    <w:p w14:paraId="131457EF" w14:textId="77777777" w:rsidR="002523F0" w:rsidRDefault="002523F0" w:rsidP="002523F0">
      <w:pPr>
        <w:pStyle w:val="DHHSbullet1"/>
      </w:pPr>
      <w:r>
        <w:t>emergency planning with and for vulnerable people;</w:t>
      </w:r>
    </w:p>
    <w:p w14:paraId="0E7E1DBB" w14:textId="77777777" w:rsidR="002523F0" w:rsidRPr="00A87BAD" w:rsidRDefault="002523F0" w:rsidP="002523F0">
      <w:pPr>
        <w:pStyle w:val="DHHSbullet1"/>
      </w:pPr>
      <w:r>
        <w:t xml:space="preserve">developing local lists of facilities where vulnerable people may be located; </w:t>
      </w:r>
      <w:r w:rsidRPr="00A87BAD">
        <w:t>and</w:t>
      </w:r>
    </w:p>
    <w:p w14:paraId="1747415D" w14:textId="77777777" w:rsidR="002523F0" w:rsidRPr="00A87BAD" w:rsidRDefault="002523F0" w:rsidP="002523F0">
      <w:pPr>
        <w:pStyle w:val="DHHSbullet1"/>
      </w:pPr>
      <w:r>
        <w:t>developing local lists</w:t>
      </w:r>
      <w:r w:rsidRPr="00A87BAD">
        <w:t xml:space="preserve"> of vulnerable people (</w:t>
      </w:r>
      <w:r w:rsidRPr="00A87BAD">
        <w:rPr>
          <w:b/>
        </w:rPr>
        <w:t>Vulnerable Persons Register</w:t>
      </w:r>
      <w:r>
        <w:rPr>
          <w:b/>
        </w:rPr>
        <w:t>s</w:t>
      </w:r>
      <w:r w:rsidRPr="00A87BAD">
        <w:t xml:space="preserve">) who may </w:t>
      </w:r>
      <w:r w:rsidRPr="00BF2604">
        <w:t>need consideration (tailored advice of a recommendation to evacuate) in an emergency</w:t>
      </w:r>
      <w:r w:rsidRPr="00A87BAD">
        <w:t xml:space="preserve">, and make </w:t>
      </w:r>
      <w:r>
        <w:t>these</w:t>
      </w:r>
      <w:r w:rsidRPr="00A87BAD">
        <w:t xml:space="preserve"> list</w:t>
      </w:r>
      <w:r>
        <w:t>s</w:t>
      </w:r>
      <w:r w:rsidRPr="00A87BAD">
        <w:t xml:space="preserve"> available to those with responsibility for helping vulnerable residents evacuate.  </w:t>
      </w:r>
    </w:p>
    <w:p w14:paraId="23A349A1" w14:textId="77777777" w:rsidR="002523F0" w:rsidRDefault="002523F0" w:rsidP="002523F0">
      <w:pPr>
        <w:pStyle w:val="Heading1"/>
      </w:pPr>
      <w:bookmarkStart w:id="11" w:name="_Toc419116133"/>
      <w:bookmarkStart w:id="12" w:name="_Toc503967403"/>
      <w:bookmarkStart w:id="13" w:name="_Toc105157302"/>
      <w:r>
        <w:lastRenderedPageBreak/>
        <w:t>3.</w:t>
      </w:r>
      <w:r>
        <w:tab/>
        <w:t>Principles</w:t>
      </w:r>
      <w:bookmarkEnd w:id="11"/>
      <w:bookmarkEnd w:id="12"/>
      <w:bookmarkEnd w:id="13"/>
    </w:p>
    <w:p w14:paraId="4A4C6BD8" w14:textId="77777777" w:rsidR="002523F0" w:rsidRPr="00234F9D" w:rsidRDefault="002523F0" w:rsidP="002523F0">
      <w:pPr>
        <w:pStyle w:val="Heading2"/>
      </w:pPr>
      <w:bookmarkStart w:id="14" w:name="_Toc503967404"/>
      <w:bookmarkStart w:id="15" w:name="_Toc105157303"/>
      <w:r w:rsidRPr="00234F9D">
        <w:t>3.1</w:t>
      </w:r>
      <w:r w:rsidRPr="00234F9D">
        <w:tab/>
        <w:t>Supporting local emergency planning and preparation</w:t>
      </w:r>
      <w:bookmarkEnd w:id="14"/>
      <w:bookmarkEnd w:id="15"/>
    </w:p>
    <w:p w14:paraId="70D22CCF" w14:textId="77777777" w:rsidR="002523F0" w:rsidRDefault="002523F0" w:rsidP="002523F0">
      <w:pPr>
        <w:pStyle w:val="DHHSbody"/>
      </w:pPr>
      <w:r>
        <w:t>T</w:t>
      </w:r>
      <w:r w:rsidRPr="0051200E">
        <w:t xml:space="preserve">he </w:t>
      </w:r>
      <w:r>
        <w:t>p</w:t>
      </w:r>
      <w:r w:rsidRPr="0051200E">
        <w:t>olicy outlines an approach that supports municipal councils to assist communities and local people to plan and prepare for emergencies. Harnessing local knowledge and supporting local activities is essential for effective planning and response to emergencies.</w:t>
      </w:r>
    </w:p>
    <w:p w14:paraId="4A0DFE41" w14:textId="77777777" w:rsidR="002523F0" w:rsidRPr="00234F9D" w:rsidRDefault="002523F0" w:rsidP="002523F0">
      <w:pPr>
        <w:pStyle w:val="Heading2"/>
      </w:pPr>
      <w:bookmarkStart w:id="16" w:name="_Toc503967405"/>
      <w:bookmarkStart w:id="17" w:name="_Toc105157304"/>
      <w:r w:rsidRPr="00234F9D">
        <w:t>3.2</w:t>
      </w:r>
      <w:r w:rsidRPr="00234F9D">
        <w:tab/>
        <w:t>Integrating emergency planning with service delivery</w:t>
      </w:r>
      <w:bookmarkEnd w:id="16"/>
      <w:bookmarkEnd w:id="17"/>
    </w:p>
    <w:p w14:paraId="15DFE399" w14:textId="77777777" w:rsidR="002523F0" w:rsidRDefault="002523F0" w:rsidP="002523F0">
      <w:pPr>
        <w:pStyle w:val="DHHSbody"/>
      </w:pPr>
      <w:r w:rsidRPr="0051200E">
        <w:t xml:space="preserve">Integrating emergency management planning with service delivery is fundamental to enhancing client outcomes and safety. The </w:t>
      </w:r>
      <w:r>
        <w:t>p</w:t>
      </w:r>
      <w:r w:rsidRPr="0051200E">
        <w:t xml:space="preserve">olicy utilises </w:t>
      </w:r>
      <w:r>
        <w:t xml:space="preserve">the </w:t>
      </w:r>
      <w:r w:rsidRPr="0051200E">
        <w:t xml:space="preserve">existing relationships </w:t>
      </w:r>
      <w:r>
        <w:t>of</w:t>
      </w:r>
      <w:r w:rsidRPr="0051200E">
        <w:t xml:space="preserve"> funded agencies </w:t>
      </w:r>
      <w:r>
        <w:t xml:space="preserve">who </w:t>
      </w:r>
      <w:r w:rsidRPr="0051200E">
        <w:t>provid</w:t>
      </w:r>
      <w:r>
        <w:t>e</w:t>
      </w:r>
      <w:r w:rsidRPr="0051200E">
        <w:t xml:space="preserve"> care and welfare services to identify</w:t>
      </w:r>
      <w:r>
        <w:t xml:space="preserve"> vulnerable people and to </w:t>
      </w:r>
      <w:r w:rsidRPr="00FA40E7">
        <w:t xml:space="preserve">support </w:t>
      </w:r>
      <w:r>
        <w:t xml:space="preserve">their </w:t>
      </w:r>
      <w:r w:rsidRPr="00FA40E7">
        <w:t xml:space="preserve">personal emergency </w:t>
      </w:r>
      <w:r>
        <w:t>planning. O</w:t>
      </w:r>
      <w:r w:rsidRPr="00FA40E7">
        <w:t>ver time these processes should be embedded in practice.</w:t>
      </w:r>
    </w:p>
    <w:p w14:paraId="492B3235" w14:textId="77777777" w:rsidR="002523F0" w:rsidRPr="00234F9D" w:rsidRDefault="002523F0" w:rsidP="002523F0">
      <w:pPr>
        <w:pStyle w:val="Heading2"/>
      </w:pPr>
      <w:bookmarkStart w:id="18" w:name="_Toc503967406"/>
      <w:bookmarkStart w:id="19" w:name="_Toc105157305"/>
      <w:r w:rsidRPr="00234F9D">
        <w:t>3.3</w:t>
      </w:r>
      <w:r w:rsidRPr="00234F9D">
        <w:tab/>
        <w:t>Encouraging personal and community preparation and resilience</w:t>
      </w:r>
      <w:bookmarkEnd w:id="18"/>
      <w:bookmarkEnd w:id="19"/>
    </w:p>
    <w:p w14:paraId="1931FBFD" w14:textId="77777777" w:rsidR="002523F0" w:rsidRDefault="002523F0" w:rsidP="002523F0">
      <w:pPr>
        <w:pStyle w:val="DHHSbody"/>
      </w:pPr>
      <w:r>
        <w:t xml:space="preserve">The policy supports shared responsibility and community resilience, recognising the important role of local people and communities in caring for and helping their family, friends and neighbours.  </w:t>
      </w:r>
    </w:p>
    <w:p w14:paraId="2D9CDF7E" w14:textId="77777777" w:rsidR="002523F0" w:rsidRDefault="002523F0" w:rsidP="002523F0">
      <w:pPr>
        <w:pStyle w:val="DHHSbody"/>
      </w:pPr>
      <w:r w:rsidRPr="00CE070A">
        <w:t xml:space="preserve">While </w:t>
      </w:r>
      <w:r w:rsidRPr="00142BC5">
        <w:t>Vulnerable Persons Registers</w:t>
      </w:r>
      <w:r>
        <w:t xml:space="preserve"> </w:t>
      </w:r>
      <w:r w:rsidRPr="00CE070A">
        <w:t xml:space="preserve">will be </w:t>
      </w:r>
      <w:r>
        <w:t>established</w:t>
      </w:r>
      <w:r w:rsidRPr="00CE070A">
        <w:t>, personal and community resilience must be encouraged and expectations about potential provision of assistance or evacuation</w:t>
      </w:r>
      <w:r>
        <w:t xml:space="preserve"> managed</w:t>
      </w:r>
      <w:r w:rsidRPr="00CE070A">
        <w:t>.</w:t>
      </w:r>
      <w:r>
        <w:t xml:space="preserve"> Evacuation of vulnerable individuals within the community cannot be guaranteed in emergencies and any assistance in an emergency or evacuation will be dependent on the capacity </w:t>
      </w:r>
      <w:r w:rsidRPr="00CE070A">
        <w:t xml:space="preserve">and ability </w:t>
      </w:r>
      <w:r>
        <w:t>of emergency services organisations to</w:t>
      </w:r>
      <w:r w:rsidRPr="00CE070A">
        <w:t xml:space="preserve"> safely provide it.  </w:t>
      </w:r>
    </w:p>
    <w:p w14:paraId="7636C2A8" w14:textId="77777777" w:rsidR="002523F0" w:rsidRDefault="002523F0" w:rsidP="002523F0">
      <w:pPr>
        <w:pStyle w:val="Heading1"/>
        <w:spacing w:before="240" w:after="240"/>
      </w:pPr>
      <w:bookmarkStart w:id="20" w:name="_Toc419116134"/>
      <w:bookmarkStart w:id="21" w:name="_Toc503967407"/>
      <w:bookmarkStart w:id="22" w:name="_Toc105157306"/>
      <w:r>
        <w:t>4.</w:t>
      </w:r>
      <w:r>
        <w:tab/>
        <w:t>Scope</w:t>
      </w:r>
      <w:bookmarkEnd w:id="20"/>
      <w:bookmarkEnd w:id="21"/>
      <w:bookmarkEnd w:id="22"/>
    </w:p>
    <w:p w14:paraId="2DD697BA" w14:textId="77777777" w:rsidR="002523F0" w:rsidRDefault="002523F0" w:rsidP="002523F0">
      <w:pPr>
        <w:pStyle w:val="DHHSbody"/>
      </w:pPr>
      <w:r>
        <w:t>The policy covers the key activities of:</w:t>
      </w:r>
    </w:p>
    <w:p w14:paraId="1C87753E" w14:textId="77777777" w:rsidR="002523F0" w:rsidRDefault="002523F0" w:rsidP="002523F0">
      <w:pPr>
        <w:pStyle w:val="DHHSbullet1"/>
      </w:pPr>
      <w:r>
        <w:t>planning for vulnerable people in emergencies;</w:t>
      </w:r>
    </w:p>
    <w:p w14:paraId="13A9879E" w14:textId="77777777" w:rsidR="002523F0" w:rsidRDefault="002523F0" w:rsidP="002523F0">
      <w:pPr>
        <w:pStyle w:val="DHHSbullet1"/>
      </w:pPr>
      <w:r>
        <w:t xml:space="preserve">vulnerable persons registers; and </w:t>
      </w:r>
    </w:p>
    <w:p w14:paraId="69C485CC" w14:textId="77777777" w:rsidR="002523F0" w:rsidRDefault="002523F0" w:rsidP="002523F0">
      <w:pPr>
        <w:pStyle w:val="DHHSbullet1lastline"/>
      </w:pPr>
      <w:r>
        <w:t>identification of facilities housing vulnerable people.</w:t>
      </w:r>
    </w:p>
    <w:p w14:paraId="334DD54D" w14:textId="77777777" w:rsidR="002523F0" w:rsidRDefault="002523F0" w:rsidP="002523F0">
      <w:pPr>
        <w:pStyle w:val="DHHSbody"/>
      </w:pPr>
      <w:r w:rsidRPr="008620C1">
        <w:t>The term ‘vulnerable’ can be defined broadly in relation to emergencies. The activities and processes set out</w:t>
      </w:r>
      <w:r>
        <w:t xml:space="preserve"> in the policy and the supporting materials target a clearly defined group within the community and do not seek to address all ‘at risk communities and people’. </w:t>
      </w:r>
    </w:p>
    <w:p w14:paraId="4BFCBDEB" w14:textId="77777777" w:rsidR="002523F0" w:rsidRDefault="002523F0" w:rsidP="002523F0">
      <w:pPr>
        <w:pStyle w:val="DHHSbody"/>
      </w:pPr>
      <w:r>
        <w:t xml:space="preserve">The activities outlined in and facilitated by the policy are integrated </w:t>
      </w:r>
      <w:r w:rsidRPr="00EF1B1B">
        <w:t>with a range of activities relating to prevention, preparation, response and recovery that target people who may be vulnerable for a variety of reasons and to a variety of hazards.</w:t>
      </w:r>
      <w:r>
        <w:t xml:space="preserve"> </w:t>
      </w:r>
    </w:p>
    <w:tbl>
      <w:tblPr>
        <w:tblW w:w="0" w:type="auto"/>
        <w:shd w:val="clear" w:color="auto" w:fill="DEDCE3"/>
        <w:tblLook w:val="01E0" w:firstRow="1" w:lastRow="1" w:firstColumn="1" w:lastColumn="1" w:noHBand="0" w:noVBand="0"/>
      </w:tblPr>
      <w:tblGrid>
        <w:gridCol w:w="9514"/>
      </w:tblGrid>
      <w:tr w:rsidR="002523F0" w14:paraId="7D13468F" w14:textId="77777777" w:rsidTr="006D120A">
        <w:tc>
          <w:tcPr>
            <w:tcW w:w="9514" w:type="dxa"/>
            <w:shd w:val="clear" w:color="auto" w:fill="DEDCE3"/>
          </w:tcPr>
          <w:p w14:paraId="3A0EBD22" w14:textId="77777777" w:rsidR="002523F0" w:rsidRDefault="002523F0" w:rsidP="006D120A">
            <w:pPr>
              <w:pStyle w:val="DHHStabletext"/>
            </w:pPr>
            <w:r w:rsidRPr="0089505B">
              <w:t xml:space="preserve">For the purposes of the </w:t>
            </w:r>
            <w:r>
              <w:t>p</w:t>
            </w:r>
            <w:r w:rsidRPr="0089505B">
              <w:t>olicy a</w:t>
            </w:r>
            <w:r>
              <w:t xml:space="preserve"> </w:t>
            </w:r>
            <w:r w:rsidRPr="0089505B">
              <w:rPr>
                <w:i/>
              </w:rPr>
              <w:t>vulnerable person</w:t>
            </w:r>
            <w:r w:rsidRPr="0089505B">
              <w:rPr>
                <w:rStyle w:val="FootnoteReference"/>
                <w:i/>
              </w:rPr>
              <w:footnoteReference w:id="1"/>
            </w:r>
            <w:r>
              <w:t xml:space="preserve"> </w:t>
            </w:r>
            <w:r w:rsidRPr="0089505B">
              <w:t>is defined as someone living in the community who is:</w:t>
            </w:r>
          </w:p>
          <w:p w14:paraId="627A963E" w14:textId="77777777" w:rsidR="002523F0" w:rsidRPr="0089505B" w:rsidRDefault="002523F0" w:rsidP="006D120A">
            <w:pPr>
              <w:pStyle w:val="DHHStablebullet"/>
              <w:rPr>
                <w:b/>
              </w:rPr>
            </w:pPr>
            <w:r w:rsidRPr="0089505B">
              <w:t>frail, and/or physically or cognitively impaired; and</w:t>
            </w:r>
          </w:p>
          <w:p w14:paraId="13E2C103" w14:textId="77777777" w:rsidR="002523F0" w:rsidRPr="00515F50" w:rsidRDefault="002523F0" w:rsidP="006D120A">
            <w:pPr>
              <w:pStyle w:val="DHHStablebullet"/>
              <w:rPr>
                <w:b/>
              </w:rPr>
            </w:pPr>
            <w:r w:rsidRPr="0089505B">
              <w:t>unable to comprehend warnings and directions and/or respond in an emergency situation.</w:t>
            </w:r>
          </w:p>
        </w:tc>
      </w:tr>
    </w:tbl>
    <w:p w14:paraId="6786DE2C" w14:textId="77777777" w:rsidR="002523F0" w:rsidRDefault="002523F0" w:rsidP="002523F0">
      <w:pPr>
        <w:pStyle w:val="DHHSfigurecaption"/>
      </w:pPr>
      <w:r>
        <w:lastRenderedPageBreak/>
        <w:t>Figure</w:t>
      </w:r>
      <w:r w:rsidRPr="002E586D">
        <w:t xml:space="preserve"> 1. Vulnerable People in Emergencies Policy Scope</w:t>
      </w:r>
      <w:r w:rsidRPr="008620C1">
        <w:t xml:space="preserve"> </w:t>
      </w:r>
    </w:p>
    <w:p w14:paraId="3C063280" w14:textId="77777777" w:rsidR="002523F0" w:rsidRPr="00F23273" w:rsidRDefault="002523F0" w:rsidP="002523F0">
      <w:pPr>
        <w:pStyle w:val="DHHSbody"/>
      </w:pPr>
      <w:r>
        <w:rPr>
          <w:noProof/>
          <w:lang w:eastAsia="en-AU"/>
        </w:rPr>
        <w:drawing>
          <wp:inline distT="0" distB="0" distL="0" distR="0" wp14:anchorId="692816EE" wp14:editId="420489CB">
            <wp:extent cx="5890013" cy="3081655"/>
            <wp:effectExtent l="0" t="0" r="0" b="4445"/>
            <wp:docPr id="3" name="Picture 1" descr="Figure 1 describes the relationship between the key components of the policy. These components include the vulnerable people in facilities, vulnerable people on the register and vulnerable people receiving services and those not receiving services. See also section 4.1 of the policy." title="Vulnerable people in emergencies policy 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describes the relationship between the key components of the policy. These components include the vulnerable people in facilities, vulnerable people on the register and vulnerable people receiving services and those not receiving services. See also section 4.1 of the policy." title="Vulnerable people in emergencies policy sco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9625" cy="3081655"/>
                    </a:xfrm>
                    <a:prstGeom prst="rect">
                      <a:avLst/>
                    </a:prstGeom>
                    <a:noFill/>
                    <a:ln>
                      <a:noFill/>
                    </a:ln>
                  </pic:spPr>
                </pic:pic>
              </a:graphicData>
            </a:graphic>
          </wp:inline>
        </w:drawing>
      </w:r>
    </w:p>
    <w:p w14:paraId="54CC1D49" w14:textId="77777777" w:rsidR="002523F0" w:rsidRPr="008620C1" w:rsidRDefault="002523F0" w:rsidP="002523F0">
      <w:pPr>
        <w:pStyle w:val="DHHSbodyaftertablefigure"/>
      </w:pPr>
      <w:r w:rsidRPr="008620C1">
        <w:t xml:space="preserve">The policy applies </w:t>
      </w:r>
      <w:r>
        <w:t>to</w:t>
      </w:r>
      <w:r w:rsidRPr="008620C1">
        <w:t xml:space="preserve"> the 64 rural, regional and urban fringe municipal councils wholly or partly within CFA districts. A full list is provided </w:t>
      </w:r>
      <w:r>
        <w:t>in</w:t>
      </w:r>
      <w:r w:rsidRPr="008620C1">
        <w:t xml:space="preserve"> Appendix 1. </w:t>
      </w:r>
    </w:p>
    <w:p w14:paraId="358C499E" w14:textId="77777777" w:rsidR="002523F0" w:rsidRPr="008620C1" w:rsidRDefault="002523F0" w:rsidP="002523F0">
      <w:pPr>
        <w:pStyle w:val="DHHSbody"/>
      </w:pPr>
      <w:r w:rsidRPr="008620C1">
        <w:t xml:space="preserve">The </w:t>
      </w:r>
      <w:r>
        <w:t>p</w:t>
      </w:r>
      <w:r w:rsidRPr="008620C1">
        <w:t xml:space="preserve">olicy builds on the bushfire specific approach of previous policies, including the </w:t>
      </w:r>
      <w:r w:rsidRPr="008620C1">
        <w:rPr>
          <w:i/>
        </w:rPr>
        <w:t>Vulnerable People in Bushfire Risk Areas Policy 2011-12</w:t>
      </w:r>
      <w:r>
        <w:rPr>
          <w:i/>
        </w:rPr>
        <w:t xml:space="preserve"> </w:t>
      </w:r>
      <w:r>
        <w:t>(which is superseded by the policy). The</w:t>
      </w:r>
      <w:r w:rsidRPr="008620C1">
        <w:t xml:space="preserve"> </w:t>
      </w:r>
      <w:r>
        <w:t>p</w:t>
      </w:r>
      <w:r w:rsidRPr="008620C1">
        <w:t>olicy promotes general emergency planning with vulnerable people, which would be beneficial for a range of hazards and emergencies</w:t>
      </w:r>
      <w:r>
        <w:t>,</w:t>
      </w:r>
      <w:r w:rsidRPr="008620C1">
        <w:t xml:space="preserve"> but does not outline hazard specific approaches. </w:t>
      </w:r>
    </w:p>
    <w:p w14:paraId="61F112E8" w14:textId="77777777" w:rsidR="002523F0" w:rsidRDefault="002523F0" w:rsidP="002523F0">
      <w:pPr>
        <w:pStyle w:val="DHHSbody"/>
      </w:pPr>
      <w:r w:rsidRPr="008620C1">
        <w:t xml:space="preserve">The </w:t>
      </w:r>
      <w:r>
        <w:t>p</w:t>
      </w:r>
      <w:r w:rsidRPr="008620C1">
        <w:t xml:space="preserve">olicy will also enable information contained in Vulnerable Persons Registers to be used by Victoria Police and other authorised emergency management organisations for consideration in planning for and responding to a range of emergencies, where tailored advice of a recommendation to evacuate may be required. It is acknowledged that some hazards, such as bushfire, may require additional targeted </w:t>
      </w:r>
      <w:r>
        <w:t xml:space="preserve">personal emergency </w:t>
      </w:r>
      <w:bookmarkStart w:id="23" w:name="_Toc419116135"/>
      <w:r>
        <w:t>planning.</w:t>
      </w:r>
    </w:p>
    <w:p w14:paraId="786F2652" w14:textId="77777777" w:rsidR="002523F0" w:rsidRDefault="002523F0" w:rsidP="002523F0">
      <w:pPr>
        <w:pStyle w:val="Heading1"/>
        <w:spacing w:before="240" w:after="240"/>
      </w:pPr>
      <w:bookmarkStart w:id="24" w:name="_Toc503967408"/>
      <w:bookmarkStart w:id="25" w:name="_Toc105157307"/>
      <w:r>
        <w:t>5.</w:t>
      </w:r>
      <w:r>
        <w:tab/>
        <w:t>Planning for vulnerable people in emergencies</w:t>
      </w:r>
      <w:bookmarkEnd w:id="23"/>
      <w:bookmarkEnd w:id="24"/>
      <w:bookmarkEnd w:id="25"/>
    </w:p>
    <w:p w14:paraId="5B1E0209" w14:textId="77777777" w:rsidR="002523F0" w:rsidRDefault="002523F0" w:rsidP="002523F0">
      <w:pPr>
        <w:pStyle w:val="DHHSbody"/>
      </w:pPr>
      <w:r w:rsidRPr="001F0381">
        <w:t xml:space="preserve">The </w:t>
      </w:r>
      <w:r>
        <w:t>p</w:t>
      </w:r>
      <w:r w:rsidRPr="001F0381">
        <w:t xml:space="preserve">olicy promotes and encourages </w:t>
      </w:r>
      <w:r>
        <w:t>personal</w:t>
      </w:r>
      <w:r w:rsidRPr="001F0381">
        <w:t xml:space="preserve"> and community </w:t>
      </w:r>
      <w:r>
        <w:t xml:space="preserve">emergency </w:t>
      </w:r>
      <w:r w:rsidRPr="001F0381">
        <w:t xml:space="preserve">planning for </w:t>
      </w:r>
      <w:r>
        <w:t xml:space="preserve">vulnerable people in </w:t>
      </w:r>
      <w:r w:rsidRPr="001F0381">
        <w:t>eme</w:t>
      </w:r>
      <w:r w:rsidRPr="005744D8">
        <w:t>rgencies - as they are likely to require more time or assistance to respond</w:t>
      </w:r>
      <w:r>
        <w:t xml:space="preserve"> safely to emergencies</w:t>
      </w:r>
      <w:r w:rsidRPr="005744D8">
        <w:t>. This</w:t>
      </w:r>
      <w:r>
        <w:t xml:space="preserve"> is promoted through a number of channels, including:</w:t>
      </w:r>
    </w:p>
    <w:p w14:paraId="294102FD" w14:textId="77777777" w:rsidR="002523F0" w:rsidRPr="00A87BAD" w:rsidRDefault="002523F0" w:rsidP="002523F0">
      <w:pPr>
        <w:pStyle w:val="DHHSbullet1"/>
      </w:pPr>
      <w:r>
        <w:rPr>
          <w:b/>
        </w:rPr>
        <w:t>P</w:t>
      </w:r>
      <w:r w:rsidRPr="00463F50">
        <w:rPr>
          <w:b/>
        </w:rPr>
        <w:t>ublic communications</w:t>
      </w:r>
      <w:r w:rsidRPr="00A87BAD">
        <w:t xml:space="preserve"> </w:t>
      </w:r>
      <w:r>
        <w:t xml:space="preserve">- encouraging personal emergency planning and community resilience for vulnerable people </w:t>
      </w:r>
      <w:r w:rsidRPr="00A87BAD">
        <w:t>as part of broader whole of government education and awareness s</w:t>
      </w:r>
      <w:r>
        <w:t>trategies.</w:t>
      </w:r>
    </w:p>
    <w:p w14:paraId="3E1C7715" w14:textId="77777777" w:rsidR="002523F0" w:rsidRPr="00536388" w:rsidRDefault="002523F0" w:rsidP="002523F0">
      <w:pPr>
        <w:pStyle w:val="DHHSbullet1"/>
        <w:rPr>
          <w:b/>
        </w:rPr>
      </w:pPr>
      <w:r w:rsidRPr="00536388">
        <w:rPr>
          <w:b/>
        </w:rPr>
        <w:t xml:space="preserve">Supporting vulnerable people (receiving services) with emergency planning </w:t>
      </w:r>
    </w:p>
    <w:p w14:paraId="65112BEE" w14:textId="77777777" w:rsidR="002523F0" w:rsidRPr="00536388" w:rsidRDefault="002523F0" w:rsidP="002523F0">
      <w:pPr>
        <w:pStyle w:val="DHHSbullet1"/>
        <w:rPr>
          <w:b/>
        </w:rPr>
      </w:pPr>
      <w:r w:rsidRPr="00536388">
        <w:rPr>
          <w:b/>
        </w:rPr>
        <w:t xml:space="preserve">Supporting vulnerable people (not receiving services) with emergency planning </w:t>
      </w:r>
    </w:p>
    <w:p w14:paraId="5ECF385A" w14:textId="77777777" w:rsidR="002523F0" w:rsidRPr="00234F9D" w:rsidRDefault="002523F0" w:rsidP="002523F0">
      <w:pPr>
        <w:pStyle w:val="Heading2"/>
      </w:pPr>
      <w:bookmarkStart w:id="26" w:name="_Toc503967409"/>
      <w:bookmarkStart w:id="27" w:name="_Toc105157308"/>
      <w:r w:rsidRPr="00234F9D">
        <w:t>5.1</w:t>
      </w:r>
      <w:r w:rsidRPr="00234F9D">
        <w:tab/>
        <w:t>The role of funded agencies in planning for vulnerable people in emergencies</w:t>
      </w:r>
      <w:bookmarkEnd w:id="26"/>
      <w:bookmarkEnd w:id="27"/>
    </w:p>
    <w:p w14:paraId="4EB1CE4E" w14:textId="77777777" w:rsidR="002523F0" w:rsidRDefault="002523F0" w:rsidP="002523F0">
      <w:pPr>
        <w:pStyle w:val="DHHSbody"/>
      </w:pPr>
      <w:r w:rsidRPr="008C39A8">
        <w:t>Agencies funded to provide personal care, support and case management services to people living in the community have a key role in relation to the safety and welfare of clients. T</w:t>
      </w:r>
      <w:r>
        <w:t>he</w:t>
      </w:r>
      <w:r w:rsidRPr="008C39A8">
        <w:t xml:space="preserve"> </w:t>
      </w:r>
      <w:r>
        <w:t>p</w:t>
      </w:r>
      <w:r w:rsidRPr="008C39A8">
        <w:t xml:space="preserve">olicy utilises the existing </w:t>
      </w:r>
      <w:r w:rsidRPr="008C39A8">
        <w:lastRenderedPageBreak/>
        <w:t>relationships and agency role in supporting clients to improve their safety and resilience through promoting personal emergency planning.</w:t>
      </w:r>
    </w:p>
    <w:tbl>
      <w:tblPr>
        <w:tblW w:w="0" w:type="auto"/>
        <w:shd w:val="clear" w:color="auto" w:fill="DEDCE3"/>
        <w:tblLook w:val="01E0" w:firstRow="1" w:lastRow="1" w:firstColumn="1" w:lastColumn="1" w:noHBand="0" w:noVBand="0"/>
      </w:tblPr>
      <w:tblGrid>
        <w:gridCol w:w="9514"/>
      </w:tblGrid>
      <w:tr w:rsidR="002523F0" w14:paraId="44A1A000" w14:textId="77777777" w:rsidTr="006D120A">
        <w:tc>
          <w:tcPr>
            <w:tcW w:w="9514" w:type="dxa"/>
            <w:shd w:val="clear" w:color="auto" w:fill="DEDCE3"/>
          </w:tcPr>
          <w:p w14:paraId="1644589C" w14:textId="77777777" w:rsidR="002523F0" w:rsidRDefault="002523F0" w:rsidP="006D120A">
            <w:pPr>
              <w:pStyle w:val="DHHSbody"/>
            </w:pPr>
            <w:r>
              <w:t xml:space="preserve">For the purposes of the policy </w:t>
            </w:r>
            <w:r w:rsidRPr="0089505B">
              <w:rPr>
                <w:b/>
              </w:rPr>
              <w:t>funded agencies</w:t>
            </w:r>
            <w:r w:rsidRPr="00495BC1">
              <w:t xml:space="preserve"> </w:t>
            </w:r>
            <w:r>
              <w:t>refers to:</w:t>
            </w:r>
          </w:p>
          <w:p w14:paraId="57081D15" w14:textId="77777777" w:rsidR="002523F0" w:rsidRDefault="002523F0" w:rsidP="006D120A">
            <w:pPr>
              <w:pStyle w:val="DHHStablebullet"/>
            </w:pPr>
            <w:r w:rsidRPr="00495BC1">
              <w:t xml:space="preserve">those agencies who provide </w:t>
            </w:r>
            <w:r>
              <w:t xml:space="preserve">personal care, </w:t>
            </w:r>
            <w:r w:rsidRPr="00495BC1">
              <w:t>support and/or case management services either in home or community settings, to clients living in the community</w:t>
            </w:r>
            <w:r>
              <w:rPr>
                <w:rStyle w:val="FootnoteReference"/>
              </w:rPr>
              <w:footnoteReference w:id="2"/>
            </w:r>
            <w:r w:rsidRPr="00495BC1">
              <w:t xml:space="preserve">. This </w:t>
            </w:r>
            <w:r>
              <w:t>includes</w:t>
            </w:r>
            <w:r w:rsidRPr="00495BC1">
              <w:t xml:space="preserve"> health or community care services such as home and community care, personal care or disability day programs</w:t>
            </w:r>
            <w:r>
              <w:t xml:space="preserve">. </w:t>
            </w:r>
          </w:p>
          <w:p w14:paraId="6D50823F" w14:textId="77777777" w:rsidR="002523F0" w:rsidRPr="00515F50" w:rsidRDefault="002523F0" w:rsidP="006D120A">
            <w:pPr>
              <w:pStyle w:val="DHHStabletext"/>
            </w:pPr>
            <w:r w:rsidRPr="0089505B">
              <w:t xml:space="preserve">Note: This includes municipal councils providing funded services covered by the </w:t>
            </w:r>
            <w:r>
              <w:t>p</w:t>
            </w:r>
            <w:r w:rsidRPr="0089505B">
              <w:t>olicy</w:t>
            </w:r>
            <w:r w:rsidRPr="0089505B">
              <w:rPr>
                <w:color w:val="000000"/>
                <w:sz w:val="16"/>
                <w:szCs w:val="24"/>
              </w:rPr>
              <w:t>.</w:t>
            </w:r>
          </w:p>
        </w:tc>
      </w:tr>
    </w:tbl>
    <w:p w14:paraId="0783F63F" w14:textId="77777777" w:rsidR="002523F0" w:rsidRPr="00515F50" w:rsidRDefault="002523F0" w:rsidP="002523F0">
      <w:pPr>
        <w:pStyle w:val="DHHSbodyaftertablefigure"/>
      </w:pPr>
      <w:r>
        <w:t>The</w:t>
      </w:r>
      <w:r w:rsidRPr="00BF2604">
        <w:t xml:space="preserve"> </w:t>
      </w:r>
      <w:r>
        <w:t>p</w:t>
      </w:r>
      <w:r w:rsidRPr="00BF2604">
        <w:t>olicy applies to agencies providing relevant services who are funded</w:t>
      </w:r>
      <w:r>
        <w:t xml:space="preserve"> by the Department of Health and</w:t>
      </w:r>
      <w:r w:rsidRPr="00BF2604">
        <w:t xml:space="preserve"> Human Services and it can also be applied by Commonwealth </w:t>
      </w:r>
      <w:r>
        <w:t xml:space="preserve">funded </w:t>
      </w:r>
      <w:r w:rsidRPr="00BF2604">
        <w:t xml:space="preserve">agencies </w:t>
      </w:r>
      <w:r>
        <w:t>and</w:t>
      </w:r>
      <w:r w:rsidRPr="00BF2604">
        <w:t xml:space="preserve"> other providers. </w:t>
      </w:r>
      <w:r>
        <w:t>A</w:t>
      </w:r>
      <w:r w:rsidRPr="00BF2604">
        <w:t>gencies</w:t>
      </w:r>
      <w:r>
        <w:t xml:space="preserve"> funded by the Department of Health and</w:t>
      </w:r>
      <w:r w:rsidRPr="00BF2604">
        <w:t xml:space="preserve"> Human Services are required to participate through funding agreements</w:t>
      </w:r>
      <w:r>
        <w:t>, where applicable</w:t>
      </w:r>
      <w:r w:rsidRPr="00BF2604">
        <w:t>.</w:t>
      </w:r>
      <w:r>
        <w:t xml:space="preserve"> </w:t>
      </w:r>
    </w:p>
    <w:p w14:paraId="6C8A84FC" w14:textId="77777777" w:rsidR="002523F0" w:rsidRPr="00691ED6" w:rsidRDefault="002523F0" w:rsidP="002523F0">
      <w:pPr>
        <w:pStyle w:val="DHHSbody"/>
      </w:pPr>
      <w:r w:rsidRPr="00691ED6">
        <w:t xml:space="preserve">Funded agencies </w:t>
      </w:r>
      <w:r>
        <w:t>have a responsibility</w:t>
      </w:r>
      <w:r w:rsidRPr="00691ED6">
        <w:t xml:space="preserve"> to</w:t>
      </w:r>
      <w:r w:rsidRPr="00691ED6">
        <w:rPr>
          <w:b/>
        </w:rPr>
        <w:t xml:space="preserve"> </w:t>
      </w:r>
      <w:r>
        <w:t>e</w:t>
      </w:r>
      <w:r w:rsidRPr="00691ED6">
        <w:t>ncourage and</w:t>
      </w:r>
      <w:r>
        <w:t>,</w:t>
      </w:r>
      <w:r w:rsidRPr="00691ED6">
        <w:t xml:space="preserve"> where necessary</w:t>
      </w:r>
      <w:r>
        <w:t>,</w:t>
      </w:r>
      <w:r w:rsidRPr="00691ED6">
        <w:t xml:space="preserve"> support clients (who meet the definition of a vulnerable person) to undertake personal emergency planning</w:t>
      </w:r>
      <w:r>
        <w:t>.</w:t>
      </w:r>
    </w:p>
    <w:p w14:paraId="191C96EF" w14:textId="77777777" w:rsidR="002523F0" w:rsidRDefault="002523F0" w:rsidP="002523F0">
      <w:pPr>
        <w:pStyle w:val="DHHSbody"/>
        <w:rPr>
          <w:b/>
        </w:rPr>
      </w:pPr>
      <w:r w:rsidRPr="005744D8">
        <w:t>These agencies know, assess and provide assistance and care to vulnerable people through their services and can have an important role in helping support emergency preparation and resilience, including facilitating people to identify and develop their own personal and community support networks.</w:t>
      </w:r>
      <w:r w:rsidRPr="003509FA">
        <w:t xml:space="preserve">  </w:t>
      </w:r>
    </w:p>
    <w:p w14:paraId="78D70B23" w14:textId="77777777" w:rsidR="002523F0" w:rsidRDefault="002523F0" w:rsidP="002523F0">
      <w:pPr>
        <w:pStyle w:val="DHHSbody"/>
        <w:rPr>
          <w:b/>
        </w:rPr>
      </w:pPr>
      <w:r>
        <w:t>There are a range of emergency planning materials available, including materials specifically targeting people with vulnerabilities</w:t>
      </w:r>
      <w:r w:rsidRPr="00970839">
        <w:t xml:space="preserve">. Key documents that can be used to plan are </w:t>
      </w:r>
      <w:r>
        <w:t>referenced</w:t>
      </w:r>
      <w:r w:rsidRPr="00970839">
        <w:t xml:space="preserve"> in </w:t>
      </w:r>
      <w:r>
        <w:t xml:space="preserve">Appendix 2 - Resources. Where there is recognised </w:t>
      </w:r>
      <w:r w:rsidRPr="005744D8">
        <w:t xml:space="preserve">bushfire risk, specific </w:t>
      </w:r>
      <w:r>
        <w:t xml:space="preserve">bushfire </w:t>
      </w:r>
      <w:r w:rsidRPr="005744D8">
        <w:t>planning should be undertaken in addition to basic</w:t>
      </w:r>
      <w:r w:rsidRPr="001F0381">
        <w:t xml:space="preserve"> pe</w:t>
      </w:r>
      <w:r>
        <w:t>rsonal emergency planning.</w:t>
      </w:r>
      <w:r w:rsidRPr="001F0381">
        <w:t xml:space="preserve"> </w:t>
      </w:r>
    </w:p>
    <w:p w14:paraId="6CD34662" w14:textId="77777777" w:rsidR="002523F0" w:rsidRDefault="002523F0" w:rsidP="002523F0">
      <w:pPr>
        <w:pStyle w:val="DHHSbody"/>
        <w:rPr>
          <w:b/>
        </w:rPr>
      </w:pPr>
      <w:r>
        <w:t>Funded agencies are not expected to be a part of a client’s plan for emergency response or evacuation – where this is outside of current agency practices. Management of evacuation is the responsibility of Victoria Police.</w:t>
      </w:r>
    </w:p>
    <w:p w14:paraId="0040036F" w14:textId="77777777" w:rsidR="002523F0" w:rsidRDefault="002523F0" w:rsidP="002523F0">
      <w:pPr>
        <w:pStyle w:val="DHHSbody"/>
      </w:pPr>
      <w:r>
        <w:t>Through the process of supporting emergency planning funded agencies are asked to screen for Vulnerable Persons Registers.</w:t>
      </w:r>
    </w:p>
    <w:p w14:paraId="32D0671B" w14:textId="77777777" w:rsidR="002523F0" w:rsidRPr="00234F9D" w:rsidRDefault="002523F0" w:rsidP="002523F0">
      <w:pPr>
        <w:pStyle w:val="Heading2"/>
      </w:pPr>
      <w:bookmarkStart w:id="28" w:name="_Toc503967410"/>
      <w:bookmarkStart w:id="29" w:name="_Toc105157309"/>
      <w:r w:rsidRPr="00234F9D">
        <w:t>5.2</w:t>
      </w:r>
      <w:r w:rsidRPr="00234F9D">
        <w:tab/>
        <w:t>The role of Red Cross in planning for vulnerable people in emergencies</w:t>
      </w:r>
      <w:bookmarkEnd w:id="28"/>
      <w:bookmarkEnd w:id="29"/>
    </w:p>
    <w:p w14:paraId="00104FFB" w14:textId="77777777" w:rsidR="002523F0" w:rsidRDefault="002523F0" w:rsidP="002523F0">
      <w:pPr>
        <w:pStyle w:val="DHHSbody"/>
      </w:pPr>
      <w:r>
        <w:t xml:space="preserve">When individuals not receiving services are identified by an agency as potentially vulnerable Red Cross will provide emergency planning support. If Red Cross identifies that these people are unable to develop plans they will refer them back to Council for screening for inclusion on the Vulnerable Persons Register. </w:t>
      </w:r>
    </w:p>
    <w:p w14:paraId="0CD8F188" w14:textId="77777777" w:rsidR="002523F0" w:rsidRDefault="002523F0" w:rsidP="002523F0">
      <w:pPr>
        <w:pStyle w:val="Heading1"/>
        <w:spacing w:before="240" w:after="240"/>
      </w:pPr>
      <w:bookmarkStart w:id="30" w:name="_Toc419116136"/>
      <w:bookmarkStart w:id="31" w:name="_Toc503967411"/>
      <w:bookmarkStart w:id="32" w:name="_Toc105157310"/>
      <w:r>
        <w:t>6.</w:t>
      </w:r>
      <w:r>
        <w:tab/>
        <w:t>Vulnerable persons registers</w:t>
      </w:r>
      <w:bookmarkEnd w:id="30"/>
      <w:bookmarkEnd w:id="31"/>
      <w:bookmarkEnd w:id="32"/>
    </w:p>
    <w:tbl>
      <w:tblPr>
        <w:tblW w:w="0" w:type="auto"/>
        <w:shd w:val="clear" w:color="auto" w:fill="DEDCE3"/>
        <w:tblLook w:val="01E0" w:firstRow="1" w:lastRow="1" w:firstColumn="1" w:lastColumn="1" w:noHBand="0" w:noVBand="0"/>
      </w:tblPr>
      <w:tblGrid>
        <w:gridCol w:w="9514"/>
      </w:tblGrid>
      <w:tr w:rsidR="002523F0" w14:paraId="75796564" w14:textId="77777777" w:rsidTr="006D120A">
        <w:tc>
          <w:tcPr>
            <w:tcW w:w="9514" w:type="dxa"/>
            <w:shd w:val="clear" w:color="auto" w:fill="DEDCE3"/>
          </w:tcPr>
          <w:p w14:paraId="79B69B5D" w14:textId="77777777" w:rsidR="002523F0" w:rsidRPr="005506E0" w:rsidRDefault="002523F0" w:rsidP="006D120A">
            <w:pPr>
              <w:pStyle w:val="DHHSbody"/>
            </w:pPr>
            <w:r w:rsidRPr="005506E0">
              <w:t xml:space="preserve">A </w:t>
            </w:r>
            <w:r w:rsidRPr="0089505B">
              <w:rPr>
                <w:i/>
              </w:rPr>
              <w:t>vulnerable person</w:t>
            </w:r>
            <w:r>
              <w:rPr>
                <w:rStyle w:val="FootnoteReference"/>
                <w:i/>
              </w:rPr>
              <w:footnoteReference w:id="3"/>
            </w:r>
            <w:r w:rsidRPr="005506E0">
              <w:t xml:space="preserve"> may be identified for</w:t>
            </w:r>
            <w:r>
              <w:t xml:space="preserve"> inclusion on</w:t>
            </w:r>
            <w:r w:rsidRPr="005506E0">
              <w:t xml:space="preserve"> </w:t>
            </w:r>
            <w:r>
              <w:t xml:space="preserve">a </w:t>
            </w:r>
            <w:r w:rsidRPr="00012D5D">
              <w:t>Vulnerable Persons Register</w:t>
            </w:r>
            <w:r w:rsidRPr="005506E0">
              <w:t xml:space="preserve"> if they </w:t>
            </w:r>
            <w:r w:rsidRPr="0089505B">
              <w:rPr>
                <w:b/>
              </w:rPr>
              <w:t>additionally</w:t>
            </w:r>
            <w:r w:rsidRPr="005506E0">
              <w:t>:</w:t>
            </w:r>
          </w:p>
          <w:p w14:paraId="6D7325AE" w14:textId="77777777" w:rsidR="002523F0" w:rsidRPr="00515F50" w:rsidRDefault="002523F0" w:rsidP="006D120A">
            <w:pPr>
              <w:pStyle w:val="DHHStablebullet"/>
            </w:pPr>
            <w:r w:rsidRPr="00B22747">
              <w:t>cannot identify personal or community support networks to help them in an emergency.</w:t>
            </w:r>
          </w:p>
        </w:tc>
      </w:tr>
    </w:tbl>
    <w:p w14:paraId="4D339DCC" w14:textId="77777777" w:rsidR="002523F0" w:rsidRDefault="002523F0" w:rsidP="002523F0">
      <w:pPr>
        <w:pStyle w:val="DHHSbodyaftertablefigure"/>
        <w:rPr>
          <w:sz w:val="16"/>
          <w:szCs w:val="16"/>
        </w:rPr>
      </w:pPr>
      <w:r>
        <w:t>Vulnerable Persons Registers (VPRs) have been developed to store local information about consenting, identified vulnerable people, which will be directly entered by funded agencies and locally overseen by municipal councils. The VPRs are cloud-based and directly accessible to authorised representative from Victoria Police (without having to contact the council or funded agency) to aid emergency planning and response, including potential evacuation.</w:t>
      </w:r>
    </w:p>
    <w:p w14:paraId="50396750" w14:textId="77777777" w:rsidR="002523F0" w:rsidRDefault="002523F0" w:rsidP="002523F0">
      <w:pPr>
        <w:pStyle w:val="DHHSbody"/>
      </w:pPr>
      <w:r>
        <w:lastRenderedPageBreak/>
        <w:t>Local administration of Vulnerable Persons Registers involves:</w:t>
      </w:r>
    </w:p>
    <w:p w14:paraId="453D377D" w14:textId="77777777" w:rsidR="002523F0" w:rsidRDefault="002523F0" w:rsidP="002523F0">
      <w:pPr>
        <w:pStyle w:val="DHHSbullet1"/>
      </w:pPr>
      <w:r w:rsidRPr="00EB7D32">
        <w:rPr>
          <w:b/>
        </w:rPr>
        <w:t>Screen</w:t>
      </w:r>
      <w:r>
        <w:rPr>
          <w:b/>
        </w:rPr>
        <w:t>ing</w:t>
      </w:r>
      <w:r w:rsidRPr="00EB7D32">
        <w:rPr>
          <w:b/>
        </w:rPr>
        <w:t xml:space="preserve"> for </w:t>
      </w:r>
      <w:r>
        <w:rPr>
          <w:b/>
        </w:rPr>
        <w:t>V</w:t>
      </w:r>
      <w:r w:rsidRPr="00EB7D32">
        <w:rPr>
          <w:b/>
        </w:rPr>
        <w:t xml:space="preserve">ulnerable </w:t>
      </w:r>
      <w:r>
        <w:rPr>
          <w:b/>
        </w:rPr>
        <w:t>Persons R</w:t>
      </w:r>
      <w:r w:rsidRPr="00EB7D32">
        <w:rPr>
          <w:b/>
        </w:rPr>
        <w:t>egisters</w:t>
      </w:r>
      <w:r>
        <w:t xml:space="preserve"> - to identify vulnerable persons (receiving and not receiving services) who additionally cannot identify personal or community support networks to help them in an emergency to be included on a Vulnerable Persons Register.</w:t>
      </w:r>
    </w:p>
    <w:p w14:paraId="58867E91" w14:textId="77777777" w:rsidR="002523F0" w:rsidRDefault="002523F0" w:rsidP="002523F0">
      <w:pPr>
        <w:pStyle w:val="DHHSbullet1"/>
      </w:pPr>
      <w:r w:rsidRPr="00135D32">
        <w:rPr>
          <w:b/>
        </w:rPr>
        <w:t>Enter</w:t>
      </w:r>
      <w:r>
        <w:rPr>
          <w:b/>
        </w:rPr>
        <w:t>ing</w:t>
      </w:r>
      <w:r w:rsidRPr="00135D32">
        <w:rPr>
          <w:b/>
        </w:rPr>
        <w:t xml:space="preserve"> and maintain</w:t>
      </w:r>
      <w:r>
        <w:rPr>
          <w:b/>
        </w:rPr>
        <w:t>ing</w:t>
      </w:r>
      <w:r w:rsidRPr="00135D32">
        <w:rPr>
          <w:b/>
        </w:rPr>
        <w:t xml:space="preserve"> information in Vulnerable Persons Registers</w:t>
      </w:r>
      <w:r>
        <w:t xml:space="preserve"> for consenting, identified people, which is </w:t>
      </w:r>
      <w:r w:rsidRPr="005744D8">
        <w:t>available to those with responsibility for emergency response and evacuation</w:t>
      </w:r>
      <w:r>
        <w:t>s</w:t>
      </w:r>
      <w:r w:rsidRPr="005744D8">
        <w:t>.</w:t>
      </w:r>
    </w:p>
    <w:p w14:paraId="3AB25772" w14:textId="77777777" w:rsidR="002523F0" w:rsidRPr="00234F9D" w:rsidRDefault="002523F0" w:rsidP="002523F0">
      <w:pPr>
        <w:pStyle w:val="Heading2"/>
      </w:pPr>
      <w:bookmarkStart w:id="33" w:name="_Toc503967412"/>
      <w:bookmarkStart w:id="34" w:name="_Toc105157311"/>
      <w:r>
        <w:t>6.1</w:t>
      </w:r>
      <w:r w:rsidRPr="00234F9D">
        <w:tab/>
        <w:t>The role of funded agencies in screening for Vulnerable Persons Registers</w:t>
      </w:r>
      <w:bookmarkEnd w:id="33"/>
      <w:bookmarkEnd w:id="34"/>
    </w:p>
    <w:p w14:paraId="66D170ED" w14:textId="77777777" w:rsidR="002523F0" w:rsidRDefault="002523F0" w:rsidP="002523F0">
      <w:pPr>
        <w:pStyle w:val="DHHSbody"/>
      </w:pPr>
      <w:r>
        <w:t>Funded agencies</w:t>
      </w:r>
      <w:r>
        <w:rPr>
          <w:rStyle w:val="FootnoteReference"/>
        </w:rPr>
        <w:footnoteReference w:id="4"/>
      </w:r>
      <w:r>
        <w:t xml:space="preserve"> are asked to consider and screen clients to identify people who should be listed on a Vulnerable Persons Register because they:</w:t>
      </w:r>
    </w:p>
    <w:p w14:paraId="0BE61D00" w14:textId="77777777" w:rsidR="002523F0" w:rsidRDefault="002523F0" w:rsidP="002523F0">
      <w:pPr>
        <w:pStyle w:val="DHHSbullet1"/>
        <w:rPr>
          <w:b/>
        </w:rPr>
      </w:pPr>
      <w:r w:rsidRPr="0022459C">
        <w:t xml:space="preserve">meet the definition of a </w:t>
      </w:r>
      <w:r w:rsidRPr="0022459C">
        <w:rPr>
          <w:i/>
        </w:rPr>
        <w:t>vulnerable person</w:t>
      </w:r>
      <w:r>
        <w:rPr>
          <w:i/>
        </w:rPr>
        <w:t>;</w:t>
      </w:r>
      <w:r w:rsidRPr="0022459C">
        <w:t xml:space="preserve"> </w:t>
      </w:r>
      <w:r w:rsidRPr="0022459C">
        <w:rPr>
          <w:b/>
        </w:rPr>
        <w:t>and</w:t>
      </w:r>
    </w:p>
    <w:p w14:paraId="15F347DE" w14:textId="77777777" w:rsidR="002523F0" w:rsidRPr="00536388" w:rsidRDefault="002523F0" w:rsidP="002523F0">
      <w:pPr>
        <w:pStyle w:val="DHHSbullet1lastline"/>
        <w:rPr>
          <w:i/>
        </w:rPr>
      </w:pPr>
      <w:r w:rsidRPr="00536388">
        <w:rPr>
          <w:i/>
        </w:rPr>
        <w:t>cannot identify personal or community support networks to help them in an emergency.</w:t>
      </w:r>
    </w:p>
    <w:p w14:paraId="3118D256" w14:textId="0B6D0741" w:rsidR="002523F0" w:rsidRDefault="002523F0" w:rsidP="002523F0">
      <w:pPr>
        <w:pStyle w:val="DHHSbody"/>
      </w:pPr>
      <w:r w:rsidRPr="0022459C">
        <w:t xml:space="preserve">The </w:t>
      </w:r>
      <w:r w:rsidRPr="00E55633">
        <w:rPr>
          <w:i/>
        </w:rPr>
        <w:t xml:space="preserve">Vulnerable people in emergencies (VPE) </w:t>
      </w:r>
      <w:r>
        <w:rPr>
          <w:i/>
        </w:rPr>
        <w:t>guidelines</w:t>
      </w:r>
      <w:r>
        <w:t xml:space="preserve"> </w:t>
      </w:r>
      <w:r w:rsidRPr="0022459C">
        <w:t xml:space="preserve">provide further </w:t>
      </w:r>
      <w:r>
        <w:t>detail</w:t>
      </w:r>
      <w:r w:rsidRPr="0022459C">
        <w:t xml:space="preserve"> in relation to screening</w:t>
      </w:r>
      <w:r>
        <w:t>.</w:t>
      </w:r>
    </w:p>
    <w:p w14:paraId="2049FA0C" w14:textId="77777777" w:rsidR="002523F0" w:rsidRPr="00463F50" w:rsidRDefault="002523F0" w:rsidP="002523F0">
      <w:pPr>
        <w:pStyle w:val="DHHSbody"/>
      </w:pPr>
      <w:r w:rsidRPr="00472FF2">
        <w:t>To list an identified vulnerable person on a Vulnerable Persons Register, funded agencies need to:</w:t>
      </w:r>
    </w:p>
    <w:p w14:paraId="510A58CD" w14:textId="77777777" w:rsidR="002523F0" w:rsidRDefault="002523F0" w:rsidP="002523F0">
      <w:pPr>
        <w:pStyle w:val="DHHSbullet1"/>
      </w:pPr>
      <w:r>
        <w:t>Obtain informed consent from identified people to go on the Vulnerable Persons Register</w:t>
      </w:r>
    </w:p>
    <w:p w14:paraId="14FDA464" w14:textId="771388B9" w:rsidR="002523F0" w:rsidRDefault="002523F0" w:rsidP="002523F0">
      <w:pPr>
        <w:pStyle w:val="DHHSquote"/>
      </w:pPr>
      <w:r>
        <w:t xml:space="preserve">To enable information to be entered on </w:t>
      </w:r>
      <w:r w:rsidRPr="00142BC5">
        <w:t>Vulnerable Persons Registers</w:t>
      </w:r>
      <w:r>
        <w:t>, which will be accessible for planning for and responding to emergencies, agencies will need to gain informed consent from identified people. This is voluntary and a template consent form has been developed to assist agencies.</w:t>
      </w:r>
    </w:p>
    <w:p w14:paraId="619843BA" w14:textId="77777777" w:rsidR="002523F0" w:rsidRDefault="002523F0" w:rsidP="002523F0">
      <w:pPr>
        <w:pStyle w:val="DHHSbullet1"/>
      </w:pPr>
      <w:r>
        <w:t>Enter and maintain information on Vulnerable Persons Registers</w:t>
      </w:r>
    </w:p>
    <w:p w14:paraId="296B27A4" w14:textId="18D2CEB6" w:rsidR="002523F0" w:rsidRPr="00805EB9" w:rsidRDefault="002523F0" w:rsidP="002523F0">
      <w:pPr>
        <w:pStyle w:val="DHHSquote"/>
      </w:pPr>
      <w:r>
        <w:t>Funded agencies will be responsible for entering and maintaining information about identified vulnerable persons on the Vulnerable Persons Register. This information will need to be updated</w:t>
      </w:r>
      <w:r w:rsidRPr="00805EB9">
        <w:t xml:space="preserve">. </w:t>
      </w:r>
    </w:p>
    <w:p w14:paraId="0EDC75BB" w14:textId="77777777" w:rsidR="002523F0" w:rsidRDefault="002523F0" w:rsidP="002523F0">
      <w:pPr>
        <w:pStyle w:val="DHHSbody"/>
      </w:pPr>
      <w:r w:rsidRPr="00013F35">
        <w:t xml:space="preserve">Vulnerable Persons Registers may be used by Victoria Police and other authorised emergency management organisations for consideration in planning </w:t>
      </w:r>
      <w:r>
        <w:t xml:space="preserve">activities (including exercises and training) </w:t>
      </w:r>
      <w:r w:rsidRPr="00013F35">
        <w:t xml:space="preserve">and </w:t>
      </w:r>
      <w:r>
        <w:t xml:space="preserve">for </w:t>
      </w:r>
      <w:r w:rsidRPr="00013F35">
        <w:t>responding to a range of emergencies where there is the capacity and resources to safely provide assistance.</w:t>
      </w:r>
      <w:r>
        <w:t xml:space="preserve"> </w:t>
      </w:r>
    </w:p>
    <w:p w14:paraId="3A9D2E6C" w14:textId="77777777" w:rsidR="002523F0" w:rsidRPr="00234F9D" w:rsidRDefault="002523F0" w:rsidP="002523F0">
      <w:pPr>
        <w:pStyle w:val="Heading2"/>
      </w:pPr>
      <w:bookmarkStart w:id="35" w:name="_Toc503967413"/>
      <w:bookmarkStart w:id="36" w:name="_Toc105157312"/>
      <w:r>
        <w:t>6.2</w:t>
      </w:r>
      <w:r w:rsidRPr="00234F9D">
        <w:tab/>
        <w:t>The role of municipal councils in coordinating local implementation of Vulnerable Persons Registers</w:t>
      </w:r>
      <w:bookmarkEnd w:id="35"/>
      <w:bookmarkEnd w:id="36"/>
    </w:p>
    <w:p w14:paraId="3B0AB482" w14:textId="77777777" w:rsidR="002523F0" w:rsidRDefault="002523F0" w:rsidP="002523F0">
      <w:pPr>
        <w:pStyle w:val="DHHSbody"/>
        <w:rPr>
          <w:lang w:eastAsia="en-AU"/>
        </w:rPr>
      </w:pPr>
      <w:r w:rsidRPr="00972F21">
        <w:rPr>
          <w:lang w:eastAsia="en-AU"/>
        </w:rPr>
        <w:t xml:space="preserve">Under the </w:t>
      </w:r>
      <w:r>
        <w:rPr>
          <w:lang w:eastAsia="en-AU"/>
        </w:rPr>
        <w:t>p</w:t>
      </w:r>
      <w:r w:rsidRPr="00972F21">
        <w:rPr>
          <w:lang w:eastAsia="en-AU"/>
        </w:rPr>
        <w:t>olicy, municipal councils have a role in coordinating local Vulnerable Persons Registers, which can be viewed through the existing municipal council administered M</w:t>
      </w:r>
      <w:r>
        <w:rPr>
          <w:lang w:eastAsia="en-AU"/>
        </w:rPr>
        <w:t xml:space="preserve">unicipal </w:t>
      </w:r>
      <w:r w:rsidRPr="00972F21">
        <w:rPr>
          <w:lang w:eastAsia="en-AU"/>
        </w:rPr>
        <w:t>E</w:t>
      </w:r>
      <w:r>
        <w:rPr>
          <w:lang w:eastAsia="en-AU"/>
        </w:rPr>
        <w:t xml:space="preserve">mergency </w:t>
      </w:r>
      <w:r w:rsidRPr="00972F21">
        <w:rPr>
          <w:lang w:eastAsia="en-AU"/>
        </w:rPr>
        <w:t>C</w:t>
      </w:r>
      <w:r>
        <w:rPr>
          <w:lang w:eastAsia="en-AU"/>
        </w:rPr>
        <w:t xml:space="preserve">oordination </w:t>
      </w:r>
      <w:r w:rsidRPr="00972F21">
        <w:rPr>
          <w:lang w:eastAsia="en-AU"/>
        </w:rPr>
        <w:t>C</w:t>
      </w:r>
      <w:r>
        <w:rPr>
          <w:lang w:eastAsia="en-AU"/>
        </w:rPr>
        <w:t>entre</w:t>
      </w:r>
      <w:r w:rsidRPr="00972F21">
        <w:rPr>
          <w:lang w:eastAsia="en-AU"/>
        </w:rPr>
        <w:t xml:space="preserve"> Central emergency management systems. This coordination will include basic system administration and local oversight of Vulnerable Persons Registers</w:t>
      </w:r>
      <w:r>
        <w:rPr>
          <w:lang w:eastAsia="en-AU"/>
        </w:rPr>
        <w:t>,</w:t>
      </w:r>
      <w:r w:rsidRPr="00972F21">
        <w:rPr>
          <w:lang w:eastAsia="en-AU"/>
        </w:rPr>
        <w:t xml:space="preserve"> which will support local planning.  </w:t>
      </w:r>
    </w:p>
    <w:p w14:paraId="24BBBFD0" w14:textId="77777777" w:rsidR="002523F0" w:rsidRDefault="002523F0" w:rsidP="002523F0">
      <w:pPr>
        <w:pStyle w:val="DHHSbody"/>
        <w:rPr>
          <w:sz w:val="16"/>
          <w:szCs w:val="16"/>
        </w:rPr>
      </w:pPr>
      <w:r>
        <w:rPr>
          <w:lang w:eastAsia="en-AU"/>
        </w:rPr>
        <w:t xml:space="preserve">Funded agencies will be responsible for entering and maintaining information about identified people.  Vulnerable Persons Registers will be accessible to authorised Victoria Police representatives, for consideration in planning and exercising, and for responding to emergencies. </w:t>
      </w:r>
    </w:p>
    <w:p w14:paraId="51BA4735" w14:textId="77777777" w:rsidR="002523F0" w:rsidRDefault="002523F0" w:rsidP="002523F0">
      <w:pPr>
        <w:pStyle w:val="Heading1"/>
        <w:spacing w:before="240" w:after="240"/>
      </w:pPr>
      <w:bookmarkStart w:id="37" w:name="_Toc419116137"/>
      <w:bookmarkStart w:id="38" w:name="_Toc503967414"/>
      <w:bookmarkStart w:id="39" w:name="_Toc105157313"/>
      <w:r>
        <w:lastRenderedPageBreak/>
        <w:t>7.</w:t>
      </w:r>
      <w:r>
        <w:tab/>
        <w:t>Identification of facilities housing vulnerable people</w:t>
      </w:r>
      <w:bookmarkEnd w:id="37"/>
      <w:bookmarkEnd w:id="38"/>
      <w:bookmarkEnd w:id="39"/>
    </w:p>
    <w:tbl>
      <w:tblPr>
        <w:tblW w:w="0" w:type="auto"/>
        <w:shd w:val="clear" w:color="auto" w:fill="DEDCE3"/>
        <w:tblLook w:val="01E0" w:firstRow="1" w:lastRow="1" w:firstColumn="1" w:lastColumn="1" w:noHBand="0" w:noVBand="0"/>
      </w:tblPr>
      <w:tblGrid>
        <w:gridCol w:w="9514"/>
      </w:tblGrid>
      <w:tr w:rsidR="002523F0" w14:paraId="770E0648" w14:textId="77777777" w:rsidTr="006D120A">
        <w:tc>
          <w:tcPr>
            <w:tcW w:w="9514" w:type="dxa"/>
            <w:shd w:val="clear" w:color="auto" w:fill="DEDCE3"/>
          </w:tcPr>
          <w:p w14:paraId="724AA261" w14:textId="77777777" w:rsidR="002523F0" w:rsidRDefault="002523F0" w:rsidP="006D120A">
            <w:pPr>
              <w:pStyle w:val="DHHSbody"/>
            </w:pPr>
            <w:r>
              <w:t xml:space="preserve">For the purposes of the policy </w:t>
            </w:r>
            <w:r w:rsidRPr="0089505B">
              <w:rPr>
                <w:b/>
              </w:rPr>
              <w:t>facilities</w:t>
            </w:r>
            <w:r w:rsidRPr="00495BC1">
              <w:t xml:space="preserve"> </w:t>
            </w:r>
            <w:r>
              <w:t>refers to:</w:t>
            </w:r>
          </w:p>
          <w:p w14:paraId="3444532F" w14:textId="77777777" w:rsidR="002523F0" w:rsidRDefault="002523F0" w:rsidP="006D120A">
            <w:pPr>
              <w:pStyle w:val="DHHStablebullet"/>
            </w:pPr>
            <w:r w:rsidRPr="00495BC1">
              <w:t xml:space="preserve">buildings where vulnerable people are likely to be situated, including aged care facilities, hospitals, schools, </w:t>
            </w:r>
            <w:r>
              <w:t xml:space="preserve">disability </w:t>
            </w:r>
            <w:r w:rsidRPr="00495BC1">
              <w:t>group homes and child care centres. This includes</w:t>
            </w:r>
            <w:r>
              <w:t>:</w:t>
            </w:r>
          </w:p>
          <w:p w14:paraId="3C37F3F0" w14:textId="77777777" w:rsidR="002523F0" w:rsidRDefault="002523F0" w:rsidP="006D120A">
            <w:pPr>
              <w:pStyle w:val="DHHStablebullet"/>
            </w:pPr>
            <w:r>
              <w:t xml:space="preserve">facilities </w:t>
            </w:r>
            <w:r w:rsidRPr="00495BC1">
              <w:t>funded or regulated by the Department of Healt</w:t>
            </w:r>
            <w:r>
              <w:t xml:space="preserve">h and Human Services and </w:t>
            </w:r>
            <w:r w:rsidRPr="00495BC1">
              <w:t xml:space="preserve">Department of Education </w:t>
            </w:r>
            <w:r>
              <w:t>and Training</w:t>
            </w:r>
          </w:p>
          <w:p w14:paraId="49960B10" w14:textId="77777777" w:rsidR="002523F0" w:rsidRDefault="002523F0" w:rsidP="006D120A">
            <w:pPr>
              <w:pStyle w:val="DHHStablebullet"/>
            </w:pPr>
            <w:r>
              <w:t>Commonwealth funded residential aged care facilities</w:t>
            </w:r>
          </w:p>
          <w:p w14:paraId="1C334C97" w14:textId="77777777" w:rsidR="002523F0" w:rsidRPr="00515F50" w:rsidRDefault="002523F0" w:rsidP="006D120A">
            <w:pPr>
              <w:pStyle w:val="DHHStablebullet"/>
            </w:pPr>
            <w:r w:rsidRPr="00495BC1">
              <w:t>other locally identified facilities likely to have vulnerable people</w:t>
            </w:r>
            <w:r>
              <w:t xml:space="preserve"> situated in them</w:t>
            </w:r>
            <w:r w:rsidRPr="00495BC1">
              <w:t>.</w:t>
            </w:r>
          </w:p>
        </w:tc>
      </w:tr>
    </w:tbl>
    <w:p w14:paraId="7013F8A8" w14:textId="77777777" w:rsidR="002523F0" w:rsidRDefault="002523F0" w:rsidP="002523F0">
      <w:pPr>
        <w:pStyle w:val="DHHSbodyaftertablefigure"/>
      </w:pPr>
      <w:r>
        <w:t xml:space="preserve">In addition to local lists of vulnerable people living in the community, the policy also requires development of a list of local facilities where vulnerable people are likely to be situated, which needs to be available to those with responsibility for </w:t>
      </w:r>
      <w:r w:rsidRPr="00013F35">
        <w:t xml:space="preserve">evacuation. </w:t>
      </w:r>
    </w:p>
    <w:p w14:paraId="493732A7" w14:textId="77777777" w:rsidR="002523F0" w:rsidRPr="00580E59" w:rsidRDefault="002523F0" w:rsidP="002523F0">
      <w:pPr>
        <w:pStyle w:val="Heading2"/>
      </w:pPr>
      <w:bookmarkStart w:id="40" w:name="_Toc503967415"/>
      <w:bookmarkStart w:id="41" w:name="_Toc105157314"/>
      <w:r>
        <w:t>7.1</w:t>
      </w:r>
      <w:r>
        <w:tab/>
        <w:t>The role of municipal councils in d</w:t>
      </w:r>
      <w:r w:rsidRPr="00580E59">
        <w:t>evelop</w:t>
      </w:r>
      <w:r>
        <w:t>ing</w:t>
      </w:r>
      <w:r w:rsidRPr="00580E59">
        <w:t xml:space="preserve"> and maintain</w:t>
      </w:r>
      <w:r>
        <w:t>ing</w:t>
      </w:r>
      <w:r w:rsidRPr="00580E59">
        <w:t xml:space="preserve"> a list of local facilities where vulnerable people are likely to be situated</w:t>
      </w:r>
      <w:bookmarkEnd w:id="40"/>
      <w:bookmarkEnd w:id="41"/>
      <w:r w:rsidRPr="00580E59">
        <w:t xml:space="preserve"> </w:t>
      </w:r>
    </w:p>
    <w:p w14:paraId="659F009D" w14:textId="77777777" w:rsidR="002523F0" w:rsidRDefault="002523F0" w:rsidP="002523F0">
      <w:pPr>
        <w:pStyle w:val="DHHSbody"/>
      </w:pPr>
      <w:r w:rsidRPr="00417EA3">
        <w:t xml:space="preserve">Municipal councils are required to </w:t>
      </w:r>
      <w:r>
        <w:t xml:space="preserve">develop and maintain a list of </w:t>
      </w:r>
      <w:r w:rsidRPr="00417EA3">
        <w:t xml:space="preserve">facilities where vulnerable people are likely to be situated – </w:t>
      </w:r>
      <w:r w:rsidRPr="00495BC1">
        <w:t xml:space="preserve">including aged care facilities, hospitals, schools, </w:t>
      </w:r>
      <w:r>
        <w:t xml:space="preserve">disability </w:t>
      </w:r>
      <w:r w:rsidRPr="00495BC1">
        <w:t>group homes and child care centres. This includes</w:t>
      </w:r>
      <w:r>
        <w:t>:</w:t>
      </w:r>
    </w:p>
    <w:p w14:paraId="1FE77FF9" w14:textId="77777777" w:rsidR="002523F0" w:rsidRDefault="002523F0" w:rsidP="002523F0">
      <w:pPr>
        <w:pStyle w:val="DHHSbullet1"/>
      </w:pPr>
      <w:r w:rsidRPr="00495BC1">
        <w:t>facilities funded or regulated by the Department of Healt</w:t>
      </w:r>
      <w:r>
        <w:t xml:space="preserve">h and </w:t>
      </w:r>
      <w:r w:rsidRPr="00972F21">
        <w:t>Human Services</w:t>
      </w:r>
      <w:r>
        <w:t xml:space="preserve"> and the Department of Education and</w:t>
      </w:r>
      <w:r w:rsidRPr="00972F21">
        <w:t xml:space="preserve"> </w:t>
      </w:r>
      <w:r>
        <w:t xml:space="preserve">Training </w:t>
      </w:r>
    </w:p>
    <w:p w14:paraId="0F252D61" w14:textId="77777777" w:rsidR="002523F0" w:rsidRPr="00972F21" w:rsidRDefault="002523F0" w:rsidP="002523F0">
      <w:pPr>
        <w:pStyle w:val="DHHSbullet1lastline"/>
      </w:pPr>
      <w:r>
        <w:t>Commonwealth funded residential aged care facilities</w:t>
      </w:r>
      <w:r w:rsidRPr="00972F21">
        <w:t>.</w:t>
      </w:r>
    </w:p>
    <w:p w14:paraId="204AA560" w14:textId="77777777" w:rsidR="002523F0" w:rsidRPr="00972F21" w:rsidRDefault="002523F0" w:rsidP="002523F0">
      <w:pPr>
        <w:pStyle w:val="DHHSbody"/>
      </w:pPr>
      <w:r w:rsidRPr="00972F21">
        <w:t>Municipal Councils should also consider and identify other local facilities or amenities that may have vulnerable people situated in them. This will differ dependent on location, but would include sites where vulnerable people:</w:t>
      </w:r>
    </w:p>
    <w:p w14:paraId="6AB7241F" w14:textId="77777777" w:rsidR="002523F0" w:rsidRPr="00972F21" w:rsidRDefault="002523F0" w:rsidP="002523F0">
      <w:pPr>
        <w:pStyle w:val="DHHSbullet1"/>
      </w:pPr>
      <w:r w:rsidRPr="00972F21">
        <w:t>frequently meet or gather</w:t>
      </w:r>
    </w:p>
    <w:p w14:paraId="0EF1A7B6" w14:textId="77777777" w:rsidR="002523F0" w:rsidRPr="00972F21" w:rsidRDefault="002523F0" w:rsidP="002523F0">
      <w:pPr>
        <w:pStyle w:val="DHHSbullet1lastline"/>
      </w:pPr>
      <w:r w:rsidRPr="00972F21">
        <w:t>commonly reside.</w:t>
      </w:r>
    </w:p>
    <w:p w14:paraId="67BB9A8D" w14:textId="77777777" w:rsidR="002523F0" w:rsidRDefault="002523F0" w:rsidP="002523F0">
      <w:pPr>
        <w:pStyle w:val="DHHSbody"/>
      </w:pPr>
      <w:r>
        <w:t xml:space="preserve">Consideration may therefore be given to facilities </w:t>
      </w:r>
      <w:r w:rsidRPr="00013F35">
        <w:t xml:space="preserve">or </w:t>
      </w:r>
      <w:r>
        <w:t>amenities</w:t>
      </w:r>
      <w:r w:rsidRPr="00013F35">
        <w:t xml:space="preserve"> such as Senior Citizens Centre</w:t>
      </w:r>
      <w:r>
        <w:t xml:space="preserve">s, or retirement villages, </w:t>
      </w:r>
      <w:r w:rsidRPr="00013F35">
        <w:t xml:space="preserve">rooming houses </w:t>
      </w:r>
      <w:r>
        <w:t>and</w:t>
      </w:r>
      <w:r w:rsidRPr="00013F35">
        <w:t xml:space="preserve"> caravan</w:t>
      </w:r>
      <w:r w:rsidRPr="00417EA3">
        <w:t xml:space="preserve"> parks where there are long-term residents </w:t>
      </w:r>
      <w:r>
        <w:t xml:space="preserve">who are vulnerable </w:t>
      </w:r>
      <w:r w:rsidRPr="00417EA3">
        <w:t>(not a primarily tourism based caravan park)</w:t>
      </w:r>
      <w:r>
        <w:rPr>
          <w:rStyle w:val="FootnoteReference"/>
        </w:rPr>
        <w:footnoteReference w:id="5"/>
      </w:r>
      <w:r w:rsidRPr="00417EA3">
        <w:t xml:space="preserve">. </w:t>
      </w:r>
      <w:r>
        <w:t xml:space="preserve">Informal, ad hoc </w:t>
      </w:r>
      <w:r w:rsidRPr="00417EA3">
        <w:t>or temporary gatherings of vulnerable people in the community are not required to be included</w:t>
      </w:r>
      <w:r>
        <w:t xml:space="preserve">. </w:t>
      </w:r>
    </w:p>
    <w:p w14:paraId="2324FE39" w14:textId="3705FCB7" w:rsidR="002523F0" w:rsidRDefault="002523F0" w:rsidP="002523F0">
      <w:pPr>
        <w:pStyle w:val="DHHSbody"/>
      </w:pPr>
      <w:r>
        <w:t>A template for the facilities list</w:t>
      </w:r>
      <w:r w:rsidRPr="00417EA3">
        <w:t xml:space="preserve"> </w:t>
      </w:r>
      <w:r>
        <w:t>has been developed and should</w:t>
      </w:r>
      <w:r w:rsidRPr="00417EA3">
        <w:t xml:space="preserve"> be used to compile this list. </w:t>
      </w:r>
      <w:r>
        <w:t xml:space="preserve">Facilities lists are to be included in, or available through, </w:t>
      </w:r>
      <w:r w:rsidRPr="00E55633">
        <w:rPr>
          <w:i/>
        </w:rPr>
        <w:t>Municipal emergency management plans</w:t>
      </w:r>
      <w:r>
        <w:t xml:space="preserve"> and</w:t>
      </w:r>
      <w:r w:rsidRPr="00114A7C">
        <w:t xml:space="preserve"> must be accessible to </w:t>
      </w:r>
      <w:r>
        <w:t>Victoria Police</w:t>
      </w:r>
      <w:r w:rsidRPr="00114A7C">
        <w:t xml:space="preserve"> for the purposes of planning, exercising and in the event of an emergency. </w:t>
      </w:r>
    </w:p>
    <w:p w14:paraId="5D3992DE" w14:textId="77777777" w:rsidR="002523F0" w:rsidRPr="00A1504C" w:rsidRDefault="002523F0" w:rsidP="002523F0">
      <w:pPr>
        <w:pStyle w:val="DHHSbody"/>
      </w:pPr>
      <w:r w:rsidRPr="00012D5D">
        <w:t>Funded facilities</w:t>
      </w:r>
      <w:r w:rsidRPr="00805EB9">
        <w:t xml:space="preserve"> are expected to have emergency management plans in place for people residing, staying or situated within facilities. </w:t>
      </w:r>
      <w:r>
        <w:t>The role of an o</w:t>
      </w:r>
      <w:r w:rsidRPr="00805EB9">
        <w:t xml:space="preserve">perator of </w:t>
      </w:r>
      <w:r>
        <w:t xml:space="preserve">a </w:t>
      </w:r>
      <w:r w:rsidRPr="00012D5D">
        <w:t>facility</w:t>
      </w:r>
      <w:r w:rsidRPr="00805EB9">
        <w:t xml:space="preserve"> </w:t>
      </w:r>
      <w:r>
        <w:t xml:space="preserve">does not equal a requirement to undertake </w:t>
      </w:r>
      <w:r w:rsidRPr="00805EB9">
        <w:t xml:space="preserve">individual emergency planning </w:t>
      </w:r>
      <w:r>
        <w:t>activities</w:t>
      </w:r>
      <w:r w:rsidRPr="00805EB9">
        <w:t xml:space="preserve"> or</w:t>
      </w:r>
      <w:r>
        <w:t xml:space="preserve"> to screen people</w:t>
      </w:r>
      <w:r w:rsidRPr="00805EB9">
        <w:t xml:space="preserve"> for Vulnerable Persons Register</w:t>
      </w:r>
      <w:r>
        <w:t>s.</w:t>
      </w:r>
    </w:p>
    <w:p w14:paraId="04C43767" w14:textId="77777777" w:rsidR="002523F0" w:rsidRDefault="002523F0" w:rsidP="002523F0">
      <w:pPr>
        <w:pStyle w:val="Heading1"/>
        <w:spacing w:before="0"/>
      </w:pPr>
      <w:r>
        <w:br w:type="page"/>
      </w:r>
      <w:bookmarkStart w:id="42" w:name="_Toc419116138"/>
      <w:bookmarkStart w:id="43" w:name="_Toc503967416"/>
      <w:bookmarkStart w:id="44" w:name="_Toc105157315"/>
      <w:r w:rsidRPr="00F23273">
        <w:lastRenderedPageBreak/>
        <w:t>Appendix</w:t>
      </w:r>
      <w:r>
        <w:t xml:space="preserve"> 1 - List of </w:t>
      </w:r>
      <w:r w:rsidRPr="0043468D">
        <w:t>Municipal Councils</w:t>
      </w:r>
      <w:r>
        <w:t xml:space="preserve"> </w:t>
      </w:r>
      <w:r w:rsidRPr="0043468D">
        <w:t>in CFA District</w:t>
      </w:r>
      <w:r>
        <w:t>s</w:t>
      </w:r>
      <w:bookmarkEnd w:id="42"/>
      <w:bookmarkEnd w:id="43"/>
      <w:bookmarkEnd w:id="44"/>
    </w:p>
    <w:p w14:paraId="768E1B58" w14:textId="77777777" w:rsidR="002523F0" w:rsidRDefault="002523F0" w:rsidP="002523F0">
      <w:pPr>
        <w:pStyle w:val="DHHSbody"/>
        <w:sectPr w:rsidR="002523F0" w:rsidSect="00BA5E47">
          <w:headerReference w:type="even" r:id="rId18"/>
          <w:headerReference w:type="default" r:id="rId19"/>
          <w:footerReference w:type="even" r:id="rId20"/>
          <w:footerReference w:type="default" r:id="rId21"/>
          <w:footerReference w:type="first" r:id="rId22"/>
          <w:pgSz w:w="11906" w:h="16838"/>
          <w:pgMar w:top="1701" w:right="1304" w:bottom="1134" w:left="1304" w:header="454" w:footer="510" w:gutter="0"/>
          <w:cols w:space="720"/>
          <w:docGrid w:linePitch="360"/>
        </w:sectPr>
      </w:pPr>
    </w:p>
    <w:p w14:paraId="44BBF043" w14:textId="77777777" w:rsidR="002523F0" w:rsidRPr="0089505B" w:rsidRDefault="002523F0" w:rsidP="002523F0">
      <w:pPr>
        <w:pStyle w:val="DHHSbody"/>
        <w:spacing w:after="100"/>
      </w:pPr>
      <w:r w:rsidRPr="0089505B">
        <w:t>Alpine Shire Council</w:t>
      </w:r>
    </w:p>
    <w:p w14:paraId="78FD0664" w14:textId="77777777" w:rsidR="002523F0" w:rsidRPr="0089505B" w:rsidRDefault="002523F0" w:rsidP="002523F0">
      <w:pPr>
        <w:pStyle w:val="DHHSbody"/>
        <w:spacing w:after="100"/>
      </w:pPr>
      <w:r w:rsidRPr="0089505B">
        <w:t>Ararat Rural City Council</w:t>
      </w:r>
    </w:p>
    <w:p w14:paraId="1DEB122E" w14:textId="77777777" w:rsidR="002523F0" w:rsidRPr="0089505B" w:rsidRDefault="002523F0" w:rsidP="002523F0">
      <w:pPr>
        <w:pStyle w:val="DHHSbody"/>
        <w:spacing w:after="100"/>
      </w:pPr>
      <w:r w:rsidRPr="0089505B">
        <w:t>Ballarat City Council</w:t>
      </w:r>
    </w:p>
    <w:p w14:paraId="5E253F42" w14:textId="77777777" w:rsidR="002523F0" w:rsidRPr="0089505B" w:rsidRDefault="002523F0" w:rsidP="002523F0">
      <w:pPr>
        <w:pStyle w:val="DHHSbody"/>
        <w:spacing w:after="100"/>
      </w:pPr>
      <w:r w:rsidRPr="0089505B">
        <w:t>Banyule City Council</w:t>
      </w:r>
    </w:p>
    <w:p w14:paraId="55F8AAEE" w14:textId="77777777" w:rsidR="002523F0" w:rsidRPr="0089505B" w:rsidRDefault="002523F0" w:rsidP="002523F0">
      <w:pPr>
        <w:pStyle w:val="DHHSbody"/>
        <w:spacing w:after="100"/>
      </w:pPr>
      <w:r w:rsidRPr="0089505B">
        <w:t>Bass Coast Shire Council</w:t>
      </w:r>
    </w:p>
    <w:p w14:paraId="3FC25224" w14:textId="77777777" w:rsidR="002523F0" w:rsidRPr="0089505B" w:rsidRDefault="002523F0" w:rsidP="002523F0">
      <w:pPr>
        <w:pStyle w:val="DHHSbody"/>
        <w:spacing w:after="100"/>
      </w:pPr>
      <w:r w:rsidRPr="0089505B">
        <w:t>Baw Baw Shire Council</w:t>
      </w:r>
    </w:p>
    <w:p w14:paraId="1CD5F537" w14:textId="77777777" w:rsidR="002523F0" w:rsidRPr="0089505B" w:rsidRDefault="002523F0" w:rsidP="002523F0">
      <w:pPr>
        <w:pStyle w:val="DHHSbody"/>
        <w:spacing w:after="100"/>
      </w:pPr>
      <w:r w:rsidRPr="0089505B">
        <w:t>Buloke Shire Council</w:t>
      </w:r>
    </w:p>
    <w:p w14:paraId="572CF30E" w14:textId="77777777" w:rsidR="002523F0" w:rsidRPr="0089505B" w:rsidRDefault="002523F0" w:rsidP="002523F0">
      <w:pPr>
        <w:pStyle w:val="DHHSbody"/>
        <w:spacing w:after="100"/>
      </w:pPr>
      <w:r w:rsidRPr="0089505B">
        <w:t>Campaspe Shire Council</w:t>
      </w:r>
    </w:p>
    <w:p w14:paraId="72754323" w14:textId="77777777" w:rsidR="002523F0" w:rsidRPr="0089505B" w:rsidRDefault="002523F0" w:rsidP="002523F0">
      <w:pPr>
        <w:pStyle w:val="DHHSbody"/>
        <w:spacing w:after="100"/>
      </w:pPr>
      <w:r w:rsidRPr="0089505B">
        <w:t>Cardinia Shire Council</w:t>
      </w:r>
    </w:p>
    <w:p w14:paraId="179D9ADD" w14:textId="77777777" w:rsidR="002523F0" w:rsidRPr="0089505B" w:rsidRDefault="002523F0" w:rsidP="002523F0">
      <w:pPr>
        <w:pStyle w:val="DHHSbody"/>
        <w:spacing w:after="100"/>
      </w:pPr>
      <w:r w:rsidRPr="0089505B">
        <w:t>Casey City Council</w:t>
      </w:r>
    </w:p>
    <w:p w14:paraId="144AE196" w14:textId="77777777" w:rsidR="002523F0" w:rsidRPr="0089505B" w:rsidRDefault="002523F0" w:rsidP="002523F0">
      <w:pPr>
        <w:pStyle w:val="DHHSbody"/>
        <w:spacing w:after="100"/>
      </w:pPr>
      <w:r w:rsidRPr="0089505B">
        <w:t>Central Goldfields Shire Council</w:t>
      </w:r>
    </w:p>
    <w:p w14:paraId="17BCEE0B" w14:textId="77777777" w:rsidR="002523F0" w:rsidRPr="0089505B" w:rsidRDefault="002523F0" w:rsidP="002523F0">
      <w:pPr>
        <w:pStyle w:val="DHHSbody"/>
        <w:spacing w:after="100"/>
      </w:pPr>
      <w:r w:rsidRPr="0089505B">
        <w:t>Benalla Rural City Council</w:t>
      </w:r>
    </w:p>
    <w:p w14:paraId="4604D877" w14:textId="77777777" w:rsidR="002523F0" w:rsidRPr="0089505B" w:rsidRDefault="002523F0" w:rsidP="002523F0">
      <w:pPr>
        <w:pStyle w:val="DHHSbody"/>
        <w:spacing w:after="100"/>
      </w:pPr>
      <w:r w:rsidRPr="0089505B">
        <w:t>Colac-Otway Shire Council</w:t>
      </w:r>
    </w:p>
    <w:p w14:paraId="42F1171C" w14:textId="77777777" w:rsidR="002523F0" w:rsidRPr="0089505B" w:rsidRDefault="002523F0" w:rsidP="002523F0">
      <w:pPr>
        <w:pStyle w:val="DHHSbody"/>
        <w:spacing w:after="100"/>
      </w:pPr>
      <w:r w:rsidRPr="0089505B">
        <w:t>Corangamite Shire Council</w:t>
      </w:r>
    </w:p>
    <w:p w14:paraId="36106AC2" w14:textId="77777777" w:rsidR="002523F0" w:rsidRPr="0089505B" w:rsidRDefault="002523F0" w:rsidP="002523F0">
      <w:pPr>
        <w:pStyle w:val="DHHSbody"/>
        <w:spacing w:after="100"/>
      </w:pPr>
      <w:r w:rsidRPr="0089505B">
        <w:t>East Gippsland Shire Council</w:t>
      </w:r>
    </w:p>
    <w:p w14:paraId="2EDC694C" w14:textId="77777777" w:rsidR="002523F0" w:rsidRPr="0089505B" w:rsidRDefault="002523F0" w:rsidP="002523F0">
      <w:pPr>
        <w:pStyle w:val="DHHSbody"/>
        <w:spacing w:after="100"/>
      </w:pPr>
      <w:r w:rsidRPr="0089505B">
        <w:t>Frankston City Council</w:t>
      </w:r>
    </w:p>
    <w:p w14:paraId="58C053C3" w14:textId="77777777" w:rsidR="002523F0" w:rsidRPr="0089505B" w:rsidRDefault="002523F0" w:rsidP="002523F0">
      <w:pPr>
        <w:pStyle w:val="DHHSbody"/>
        <w:spacing w:after="100"/>
      </w:pPr>
      <w:r w:rsidRPr="0089505B">
        <w:t>Gannawarra Shire Council</w:t>
      </w:r>
    </w:p>
    <w:p w14:paraId="655A40CC" w14:textId="77777777" w:rsidR="002523F0" w:rsidRPr="0089505B" w:rsidRDefault="002523F0" w:rsidP="002523F0">
      <w:pPr>
        <w:pStyle w:val="DHHSbody"/>
        <w:spacing w:after="100"/>
      </w:pPr>
      <w:r w:rsidRPr="0089505B">
        <w:t>Glenelg Shire Council</w:t>
      </w:r>
    </w:p>
    <w:p w14:paraId="5274AD99" w14:textId="77777777" w:rsidR="002523F0" w:rsidRPr="0089505B" w:rsidRDefault="002523F0" w:rsidP="002523F0">
      <w:pPr>
        <w:pStyle w:val="DHHSbody"/>
        <w:spacing w:after="100"/>
      </w:pPr>
      <w:r w:rsidRPr="0089505B">
        <w:t>Golden Plains Shire Council</w:t>
      </w:r>
    </w:p>
    <w:p w14:paraId="6134981A" w14:textId="77777777" w:rsidR="002523F0" w:rsidRPr="0089505B" w:rsidRDefault="002523F0" w:rsidP="002523F0">
      <w:pPr>
        <w:pStyle w:val="DHHSbody"/>
        <w:spacing w:after="100"/>
      </w:pPr>
      <w:r w:rsidRPr="0089505B">
        <w:t>Greater Bendigo City Council</w:t>
      </w:r>
    </w:p>
    <w:p w14:paraId="39BC0F43" w14:textId="77777777" w:rsidR="002523F0" w:rsidRPr="0089505B" w:rsidRDefault="002523F0" w:rsidP="002523F0">
      <w:pPr>
        <w:pStyle w:val="DHHSbody"/>
        <w:spacing w:after="100"/>
      </w:pPr>
      <w:r w:rsidRPr="0089505B">
        <w:t>Greater Dandenong City Council</w:t>
      </w:r>
    </w:p>
    <w:p w14:paraId="7EA253CE" w14:textId="77777777" w:rsidR="002523F0" w:rsidRPr="0089505B" w:rsidRDefault="002523F0" w:rsidP="002523F0">
      <w:pPr>
        <w:pStyle w:val="DHHSbody"/>
        <w:spacing w:after="100"/>
      </w:pPr>
      <w:r w:rsidRPr="0089505B">
        <w:t>Greater Geelong City Council</w:t>
      </w:r>
    </w:p>
    <w:p w14:paraId="3475F734" w14:textId="77777777" w:rsidR="002523F0" w:rsidRPr="0089505B" w:rsidRDefault="002523F0" w:rsidP="002523F0">
      <w:pPr>
        <w:pStyle w:val="DHHSbody"/>
        <w:spacing w:after="100"/>
      </w:pPr>
      <w:r w:rsidRPr="0089505B">
        <w:t>Greater Shepparton City Council</w:t>
      </w:r>
    </w:p>
    <w:p w14:paraId="2C9958FD" w14:textId="77777777" w:rsidR="002523F0" w:rsidRPr="0089505B" w:rsidRDefault="002523F0" w:rsidP="002523F0">
      <w:pPr>
        <w:pStyle w:val="DHHSbody"/>
        <w:spacing w:after="100"/>
      </w:pPr>
      <w:r w:rsidRPr="0089505B">
        <w:t>Hepburn Shire Council</w:t>
      </w:r>
    </w:p>
    <w:p w14:paraId="11F7A63F" w14:textId="77777777" w:rsidR="002523F0" w:rsidRPr="0089505B" w:rsidRDefault="002523F0" w:rsidP="002523F0">
      <w:pPr>
        <w:pStyle w:val="DHHSbody"/>
        <w:spacing w:after="100"/>
      </w:pPr>
      <w:r w:rsidRPr="0089505B">
        <w:t>Hindmarsh Shire Council</w:t>
      </w:r>
    </w:p>
    <w:p w14:paraId="64B18B89" w14:textId="77777777" w:rsidR="002523F0" w:rsidRPr="0089505B" w:rsidRDefault="002523F0" w:rsidP="002523F0">
      <w:pPr>
        <w:pStyle w:val="DHHSbody"/>
        <w:spacing w:after="100"/>
      </w:pPr>
      <w:r w:rsidRPr="0089505B">
        <w:t>Horsham Rural City Council</w:t>
      </w:r>
    </w:p>
    <w:p w14:paraId="0A430002" w14:textId="77777777" w:rsidR="002523F0" w:rsidRPr="0089505B" w:rsidRDefault="002523F0" w:rsidP="002523F0">
      <w:pPr>
        <w:pStyle w:val="DHHSbody"/>
        <w:spacing w:after="100"/>
      </w:pPr>
      <w:r w:rsidRPr="0089505B">
        <w:t>Hume City Council</w:t>
      </w:r>
    </w:p>
    <w:p w14:paraId="4763FC28" w14:textId="77777777" w:rsidR="002523F0" w:rsidRPr="0089505B" w:rsidRDefault="002523F0" w:rsidP="002523F0">
      <w:pPr>
        <w:pStyle w:val="DHHSbody"/>
        <w:spacing w:after="100"/>
      </w:pPr>
      <w:r w:rsidRPr="0089505B">
        <w:t>Indigo Shire Council</w:t>
      </w:r>
    </w:p>
    <w:p w14:paraId="61CD638B" w14:textId="77777777" w:rsidR="002523F0" w:rsidRPr="0089505B" w:rsidRDefault="002523F0" w:rsidP="002523F0">
      <w:pPr>
        <w:pStyle w:val="DHHSbody"/>
        <w:spacing w:after="100"/>
      </w:pPr>
      <w:r w:rsidRPr="0089505B">
        <w:t>Kingston City Council</w:t>
      </w:r>
    </w:p>
    <w:p w14:paraId="1F70C39C" w14:textId="77777777" w:rsidR="002523F0" w:rsidRPr="0089505B" w:rsidRDefault="002523F0" w:rsidP="002523F0">
      <w:pPr>
        <w:pStyle w:val="DHHSbody"/>
        <w:spacing w:after="100"/>
      </w:pPr>
      <w:r w:rsidRPr="0089505B">
        <w:t>Knox City Council</w:t>
      </w:r>
    </w:p>
    <w:p w14:paraId="440CF1AB" w14:textId="77777777" w:rsidR="002523F0" w:rsidRPr="0089505B" w:rsidRDefault="002523F0" w:rsidP="002523F0">
      <w:pPr>
        <w:pStyle w:val="DHHSbody"/>
        <w:spacing w:after="100"/>
      </w:pPr>
      <w:r w:rsidRPr="0089505B">
        <w:t>Latrobe City Council</w:t>
      </w:r>
    </w:p>
    <w:p w14:paraId="3F9FF73A" w14:textId="77777777" w:rsidR="002523F0" w:rsidRPr="0089505B" w:rsidRDefault="002523F0" w:rsidP="002523F0">
      <w:pPr>
        <w:pStyle w:val="DHHSbody"/>
        <w:spacing w:after="100"/>
      </w:pPr>
      <w:r w:rsidRPr="0089505B">
        <w:t>Loddon Shire Council</w:t>
      </w:r>
    </w:p>
    <w:p w14:paraId="76DC3832" w14:textId="77777777" w:rsidR="002523F0" w:rsidRPr="0089505B" w:rsidRDefault="002523F0" w:rsidP="002523F0">
      <w:pPr>
        <w:pStyle w:val="DHHSbody"/>
        <w:spacing w:after="100"/>
      </w:pPr>
      <w:r w:rsidRPr="0089505B">
        <w:t>Macedon Ranges Shire Council</w:t>
      </w:r>
    </w:p>
    <w:p w14:paraId="7964C4FB" w14:textId="77777777" w:rsidR="002523F0" w:rsidRPr="0089505B" w:rsidRDefault="002523F0" w:rsidP="002523F0">
      <w:pPr>
        <w:pStyle w:val="DHHSbody"/>
        <w:spacing w:after="100"/>
      </w:pPr>
      <w:r w:rsidRPr="0089505B">
        <w:t>Manningham City Council</w:t>
      </w:r>
    </w:p>
    <w:p w14:paraId="29E5C3E7" w14:textId="77777777" w:rsidR="002523F0" w:rsidRPr="0089505B" w:rsidRDefault="002523F0" w:rsidP="002523F0">
      <w:pPr>
        <w:pStyle w:val="DHHSbody"/>
        <w:spacing w:after="100"/>
      </w:pPr>
      <w:r w:rsidRPr="0089505B">
        <w:t>Mansfield Shire Council</w:t>
      </w:r>
    </w:p>
    <w:p w14:paraId="6E992BFD" w14:textId="77777777" w:rsidR="002523F0" w:rsidRPr="0089505B" w:rsidRDefault="002523F0" w:rsidP="002523F0">
      <w:pPr>
        <w:pStyle w:val="DHHSbody"/>
        <w:spacing w:after="100"/>
      </w:pPr>
      <w:r w:rsidRPr="0089505B">
        <w:t>Maroondah City Council</w:t>
      </w:r>
    </w:p>
    <w:p w14:paraId="05397629" w14:textId="77777777" w:rsidR="002523F0" w:rsidRPr="0089505B" w:rsidRDefault="002523F0" w:rsidP="002523F0">
      <w:pPr>
        <w:pStyle w:val="DHHSbody"/>
        <w:spacing w:after="100"/>
      </w:pPr>
      <w:r w:rsidRPr="0089505B">
        <w:t>Melton City Council</w:t>
      </w:r>
    </w:p>
    <w:p w14:paraId="0876B014" w14:textId="77777777" w:rsidR="002523F0" w:rsidRPr="0089505B" w:rsidRDefault="002523F0" w:rsidP="002523F0">
      <w:pPr>
        <w:pStyle w:val="DHHSbody"/>
        <w:spacing w:after="100"/>
      </w:pPr>
      <w:r w:rsidRPr="0089505B">
        <w:t>Mildura Rural City Council</w:t>
      </w:r>
    </w:p>
    <w:p w14:paraId="4C4DB70C" w14:textId="77777777" w:rsidR="002523F0" w:rsidRPr="0089505B" w:rsidRDefault="002523F0" w:rsidP="002523F0">
      <w:pPr>
        <w:pStyle w:val="DHHSbody"/>
        <w:spacing w:after="100"/>
      </w:pPr>
      <w:r w:rsidRPr="0089505B">
        <w:t>Mitchell Shire Council</w:t>
      </w:r>
    </w:p>
    <w:p w14:paraId="5C7421A6" w14:textId="77777777" w:rsidR="002523F0" w:rsidRPr="0089505B" w:rsidRDefault="002523F0" w:rsidP="002523F0">
      <w:pPr>
        <w:pStyle w:val="DHHSbody"/>
        <w:spacing w:after="100"/>
      </w:pPr>
      <w:r w:rsidRPr="0089505B">
        <w:t>Moira Shire Council</w:t>
      </w:r>
    </w:p>
    <w:p w14:paraId="6E3BB26C" w14:textId="77777777" w:rsidR="002523F0" w:rsidRPr="0089505B" w:rsidRDefault="002523F0" w:rsidP="002523F0">
      <w:pPr>
        <w:pStyle w:val="DHHSbody"/>
        <w:spacing w:after="100"/>
      </w:pPr>
      <w:r w:rsidRPr="0089505B">
        <w:t>Moorabool Shire Council</w:t>
      </w:r>
    </w:p>
    <w:p w14:paraId="0338C044" w14:textId="77777777" w:rsidR="002523F0" w:rsidRPr="0089505B" w:rsidRDefault="002523F0" w:rsidP="002523F0">
      <w:pPr>
        <w:pStyle w:val="DHHSbody"/>
        <w:spacing w:after="100"/>
      </w:pPr>
      <w:r w:rsidRPr="0089505B">
        <w:t>Mornington Peninsula Shire Council</w:t>
      </w:r>
    </w:p>
    <w:p w14:paraId="33349AE4" w14:textId="77777777" w:rsidR="002523F0" w:rsidRPr="0089505B" w:rsidRDefault="002523F0" w:rsidP="002523F0">
      <w:pPr>
        <w:pStyle w:val="DHHSbody"/>
        <w:spacing w:after="100"/>
      </w:pPr>
      <w:r w:rsidRPr="0089505B">
        <w:t>Moyne Shire Council</w:t>
      </w:r>
    </w:p>
    <w:p w14:paraId="0426DA6D" w14:textId="77777777" w:rsidR="002523F0" w:rsidRPr="0089505B" w:rsidRDefault="002523F0" w:rsidP="002523F0">
      <w:pPr>
        <w:pStyle w:val="DHHSbody"/>
        <w:spacing w:after="100"/>
      </w:pPr>
      <w:r w:rsidRPr="0089505B">
        <w:t>Mount Alexander Shire Council</w:t>
      </w:r>
    </w:p>
    <w:p w14:paraId="6196378D" w14:textId="77777777" w:rsidR="002523F0" w:rsidRPr="0089505B" w:rsidRDefault="002523F0" w:rsidP="002523F0">
      <w:pPr>
        <w:pStyle w:val="DHHSbody"/>
        <w:spacing w:after="100"/>
      </w:pPr>
      <w:r w:rsidRPr="0089505B">
        <w:t>Murrindindi Shire Council</w:t>
      </w:r>
    </w:p>
    <w:p w14:paraId="5ADDFFA7" w14:textId="77777777" w:rsidR="002523F0" w:rsidRPr="0089505B" w:rsidRDefault="002523F0" w:rsidP="002523F0">
      <w:pPr>
        <w:pStyle w:val="DHHSbody"/>
        <w:spacing w:after="100"/>
      </w:pPr>
      <w:r w:rsidRPr="0089505B">
        <w:t>Nillumbik Shire Council</w:t>
      </w:r>
    </w:p>
    <w:p w14:paraId="11A584EF" w14:textId="77777777" w:rsidR="002523F0" w:rsidRPr="0089505B" w:rsidRDefault="002523F0" w:rsidP="002523F0">
      <w:pPr>
        <w:pStyle w:val="DHHSbody"/>
        <w:spacing w:after="100"/>
      </w:pPr>
      <w:r w:rsidRPr="0089505B">
        <w:t>Northern Grampians Shire Council</w:t>
      </w:r>
    </w:p>
    <w:p w14:paraId="15E98172" w14:textId="77777777" w:rsidR="002523F0" w:rsidRPr="0089505B" w:rsidRDefault="002523F0" w:rsidP="002523F0">
      <w:pPr>
        <w:pStyle w:val="DHHSbody"/>
        <w:spacing w:after="100"/>
      </w:pPr>
      <w:r w:rsidRPr="0089505B">
        <w:t>Pyrenees Shire Council</w:t>
      </w:r>
    </w:p>
    <w:p w14:paraId="3A17A3DE" w14:textId="77777777" w:rsidR="002523F0" w:rsidRPr="0089505B" w:rsidRDefault="002523F0" w:rsidP="002523F0">
      <w:pPr>
        <w:pStyle w:val="DHHSbody"/>
        <w:spacing w:after="100"/>
      </w:pPr>
      <w:r w:rsidRPr="0089505B">
        <w:t>Borough of Queenscliff</w:t>
      </w:r>
    </w:p>
    <w:p w14:paraId="37F650FE" w14:textId="77777777" w:rsidR="002523F0" w:rsidRPr="0089505B" w:rsidRDefault="002523F0" w:rsidP="002523F0">
      <w:pPr>
        <w:pStyle w:val="DHHSbody"/>
        <w:spacing w:after="100"/>
      </w:pPr>
      <w:r w:rsidRPr="0089505B">
        <w:t>South Gippsland Shire Council</w:t>
      </w:r>
    </w:p>
    <w:p w14:paraId="7F8DF5D7" w14:textId="77777777" w:rsidR="002523F0" w:rsidRPr="0089505B" w:rsidRDefault="002523F0" w:rsidP="002523F0">
      <w:pPr>
        <w:pStyle w:val="DHHSbody"/>
        <w:spacing w:after="100"/>
      </w:pPr>
      <w:r w:rsidRPr="0089505B">
        <w:t>Southern Grampians Shire Council</w:t>
      </w:r>
    </w:p>
    <w:p w14:paraId="041D2395" w14:textId="77777777" w:rsidR="002523F0" w:rsidRPr="0089505B" w:rsidRDefault="002523F0" w:rsidP="002523F0">
      <w:pPr>
        <w:pStyle w:val="DHHSbody"/>
        <w:spacing w:after="100"/>
      </w:pPr>
      <w:r w:rsidRPr="0089505B">
        <w:t>Strathbogie Shire Council</w:t>
      </w:r>
    </w:p>
    <w:p w14:paraId="6CEAC2F3" w14:textId="77777777" w:rsidR="002523F0" w:rsidRPr="0089505B" w:rsidRDefault="002523F0" w:rsidP="002523F0">
      <w:pPr>
        <w:pStyle w:val="DHHSbody"/>
        <w:spacing w:after="100"/>
      </w:pPr>
      <w:r w:rsidRPr="0089505B">
        <w:t>Surf Coast Shire Council</w:t>
      </w:r>
    </w:p>
    <w:p w14:paraId="0545CA7C" w14:textId="77777777" w:rsidR="002523F0" w:rsidRPr="0089505B" w:rsidRDefault="002523F0" w:rsidP="002523F0">
      <w:pPr>
        <w:pStyle w:val="DHHSbody"/>
        <w:spacing w:after="100"/>
      </w:pPr>
      <w:r w:rsidRPr="0089505B">
        <w:t>Swan Hill Rural City Council</w:t>
      </w:r>
    </w:p>
    <w:p w14:paraId="6175A13B" w14:textId="77777777" w:rsidR="002523F0" w:rsidRPr="0089505B" w:rsidRDefault="002523F0" w:rsidP="002523F0">
      <w:pPr>
        <w:pStyle w:val="DHHSbody"/>
        <w:spacing w:after="100"/>
      </w:pPr>
      <w:r w:rsidRPr="0089505B">
        <w:t>Towong Shire Council</w:t>
      </w:r>
    </w:p>
    <w:p w14:paraId="78B73863" w14:textId="77777777" w:rsidR="002523F0" w:rsidRPr="0089505B" w:rsidRDefault="002523F0" w:rsidP="002523F0">
      <w:pPr>
        <w:pStyle w:val="DHHSbody"/>
        <w:spacing w:after="100"/>
      </w:pPr>
      <w:r w:rsidRPr="0089505B">
        <w:t>Wangaratta Rural City Council</w:t>
      </w:r>
    </w:p>
    <w:p w14:paraId="27FB13A5" w14:textId="77777777" w:rsidR="002523F0" w:rsidRPr="0089505B" w:rsidRDefault="002523F0" w:rsidP="002523F0">
      <w:pPr>
        <w:pStyle w:val="DHHSbody"/>
        <w:spacing w:after="100"/>
      </w:pPr>
      <w:r w:rsidRPr="0089505B">
        <w:t>Warrnambool City Council</w:t>
      </w:r>
    </w:p>
    <w:p w14:paraId="662D6726" w14:textId="77777777" w:rsidR="002523F0" w:rsidRPr="0089505B" w:rsidRDefault="002523F0" w:rsidP="002523F0">
      <w:pPr>
        <w:pStyle w:val="DHHSbody"/>
        <w:spacing w:after="100"/>
      </w:pPr>
      <w:r w:rsidRPr="0089505B">
        <w:t>Wellington Shire Council</w:t>
      </w:r>
    </w:p>
    <w:p w14:paraId="76DAFE35" w14:textId="77777777" w:rsidR="002523F0" w:rsidRPr="0089505B" w:rsidRDefault="002523F0" w:rsidP="002523F0">
      <w:pPr>
        <w:pStyle w:val="DHHSbody"/>
        <w:spacing w:after="100"/>
      </w:pPr>
      <w:r w:rsidRPr="0089505B">
        <w:t>West Wimmera Shire Council</w:t>
      </w:r>
    </w:p>
    <w:p w14:paraId="4A573C8D" w14:textId="77777777" w:rsidR="002523F0" w:rsidRPr="0089505B" w:rsidRDefault="002523F0" w:rsidP="002523F0">
      <w:pPr>
        <w:pStyle w:val="DHHSbody"/>
        <w:spacing w:after="100"/>
      </w:pPr>
      <w:r w:rsidRPr="0089505B">
        <w:t>Whittlesea City Council</w:t>
      </w:r>
    </w:p>
    <w:p w14:paraId="0FBACC76" w14:textId="77777777" w:rsidR="002523F0" w:rsidRPr="0089505B" w:rsidRDefault="002523F0" w:rsidP="002523F0">
      <w:pPr>
        <w:pStyle w:val="DHHSbody"/>
        <w:spacing w:after="100"/>
      </w:pPr>
      <w:r w:rsidRPr="0089505B">
        <w:t>Wodonga City Council</w:t>
      </w:r>
    </w:p>
    <w:p w14:paraId="0C42792D" w14:textId="77777777" w:rsidR="002523F0" w:rsidRPr="0089505B" w:rsidRDefault="002523F0" w:rsidP="002523F0">
      <w:pPr>
        <w:pStyle w:val="DHHSbody"/>
        <w:spacing w:after="100"/>
      </w:pPr>
      <w:r w:rsidRPr="0089505B">
        <w:t>Wyndham City Council</w:t>
      </w:r>
    </w:p>
    <w:p w14:paraId="6D2F7090" w14:textId="77777777" w:rsidR="002523F0" w:rsidRPr="0089505B" w:rsidRDefault="002523F0" w:rsidP="002523F0">
      <w:pPr>
        <w:pStyle w:val="DHHSbody"/>
        <w:spacing w:after="100"/>
      </w:pPr>
      <w:r w:rsidRPr="0089505B">
        <w:t>Yarra Ranges Shire Council</w:t>
      </w:r>
    </w:p>
    <w:p w14:paraId="4FFE2D83" w14:textId="77777777" w:rsidR="002523F0" w:rsidRDefault="002523F0" w:rsidP="002523F0">
      <w:pPr>
        <w:pStyle w:val="DHHSbody"/>
      </w:pPr>
      <w:r w:rsidRPr="0089505B">
        <w:t>Yarriambiack Shire Council</w:t>
      </w:r>
    </w:p>
    <w:p w14:paraId="6524D553" w14:textId="77777777" w:rsidR="002523F0" w:rsidRDefault="002523F0" w:rsidP="002523F0">
      <w:pPr>
        <w:pStyle w:val="DHHSbody"/>
        <w:sectPr w:rsidR="002523F0" w:rsidSect="00F23273">
          <w:type w:val="continuous"/>
          <w:pgSz w:w="11906" w:h="16838"/>
          <w:pgMar w:top="1701" w:right="1304" w:bottom="1134" w:left="1304" w:header="454" w:footer="510" w:gutter="0"/>
          <w:cols w:num="2" w:space="720"/>
          <w:docGrid w:linePitch="360"/>
        </w:sectPr>
      </w:pPr>
    </w:p>
    <w:p w14:paraId="77D44A58" w14:textId="77777777" w:rsidR="00E33252" w:rsidRDefault="00E33252">
      <w:pPr>
        <w:rPr>
          <w:rFonts w:ascii="Arial" w:eastAsia="Times" w:hAnsi="Arial"/>
        </w:rPr>
      </w:pPr>
      <w:r>
        <w:br w:type="page"/>
      </w:r>
    </w:p>
    <w:p w14:paraId="5118D015" w14:textId="3E9FC611" w:rsidR="006D360C" w:rsidRDefault="00E33252" w:rsidP="00E33252">
      <w:pPr>
        <w:pStyle w:val="Heading1"/>
        <w:spacing w:before="0"/>
      </w:pPr>
      <w:bookmarkStart w:id="45" w:name="_Toc105157316"/>
      <w:r w:rsidRPr="00F23273">
        <w:lastRenderedPageBreak/>
        <w:t>Appendix</w:t>
      </w:r>
      <w:r>
        <w:t xml:space="preserve"> 2 </w:t>
      </w:r>
      <w:r w:rsidR="00A437A4">
        <w:t>–</w:t>
      </w:r>
      <w:r>
        <w:t xml:space="preserve"> </w:t>
      </w:r>
      <w:r w:rsidR="002523F0">
        <w:rPr>
          <w:noProof/>
        </w:rPr>
        <mc:AlternateContent>
          <mc:Choice Requires="wps">
            <w:drawing>
              <wp:anchor distT="0" distB="0" distL="114300" distR="114300" simplePos="0" relativeHeight="251659264" behindDoc="0" locked="0" layoutInCell="1" allowOverlap="1" wp14:anchorId="432708B6" wp14:editId="4B861166">
                <wp:simplePos x="0" y="0"/>
                <wp:positionH relativeFrom="column">
                  <wp:posOffset>4572000</wp:posOffset>
                </wp:positionH>
                <wp:positionV relativeFrom="paragraph">
                  <wp:posOffset>10172700</wp:posOffset>
                </wp:positionV>
                <wp:extent cx="2514600" cy="34290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5EDD" w14:textId="77777777" w:rsidR="002523F0" w:rsidRDefault="002523F0" w:rsidP="002523F0">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708B6" id="_x0000_t202" coordsize="21600,21600" o:spt="202" path="m,l,21600r21600,l21600,xe">
                <v:stroke joinstyle="miter"/>
                <v:path gradientshapeok="t" o:connecttype="rect"/>
              </v:shapetype>
              <v:shape id="Text Box 43" o:spid="_x0000_s1026" type="#_x0000_t202" style="position:absolute;margin-left:5in;margin-top:801pt;width:19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635E5EDD" w14:textId="77777777" w:rsidR="002523F0" w:rsidRDefault="002523F0" w:rsidP="002523F0">
                      <w:pPr>
                        <w:jc w:val="right"/>
                      </w:pPr>
                      <w:r w:rsidRPr="000147AF">
                        <w:rPr>
                          <w:rFonts w:ascii="Arial" w:hAnsi="Arial" w:cs="Arial"/>
                          <w:color w:val="808080"/>
                          <w:sz w:val="22"/>
                          <w:szCs w:val="22"/>
                        </w:rPr>
                        <w:t>Department of Health</w:t>
                      </w:r>
                    </w:p>
                  </w:txbxContent>
                </v:textbox>
              </v:shape>
            </w:pict>
          </mc:Fallback>
        </mc:AlternateContent>
      </w:r>
      <w:r w:rsidR="00A437A4">
        <w:t>Resources</w:t>
      </w:r>
      <w:bookmarkEnd w:id="45"/>
    </w:p>
    <w:p w14:paraId="7553C54B" w14:textId="77777777" w:rsidR="00A437A4" w:rsidRDefault="00A437A4" w:rsidP="00A437A4">
      <w:pPr>
        <w:pStyle w:val="EMBbody"/>
        <w:jc w:val="both"/>
        <w:rPr>
          <w:b/>
          <w:sz w:val="28"/>
          <w:szCs w:val="28"/>
        </w:rPr>
      </w:pPr>
      <w:r>
        <w:rPr>
          <w:b/>
          <w:sz w:val="28"/>
          <w:szCs w:val="28"/>
        </w:rPr>
        <w:t>Planning</w:t>
      </w:r>
    </w:p>
    <w:p w14:paraId="29C4CB74" w14:textId="77777777" w:rsidR="00A437A4" w:rsidRDefault="00A437A4" w:rsidP="00A437A4">
      <w:pPr>
        <w:pStyle w:val="EMBheading3"/>
        <w:spacing w:before="120"/>
        <w:jc w:val="both"/>
        <w:rPr>
          <w:rFonts w:eastAsia="Times"/>
        </w:rPr>
      </w:pPr>
      <w:r>
        <w:rPr>
          <w:rFonts w:eastAsia="Times"/>
        </w:rPr>
        <w:t>General emergency planning</w:t>
      </w:r>
    </w:p>
    <w:p w14:paraId="7DBDE8B2" w14:textId="77777777" w:rsidR="00A437A4" w:rsidRDefault="00A437A4" w:rsidP="00A437A4">
      <w:pPr>
        <w:pStyle w:val="EMBbody"/>
        <w:jc w:val="both"/>
        <w:rPr>
          <w:color w:val="3366FF"/>
          <w:u w:val="dotted"/>
        </w:rPr>
      </w:pPr>
      <w:r>
        <w:t xml:space="preserve">The Red Cross has developed a range of resources to assist emergency preparation, including materials targeting seniors and people with a disability - </w:t>
      </w:r>
      <w:hyperlink r:id="rId23" w:history="1">
        <w:r>
          <w:rPr>
            <w:rStyle w:val="Hyperlink"/>
          </w:rPr>
          <w:t>https://www.redcross.org.au/emergency-resources</w:t>
        </w:r>
      </w:hyperlink>
    </w:p>
    <w:p w14:paraId="7994E068" w14:textId="77777777" w:rsidR="00A437A4" w:rsidRDefault="00A437A4" w:rsidP="00A437A4">
      <w:pPr>
        <w:pStyle w:val="EMBbody"/>
        <w:jc w:val="both"/>
        <w:rPr>
          <w:rStyle w:val="Hyperlink"/>
        </w:rPr>
      </w:pPr>
      <w:r>
        <w:t xml:space="preserve">Other planning and property preparedness information is available from CFA at </w:t>
      </w:r>
      <w:hyperlink r:id="rId24" w:history="1">
        <w:r>
          <w:rPr>
            <w:rStyle w:val="Hyperlink"/>
          </w:rPr>
          <w:t>https://www.cfa.vic.gov.au/plan-prepare/</w:t>
        </w:r>
      </w:hyperlink>
    </w:p>
    <w:p w14:paraId="5F71FDC6" w14:textId="77777777" w:rsidR="00A437A4" w:rsidRDefault="00A437A4" w:rsidP="00A437A4">
      <w:pPr>
        <w:pStyle w:val="EMBheading3"/>
        <w:spacing w:before="120"/>
        <w:jc w:val="both"/>
        <w:rPr>
          <w:rFonts w:eastAsia="Times"/>
        </w:rPr>
      </w:pPr>
      <w:r>
        <w:rPr>
          <w:rFonts w:eastAsia="Times"/>
        </w:rPr>
        <w:t>Storms and floods</w:t>
      </w:r>
    </w:p>
    <w:p w14:paraId="332188D8" w14:textId="77777777" w:rsidR="00A437A4" w:rsidRDefault="00A437A4" w:rsidP="00A437A4">
      <w:pPr>
        <w:pStyle w:val="EMBbody"/>
        <w:jc w:val="both"/>
      </w:pPr>
      <w:r>
        <w:t xml:space="preserve">For information visit the Victoria State Emergency Service FloodSafe and Stormsafe program on VicSES website at </w:t>
      </w:r>
      <w:hyperlink r:id="rId25" w:history="1">
        <w:r>
          <w:rPr>
            <w:rStyle w:val="Hyperlink"/>
          </w:rPr>
          <w:t>http://www.ses.vic.gov.au/prepare</w:t>
        </w:r>
      </w:hyperlink>
      <w:r>
        <w:t xml:space="preserve"> </w:t>
      </w:r>
    </w:p>
    <w:p w14:paraId="288BA03C" w14:textId="77777777" w:rsidR="00A437A4" w:rsidRDefault="00A437A4" w:rsidP="00A437A4">
      <w:pPr>
        <w:pStyle w:val="EMBheading3"/>
        <w:spacing w:before="120"/>
        <w:jc w:val="both"/>
        <w:rPr>
          <w:rFonts w:eastAsia="Times"/>
        </w:rPr>
      </w:pPr>
      <w:bookmarkStart w:id="46" w:name="_Toc335903711"/>
      <w:r>
        <w:rPr>
          <w:rFonts w:eastAsia="Times"/>
        </w:rPr>
        <w:t>Heatwave</w:t>
      </w:r>
      <w:bookmarkEnd w:id="46"/>
    </w:p>
    <w:p w14:paraId="0F8EE881" w14:textId="77777777" w:rsidR="00A437A4" w:rsidRDefault="00A437A4" w:rsidP="00A437A4">
      <w:pPr>
        <w:pStyle w:val="EMBbody"/>
        <w:jc w:val="both"/>
      </w:pPr>
      <w:r>
        <w:t xml:space="preserve">For a variety of information about heatwave including the </w:t>
      </w:r>
      <w:r>
        <w:rPr>
          <w:i/>
        </w:rPr>
        <w:t>Heatwave plan for Victoria</w:t>
      </w:r>
      <w:r>
        <w:t>, factsheets about heatwaves and the Heat Health Alert System, visit</w:t>
      </w:r>
    </w:p>
    <w:p w14:paraId="787A5402" w14:textId="77777777" w:rsidR="00A437A4" w:rsidRDefault="00DF2FFD" w:rsidP="00A437A4">
      <w:pPr>
        <w:pStyle w:val="EMBbody"/>
        <w:jc w:val="both"/>
        <w:rPr>
          <w:rStyle w:val="Hyperlink"/>
        </w:rPr>
      </w:pPr>
      <w:hyperlink r:id="rId26" w:history="1">
        <w:r w:rsidR="00A437A4">
          <w:rPr>
            <w:rStyle w:val="Hyperlink"/>
          </w:rPr>
          <w:t>Extreme heat and heatwaves (health.vic.gov.au)</w:t>
        </w:r>
      </w:hyperlink>
    </w:p>
    <w:p w14:paraId="07F5C4F2" w14:textId="77777777" w:rsidR="00A437A4" w:rsidRDefault="00A437A4" w:rsidP="00A437A4">
      <w:pPr>
        <w:pStyle w:val="EMBbody"/>
        <w:spacing w:before="240" w:line="240" w:lineRule="auto"/>
        <w:jc w:val="both"/>
        <w:rPr>
          <w:b/>
          <w:sz w:val="28"/>
          <w:szCs w:val="28"/>
        </w:rPr>
      </w:pPr>
      <w:r>
        <w:rPr>
          <w:b/>
          <w:sz w:val="28"/>
          <w:szCs w:val="28"/>
        </w:rPr>
        <w:t>Relevant documents and policies</w:t>
      </w:r>
    </w:p>
    <w:p w14:paraId="7A9120E6" w14:textId="77777777" w:rsidR="00A437A4" w:rsidRDefault="00A437A4" w:rsidP="00A437A4">
      <w:pPr>
        <w:pStyle w:val="EMBheading3"/>
        <w:spacing w:before="120"/>
        <w:jc w:val="both"/>
        <w:rPr>
          <w:rFonts w:eastAsia="Times"/>
        </w:rPr>
      </w:pPr>
      <w:r>
        <w:rPr>
          <w:rFonts w:eastAsia="Times"/>
        </w:rPr>
        <w:t>Vulnerable people in emergencies guidelines</w:t>
      </w:r>
    </w:p>
    <w:p w14:paraId="2CA7FF1B" w14:textId="77777777" w:rsidR="00A437A4" w:rsidRDefault="00A437A4" w:rsidP="00A437A4">
      <w:pPr>
        <w:pStyle w:val="EMBbody"/>
        <w:jc w:val="both"/>
      </w:pPr>
      <w:r>
        <w:t xml:space="preserve">The Vulnerable people in emergencies guidelines (Emergency planning and screening and Vulnerable persons registers) should be read in conjunction with the policy, and provide further support and guidance for implementation, including in relation to screening and identification and the use of Vulnerable Persons Registers </w:t>
      </w:r>
      <w:hyperlink r:id="rId27" w:history="1">
        <w:r>
          <w:rPr>
            <w:rStyle w:val="Hyperlink"/>
          </w:rPr>
          <w:t>https://providers.dhhs.vic.gov.au/emergency-management</w:t>
        </w:r>
      </w:hyperlink>
    </w:p>
    <w:p w14:paraId="43F289D9" w14:textId="77777777" w:rsidR="00A437A4" w:rsidRDefault="00A437A4" w:rsidP="00A437A4">
      <w:pPr>
        <w:pStyle w:val="EMBheading3"/>
        <w:spacing w:before="240"/>
        <w:jc w:val="both"/>
        <w:rPr>
          <w:rFonts w:eastAsia="Times"/>
        </w:rPr>
      </w:pPr>
      <w:bookmarkStart w:id="47" w:name="_Toc335903706"/>
      <w:bookmarkStart w:id="48" w:name="_Toc334538439"/>
      <w:bookmarkStart w:id="49" w:name="_Toc335131977"/>
      <w:r>
        <w:rPr>
          <w:rFonts w:eastAsia="Times"/>
        </w:rPr>
        <w:t xml:space="preserve">Emergency preparedness reference guide </w:t>
      </w:r>
    </w:p>
    <w:p w14:paraId="4A9F17E8" w14:textId="77777777" w:rsidR="00A437A4" w:rsidRDefault="00DF2FFD" w:rsidP="00A437A4">
      <w:pPr>
        <w:pStyle w:val="EMBbody"/>
        <w:jc w:val="both"/>
      </w:pPr>
      <w:hyperlink r:id="rId28" w:history="1">
        <w:r w:rsidR="00A437A4">
          <w:rPr>
            <w:rStyle w:val="Hyperlink"/>
            <w:i/>
            <w:iCs/>
            <w:color w:val="auto"/>
          </w:rPr>
          <w:t>Preparing for emergencies: A reference guide for organisations in the Health and Community Services Sectors</w:t>
        </w:r>
      </w:hyperlink>
      <w:r w:rsidR="00A437A4">
        <w:t> is a resource for organisations across both the health sector and the community services sector to plan for and effectively respond to external emergencies.</w:t>
      </w:r>
    </w:p>
    <w:p w14:paraId="54650376" w14:textId="77777777" w:rsidR="00A437A4" w:rsidRDefault="00A437A4" w:rsidP="00A437A4">
      <w:pPr>
        <w:pStyle w:val="EMBbody"/>
        <w:jc w:val="both"/>
      </w:pPr>
      <w:r>
        <w:t>Organisations that identify as being part of the broader health sector and community services sector that provide services to clients can use the reference guide. It provides tips and advice for developing an emergency management plan. </w:t>
      </w:r>
    </w:p>
    <w:p w14:paraId="42429A16" w14:textId="77777777" w:rsidR="00A437A4" w:rsidRDefault="00DF2FFD" w:rsidP="00A437A4">
      <w:pPr>
        <w:pStyle w:val="EMBbody"/>
        <w:jc w:val="both"/>
      </w:pPr>
      <w:hyperlink r:id="rId29" w:history="1">
        <w:r w:rsidR="00A437A4">
          <w:rPr>
            <w:rStyle w:val="Hyperlink"/>
          </w:rPr>
          <w:t>Preparing for emergencies: A reference guide for organisations in the health and community services sectors - DFFH Service Providers</w:t>
        </w:r>
      </w:hyperlink>
      <w:bookmarkEnd w:id="47"/>
      <w:bookmarkEnd w:id="48"/>
      <w:bookmarkEnd w:id="49"/>
    </w:p>
    <w:p w14:paraId="61793768" w14:textId="77777777" w:rsidR="00A437A4" w:rsidRPr="00A437A4" w:rsidRDefault="00A437A4" w:rsidP="00A437A4">
      <w:pPr>
        <w:pStyle w:val="DHHSbody"/>
      </w:pPr>
    </w:p>
    <w:sectPr w:rsidR="00A437A4" w:rsidRPr="00A437A4" w:rsidSect="00F23273">
      <w:type w:val="continuous"/>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96EC" w14:textId="77777777" w:rsidR="002523F0" w:rsidRDefault="002523F0">
      <w:r>
        <w:separator/>
      </w:r>
    </w:p>
  </w:endnote>
  <w:endnote w:type="continuationSeparator" w:id="0">
    <w:p w14:paraId="183B6330" w14:textId="77777777" w:rsidR="002523F0" w:rsidRDefault="0025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Ebrima"/>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15EE" w14:textId="6A111567" w:rsidR="000223A4" w:rsidRDefault="00CD75D3">
    <w:pPr>
      <w:pStyle w:val="Footer"/>
    </w:pPr>
    <w:r>
      <w:rPr>
        <w:noProof/>
      </w:rPr>
      <mc:AlternateContent>
        <mc:Choice Requires="wps">
          <w:drawing>
            <wp:anchor distT="0" distB="0" distL="114300" distR="114300" simplePos="0" relativeHeight="251667456" behindDoc="0" locked="0" layoutInCell="0" allowOverlap="1" wp14:anchorId="2C6EFDE4" wp14:editId="434A0228">
              <wp:simplePos x="0" y="0"/>
              <wp:positionH relativeFrom="page">
                <wp:posOffset>0</wp:posOffset>
              </wp:positionH>
              <wp:positionV relativeFrom="page">
                <wp:posOffset>10189210</wp:posOffset>
              </wp:positionV>
              <wp:extent cx="7560310" cy="311785"/>
              <wp:effectExtent l="0" t="0" r="0" b="12065"/>
              <wp:wrapNone/>
              <wp:docPr id="8" name="MSIPCMdf874727be80227dfc9b0748"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2B940D" w14:textId="62A72B75" w:rsidR="00CD75D3" w:rsidRPr="00CD75D3" w:rsidRDefault="00CD75D3" w:rsidP="00CD75D3">
                          <w:pPr>
                            <w:jc w:val="center"/>
                            <w:rPr>
                              <w:rFonts w:ascii="Arial Black" w:hAnsi="Arial Black"/>
                              <w:color w:val="000000"/>
                            </w:rPr>
                          </w:pPr>
                          <w:r w:rsidRPr="00CD75D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6EFDE4" id="_x0000_t202" coordsize="21600,21600" o:spt="202" path="m,l,21600r21600,l21600,xe">
              <v:stroke joinstyle="miter"/>
              <v:path gradientshapeok="t" o:connecttype="rect"/>
            </v:shapetype>
            <v:shape id="MSIPCMdf874727be80227dfc9b0748" o:spid="_x0000_s1027" type="#_x0000_t202" alt="{&quot;HashCode&quot;:904758361,&quot;Height&quot;:841.0,&quot;Width&quot;:595.0,&quot;Placement&quot;:&quot;Footer&quot;,&quot;Index&quot;:&quot;OddAndEven&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92B940D" w14:textId="62A72B75" w:rsidR="00CD75D3" w:rsidRPr="00CD75D3" w:rsidRDefault="00CD75D3" w:rsidP="00CD75D3">
                    <w:pPr>
                      <w:jc w:val="center"/>
                      <w:rPr>
                        <w:rFonts w:ascii="Arial Black" w:hAnsi="Arial Black"/>
                        <w:color w:val="000000"/>
                      </w:rPr>
                    </w:pPr>
                    <w:r w:rsidRPr="00CD75D3">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0BED" w14:textId="7459FFFF" w:rsidR="000223A4" w:rsidRDefault="00CD75D3">
    <w:pPr>
      <w:pStyle w:val="Footer"/>
    </w:pPr>
    <w:r>
      <w:rPr>
        <w:noProof/>
      </w:rPr>
      <mc:AlternateContent>
        <mc:Choice Requires="wps">
          <w:drawing>
            <wp:anchor distT="0" distB="0" distL="114300" distR="114300" simplePos="0" relativeHeight="251657216" behindDoc="0" locked="0" layoutInCell="0" allowOverlap="1" wp14:anchorId="3BBEBF64" wp14:editId="67586967">
              <wp:simplePos x="0" y="0"/>
              <wp:positionH relativeFrom="page">
                <wp:posOffset>0</wp:posOffset>
              </wp:positionH>
              <wp:positionV relativeFrom="page">
                <wp:posOffset>10189210</wp:posOffset>
              </wp:positionV>
              <wp:extent cx="7560310" cy="311785"/>
              <wp:effectExtent l="0" t="0" r="0" b="12065"/>
              <wp:wrapNone/>
              <wp:docPr id="7" name="MSIPCM2c0549bc8bedc244ecf4798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D80E05" w14:textId="06CB1262" w:rsidR="00CD75D3" w:rsidRPr="00CD75D3" w:rsidRDefault="00CD75D3" w:rsidP="00CD75D3">
                          <w:pPr>
                            <w:jc w:val="center"/>
                            <w:rPr>
                              <w:rFonts w:ascii="Arial Black" w:hAnsi="Arial Black"/>
                              <w:color w:val="000000"/>
                            </w:rPr>
                          </w:pPr>
                          <w:r w:rsidRPr="00CD75D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BEBF64" id="_x0000_t202" coordsize="21600,21600" o:spt="202" path="m,l,21600r21600,l21600,xe">
              <v:stroke joinstyle="miter"/>
              <v:path gradientshapeok="t" o:connecttype="rect"/>
            </v:shapetype>
            <v:shape id="MSIPCM2c0549bc8bedc244ecf4798a"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D80E05" w14:textId="06CB1262" w:rsidR="00CD75D3" w:rsidRPr="00CD75D3" w:rsidRDefault="00CD75D3" w:rsidP="00CD75D3">
                    <w:pPr>
                      <w:jc w:val="center"/>
                      <w:rPr>
                        <w:rFonts w:ascii="Arial Black" w:hAnsi="Arial Black"/>
                        <w:color w:val="000000"/>
                      </w:rPr>
                    </w:pPr>
                    <w:r w:rsidRPr="00CD75D3">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61DF" w14:textId="77777777" w:rsidR="00DF2FFD" w:rsidRDefault="00DF2F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E212" w14:textId="7C7EDA29" w:rsidR="002523F0" w:rsidRPr="008114D1" w:rsidRDefault="00CD75D3" w:rsidP="00E969B1">
    <w:pPr>
      <w:pStyle w:val="DHHSfooter"/>
    </w:pPr>
    <w:r>
      <w:rPr>
        <w:noProof/>
      </w:rPr>
      <mc:AlternateContent>
        <mc:Choice Requires="wps">
          <w:drawing>
            <wp:anchor distT="0" distB="0" distL="114300" distR="114300" simplePos="0" relativeHeight="251659264" behindDoc="0" locked="0" layoutInCell="0" allowOverlap="1" wp14:anchorId="298456F3" wp14:editId="02B3A1C8">
              <wp:simplePos x="0" y="0"/>
              <wp:positionH relativeFrom="page">
                <wp:posOffset>0</wp:posOffset>
              </wp:positionH>
              <wp:positionV relativeFrom="page">
                <wp:posOffset>10189210</wp:posOffset>
              </wp:positionV>
              <wp:extent cx="7560310" cy="311785"/>
              <wp:effectExtent l="0" t="0" r="0" b="12065"/>
              <wp:wrapNone/>
              <wp:docPr id="10" name="MSIPCMde3846f48ac7abba0e029d82"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77098" w14:textId="26A3670E" w:rsidR="00CD75D3" w:rsidRPr="00CD75D3" w:rsidRDefault="00CD75D3" w:rsidP="00CD75D3">
                          <w:pPr>
                            <w:jc w:val="center"/>
                            <w:rPr>
                              <w:rFonts w:ascii="Arial Black" w:hAnsi="Arial Black"/>
                              <w:color w:val="000000"/>
                            </w:rPr>
                          </w:pPr>
                          <w:r w:rsidRPr="00CD75D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8456F3" id="_x0000_t202" coordsize="21600,21600" o:spt="202" path="m,l,21600r21600,l21600,xe">
              <v:stroke joinstyle="miter"/>
              <v:path gradientshapeok="t" o:connecttype="rect"/>
            </v:shapetype>
            <v:shape id="MSIPCMde3846f48ac7abba0e029d82"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F277098" w14:textId="26A3670E" w:rsidR="00CD75D3" w:rsidRPr="00CD75D3" w:rsidRDefault="00CD75D3" w:rsidP="00CD75D3">
                    <w:pPr>
                      <w:jc w:val="center"/>
                      <w:rPr>
                        <w:rFonts w:ascii="Arial Black" w:hAnsi="Arial Black"/>
                        <w:color w:val="000000"/>
                      </w:rPr>
                    </w:pPr>
                    <w:r w:rsidRPr="00CD75D3">
                      <w:rPr>
                        <w:rFonts w:ascii="Arial Black" w:hAnsi="Arial Black"/>
                        <w:color w:val="000000"/>
                      </w:rPr>
                      <w:t>OFFICIAL</w:t>
                    </w:r>
                  </w:p>
                </w:txbxContent>
              </v:textbox>
              <w10:wrap anchorx="page" anchory="page"/>
            </v:shape>
          </w:pict>
        </mc:Fallback>
      </mc:AlternateContent>
    </w:r>
    <w:r w:rsidR="002523F0">
      <w:t xml:space="preserve">Page </w:t>
    </w:r>
    <w:r w:rsidR="002523F0" w:rsidRPr="005A39EC">
      <w:fldChar w:fldCharType="begin"/>
    </w:r>
    <w:r w:rsidR="002523F0" w:rsidRPr="005A39EC">
      <w:instrText xml:space="preserve"> PAGE </w:instrText>
    </w:r>
    <w:r w:rsidR="002523F0" w:rsidRPr="005A39EC">
      <w:fldChar w:fldCharType="separate"/>
    </w:r>
    <w:r w:rsidR="005739C9">
      <w:rPr>
        <w:noProof/>
      </w:rPr>
      <w:t>10</w:t>
    </w:r>
    <w:r w:rsidR="002523F0" w:rsidRPr="005A39EC">
      <w:fldChar w:fldCharType="end"/>
    </w:r>
    <w:r w:rsidR="002523F0">
      <w:tab/>
      <w:t>Vulnerable people in emergencies policy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2C88" w14:textId="312C341F" w:rsidR="002523F0" w:rsidRPr="0031753A" w:rsidRDefault="00CD75D3" w:rsidP="00E969B1">
    <w:pPr>
      <w:pStyle w:val="DHHSfooter"/>
    </w:pPr>
    <w:r>
      <w:rPr>
        <w:noProof/>
      </w:rPr>
      <mc:AlternateContent>
        <mc:Choice Requires="wps">
          <w:drawing>
            <wp:anchor distT="0" distB="0" distL="114300" distR="114300" simplePos="0" relativeHeight="251658240" behindDoc="0" locked="0" layoutInCell="0" allowOverlap="1" wp14:anchorId="07D84416" wp14:editId="7D34CD3E">
              <wp:simplePos x="0" y="0"/>
              <wp:positionH relativeFrom="page">
                <wp:posOffset>0</wp:posOffset>
              </wp:positionH>
              <wp:positionV relativeFrom="page">
                <wp:posOffset>10189210</wp:posOffset>
              </wp:positionV>
              <wp:extent cx="7560310" cy="311785"/>
              <wp:effectExtent l="0" t="0" r="0" b="12065"/>
              <wp:wrapNone/>
              <wp:docPr id="9" name="MSIPCMf57c4785a93bc2fed86b0c1d"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6B4F8D" w14:textId="5FC77B8D" w:rsidR="00CD75D3" w:rsidRPr="00CD75D3" w:rsidRDefault="00CD75D3" w:rsidP="00CD75D3">
                          <w:pPr>
                            <w:jc w:val="center"/>
                            <w:rPr>
                              <w:rFonts w:ascii="Arial Black" w:hAnsi="Arial Black"/>
                              <w:color w:val="000000"/>
                            </w:rPr>
                          </w:pPr>
                          <w:r w:rsidRPr="00CD75D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D84416" id="_x0000_t202" coordsize="21600,21600" o:spt="202" path="m,l,21600r21600,l21600,xe">
              <v:stroke joinstyle="miter"/>
              <v:path gradientshapeok="t" o:connecttype="rect"/>
            </v:shapetype>
            <v:shape id="MSIPCMf57c4785a93bc2fed86b0c1d" o:spid="_x0000_s1030" type="#_x0000_t202" alt="{&quot;HashCode&quot;:904758361,&quot;Height&quot;:841.0,&quot;Width&quot;:595.0,&quot;Placement&quot;:&quot;Footer&quot;,&quot;Index&quot;:&quot;Primary&quot;,&quot;Section&quot;:3,&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C6B4F8D" w14:textId="5FC77B8D" w:rsidR="00CD75D3" w:rsidRPr="00CD75D3" w:rsidRDefault="00CD75D3" w:rsidP="00CD75D3">
                    <w:pPr>
                      <w:jc w:val="center"/>
                      <w:rPr>
                        <w:rFonts w:ascii="Arial Black" w:hAnsi="Arial Black"/>
                        <w:color w:val="000000"/>
                      </w:rPr>
                    </w:pPr>
                    <w:r w:rsidRPr="00CD75D3">
                      <w:rPr>
                        <w:rFonts w:ascii="Arial Black" w:hAnsi="Arial Black"/>
                        <w:color w:val="000000"/>
                      </w:rPr>
                      <w:t>OFFICIAL</w:t>
                    </w:r>
                  </w:p>
                </w:txbxContent>
              </v:textbox>
              <w10:wrap anchorx="page" anchory="page"/>
            </v:shape>
          </w:pict>
        </mc:Fallback>
      </mc:AlternateContent>
    </w:r>
    <w:r w:rsidR="002523F0">
      <w:t>Vulnerable people in emergencies policy</w:t>
    </w:r>
    <w:r w:rsidR="002523F0" w:rsidRPr="0031753A">
      <w:tab/>
      <w:t xml:space="preserve">Page </w:t>
    </w:r>
    <w:r w:rsidR="002523F0" w:rsidRPr="0031753A">
      <w:fldChar w:fldCharType="begin"/>
    </w:r>
    <w:r w:rsidR="002523F0" w:rsidRPr="0031753A">
      <w:instrText xml:space="preserve"> PAGE </w:instrText>
    </w:r>
    <w:r w:rsidR="002523F0" w:rsidRPr="0031753A">
      <w:fldChar w:fldCharType="separate"/>
    </w:r>
    <w:r w:rsidR="005739C9">
      <w:rPr>
        <w:noProof/>
      </w:rPr>
      <w:t>11</w:t>
    </w:r>
    <w:r w:rsidR="002523F0"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7DD1" w14:textId="77777777" w:rsidR="002523F0" w:rsidRPr="001A7E04" w:rsidRDefault="002523F0"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4361" w14:textId="77777777" w:rsidR="002523F0" w:rsidRDefault="002523F0">
      <w:r>
        <w:separator/>
      </w:r>
    </w:p>
  </w:footnote>
  <w:footnote w:type="continuationSeparator" w:id="0">
    <w:p w14:paraId="30814503" w14:textId="77777777" w:rsidR="002523F0" w:rsidRDefault="002523F0">
      <w:r>
        <w:continuationSeparator/>
      </w:r>
    </w:p>
  </w:footnote>
  <w:footnote w:id="1">
    <w:p w14:paraId="3BB01365" w14:textId="77777777" w:rsidR="002523F0" w:rsidRPr="00762C6B" w:rsidRDefault="002523F0" w:rsidP="002523F0">
      <w:pPr>
        <w:pStyle w:val="FootnoteText"/>
        <w:rPr>
          <w:color w:val="000000"/>
        </w:rPr>
      </w:pPr>
      <w:r>
        <w:rPr>
          <w:rStyle w:val="FootnoteReference"/>
        </w:rPr>
        <w:footnoteRef/>
      </w:r>
      <w:r>
        <w:t xml:space="preserve"> </w:t>
      </w:r>
      <w:r w:rsidRPr="00762C6B">
        <w:rPr>
          <w:color w:val="000000"/>
        </w:rPr>
        <w:t xml:space="preserve">This </w:t>
      </w:r>
      <w:r>
        <w:rPr>
          <w:color w:val="000000"/>
        </w:rPr>
        <w:t>applies to</w:t>
      </w:r>
      <w:r w:rsidRPr="00762C6B">
        <w:rPr>
          <w:color w:val="000000"/>
        </w:rPr>
        <w:t xml:space="preserve"> clients of funded agencies and</w:t>
      </w:r>
      <w:r>
        <w:rPr>
          <w:color w:val="000000"/>
        </w:rPr>
        <w:t xml:space="preserve"> people not receiving services. </w:t>
      </w:r>
      <w:r w:rsidRPr="00762C6B">
        <w:rPr>
          <w:color w:val="000000"/>
        </w:rPr>
        <w:t xml:space="preserve"> </w:t>
      </w:r>
    </w:p>
  </w:footnote>
  <w:footnote w:id="2">
    <w:p w14:paraId="6CE4D883" w14:textId="77777777" w:rsidR="002523F0" w:rsidRDefault="002523F0" w:rsidP="002523F0">
      <w:pPr>
        <w:pStyle w:val="FootnoteText"/>
      </w:pPr>
      <w:r>
        <w:rPr>
          <w:rStyle w:val="FootnoteReference"/>
        </w:rPr>
        <w:footnoteRef/>
      </w:r>
      <w:r>
        <w:t xml:space="preserve"> In the 64 municipal councils covered by the policy.</w:t>
      </w:r>
    </w:p>
  </w:footnote>
  <w:footnote w:id="3">
    <w:p w14:paraId="22531D17" w14:textId="77777777" w:rsidR="002523F0" w:rsidRDefault="002523F0" w:rsidP="002523F0">
      <w:pPr>
        <w:pStyle w:val="FootnoteText"/>
      </w:pPr>
      <w:r>
        <w:rPr>
          <w:rStyle w:val="FootnoteReference"/>
        </w:rPr>
        <w:footnoteRef/>
      </w:r>
      <w:r>
        <w:t xml:space="preserve"> </w:t>
      </w:r>
      <w:r w:rsidRPr="002E586D">
        <w:t>Refer to the definition of a vulnerable person on page 7</w:t>
      </w:r>
    </w:p>
  </w:footnote>
  <w:footnote w:id="4">
    <w:p w14:paraId="698FCCCD" w14:textId="77777777" w:rsidR="002523F0" w:rsidRPr="002E586D" w:rsidRDefault="002523F0" w:rsidP="002523F0">
      <w:pPr>
        <w:pStyle w:val="FootnoteText"/>
      </w:pPr>
      <w:r>
        <w:rPr>
          <w:rStyle w:val="FootnoteReference"/>
        </w:rPr>
        <w:footnoteRef/>
      </w:r>
      <w:r>
        <w:t xml:space="preserve"> </w:t>
      </w:r>
      <w:r w:rsidRPr="002E586D">
        <w:t>Note: This includes municipal councils providing funded</w:t>
      </w:r>
      <w:r>
        <w:t xml:space="preserve"> services covered by the policy</w:t>
      </w:r>
    </w:p>
  </w:footnote>
  <w:footnote w:id="5">
    <w:p w14:paraId="4CB0BF52" w14:textId="77777777" w:rsidR="002523F0" w:rsidRPr="00AC3153" w:rsidRDefault="002523F0" w:rsidP="002523F0">
      <w:pPr>
        <w:pStyle w:val="FootnoteText"/>
        <w:rPr>
          <w:color w:val="000000"/>
        </w:rPr>
      </w:pPr>
      <w:r w:rsidRPr="00013F35">
        <w:rPr>
          <w:rStyle w:val="FootnoteReference"/>
        </w:rPr>
        <w:footnoteRef/>
      </w:r>
      <w:r w:rsidRPr="00013F35">
        <w:t xml:space="preserve"> </w:t>
      </w:r>
      <w:r w:rsidRPr="00013F35">
        <w:rPr>
          <w:color w:val="000000"/>
        </w:rPr>
        <w:t>Residents of non-funded facilities may still require personal emergency planning support and may be considered for the Vulnerable Persons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D90C" w14:textId="77777777" w:rsidR="00DF2FFD" w:rsidRDefault="00DF2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D243" w14:textId="77777777" w:rsidR="00DF2FFD" w:rsidRDefault="00DF2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B6FC" w14:textId="77777777" w:rsidR="00DF2FFD" w:rsidRDefault="00DF2F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C894" w14:textId="77777777" w:rsidR="002523F0" w:rsidRPr="0069374A" w:rsidRDefault="002523F0"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8A4A" w14:textId="77777777" w:rsidR="002523F0" w:rsidRDefault="002523F0"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1B47"/>
    <w:multiLevelType w:val="multilevel"/>
    <w:tmpl w:val="4B4E7622"/>
    <w:numStyleLink w:val="ZZNumbers"/>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443399">
    <w:abstractNumId w:val="3"/>
  </w:num>
  <w:num w:numId="2" w16cid:durableId="1541284938">
    <w:abstractNumId w:val="2"/>
  </w:num>
  <w:num w:numId="3" w16cid:durableId="1318456686">
    <w:abstractNumId w:val="1"/>
  </w:num>
  <w:num w:numId="4" w16cid:durableId="1236434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769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1737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5238909">
    <w:abstractNumId w:val="0"/>
  </w:num>
  <w:num w:numId="8" w16cid:durableId="678119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299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5814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804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1430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3273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8193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3F0"/>
    <w:rsid w:val="00002990"/>
    <w:rsid w:val="000048AC"/>
    <w:rsid w:val="00014FC4"/>
    <w:rsid w:val="00020AAB"/>
    <w:rsid w:val="000223A4"/>
    <w:rsid w:val="00022E60"/>
    <w:rsid w:val="00026C19"/>
    <w:rsid w:val="00031263"/>
    <w:rsid w:val="00040CB3"/>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3A5A"/>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523F0"/>
    <w:rsid w:val="002679D5"/>
    <w:rsid w:val="002714FD"/>
    <w:rsid w:val="00275F94"/>
    <w:rsid w:val="00281B9C"/>
    <w:rsid w:val="00284C9B"/>
    <w:rsid w:val="002A141B"/>
    <w:rsid w:val="002A26B6"/>
    <w:rsid w:val="002A6A4E"/>
    <w:rsid w:val="002B5A85"/>
    <w:rsid w:val="002B63A7"/>
    <w:rsid w:val="002C5543"/>
    <w:rsid w:val="002D0F7F"/>
    <w:rsid w:val="002D7AF9"/>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733"/>
    <w:rsid w:val="00355886"/>
    <w:rsid w:val="00356814"/>
    <w:rsid w:val="0038019F"/>
    <w:rsid w:val="00382071"/>
    <w:rsid w:val="003A2F25"/>
    <w:rsid w:val="003B2807"/>
    <w:rsid w:val="003C68F2"/>
    <w:rsid w:val="003D5CFB"/>
    <w:rsid w:val="003D7167"/>
    <w:rsid w:val="003E2636"/>
    <w:rsid w:val="003E2E12"/>
    <w:rsid w:val="003F0ABF"/>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1A3F"/>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39C9"/>
    <w:rsid w:val="005756AD"/>
    <w:rsid w:val="005763FC"/>
    <w:rsid w:val="00576EB4"/>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6110"/>
    <w:rsid w:val="00627C52"/>
    <w:rsid w:val="00630937"/>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4A11"/>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65B"/>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03CA6"/>
    <w:rsid w:val="00A11403"/>
    <w:rsid w:val="00A26B0D"/>
    <w:rsid w:val="00A3735A"/>
    <w:rsid w:val="00A42F1B"/>
    <w:rsid w:val="00A437A4"/>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20240"/>
    <w:rsid w:val="00B23281"/>
    <w:rsid w:val="00B27571"/>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17898"/>
    <w:rsid w:val="00C2181C"/>
    <w:rsid w:val="00C2657D"/>
    <w:rsid w:val="00C416E1"/>
    <w:rsid w:val="00C47BF8"/>
    <w:rsid w:val="00C51B1C"/>
    <w:rsid w:val="00C53DCE"/>
    <w:rsid w:val="00C655F2"/>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4D28"/>
    <w:rsid w:val="00CD733F"/>
    <w:rsid w:val="00CD75D3"/>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2FFD"/>
    <w:rsid w:val="00DF3364"/>
    <w:rsid w:val="00E055BB"/>
    <w:rsid w:val="00E11988"/>
    <w:rsid w:val="00E15DA9"/>
    <w:rsid w:val="00E2095D"/>
    <w:rsid w:val="00E30414"/>
    <w:rsid w:val="00E33252"/>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29AB711F"/>
  <w15:docId w15:val="{7D58D9CE-6E68-4908-837B-59AA1690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4E1EDE"/>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4E1EDE"/>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4E1EDE"/>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bodyChar">
    <w:name w:val="DHHS body Char"/>
    <w:link w:val="DHHSbody"/>
    <w:locked/>
    <w:rsid w:val="002523F0"/>
    <w:rPr>
      <w:rFonts w:ascii="Arial" w:eastAsia="Times" w:hAnsi="Arial"/>
      <w:lang w:eastAsia="en-US"/>
    </w:rPr>
  </w:style>
  <w:style w:type="character" w:customStyle="1" w:styleId="FootnoteTextChar">
    <w:name w:val="Footnote Text Char"/>
    <w:link w:val="FootnoteText"/>
    <w:rsid w:val="002523F0"/>
    <w:rPr>
      <w:rFonts w:ascii="Arial" w:eastAsia="MS Gothic" w:hAnsi="Arial" w:cs="Arial"/>
      <w:sz w:val="16"/>
      <w:szCs w:val="16"/>
      <w:lang w:eastAsia="en-US"/>
    </w:rPr>
  </w:style>
  <w:style w:type="paragraph" w:customStyle="1" w:styleId="DHSReportHd1">
    <w:name w:val="DHS Report Hd 1"/>
    <w:basedOn w:val="Normal"/>
    <w:next w:val="Normal"/>
    <w:rsid w:val="002523F0"/>
    <w:pPr>
      <w:spacing w:after="560" w:line="520" w:lineRule="exact"/>
    </w:pPr>
    <w:rPr>
      <w:rFonts w:ascii="Tahoma" w:hAnsi="Tahoma"/>
      <w:sz w:val="44"/>
    </w:rPr>
  </w:style>
  <w:style w:type="paragraph" w:styleId="BalloonText">
    <w:name w:val="Balloon Text"/>
    <w:basedOn w:val="Normal"/>
    <w:link w:val="BalloonTextChar"/>
    <w:uiPriority w:val="99"/>
    <w:semiHidden/>
    <w:unhideWhenUsed/>
    <w:rsid w:val="002523F0"/>
    <w:rPr>
      <w:rFonts w:ascii="Tahoma" w:hAnsi="Tahoma" w:cs="Tahoma"/>
      <w:sz w:val="16"/>
      <w:szCs w:val="16"/>
    </w:rPr>
  </w:style>
  <w:style w:type="character" w:customStyle="1" w:styleId="BalloonTextChar">
    <w:name w:val="Balloon Text Char"/>
    <w:basedOn w:val="DefaultParagraphFont"/>
    <w:link w:val="BalloonText"/>
    <w:uiPriority w:val="99"/>
    <w:semiHidden/>
    <w:rsid w:val="002523F0"/>
    <w:rPr>
      <w:rFonts w:ascii="Tahoma" w:hAnsi="Tahoma" w:cs="Tahoma"/>
      <w:sz w:val="16"/>
      <w:szCs w:val="16"/>
      <w:lang w:eastAsia="en-US"/>
    </w:rPr>
  </w:style>
  <w:style w:type="paragraph" w:customStyle="1" w:styleId="EMBbody">
    <w:name w:val="EMB body"/>
    <w:rsid w:val="00A437A4"/>
    <w:pPr>
      <w:spacing w:after="120" w:line="270" w:lineRule="atLeast"/>
    </w:pPr>
    <w:rPr>
      <w:rFonts w:ascii="Arial" w:eastAsia="Times" w:hAnsi="Arial"/>
      <w:lang w:eastAsia="en-US"/>
    </w:rPr>
  </w:style>
  <w:style w:type="paragraph" w:customStyle="1" w:styleId="EMBheading3">
    <w:name w:val="EMB heading 3"/>
    <w:rsid w:val="00A437A4"/>
    <w:pPr>
      <w:keepNext/>
      <w:keepLines/>
      <w:spacing w:before="280" w:after="120" w:line="280" w:lineRule="atLeast"/>
    </w:pPr>
    <w:rPr>
      <w:rFonts w:ascii="Arial" w:hAnsi="Arial"/>
      <w:b/>
      <w:color w:val="0077D4"/>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1206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www.health.vic.gov.au/environmental-health/extreme-heat-and-heatwaves"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yperlink" Target="http://www.ses.vic.gov.au/prepare"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providers.dhhs.vic.gov.au/emergency-preparedness" TargetMode="External"/><Relationship Id="rId20" Type="http://schemas.openxmlformats.org/officeDocument/2006/relationships/footer" Target="footer4.xml"/><Relationship Id="rId29" Type="http://schemas.openxmlformats.org/officeDocument/2006/relationships/hyperlink" Target="https://providers.dffh.vic.gov.au/preparing-emergencies-reference-guide-organisations-health-and-community-services-sec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fa.vic.gov.au/plan-prepare/"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recovery@dhhs.vic.gov.au" TargetMode="External"/><Relationship Id="rId23" Type="http://schemas.openxmlformats.org/officeDocument/2006/relationships/hyperlink" Target="https://www.redcross.org.au/emergency-resources" TargetMode="External"/><Relationship Id="rId28" Type="http://schemas.openxmlformats.org/officeDocument/2006/relationships/hyperlink" Target="https://providers.dhhs.vic.gov.au/sites/default/files/2019-08/Preparing%20for%20Emergencies%20Reference%20Guide.docx"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s://providers.dhhs.vic.gov.au/emergency-management" TargetMode="External"/><Relationship Id="rId30"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6" ma:contentTypeDescription="Create a new document." ma:contentTypeScope="" ma:versionID="db3ea7f2e95cc0729ce7a571a012f9a0">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596d17025cf863b1644c8bf1168a8061"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a43c36c-326f-4853-b4c1-25d939612b9c}"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283bbd-cbd3-4545-9aa6-8cdecb1b4ebf">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23B9A90D-1D12-4DB1-BDC2-D64F2F0EC0C4}">
  <ds:schemaRefs>
    <ds:schemaRef ds:uri="http://schemas.openxmlformats.org/officeDocument/2006/bibliography"/>
  </ds:schemaRefs>
</ds:datastoreItem>
</file>

<file path=customXml/itemProps2.xml><?xml version="1.0" encoding="utf-8"?>
<ds:datastoreItem xmlns:ds="http://schemas.openxmlformats.org/officeDocument/2006/customXml" ds:itemID="{70378BF7-0D9C-46F9-A9AC-C3B7A92EE353}"/>
</file>

<file path=customXml/itemProps3.xml><?xml version="1.0" encoding="utf-8"?>
<ds:datastoreItem xmlns:ds="http://schemas.openxmlformats.org/officeDocument/2006/customXml" ds:itemID="{E36FBD23-CB52-4DDA-980B-36AE87488FE3}"/>
</file>

<file path=customXml/itemProps4.xml><?xml version="1.0" encoding="utf-8"?>
<ds:datastoreItem xmlns:ds="http://schemas.openxmlformats.org/officeDocument/2006/customXml" ds:itemID="{1687891F-7F81-46E7-8AC5-BB1D43C9A423}"/>
</file>

<file path=docProps/app.xml><?xml version="1.0" encoding="utf-8"?>
<Properties xmlns="http://schemas.openxmlformats.org/officeDocument/2006/extended-properties" xmlns:vt="http://schemas.openxmlformats.org/officeDocument/2006/docPropsVTypes">
  <Template>Normal.dotm</Template>
  <TotalTime>0</TotalTime>
  <Pages>13</Pages>
  <Words>3570</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Vulnerable people in emergencies policy</vt:lpstr>
    </vt:vector>
  </TitlesOfParts>
  <Company>Department of Health and Human Services</Company>
  <LinksUpToDate>false</LinksUpToDate>
  <CharactersWithSpaces>23872</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Vulnerable people in emergencies policy</dc:title>
  <dc:subject>Vulnerable people in emergencies policy</dc:subject>
  <dc:creator>Emergency Management Branch</dc:creator>
  <cp:keywords>Vulnerable, emergency, preparedness, evacuation</cp:keywords>
  <cp:revision>2</cp:revision>
  <cp:lastPrinted>2015-08-24T02:33:00Z</cp:lastPrinted>
  <dcterms:created xsi:type="dcterms:W3CDTF">2023-08-28T06:19:00Z</dcterms:created>
  <dcterms:modified xsi:type="dcterms:W3CDTF">2023-08-28T06:19:00Z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2023-08-28T06:19:46Z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37f72ce3-5dde-4dd0-a6c1-e3640d0d7784</vt:lpwstr>
  </property>
  <property fmtid="{D5CDD505-2E9C-101B-9397-08002B2CF9AE}" pid="9" name="MSIP_Label_43e64453-338c-4f93-8a4d-0039a0a41f2a_ContentBits">
    <vt:lpwstr>2</vt:lpwstr>
  </property>
  <property fmtid="{D5CDD505-2E9C-101B-9397-08002B2CF9AE}" pid="10" name="ContentTypeId">
    <vt:lpwstr>0x0101004AB4EBACB09F7943AE9007C90CB29198</vt:lpwstr>
  </property>
</Properties>
</file>