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0B6D04CC">
            <wp:simplePos x="0" y="0"/>
            <wp:positionH relativeFrom="page">
              <wp:posOffset>0</wp:posOffset>
            </wp:positionH>
            <wp:positionV relativeFrom="page">
              <wp:posOffset>0</wp:posOffset>
            </wp:positionV>
            <wp:extent cx="7563600" cy="1015884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3600" cy="101588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1246AA19" w:rsidR="00AD784C" w:rsidRPr="00431F42" w:rsidRDefault="00227946" w:rsidP="00431F42">
            <w:pPr>
              <w:pStyle w:val="Documenttitle"/>
            </w:pPr>
            <w:r>
              <w:t>Homelessness Flood Recovery Program Guidelines V1</w:t>
            </w:r>
          </w:p>
        </w:tc>
      </w:tr>
      <w:tr w:rsidR="00AD784C" w14:paraId="246F9CB0" w14:textId="77777777" w:rsidTr="00431F42">
        <w:trPr>
          <w:cantSplit/>
        </w:trPr>
        <w:tc>
          <w:tcPr>
            <w:tcW w:w="0" w:type="auto"/>
          </w:tcPr>
          <w:p w14:paraId="14EEB3AC" w14:textId="3EDF622D" w:rsidR="00386109" w:rsidRPr="00A1389F" w:rsidRDefault="00227946" w:rsidP="00C12B05">
            <w:pPr>
              <w:pStyle w:val="Documentsubtitle"/>
            </w:pPr>
            <w:r>
              <w:t>01 January 2023</w:t>
            </w:r>
          </w:p>
        </w:tc>
      </w:tr>
      <w:tr w:rsidR="00430393" w14:paraId="2AE57792" w14:textId="77777777" w:rsidTr="00431F42">
        <w:trPr>
          <w:cantSplit/>
        </w:trPr>
        <w:tc>
          <w:tcPr>
            <w:tcW w:w="0" w:type="auto"/>
          </w:tcPr>
          <w:p w14:paraId="68DABF30" w14:textId="77777777" w:rsidR="00430393" w:rsidRDefault="00000000" w:rsidP="00430393">
            <w:pPr>
              <w:pStyle w:val="Bannermarking"/>
            </w:pPr>
            <w:fldSimple w:instr=" FILLIN  &quot;Type the protective marking&quot; \d OFFICIAL \o  \* MERGEFORMAT ">
              <w:r w:rsidR="001A6272">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6C2632DE" w14:textId="47D2D822" w:rsidR="00CF230C" w:rsidRDefault="00CF230C">
      <w:pPr>
        <w:spacing w:after="0" w:line="240" w:lineRule="auto"/>
        <w:rPr>
          <w:rFonts w:eastAsia="Times"/>
        </w:rPr>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6ABF9062" w14:textId="562C9995" w:rsidR="00431F42" w:rsidRDefault="0013169E" w:rsidP="00431F42">
            <w:pPr>
              <w:pStyle w:val="Documenttitle"/>
            </w:pPr>
            <w:r>
              <w:lastRenderedPageBreak/>
              <w:t>Homelessness Flood Recovery Program Guidelines V1</w:t>
            </w:r>
          </w:p>
          <w:p w14:paraId="482C3FE9" w14:textId="16BE404E" w:rsidR="00431F42" w:rsidRDefault="0013169E" w:rsidP="00431F42">
            <w:pPr>
              <w:pStyle w:val="Documentsubtitle"/>
            </w:pPr>
            <w:r>
              <w:t>01 January 2023</w:t>
            </w:r>
          </w:p>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B2BDC7" w14:textId="77777777" w:rsidTr="00562507">
        <w:trPr>
          <w:cantSplit/>
          <w:trHeight w:val="7088"/>
        </w:trPr>
        <w:tc>
          <w:tcPr>
            <w:tcW w:w="9288" w:type="dxa"/>
          </w:tcPr>
          <w:p w14:paraId="48A49346" w14:textId="1BB5AA68" w:rsidR="009F2182" w:rsidRPr="006A2717" w:rsidRDefault="009F2182" w:rsidP="001C7128">
            <w:pPr>
              <w:pStyle w:val="Body"/>
              <w:spacing w:before="120"/>
              <w:rPr>
                <w:rFonts w:eastAsia="Times New Roman"/>
                <w:color w:val="87189D"/>
                <w:sz w:val="24"/>
                <w:szCs w:val="24"/>
              </w:rPr>
            </w:pPr>
          </w:p>
        </w:tc>
      </w:tr>
      <w:tr w:rsidR="009F2182" w14:paraId="2657A1D9" w14:textId="77777777" w:rsidTr="00562507">
        <w:trPr>
          <w:cantSplit/>
          <w:trHeight w:val="5103"/>
        </w:trPr>
        <w:tc>
          <w:tcPr>
            <w:tcW w:w="9288" w:type="dxa"/>
            <w:vAlign w:val="bottom"/>
          </w:tcPr>
          <w:p w14:paraId="2F742D29" w14:textId="1A8F349C" w:rsidR="009F2182" w:rsidRPr="0055119B" w:rsidRDefault="009F2182" w:rsidP="009F2182">
            <w:pPr>
              <w:pStyle w:val="Accessibilitypara"/>
            </w:pPr>
            <w:r w:rsidRPr="0055119B">
              <w:t>To receive this document in another format</w:t>
            </w:r>
            <w:r>
              <w:t>,</w:t>
            </w:r>
            <w:r w:rsidRPr="0055119B">
              <w:t xml:space="preserve"> email</w:t>
            </w:r>
            <w:r w:rsidR="00084D0B">
              <w:t xml:space="preserve"> </w:t>
            </w:r>
            <w:hyperlink r:id="rId18" w:history="1">
              <w:r w:rsidR="00282CAC" w:rsidRPr="00526ACC">
                <w:rPr>
                  <w:rStyle w:val="Hyperlink"/>
                </w:rPr>
                <w:t>Homes Victoria</w:t>
              </w:r>
            </w:hyperlink>
            <w:r w:rsidR="00084D0B">
              <w:t xml:space="preserve"> &lt;enquiries@homes.vic.gov.au&gt;.</w:t>
            </w:r>
          </w:p>
          <w:p w14:paraId="16F54DB2" w14:textId="77777777" w:rsidR="009F2182" w:rsidRPr="0055119B" w:rsidRDefault="009F2182" w:rsidP="009F2182">
            <w:pPr>
              <w:pStyle w:val="Imprint"/>
            </w:pPr>
            <w:r w:rsidRPr="0055119B">
              <w:t>Authorised and published by the Victorian Government, 1 Treasury Place, Melbourne.</w:t>
            </w:r>
          </w:p>
          <w:p w14:paraId="5BB26A4C" w14:textId="4C846E58" w:rsidR="009F2182" w:rsidRPr="0055119B" w:rsidRDefault="009F2182" w:rsidP="009F2182">
            <w:pPr>
              <w:pStyle w:val="Imprint"/>
            </w:pPr>
            <w:r w:rsidRPr="0055119B">
              <w:t xml:space="preserve">© State of Victoria, Australia, Department </w:t>
            </w:r>
            <w:r w:rsidRPr="001B058F">
              <w:t xml:space="preserve">of </w:t>
            </w:r>
            <w:r>
              <w:t>Families, Fairness and Housing</w:t>
            </w:r>
            <w:r w:rsidRPr="0055119B">
              <w:t xml:space="preserve">, </w:t>
            </w:r>
            <w:r w:rsidR="00E4385D" w:rsidRPr="00E4385D">
              <w:t>January 2023</w:t>
            </w:r>
            <w:r w:rsidRPr="0055119B">
              <w:t>.</w:t>
            </w:r>
          </w:p>
          <w:p w14:paraId="5B84D71A" w14:textId="77777777" w:rsidR="009F2182" w:rsidRPr="00D7542A" w:rsidRDefault="009F2182" w:rsidP="009F2182">
            <w:pPr>
              <w:pStyle w:val="Imprint"/>
            </w:pPr>
            <w:bookmarkStart w:id="0" w:name="_Hlk62746129"/>
            <w:r w:rsidRPr="00D7542A">
              <w:t>In this document, ‘Aboriginal’ refers to both Aboriginal and Torres Strait Islander people. ‘Indigenous’ or ‘Koori/Koorie’ is retained when part of the title of a report, program or quotation.</w:t>
            </w:r>
          </w:p>
          <w:p w14:paraId="123CD7BD" w14:textId="538C205C" w:rsidR="009F2182" w:rsidRPr="0055119B" w:rsidRDefault="00A91593" w:rsidP="009F2182">
            <w:pPr>
              <w:pStyle w:val="Imprint"/>
            </w:pPr>
            <w:r>
              <w:rPr>
                <w:rFonts w:cs="Arial"/>
                <w:b/>
                <w:bCs/>
                <w:color w:val="000000"/>
              </w:rPr>
              <w:t xml:space="preserve">ISBN </w:t>
            </w:r>
            <w:r>
              <w:rPr>
                <w:rFonts w:cs="Arial"/>
                <w:color w:val="000000"/>
              </w:rPr>
              <w:t xml:space="preserve">978-1-76130-075-2 </w:t>
            </w:r>
            <w:r>
              <w:rPr>
                <w:rFonts w:cs="Arial"/>
                <w:b/>
                <w:bCs/>
                <w:color w:val="000000"/>
              </w:rPr>
              <w:t>(pdf/online/MS word)</w:t>
            </w:r>
          </w:p>
          <w:p w14:paraId="20277F9E" w14:textId="7941066B" w:rsidR="009F2182" w:rsidRDefault="009F2182" w:rsidP="006F6B76">
            <w:pPr>
              <w:pStyle w:val="Imprint"/>
            </w:pPr>
            <w:r w:rsidRPr="0055119B">
              <w:t>Available at &lt;</w:t>
            </w:r>
            <w:r w:rsidR="00ED32C8" w:rsidRPr="00ED32C8">
              <w:t>https://providers.dffh.vic.gov.au/homelessness-flood-recovery-program</w:t>
            </w:r>
            <w:r w:rsidRPr="0055119B">
              <w:t>&gt;</w:t>
            </w:r>
            <w:bookmarkEnd w:id="0"/>
          </w:p>
        </w:tc>
      </w:tr>
      <w:tr w:rsidR="0008204A" w14:paraId="657B4CC4" w14:textId="77777777" w:rsidTr="0008204A">
        <w:trPr>
          <w:cantSplit/>
        </w:trPr>
        <w:tc>
          <w:tcPr>
            <w:tcW w:w="9288" w:type="dxa"/>
          </w:tcPr>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270B02FF" w14:textId="21D98130" w:rsidR="00EE339D"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4847200" w:history="1">
        <w:r w:rsidR="00EE339D" w:rsidRPr="00010B30">
          <w:rPr>
            <w:rStyle w:val="Hyperlink"/>
          </w:rPr>
          <w:t>Acknowledgement of Country</w:t>
        </w:r>
        <w:r w:rsidR="00EE339D">
          <w:rPr>
            <w:webHidden/>
          </w:rPr>
          <w:tab/>
        </w:r>
        <w:r w:rsidR="00EE339D">
          <w:rPr>
            <w:webHidden/>
          </w:rPr>
          <w:fldChar w:fldCharType="begin"/>
        </w:r>
        <w:r w:rsidR="00EE339D">
          <w:rPr>
            <w:webHidden/>
          </w:rPr>
          <w:instrText xml:space="preserve"> PAGEREF _Toc124847200 \h </w:instrText>
        </w:r>
        <w:r w:rsidR="00EE339D">
          <w:rPr>
            <w:webHidden/>
          </w:rPr>
        </w:r>
        <w:r w:rsidR="00EE339D">
          <w:rPr>
            <w:webHidden/>
          </w:rPr>
          <w:fldChar w:fldCharType="separate"/>
        </w:r>
        <w:r w:rsidR="00EE339D">
          <w:rPr>
            <w:webHidden/>
          </w:rPr>
          <w:t>7</w:t>
        </w:r>
        <w:r w:rsidR="00EE339D">
          <w:rPr>
            <w:webHidden/>
          </w:rPr>
          <w:fldChar w:fldCharType="end"/>
        </w:r>
      </w:hyperlink>
    </w:p>
    <w:p w14:paraId="6C7EB139" w14:textId="127C0B6B" w:rsidR="00EE339D" w:rsidRDefault="00000000">
      <w:pPr>
        <w:pStyle w:val="TOC1"/>
        <w:rPr>
          <w:rFonts w:asciiTheme="minorHAnsi" w:eastAsiaTheme="minorEastAsia" w:hAnsiTheme="minorHAnsi" w:cstheme="minorBidi"/>
          <w:b w:val="0"/>
          <w:sz w:val="22"/>
          <w:szCs w:val="22"/>
          <w:lang w:eastAsia="en-AU"/>
        </w:rPr>
      </w:pPr>
      <w:hyperlink w:anchor="_Toc124847201" w:history="1">
        <w:r w:rsidR="00EE339D" w:rsidRPr="00010B30">
          <w:rPr>
            <w:rStyle w:val="Hyperlink"/>
          </w:rPr>
          <w:t>Glossary</w:t>
        </w:r>
        <w:r w:rsidR="00EE339D">
          <w:rPr>
            <w:webHidden/>
          </w:rPr>
          <w:tab/>
        </w:r>
        <w:r w:rsidR="00EE339D">
          <w:rPr>
            <w:webHidden/>
          </w:rPr>
          <w:fldChar w:fldCharType="begin"/>
        </w:r>
        <w:r w:rsidR="00EE339D">
          <w:rPr>
            <w:webHidden/>
          </w:rPr>
          <w:instrText xml:space="preserve"> PAGEREF _Toc124847201 \h </w:instrText>
        </w:r>
        <w:r w:rsidR="00EE339D">
          <w:rPr>
            <w:webHidden/>
          </w:rPr>
        </w:r>
        <w:r w:rsidR="00EE339D">
          <w:rPr>
            <w:webHidden/>
          </w:rPr>
          <w:fldChar w:fldCharType="separate"/>
        </w:r>
        <w:r w:rsidR="00EE339D">
          <w:rPr>
            <w:webHidden/>
          </w:rPr>
          <w:t>7</w:t>
        </w:r>
        <w:r w:rsidR="00EE339D">
          <w:rPr>
            <w:webHidden/>
          </w:rPr>
          <w:fldChar w:fldCharType="end"/>
        </w:r>
      </w:hyperlink>
    </w:p>
    <w:p w14:paraId="5361C793" w14:textId="2A7101A6" w:rsidR="00EE339D" w:rsidRDefault="00000000">
      <w:pPr>
        <w:pStyle w:val="TOC1"/>
        <w:rPr>
          <w:rFonts w:asciiTheme="minorHAnsi" w:eastAsiaTheme="minorEastAsia" w:hAnsiTheme="minorHAnsi" w:cstheme="minorBidi"/>
          <w:b w:val="0"/>
          <w:sz w:val="22"/>
          <w:szCs w:val="22"/>
          <w:lang w:eastAsia="en-AU"/>
        </w:rPr>
      </w:pPr>
      <w:hyperlink w:anchor="_Toc124847202" w:history="1">
        <w:r w:rsidR="00EE339D" w:rsidRPr="00010B30">
          <w:rPr>
            <w:rStyle w:val="Hyperlink"/>
          </w:rPr>
          <w:t>Overview</w:t>
        </w:r>
        <w:r w:rsidR="00EE339D">
          <w:rPr>
            <w:webHidden/>
          </w:rPr>
          <w:tab/>
        </w:r>
        <w:r w:rsidR="00EE339D">
          <w:rPr>
            <w:webHidden/>
          </w:rPr>
          <w:fldChar w:fldCharType="begin"/>
        </w:r>
        <w:r w:rsidR="00EE339D">
          <w:rPr>
            <w:webHidden/>
          </w:rPr>
          <w:instrText xml:space="preserve"> PAGEREF _Toc124847202 \h </w:instrText>
        </w:r>
        <w:r w:rsidR="00EE339D">
          <w:rPr>
            <w:webHidden/>
          </w:rPr>
        </w:r>
        <w:r w:rsidR="00EE339D">
          <w:rPr>
            <w:webHidden/>
          </w:rPr>
          <w:fldChar w:fldCharType="separate"/>
        </w:r>
        <w:r w:rsidR="00EE339D">
          <w:rPr>
            <w:webHidden/>
          </w:rPr>
          <w:t>9</w:t>
        </w:r>
        <w:r w:rsidR="00EE339D">
          <w:rPr>
            <w:webHidden/>
          </w:rPr>
          <w:fldChar w:fldCharType="end"/>
        </w:r>
      </w:hyperlink>
    </w:p>
    <w:p w14:paraId="69323395" w14:textId="7A37AD36" w:rsidR="00EE339D" w:rsidRDefault="00000000">
      <w:pPr>
        <w:pStyle w:val="TOC2"/>
        <w:rPr>
          <w:rFonts w:asciiTheme="minorHAnsi" w:eastAsiaTheme="minorEastAsia" w:hAnsiTheme="minorHAnsi" w:cstheme="minorBidi"/>
          <w:sz w:val="22"/>
          <w:szCs w:val="22"/>
          <w:lang w:eastAsia="en-AU"/>
        </w:rPr>
      </w:pPr>
      <w:hyperlink w:anchor="_Toc124847203" w:history="1">
        <w:r w:rsidR="00EE339D" w:rsidRPr="00010B30">
          <w:rPr>
            <w:rStyle w:val="Hyperlink"/>
          </w:rPr>
          <w:t>Objectives</w:t>
        </w:r>
        <w:r w:rsidR="00EE339D">
          <w:rPr>
            <w:webHidden/>
          </w:rPr>
          <w:tab/>
        </w:r>
        <w:r w:rsidR="00EE339D">
          <w:rPr>
            <w:webHidden/>
          </w:rPr>
          <w:fldChar w:fldCharType="begin"/>
        </w:r>
        <w:r w:rsidR="00EE339D">
          <w:rPr>
            <w:webHidden/>
          </w:rPr>
          <w:instrText xml:space="preserve"> PAGEREF _Toc124847203 \h </w:instrText>
        </w:r>
        <w:r w:rsidR="00EE339D">
          <w:rPr>
            <w:webHidden/>
          </w:rPr>
        </w:r>
        <w:r w:rsidR="00EE339D">
          <w:rPr>
            <w:webHidden/>
          </w:rPr>
          <w:fldChar w:fldCharType="separate"/>
        </w:r>
        <w:r w:rsidR="00EE339D">
          <w:rPr>
            <w:webHidden/>
          </w:rPr>
          <w:t>9</w:t>
        </w:r>
        <w:r w:rsidR="00EE339D">
          <w:rPr>
            <w:webHidden/>
          </w:rPr>
          <w:fldChar w:fldCharType="end"/>
        </w:r>
      </w:hyperlink>
    </w:p>
    <w:p w14:paraId="45F1CB85" w14:textId="0C1D9CFE" w:rsidR="00EE339D" w:rsidRDefault="00000000">
      <w:pPr>
        <w:pStyle w:val="TOC1"/>
        <w:rPr>
          <w:rFonts w:asciiTheme="minorHAnsi" w:eastAsiaTheme="minorEastAsia" w:hAnsiTheme="minorHAnsi" w:cstheme="minorBidi"/>
          <w:b w:val="0"/>
          <w:sz w:val="22"/>
          <w:szCs w:val="22"/>
          <w:lang w:eastAsia="en-AU"/>
        </w:rPr>
      </w:pPr>
      <w:hyperlink w:anchor="_Toc124847204" w:history="1">
        <w:r w:rsidR="00EE339D" w:rsidRPr="00010B30">
          <w:rPr>
            <w:rStyle w:val="Hyperlink"/>
          </w:rPr>
          <w:t>Eligibility</w:t>
        </w:r>
        <w:r w:rsidR="00EE339D">
          <w:rPr>
            <w:webHidden/>
          </w:rPr>
          <w:tab/>
        </w:r>
        <w:r w:rsidR="00EE339D">
          <w:rPr>
            <w:webHidden/>
          </w:rPr>
          <w:fldChar w:fldCharType="begin"/>
        </w:r>
        <w:r w:rsidR="00EE339D">
          <w:rPr>
            <w:webHidden/>
          </w:rPr>
          <w:instrText xml:space="preserve"> PAGEREF _Toc124847204 \h </w:instrText>
        </w:r>
        <w:r w:rsidR="00EE339D">
          <w:rPr>
            <w:webHidden/>
          </w:rPr>
        </w:r>
        <w:r w:rsidR="00EE339D">
          <w:rPr>
            <w:webHidden/>
          </w:rPr>
          <w:fldChar w:fldCharType="separate"/>
        </w:r>
        <w:r w:rsidR="00EE339D">
          <w:rPr>
            <w:webHidden/>
          </w:rPr>
          <w:t>9</w:t>
        </w:r>
        <w:r w:rsidR="00EE339D">
          <w:rPr>
            <w:webHidden/>
          </w:rPr>
          <w:fldChar w:fldCharType="end"/>
        </w:r>
      </w:hyperlink>
    </w:p>
    <w:p w14:paraId="681998D6" w14:textId="786D9997" w:rsidR="00EE339D" w:rsidRDefault="00000000">
      <w:pPr>
        <w:pStyle w:val="TOC2"/>
        <w:rPr>
          <w:rFonts w:asciiTheme="minorHAnsi" w:eastAsiaTheme="minorEastAsia" w:hAnsiTheme="minorHAnsi" w:cstheme="minorBidi"/>
          <w:sz w:val="22"/>
          <w:szCs w:val="22"/>
          <w:lang w:eastAsia="en-AU"/>
        </w:rPr>
      </w:pPr>
      <w:hyperlink w:anchor="_Toc124847205" w:history="1">
        <w:r w:rsidR="00EE339D" w:rsidRPr="00010B30">
          <w:rPr>
            <w:rStyle w:val="Hyperlink"/>
          </w:rPr>
          <w:t>Service package allocation</w:t>
        </w:r>
        <w:r w:rsidR="00EE339D">
          <w:rPr>
            <w:webHidden/>
          </w:rPr>
          <w:tab/>
        </w:r>
        <w:r w:rsidR="00EE339D">
          <w:rPr>
            <w:webHidden/>
          </w:rPr>
          <w:fldChar w:fldCharType="begin"/>
        </w:r>
        <w:r w:rsidR="00EE339D">
          <w:rPr>
            <w:webHidden/>
          </w:rPr>
          <w:instrText xml:space="preserve"> PAGEREF _Toc124847205 \h </w:instrText>
        </w:r>
        <w:r w:rsidR="00EE339D">
          <w:rPr>
            <w:webHidden/>
          </w:rPr>
        </w:r>
        <w:r w:rsidR="00EE339D">
          <w:rPr>
            <w:webHidden/>
          </w:rPr>
          <w:fldChar w:fldCharType="separate"/>
        </w:r>
        <w:r w:rsidR="00EE339D">
          <w:rPr>
            <w:webHidden/>
          </w:rPr>
          <w:t>10</w:t>
        </w:r>
        <w:r w:rsidR="00EE339D">
          <w:rPr>
            <w:webHidden/>
          </w:rPr>
          <w:fldChar w:fldCharType="end"/>
        </w:r>
      </w:hyperlink>
    </w:p>
    <w:p w14:paraId="39093CAF" w14:textId="70985A6B" w:rsidR="00EE339D" w:rsidRDefault="00000000">
      <w:pPr>
        <w:pStyle w:val="TOC2"/>
        <w:rPr>
          <w:rFonts w:asciiTheme="minorHAnsi" w:eastAsiaTheme="minorEastAsia" w:hAnsiTheme="minorHAnsi" w:cstheme="minorBidi"/>
          <w:sz w:val="22"/>
          <w:szCs w:val="22"/>
          <w:lang w:eastAsia="en-AU"/>
        </w:rPr>
      </w:pPr>
      <w:hyperlink w:anchor="_Toc124847206" w:history="1">
        <w:r w:rsidR="00EE339D" w:rsidRPr="00010B30">
          <w:rPr>
            <w:rStyle w:val="Hyperlink"/>
          </w:rPr>
          <w:t>Types of support</w:t>
        </w:r>
        <w:r w:rsidR="00EE339D">
          <w:rPr>
            <w:webHidden/>
          </w:rPr>
          <w:tab/>
        </w:r>
        <w:r w:rsidR="00EE339D">
          <w:rPr>
            <w:webHidden/>
          </w:rPr>
          <w:fldChar w:fldCharType="begin"/>
        </w:r>
        <w:r w:rsidR="00EE339D">
          <w:rPr>
            <w:webHidden/>
          </w:rPr>
          <w:instrText xml:space="preserve"> PAGEREF _Toc124847206 \h </w:instrText>
        </w:r>
        <w:r w:rsidR="00EE339D">
          <w:rPr>
            <w:webHidden/>
          </w:rPr>
        </w:r>
        <w:r w:rsidR="00EE339D">
          <w:rPr>
            <w:webHidden/>
          </w:rPr>
          <w:fldChar w:fldCharType="separate"/>
        </w:r>
        <w:r w:rsidR="00EE339D">
          <w:rPr>
            <w:webHidden/>
          </w:rPr>
          <w:t>11</w:t>
        </w:r>
        <w:r w:rsidR="00EE339D">
          <w:rPr>
            <w:webHidden/>
          </w:rPr>
          <w:fldChar w:fldCharType="end"/>
        </w:r>
      </w:hyperlink>
    </w:p>
    <w:p w14:paraId="3269D17A" w14:textId="5B533F39" w:rsidR="00EE339D" w:rsidRDefault="00000000">
      <w:pPr>
        <w:pStyle w:val="TOC2"/>
        <w:rPr>
          <w:rFonts w:asciiTheme="minorHAnsi" w:eastAsiaTheme="minorEastAsia" w:hAnsiTheme="minorHAnsi" w:cstheme="minorBidi"/>
          <w:sz w:val="22"/>
          <w:szCs w:val="22"/>
          <w:lang w:eastAsia="en-AU"/>
        </w:rPr>
      </w:pPr>
      <w:hyperlink w:anchor="_Toc124847207" w:history="1">
        <w:r w:rsidR="00EE339D" w:rsidRPr="00010B30">
          <w:rPr>
            <w:rStyle w:val="Hyperlink"/>
            <w:rFonts w:eastAsia="Times"/>
          </w:rPr>
          <w:t>Monitoring and reporting</w:t>
        </w:r>
        <w:r w:rsidR="00EE339D">
          <w:rPr>
            <w:webHidden/>
          </w:rPr>
          <w:tab/>
        </w:r>
        <w:r w:rsidR="00EE339D">
          <w:rPr>
            <w:webHidden/>
          </w:rPr>
          <w:fldChar w:fldCharType="begin"/>
        </w:r>
        <w:r w:rsidR="00EE339D">
          <w:rPr>
            <w:webHidden/>
          </w:rPr>
          <w:instrText xml:space="preserve"> PAGEREF _Toc124847207 \h </w:instrText>
        </w:r>
        <w:r w:rsidR="00EE339D">
          <w:rPr>
            <w:webHidden/>
          </w:rPr>
        </w:r>
        <w:r w:rsidR="00EE339D">
          <w:rPr>
            <w:webHidden/>
          </w:rPr>
          <w:fldChar w:fldCharType="separate"/>
        </w:r>
        <w:r w:rsidR="00EE339D">
          <w:rPr>
            <w:webHidden/>
          </w:rPr>
          <w:t>11</w:t>
        </w:r>
        <w:r w:rsidR="00EE339D">
          <w:rPr>
            <w:webHidden/>
          </w:rPr>
          <w:fldChar w:fldCharType="end"/>
        </w:r>
      </w:hyperlink>
    </w:p>
    <w:p w14:paraId="20960F3D" w14:textId="21625208" w:rsidR="00EE339D" w:rsidRDefault="00000000">
      <w:pPr>
        <w:pStyle w:val="TOC1"/>
        <w:rPr>
          <w:rFonts w:asciiTheme="minorHAnsi" w:eastAsiaTheme="minorEastAsia" w:hAnsiTheme="minorHAnsi" w:cstheme="minorBidi"/>
          <w:b w:val="0"/>
          <w:sz w:val="22"/>
          <w:szCs w:val="22"/>
          <w:lang w:eastAsia="en-AU"/>
        </w:rPr>
      </w:pPr>
      <w:hyperlink w:anchor="_Toc124847208" w:history="1">
        <w:r w:rsidR="00EE339D" w:rsidRPr="00010B30">
          <w:rPr>
            <w:rStyle w:val="Hyperlink"/>
          </w:rPr>
          <w:t>Package funding</w:t>
        </w:r>
        <w:r w:rsidR="00EE339D">
          <w:rPr>
            <w:webHidden/>
          </w:rPr>
          <w:tab/>
        </w:r>
        <w:r w:rsidR="00EE339D">
          <w:rPr>
            <w:webHidden/>
          </w:rPr>
          <w:fldChar w:fldCharType="begin"/>
        </w:r>
        <w:r w:rsidR="00EE339D">
          <w:rPr>
            <w:webHidden/>
          </w:rPr>
          <w:instrText xml:space="preserve"> PAGEREF _Toc124847208 \h </w:instrText>
        </w:r>
        <w:r w:rsidR="00EE339D">
          <w:rPr>
            <w:webHidden/>
          </w:rPr>
        </w:r>
        <w:r w:rsidR="00EE339D">
          <w:rPr>
            <w:webHidden/>
          </w:rPr>
          <w:fldChar w:fldCharType="separate"/>
        </w:r>
        <w:r w:rsidR="00EE339D">
          <w:rPr>
            <w:webHidden/>
          </w:rPr>
          <w:t>12</w:t>
        </w:r>
        <w:r w:rsidR="00EE339D">
          <w:rPr>
            <w:webHidden/>
          </w:rPr>
          <w:fldChar w:fldCharType="end"/>
        </w:r>
      </w:hyperlink>
    </w:p>
    <w:p w14:paraId="37D34970" w14:textId="11B8481D" w:rsidR="00EE339D" w:rsidRDefault="00000000">
      <w:pPr>
        <w:pStyle w:val="TOC1"/>
        <w:rPr>
          <w:rFonts w:asciiTheme="minorHAnsi" w:eastAsiaTheme="minorEastAsia" w:hAnsiTheme="minorHAnsi" w:cstheme="minorBidi"/>
          <w:b w:val="0"/>
          <w:sz w:val="22"/>
          <w:szCs w:val="22"/>
          <w:lang w:eastAsia="en-AU"/>
        </w:rPr>
      </w:pPr>
      <w:hyperlink w:anchor="_Toc124847209" w:history="1">
        <w:r w:rsidR="00EE339D" w:rsidRPr="00010B30">
          <w:rPr>
            <w:rStyle w:val="Hyperlink"/>
          </w:rPr>
          <w:t>Key Activities</w:t>
        </w:r>
        <w:r w:rsidR="00EE339D">
          <w:rPr>
            <w:webHidden/>
          </w:rPr>
          <w:tab/>
        </w:r>
        <w:r w:rsidR="00EE339D">
          <w:rPr>
            <w:webHidden/>
          </w:rPr>
          <w:fldChar w:fldCharType="begin"/>
        </w:r>
        <w:r w:rsidR="00EE339D">
          <w:rPr>
            <w:webHidden/>
          </w:rPr>
          <w:instrText xml:space="preserve"> PAGEREF _Toc124847209 \h </w:instrText>
        </w:r>
        <w:r w:rsidR="00EE339D">
          <w:rPr>
            <w:webHidden/>
          </w:rPr>
        </w:r>
        <w:r w:rsidR="00EE339D">
          <w:rPr>
            <w:webHidden/>
          </w:rPr>
          <w:fldChar w:fldCharType="separate"/>
        </w:r>
        <w:r w:rsidR="00EE339D">
          <w:rPr>
            <w:webHidden/>
          </w:rPr>
          <w:t>12</w:t>
        </w:r>
        <w:r w:rsidR="00EE339D">
          <w:rPr>
            <w:webHidden/>
          </w:rPr>
          <w:fldChar w:fldCharType="end"/>
        </w:r>
      </w:hyperlink>
    </w:p>
    <w:p w14:paraId="3FB522F5" w14:textId="05AFB996" w:rsidR="00EE339D" w:rsidRDefault="00000000">
      <w:pPr>
        <w:pStyle w:val="TOC2"/>
        <w:rPr>
          <w:rFonts w:asciiTheme="minorHAnsi" w:eastAsiaTheme="minorEastAsia" w:hAnsiTheme="minorHAnsi" w:cstheme="minorBidi"/>
          <w:sz w:val="22"/>
          <w:szCs w:val="22"/>
          <w:lang w:eastAsia="en-AU"/>
        </w:rPr>
      </w:pPr>
      <w:hyperlink w:anchor="_Toc124847210" w:history="1">
        <w:r w:rsidR="00EE339D" w:rsidRPr="00010B30">
          <w:rPr>
            <w:rStyle w:val="Hyperlink"/>
          </w:rPr>
          <w:t>Activity 1: intensive service packages</w:t>
        </w:r>
        <w:r w:rsidR="00EE339D">
          <w:rPr>
            <w:webHidden/>
          </w:rPr>
          <w:tab/>
        </w:r>
        <w:r w:rsidR="00EE339D">
          <w:rPr>
            <w:webHidden/>
          </w:rPr>
          <w:fldChar w:fldCharType="begin"/>
        </w:r>
        <w:r w:rsidR="00EE339D">
          <w:rPr>
            <w:webHidden/>
          </w:rPr>
          <w:instrText xml:space="preserve"> PAGEREF _Toc124847210 \h </w:instrText>
        </w:r>
        <w:r w:rsidR="00EE339D">
          <w:rPr>
            <w:webHidden/>
          </w:rPr>
        </w:r>
        <w:r w:rsidR="00EE339D">
          <w:rPr>
            <w:webHidden/>
          </w:rPr>
          <w:fldChar w:fldCharType="separate"/>
        </w:r>
        <w:r w:rsidR="00EE339D">
          <w:rPr>
            <w:webHidden/>
          </w:rPr>
          <w:t>12</w:t>
        </w:r>
        <w:r w:rsidR="00EE339D">
          <w:rPr>
            <w:webHidden/>
          </w:rPr>
          <w:fldChar w:fldCharType="end"/>
        </w:r>
      </w:hyperlink>
    </w:p>
    <w:p w14:paraId="230ADF9B" w14:textId="429E5CD0" w:rsidR="00EE339D" w:rsidRDefault="00000000">
      <w:pPr>
        <w:pStyle w:val="TOC2"/>
        <w:rPr>
          <w:rFonts w:asciiTheme="minorHAnsi" w:eastAsiaTheme="minorEastAsia" w:hAnsiTheme="minorHAnsi" w:cstheme="minorBidi"/>
          <w:sz w:val="22"/>
          <w:szCs w:val="22"/>
          <w:lang w:eastAsia="en-AU"/>
        </w:rPr>
      </w:pPr>
      <w:hyperlink w:anchor="_Toc124847211" w:history="1">
        <w:r w:rsidR="00EE339D" w:rsidRPr="00010B30">
          <w:rPr>
            <w:rStyle w:val="Hyperlink"/>
          </w:rPr>
          <w:t>Activity 2: establishment costs</w:t>
        </w:r>
        <w:r w:rsidR="00EE339D">
          <w:rPr>
            <w:webHidden/>
          </w:rPr>
          <w:tab/>
        </w:r>
        <w:r w:rsidR="00EE339D">
          <w:rPr>
            <w:webHidden/>
          </w:rPr>
          <w:fldChar w:fldCharType="begin"/>
        </w:r>
        <w:r w:rsidR="00EE339D">
          <w:rPr>
            <w:webHidden/>
          </w:rPr>
          <w:instrText xml:space="preserve"> PAGEREF _Toc124847211 \h </w:instrText>
        </w:r>
        <w:r w:rsidR="00EE339D">
          <w:rPr>
            <w:webHidden/>
          </w:rPr>
        </w:r>
        <w:r w:rsidR="00EE339D">
          <w:rPr>
            <w:webHidden/>
          </w:rPr>
          <w:fldChar w:fldCharType="separate"/>
        </w:r>
        <w:r w:rsidR="00EE339D">
          <w:rPr>
            <w:webHidden/>
          </w:rPr>
          <w:t>13</w:t>
        </w:r>
        <w:r w:rsidR="00EE339D">
          <w:rPr>
            <w:webHidden/>
          </w:rPr>
          <w:fldChar w:fldCharType="end"/>
        </w:r>
      </w:hyperlink>
    </w:p>
    <w:p w14:paraId="73310589" w14:textId="3EE307C3" w:rsidR="00EE339D" w:rsidRDefault="00000000">
      <w:pPr>
        <w:pStyle w:val="TOC2"/>
        <w:rPr>
          <w:rFonts w:asciiTheme="minorHAnsi" w:eastAsiaTheme="minorEastAsia" w:hAnsiTheme="minorHAnsi" w:cstheme="minorBidi"/>
          <w:sz w:val="22"/>
          <w:szCs w:val="22"/>
          <w:lang w:eastAsia="en-AU"/>
        </w:rPr>
      </w:pPr>
      <w:hyperlink w:anchor="_Toc124847212" w:history="1">
        <w:r w:rsidR="00EE339D" w:rsidRPr="00010B30">
          <w:rPr>
            <w:rStyle w:val="Hyperlink"/>
          </w:rPr>
          <w:t>Activity 3: Housing Establishment Fund (HEF)</w:t>
        </w:r>
        <w:r w:rsidR="00EE339D">
          <w:rPr>
            <w:webHidden/>
          </w:rPr>
          <w:tab/>
        </w:r>
        <w:r w:rsidR="00EE339D">
          <w:rPr>
            <w:webHidden/>
          </w:rPr>
          <w:fldChar w:fldCharType="begin"/>
        </w:r>
        <w:r w:rsidR="00EE339D">
          <w:rPr>
            <w:webHidden/>
          </w:rPr>
          <w:instrText xml:space="preserve"> PAGEREF _Toc124847212 \h </w:instrText>
        </w:r>
        <w:r w:rsidR="00EE339D">
          <w:rPr>
            <w:webHidden/>
          </w:rPr>
        </w:r>
        <w:r w:rsidR="00EE339D">
          <w:rPr>
            <w:webHidden/>
          </w:rPr>
          <w:fldChar w:fldCharType="separate"/>
        </w:r>
        <w:r w:rsidR="00EE339D">
          <w:rPr>
            <w:webHidden/>
          </w:rPr>
          <w:t>14</w:t>
        </w:r>
        <w:r w:rsidR="00EE339D">
          <w:rPr>
            <w:webHidden/>
          </w:rPr>
          <w:fldChar w:fldCharType="end"/>
        </w:r>
      </w:hyperlink>
    </w:p>
    <w:p w14:paraId="3AAE5CDE" w14:textId="034B5995" w:rsidR="00EE339D" w:rsidRDefault="00000000">
      <w:pPr>
        <w:pStyle w:val="TOC1"/>
        <w:rPr>
          <w:rFonts w:asciiTheme="minorHAnsi" w:eastAsiaTheme="minorEastAsia" w:hAnsiTheme="minorHAnsi" w:cstheme="minorBidi"/>
          <w:b w:val="0"/>
          <w:sz w:val="22"/>
          <w:szCs w:val="22"/>
          <w:lang w:eastAsia="en-AU"/>
        </w:rPr>
      </w:pPr>
      <w:hyperlink w:anchor="_Toc124847213" w:history="1">
        <w:r w:rsidR="00EE339D" w:rsidRPr="00010B30">
          <w:rPr>
            <w:rStyle w:val="Hyperlink"/>
          </w:rPr>
          <w:t>Housing and Homelessness Services uplift for organisations affected by floods</w:t>
        </w:r>
        <w:r w:rsidR="00EE339D">
          <w:rPr>
            <w:webHidden/>
          </w:rPr>
          <w:tab/>
        </w:r>
        <w:r w:rsidR="00EE339D">
          <w:rPr>
            <w:webHidden/>
          </w:rPr>
          <w:fldChar w:fldCharType="begin"/>
        </w:r>
        <w:r w:rsidR="00EE339D">
          <w:rPr>
            <w:webHidden/>
          </w:rPr>
          <w:instrText xml:space="preserve"> PAGEREF _Toc124847213 \h </w:instrText>
        </w:r>
        <w:r w:rsidR="00EE339D">
          <w:rPr>
            <w:webHidden/>
          </w:rPr>
        </w:r>
        <w:r w:rsidR="00EE339D">
          <w:rPr>
            <w:webHidden/>
          </w:rPr>
          <w:fldChar w:fldCharType="separate"/>
        </w:r>
        <w:r w:rsidR="00EE339D">
          <w:rPr>
            <w:webHidden/>
          </w:rPr>
          <w:t>16</w:t>
        </w:r>
        <w:r w:rsidR="00EE339D">
          <w:rPr>
            <w:webHidden/>
          </w:rPr>
          <w:fldChar w:fldCharType="end"/>
        </w:r>
      </w:hyperlink>
    </w:p>
    <w:p w14:paraId="4E2D937A" w14:textId="295194A2" w:rsidR="00EE339D" w:rsidRDefault="00000000">
      <w:pPr>
        <w:pStyle w:val="TOC2"/>
        <w:rPr>
          <w:rFonts w:asciiTheme="minorHAnsi" w:eastAsiaTheme="minorEastAsia" w:hAnsiTheme="minorHAnsi" w:cstheme="minorBidi"/>
          <w:sz w:val="22"/>
          <w:szCs w:val="22"/>
          <w:lang w:eastAsia="en-AU"/>
        </w:rPr>
      </w:pPr>
      <w:hyperlink w:anchor="_Toc124847214" w:history="1">
        <w:r w:rsidR="00EE339D" w:rsidRPr="00010B30">
          <w:rPr>
            <w:rStyle w:val="Hyperlink"/>
          </w:rPr>
          <w:t>Eligibility</w:t>
        </w:r>
        <w:r w:rsidR="00EE339D">
          <w:rPr>
            <w:webHidden/>
          </w:rPr>
          <w:tab/>
        </w:r>
        <w:r w:rsidR="00EE339D">
          <w:rPr>
            <w:webHidden/>
          </w:rPr>
          <w:fldChar w:fldCharType="begin"/>
        </w:r>
        <w:r w:rsidR="00EE339D">
          <w:rPr>
            <w:webHidden/>
          </w:rPr>
          <w:instrText xml:space="preserve"> PAGEREF _Toc124847214 \h </w:instrText>
        </w:r>
        <w:r w:rsidR="00EE339D">
          <w:rPr>
            <w:webHidden/>
          </w:rPr>
        </w:r>
        <w:r w:rsidR="00EE339D">
          <w:rPr>
            <w:webHidden/>
          </w:rPr>
          <w:fldChar w:fldCharType="separate"/>
        </w:r>
        <w:r w:rsidR="00EE339D">
          <w:rPr>
            <w:webHidden/>
          </w:rPr>
          <w:t>16</w:t>
        </w:r>
        <w:r w:rsidR="00EE339D">
          <w:rPr>
            <w:webHidden/>
          </w:rPr>
          <w:fldChar w:fldCharType="end"/>
        </w:r>
      </w:hyperlink>
    </w:p>
    <w:p w14:paraId="457F9F90" w14:textId="43C5AEDF" w:rsidR="00EE339D" w:rsidRDefault="00000000">
      <w:pPr>
        <w:pStyle w:val="TOC2"/>
        <w:rPr>
          <w:rFonts w:asciiTheme="minorHAnsi" w:eastAsiaTheme="minorEastAsia" w:hAnsiTheme="minorHAnsi" w:cstheme="minorBidi"/>
          <w:sz w:val="22"/>
          <w:szCs w:val="22"/>
          <w:lang w:eastAsia="en-AU"/>
        </w:rPr>
      </w:pPr>
      <w:hyperlink w:anchor="_Toc124847215" w:history="1">
        <w:r w:rsidR="00EE339D" w:rsidRPr="00010B30">
          <w:rPr>
            <w:rStyle w:val="Hyperlink"/>
          </w:rPr>
          <w:t>Scope</w:t>
        </w:r>
        <w:r w:rsidR="00EE339D">
          <w:rPr>
            <w:webHidden/>
          </w:rPr>
          <w:tab/>
        </w:r>
        <w:r w:rsidR="00EE339D">
          <w:rPr>
            <w:webHidden/>
          </w:rPr>
          <w:fldChar w:fldCharType="begin"/>
        </w:r>
        <w:r w:rsidR="00EE339D">
          <w:rPr>
            <w:webHidden/>
          </w:rPr>
          <w:instrText xml:space="preserve"> PAGEREF _Toc124847215 \h </w:instrText>
        </w:r>
        <w:r w:rsidR="00EE339D">
          <w:rPr>
            <w:webHidden/>
          </w:rPr>
        </w:r>
        <w:r w:rsidR="00EE339D">
          <w:rPr>
            <w:webHidden/>
          </w:rPr>
          <w:fldChar w:fldCharType="separate"/>
        </w:r>
        <w:r w:rsidR="00EE339D">
          <w:rPr>
            <w:webHidden/>
          </w:rPr>
          <w:t>16</w:t>
        </w:r>
        <w:r w:rsidR="00EE339D">
          <w:rPr>
            <w:webHidden/>
          </w:rPr>
          <w:fldChar w:fldCharType="end"/>
        </w:r>
      </w:hyperlink>
    </w:p>
    <w:p w14:paraId="4C1934E6" w14:textId="303D44F5" w:rsidR="00EE339D" w:rsidRDefault="00000000">
      <w:pPr>
        <w:pStyle w:val="TOC2"/>
        <w:rPr>
          <w:rFonts w:asciiTheme="minorHAnsi" w:eastAsiaTheme="minorEastAsia" w:hAnsiTheme="minorHAnsi" w:cstheme="minorBidi"/>
          <w:sz w:val="22"/>
          <w:szCs w:val="22"/>
          <w:lang w:eastAsia="en-AU"/>
        </w:rPr>
      </w:pPr>
      <w:hyperlink w:anchor="_Toc124847216" w:history="1">
        <w:r w:rsidR="00EE339D" w:rsidRPr="00010B30">
          <w:rPr>
            <w:rStyle w:val="Hyperlink"/>
          </w:rPr>
          <w:t>Process</w:t>
        </w:r>
        <w:r w:rsidR="00EE339D">
          <w:rPr>
            <w:webHidden/>
          </w:rPr>
          <w:tab/>
        </w:r>
        <w:r w:rsidR="00EE339D">
          <w:rPr>
            <w:webHidden/>
          </w:rPr>
          <w:fldChar w:fldCharType="begin"/>
        </w:r>
        <w:r w:rsidR="00EE339D">
          <w:rPr>
            <w:webHidden/>
          </w:rPr>
          <w:instrText xml:space="preserve"> PAGEREF _Toc124847216 \h </w:instrText>
        </w:r>
        <w:r w:rsidR="00EE339D">
          <w:rPr>
            <w:webHidden/>
          </w:rPr>
        </w:r>
        <w:r w:rsidR="00EE339D">
          <w:rPr>
            <w:webHidden/>
          </w:rPr>
          <w:fldChar w:fldCharType="separate"/>
        </w:r>
        <w:r w:rsidR="00EE339D">
          <w:rPr>
            <w:webHidden/>
          </w:rPr>
          <w:t>16</w:t>
        </w:r>
        <w:r w:rsidR="00EE339D">
          <w:rPr>
            <w:webHidden/>
          </w:rPr>
          <w:fldChar w:fldCharType="end"/>
        </w:r>
      </w:hyperlink>
    </w:p>
    <w:p w14:paraId="7E0F305F" w14:textId="1EBB9A2C" w:rsidR="00EE339D" w:rsidRDefault="00000000">
      <w:pPr>
        <w:pStyle w:val="TOC1"/>
        <w:rPr>
          <w:rFonts w:asciiTheme="minorHAnsi" w:eastAsiaTheme="minorEastAsia" w:hAnsiTheme="minorHAnsi" w:cstheme="minorBidi"/>
          <w:b w:val="0"/>
          <w:sz w:val="22"/>
          <w:szCs w:val="22"/>
          <w:lang w:eastAsia="en-AU"/>
        </w:rPr>
      </w:pPr>
      <w:hyperlink w:anchor="_Toc124847217" w:history="1">
        <w:r w:rsidR="00EE339D" w:rsidRPr="00010B30">
          <w:rPr>
            <w:rStyle w:val="Hyperlink"/>
          </w:rPr>
          <w:t>Identification and securing of properties</w:t>
        </w:r>
        <w:r w:rsidR="00EE339D">
          <w:rPr>
            <w:webHidden/>
          </w:rPr>
          <w:tab/>
        </w:r>
        <w:r w:rsidR="00EE339D">
          <w:rPr>
            <w:webHidden/>
          </w:rPr>
          <w:fldChar w:fldCharType="begin"/>
        </w:r>
        <w:r w:rsidR="00EE339D">
          <w:rPr>
            <w:webHidden/>
          </w:rPr>
          <w:instrText xml:space="preserve"> PAGEREF _Toc124847217 \h </w:instrText>
        </w:r>
        <w:r w:rsidR="00EE339D">
          <w:rPr>
            <w:webHidden/>
          </w:rPr>
        </w:r>
        <w:r w:rsidR="00EE339D">
          <w:rPr>
            <w:webHidden/>
          </w:rPr>
          <w:fldChar w:fldCharType="separate"/>
        </w:r>
        <w:r w:rsidR="00EE339D">
          <w:rPr>
            <w:webHidden/>
          </w:rPr>
          <w:t>17</w:t>
        </w:r>
        <w:r w:rsidR="00EE339D">
          <w:rPr>
            <w:webHidden/>
          </w:rPr>
          <w:fldChar w:fldCharType="end"/>
        </w:r>
      </w:hyperlink>
    </w:p>
    <w:p w14:paraId="27BF9E08" w14:textId="3E3F1FE6" w:rsidR="00EE339D" w:rsidRDefault="00000000">
      <w:pPr>
        <w:pStyle w:val="TOC2"/>
        <w:rPr>
          <w:rFonts w:asciiTheme="minorHAnsi" w:eastAsiaTheme="minorEastAsia" w:hAnsiTheme="minorHAnsi" w:cstheme="minorBidi"/>
          <w:sz w:val="22"/>
          <w:szCs w:val="22"/>
          <w:lang w:eastAsia="en-AU"/>
        </w:rPr>
      </w:pPr>
      <w:hyperlink w:anchor="_Toc124847218" w:history="1">
        <w:r w:rsidR="00EE339D" w:rsidRPr="00010B30">
          <w:rPr>
            <w:rStyle w:val="Hyperlink"/>
          </w:rPr>
          <w:t>Head leased properties</w:t>
        </w:r>
        <w:r w:rsidR="00EE339D">
          <w:rPr>
            <w:webHidden/>
          </w:rPr>
          <w:tab/>
        </w:r>
        <w:r w:rsidR="00EE339D">
          <w:rPr>
            <w:webHidden/>
          </w:rPr>
          <w:fldChar w:fldCharType="begin"/>
        </w:r>
        <w:r w:rsidR="00EE339D">
          <w:rPr>
            <w:webHidden/>
          </w:rPr>
          <w:instrText xml:space="preserve"> PAGEREF _Toc124847218 \h </w:instrText>
        </w:r>
        <w:r w:rsidR="00EE339D">
          <w:rPr>
            <w:webHidden/>
          </w:rPr>
        </w:r>
        <w:r w:rsidR="00EE339D">
          <w:rPr>
            <w:webHidden/>
          </w:rPr>
          <w:fldChar w:fldCharType="separate"/>
        </w:r>
        <w:r w:rsidR="00EE339D">
          <w:rPr>
            <w:webHidden/>
          </w:rPr>
          <w:t>17</w:t>
        </w:r>
        <w:r w:rsidR="00EE339D">
          <w:rPr>
            <w:webHidden/>
          </w:rPr>
          <w:fldChar w:fldCharType="end"/>
        </w:r>
      </w:hyperlink>
    </w:p>
    <w:p w14:paraId="7D1E5392" w14:textId="11A33493" w:rsidR="00EE339D" w:rsidRDefault="00000000">
      <w:pPr>
        <w:pStyle w:val="TOC2"/>
        <w:rPr>
          <w:rFonts w:asciiTheme="minorHAnsi" w:eastAsiaTheme="minorEastAsia" w:hAnsiTheme="minorHAnsi" w:cstheme="minorBidi"/>
          <w:sz w:val="22"/>
          <w:szCs w:val="22"/>
          <w:lang w:eastAsia="en-AU"/>
        </w:rPr>
      </w:pPr>
      <w:hyperlink w:anchor="_Toc124847219" w:history="1">
        <w:r w:rsidR="00EE339D" w:rsidRPr="00010B30">
          <w:rPr>
            <w:rStyle w:val="Hyperlink"/>
          </w:rPr>
          <w:t>Public housing properties</w:t>
        </w:r>
        <w:r w:rsidR="00EE339D">
          <w:rPr>
            <w:webHidden/>
          </w:rPr>
          <w:tab/>
        </w:r>
        <w:r w:rsidR="00EE339D">
          <w:rPr>
            <w:webHidden/>
          </w:rPr>
          <w:fldChar w:fldCharType="begin"/>
        </w:r>
        <w:r w:rsidR="00EE339D">
          <w:rPr>
            <w:webHidden/>
          </w:rPr>
          <w:instrText xml:space="preserve"> PAGEREF _Toc124847219 \h </w:instrText>
        </w:r>
        <w:r w:rsidR="00EE339D">
          <w:rPr>
            <w:webHidden/>
          </w:rPr>
        </w:r>
        <w:r w:rsidR="00EE339D">
          <w:rPr>
            <w:webHidden/>
          </w:rPr>
          <w:fldChar w:fldCharType="separate"/>
        </w:r>
        <w:r w:rsidR="00EE339D">
          <w:rPr>
            <w:webHidden/>
          </w:rPr>
          <w:t>17</w:t>
        </w:r>
        <w:r w:rsidR="00EE339D">
          <w:rPr>
            <w:webHidden/>
          </w:rPr>
          <w:fldChar w:fldCharType="end"/>
        </w:r>
      </w:hyperlink>
    </w:p>
    <w:p w14:paraId="0F7910DD" w14:textId="73F22AA9" w:rsidR="00EE339D" w:rsidRDefault="00000000">
      <w:pPr>
        <w:pStyle w:val="TOC1"/>
        <w:rPr>
          <w:rFonts w:asciiTheme="minorHAnsi" w:eastAsiaTheme="minorEastAsia" w:hAnsiTheme="minorHAnsi" w:cstheme="minorBidi"/>
          <w:b w:val="0"/>
          <w:sz w:val="22"/>
          <w:szCs w:val="22"/>
          <w:lang w:eastAsia="en-AU"/>
        </w:rPr>
      </w:pPr>
      <w:hyperlink w:anchor="_Toc124847220" w:history="1">
        <w:r w:rsidR="00EE339D" w:rsidRPr="00010B30">
          <w:rPr>
            <w:rStyle w:val="Hyperlink"/>
          </w:rPr>
          <w:t>Financial assistance in establishing and maintaining a HFRP tenancy</w:t>
        </w:r>
        <w:r w:rsidR="00EE339D">
          <w:rPr>
            <w:webHidden/>
          </w:rPr>
          <w:tab/>
        </w:r>
        <w:r w:rsidR="00EE339D">
          <w:rPr>
            <w:webHidden/>
          </w:rPr>
          <w:fldChar w:fldCharType="begin"/>
        </w:r>
        <w:r w:rsidR="00EE339D">
          <w:rPr>
            <w:webHidden/>
          </w:rPr>
          <w:instrText xml:space="preserve"> PAGEREF _Toc124847220 \h </w:instrText>
        </w:r>
        <w:r w:rsidR="00EE339D">
          <w:rPr>
            <w:webHidden/>
          </w:rPr>
        </w:r>
        <w:r w:rsidR="00EE339D">
          <w:rPr>
            <w:webHidden/>
          </w:rPr>
          <w:fldChar w:fldCharType="separate"/>
        </w:r>
        <w:r w:rsidR="00EE339D">
          <w:rPr>
            <w:webHidden/>
          </w:rPr>
          <w:t>18</w:t>
        </w:r>
        <w:r w:rsidR="00EE339D">
          <w:rPr>
            <w:webHidden/>
          </w:rPr>
          <w:fldChar w:fldCharType="end"/>
        </w:r>
      </w:hyperlink>
    </w:p>
    <w:p w14:paraId="32889579" w14:textId="76801200" w:rsidR="00EE339D" w:rsidRDefault="00000000">
      <w:pPr>
        <w:pStyle w:val="TOC2"/>
        <w:rPr>
          <w:rFonts w:asciiTheme="minorHAnsi" w:eastAsiaTheme="minorEastAsia" w:hAnsiTheme="minorHAnsi" w:cstheme="minorBidi"/>
          <w:sz w:val="22"/>
          <w:szCs w:val="22"/>
          <w:lang w:eastAsia="en-AU"/>
        </w:rPr>
      </w:pPr>
      <w:hyperlink w:anchor="_Toc124847221" w:history="1">
        <w:r w:rsidR="00EE339D" w:rsidRPr="00010B30">
          <w:rPr>
            <w:rStyle w:val="Hyperlink"/>
            <w:rFonts w:eastAsia="MS Gothic"/>
          </w:rPr>
          <w:t>Housing Establishment Funding related to emergency accommodation</w:t>
        </w:r>
        <w:r w:rsidR="00EE339D">
          <w:rPr>
            <w:webHidden/>
          </w:rPr>
          <w:tab/>
        </w:r>
        <w:r w:rsidR="00EE339D">
          <w:rPr>
            <w:webHidden/>
          </w:rPr>
          <w:fldChar w:fldCharType="begin"/>
        </w:r>
        <w:r w:rsidR="00EE339D">
          <w:rPr>
            <w:webHidden/>
          </w:rPr>
          <w:instrText xml:space="preserve"> PAGEREF _Toc124847221 \h </w:instrText>
        </w:r>
        <w:r w:rsidR="00EE339D">
          <w:rPr>
            <w:webHidden/>
          </w:rPr>
        </w:r>
        <w:r w:rsidR="00EE339D">
          <w:rPr>
            <w:webHidden/>
          </w:rPr>
          <w:fldChar w:fldCharType="separate"/>
        </w:r>
        <w:r w:rsidR="00EE339D">
          <w:rPr>
            <w:webHidden/>
          </w:rPr>
          <w:t>18</w:t>
        </w:r>
        <w:r w:rsidR="00EE339D">
          <w:rPr>
            <w:webHidden/>
          </w:rPr>
          <w:fldChar w:fldCharType="end"/>
        </w:r>
      </w:hyperlink>
    </w:p>
    <w:p w14:paraId="3CDB1CB9" w14:textId="49293B86" w:rsidR="00EE339D" w:rsidRDefault="00000000">
      <w:pPr>
        <w:pStyle w:val="TOC2"/>
        <w:rPr>
          <w:rFonts w:asciiTheme="minorHAnsi" w:eastAsiaTheme="minorEastAsia" w:hAnsiTheme="minorHAnsi" w:cstheme="minorBidi"/>
          <w:sz w:val="22"/>
          <w:szCs w:val="22"/>
          <w:lang w:eastAsia="en-AU"/>
        </w:rPr>
      </w:pPr>
      <w:hyperlink w:anchor="_Toc124847222" w:history="1">
        <w:r w:rsidR="00EE339D" w:rsidRPr="00010B30">
          <w:rPr>
            <w:rStyle w:val="Hyperlink"/>
          </w:rPr>
          <w:t>Rental assistance for head leased properties</w:t>
        </w:r>
        <w:r w:rsidR="00EE339D">
          <w:rPr>
            <w:webHidden/>
          </w:rPr>
          <w:tab/>
        </w:r>
        <w:r w:rsidR="00EE339D">
          <w:rPr>
            <w:webHidden/>
          </w:rPr>
          <w:fldChar w:fldCharType="begin"/>
        </w:r>
        <w:r w:rsidR="00EE339D">
          <w:rPr>
            <w:webHidden/>
          </w:rPr>
          <w:instrText xml:space="preserve"> PAGEREF _Toc124847222 \h </w:instrText>
        </w:r>
        <w:r w:rsidR="00EE339D">
          <w:rPr>
            <w:webHidden/>
          </w:rPr>
        </w:r>
        <w:r w:rsidR="00EE339D">
          <w:rPr>
            <w:webHidden/>
          </w:rPr>
          <w:fldChar w:fldCharType="separate"/>
        </w:r>
        <w:r w:rsidR="00EE339D">
          <w:rPr>
            <w:webHidden/>
          </w:rPr>
          <w:t>18</w:t>
        </w:r>
        <w:r w:rsidR="00EE339D">
          <w:rPr>
            <w:webHidden/>
          </w:rPr>
          <w:fldChar w:fldCharType="end"/>
        </w:r>
      </w:hyperlink>
    </w:p>
    <w:p w14:paraId="3CE9AFE9" w14:textId="142C649C" w:rsidR="00EE339D" w:rsidRDefault="00000000">
      <w:pPr>
        <w:pStyle w:val="TOC2"/>
        <w:rPr>
          <w:rFonts w:asciiTheme="minorHAnsi" w:eastAsiaTheme="minorEastAsia" w:hAnsiTheme="minorHAnsi" w:cstheme="minorBidi"/>
          <w:sz w:val="22"/>
          <w:szCs w:val="22"/>
          <w:lang w:eastAsia="en-AU"/>
        </w:rPr>
      </w:pPr>
      <w:hyperlink w:anchor="_Toc124847223" w:history="1">
        <w:r w:rsidR="00EE339D" w:rsidRPr="00010B30">
          <w:rPr>
            <w:rStyle w:val="Hyperlink"/>
            <w:rFonts w:eastAsia="Arial"/>
          </w:rPr>
          <w:t>Maintaining tenancies and rental arrears</w:t>
        </w:r>
        <w:r w:rsidR="00EE339D">
          <w:rPr>
            <w:webHidden/>
          </w:rPr>
          <w:tab/>
        </w:r>
        <w:r w:rsidR="00EE339D">
          <w:rPr>
            <w:webHidden/>
          </w:rPr>
          <w:fldChar w:fldCharType="begin"/>
        </w:r>
        <w:r w:rsidR="00EE339D">
          <w:rPr>
            <w:webHidden/>
          </w:rPr>
          <w:instrText xml:space="preserve"> PAGEREF _Toc124847223 \h </w:instrText>
        </w:r>
        <w:r w:rsidR="00EE339D">
          <w:rPr>
            <w:webHidden/>
          </w:rPr>
        </w:r>
        <w:r w:rsidR="00EE339D">
          <w:rPr>
            <w:webHidden/>
          </w:rPr>
          <w:fldChar w:fldCharType="separate"/>
        </w:r>
        <w:r w:rsidR="00EE339D">
          <w:rPr>
            <w:webHidden/>
          </w:rPr>
          <w:t>18</w:t>
        </w:r>
        <w:r w:rsidR="00EE339D">
          <w:rPr>
            <w:webHidden/>
          </w:rPr>
          <w:fldChar w:fldCharType="end"/>
        </w:r>
      </w:hyperlink>
    </w:p>
    <w:p w14:paraId="6C0E5B27" w14:textId="185C6BF1" w:rsidR="00EE339D" w:rsidRDefault="00000000">
      <w:pPr>
        <w:pStyle w:val="TOC2"/>
        <w:rPr>
          <w:rFonts w:asciiTheme="minorHAnsi" w:eastAsiaTheme="minorEastAsia" w:hAnsiTheme="minorHAnsi" w:cstheme="minorBidi"/>
          <w:sz w:val="22"/>
          <w:szCs w:val="22"/>
          <w:lang w:eastAsia="en-AU"/>
        </w:rPr>
      </w:pPr>
      <w:hyperlink w:anchor="_Toc124847224" w:history="1">
        <w:r w:rsidR="00EE339D" w:rsidRPr="00010B30">
          <w:rPr>
            <w:rStyle w:val="Hyperlink"/>
            <w:rFonts w:eastAsia="Arial"/>
          </w:rPr>
          <w:t>Housing service engagement</w:t>
        </w:r>
        <w:r w:rsidR="00EE339D">
          <w:rPr>
            <w:webHidden/>
          </w:rPr>
          <w:tab/>
        </w:r>
        <w:r w:rsidR="00EE339D">
          <w:rPr>
            <w:webHidden/>
          </w:rPr>
          <w:fldChar w:fldCharType="begin"/>
        </w:r>
        <w:r w:rsidR="00EE339D">
          <w:rPr>
            <w:webHidden/>
          </w:rPr>
          <w:instrText xml:space="preserve"> PAGEREF _Toc124847224 \h </w:instrText>
        </w:r>
        <w:r w:rsidR="00EE339D">
          <w:rPr>
            <w:webHidden/>
          </w:rPr>
        </w:r>
        <w:r w:rsidR="00EE339D">
          <w:rPr>
            <w:webHidden/>
          </w:rPr>
          <w:fldChar w:fldCharType="separate"/>
        </w:r>
        <w:r w:rsidR="00EE339D">
          <w:rPr>
            <w:webHidden/>
          </w:rPr>
          <w:t>18</w:t>
        </w:r>
        <w:r w:rsidR="00EE339D">
          <w:rPr>
            <w:webHidden/>
          </w:rPr>
          <w:fldChar w:fldCharType="end"/>
        </w:r>
      </w:hyperlink>
    </w:p>
    <w:p w14:paraId="7DCBDB61" w14:textId="7C1202CD" w:rsidR="00EE339D" w:rsidRDefault="00000000">
      <w:pPr>
        <w:pStyle w:val="TOC1"/>
        <w:rPr>
          <w:rFonts w:asciiTheme="minorHAnsi" w:eastAsiaTheme="minorEastAsia" w:hAnsiTheme="minorHAnsi" w:cstheme="minorBidi"/>
          <w:b w:val="0"/>
          <w:sz w:val="22"/>
          <w:szCs w:val="22"/>
          <w:lang w:eastAsia="en-AU"/>
        </w:rPr>
      </w:pPr>
      <w:hyperlink w:anchor="_Toc124847225" w:history="1">
        <w:r w:rsidR="00EE339D" w:rsidRPr="00010B30">
          <w:rPr>
            <w:rStyle w:val="Hyperlink"/>
          </w:rPr>
          <w:t>Disengagement</w:t>
        </w:r>
        <w:r w:rsidR="00EE339D">
          <w:rPr>
            <w:webHidden/>
          </w:rPr>
          <w:tab/>
        </w:r>
        <w:r w:rsidR="00EE339D">
          <w:rPr>
            <w:webHidden/>
          </w:rPr>
          <w:fldChar w:fldCharType="begin"/>
        </w:r>
        <w:r w:rsidR="00EE339D">
          <w:rPr>
            <w:webHidden/>
          </w:rPr>
          <w:instrText xml:space="preserve"> PAGEREF _Toc124847225 \h </w:instrText>
        </w:r>
        <w:r w:rsidR="00EE339D">
          <w:rPr>
            <w:webHidden/>
          </w:rPr>
        </w:r>
        <w:r w:rsidR="00EE339D">
          <w:rPr>
            <w:webHidden/>
          </w:rPr>
          <w:fldChar w:fldCharType="separate"/>
        </w:r>
        <w:r w:rsidR="00EE339D">
          <w:rPr>
            <w:webHidden/>
          </w:rPr>
          <w:t>18</w:t>
        </w:r>
        <w:r w:rsidR="00EE339D">
          <w:rPr>
            <w:webHidden/>
          </w:rPr>
          <w:fldChar w:fldCharType="end"/>
        </w:r>
      </w:hyperlink>
    </w:p>
    <w:p w14:paraId="10AC0DF4" w14:textId="3327667C" w:rsidR="00EE339D" w:rsidRDefault="00000000">
      <w:pPr>
        <w:pStyle w:val="TOC2"/>
        <w:rPr>
          <w:rFonts w:asciiTheme="minorHAnsi" w:eastAsiaTheme="minorEastAsia" w:hAnsiTheme="minorHAnsi" w:cstheme="minorBidi"/>
          <w:sz w:val="22"/>
          <w:szCs w:val="22"/>
          <w:lang w:eastAsia="en-AU"/>
        </w:rPr>
      </w:pPr>
      <w:hyperlink w:anchor="_Toc124847226" w:history="1">
        <w:r w:rsidR="00EE339D" w:rsidRPr="00010B30">
          <w:rPr>
            <w:rStyle w:val="Hyperlink"/>
          </w:rPr>
          <w:t>Disengagement at the request of the household</w:t>
        </w:r>
        <w:r w:rsidR="00EE339D">
          <w:rPr>
            <w:webHidden/>
          </w:rPr>
          <w:tab/>
        </w:r>
        <w:r w:rsidR="00EE339D">
          <w:rPr>
            <w:webHidden/>
          </w:rPr>
          <w:fldChar w:fldCharType="begin"/>
        </w:r>
        <w:r w:rsidR="00EE339D">
          <w:rPr>
            <w:webHidden/>
          </w:rPr>
          <w:instrText xml:space="preserve"> PAGEREF _Toc124847226 \h </w:instrText>
        </w:r>
        <w:r w:rsidR="00EE339D">
          <w:rPr>
            <w:webHidden/>
          </w:rPr>
        </w:r>
        <w:r w:rsidR="00EE339D">
          <w:rPr>
            <w:webHidden/>
          </w:rPr>
          <w:fldChar w:fldCharType="separate"/>
        </w:r>
        <w:r w:rsidR="00EE339D">
          <w:rPr>
            <w:webHidden/>
          </w:rPr>
          <w:t>19</w:t>
        </w:r>
        <w:r w:rsidR="00EE339D">
          <w:rPr>
            <w:webHidden/>
          </w:rPr>
          <w:fldChar w:fldCharType="end"/>
        </w:r>
      </w:hyperlink>
    </w:p>
    <w:p w14:paraId="33A00AE7" w14:textId="41A2E653" w:rsidR="00EE339D" w:rsidRDefault="00000000">
      <w:pPr>
        <w:pStyle w:val="TOC1"/>
        <w:rPr>
          <w:rFonts w:asciiTheme="minorHAnsi" w:eastAsiaTheme="minorEastAsia" w:hAnsiTheme="minorHAnsi" w:cstheme="minorBidi"/>
          <w:b w:val="0"/>
          <w:sz w:val="22"/>
          <w:szCs w:val="22"/>
          <w:lang w:eastAsia="en-AU"/>
        </w:rPr>
      </w:pPr>
      <w:hyperlink w:anchor="_Toc124847227" w:history="1">
        <w:r w:rsidR="00EE339D" w:rsidRPr="00010B30">
          <w:rPr>
            <w:rStyle w:val="Hyperlink"/>
          </w:rPr>
          <w:t>Incident Reporting</w:t>
        </w:r>
        <w:r w:rsidR="00EE339D">
          <w:rPr>
            <w:webHidden/>
          </w:rPr>
          <w:tab/>
        </w:r>
        <w:r w:rsidR="00EE339D">
          <w:rPr>
            <w:webHidden/>
          </w:rPr>
          <w:fldChar w:fldCharType="begin"/>
        </w:r>
        <w:r w:rsidR="00EE339D">
          <w:rPr>
            <w:webHidden/>
          </w:rPr>
          <w:instrText xml:space="preserve"> PAGEREF _Toc124847227 \h </w:instrText>
        </w:r>
        <w:r w:rsidR="00EE339D">
          <w:rPr>
            <w:webHidden/>
          </w:rPr>
        </w:r>
        <w:r w:rsidR="00EE339D">
          <w:rPr>
            <w:webHidden/>
          </w:rPr>
          <w:fldChar w:fldCharType="separate"/>
        </w:r>
        <w:r w:rsidR="00EE339D">
          <w:rPr>
            <w:webHidden/>
          </w:rPr>
          <w:t>19</w:t>
        </w:r>
        <w:r w:rsidR="00EE339D">
          <w:rPr>
            <w:webHidden/>
          </w:rPr>
          <w:fldChar w:fldCharType="end"/>
        </w:r>
      </w:hyperlink>
    </w:p>
    <w:p w14:paraId="1DCF21C7" w14:textId="658D5570" w:rsidR="00EE339D" w:rsidRDefault="00000000">
      <w:pPr>
        <w:pStyle w:val="TOC2"/>
        <w:rPr>
          <w:rFonts w:asciiTheme="minorHAnsi" w:eastAsiaTheme="minorEastAsia" w:hAnsiTheme="minorHAnsi" w:cstheme="minorBidi"/>
          <w:sz w:val="22"/>
          <w:szCs w:val="22"/>
          <w:lang w:eastAsia="en-AU"/>
        </w:rPr>
      </w:pPr>
      <w:hyperlink w:anchor="_Toc124847228" w:history="1">
        <w:r w:rsidR="00EE339D" w:rsidRPr="00010B30">
          <w:rPr>
            <w:rStyle w:val="Hyperlink"/>
            <w:rFonts w:eastAsia="MS Gothic"/>
          </w:rPr>
          <w:t>Reporting incidents and complaints</w:t>
        </w:r>
        <w:r w:rsidR="00EE339D">
          <w:rPr>
            <w:webHidden/>
          </w:rPr>
          <w:tab/>
        </w:r>
        <w:r w:rsidR="00EE339D">
          <w:rPr>
            <w:webHidden/>
          </w:rPr>
          <w:fldChar w:fldCharType="begin"/>
        </w:r>
        <w:r w:rsidR="00EE339D">
          <w:rPr>
            <w:webHidden/>
          </w:rPr>
          <w:instrText xml:space="preserve"> PAGEREF _Toc124847228 \h </w:instrText>
        </w:r>
        <w:r w:rsidR="00EE339D">
          <w:rPr>
            <w:webHidden/>
          </w:rPr>
        </w:r>
        <w:r w:rsidR="00EE339D">
          <w:rPr>
            <w:webHidden/>
          </w:rPr>
          <w:fldChar w:fldCharType="separate"/>
        </w:r>
        <w:r w:rsidR="00EE339D">
          <w:rPr>
            <w:webHidden/>
          </w:rPr>
          <w:t>19</w:t>
        </w:r>
        <w:r w:rsidR="00EE339D">
          <w:rPr>
            <w:webHidden/>
          </w:rPr>
          <w:fldChar w:fldCharType="end"/>
        </w:r>
      </w:hyperlink>
    </w:p>
    <w:p w14:paraId="2E4F8B50" w14:textId="43841708" w:rsidR="00EE339D" w:rsidRDefault="00000000">
      <w:pPr>
        <w:pStyle w:val="TOC1"/>
        <w:rPr>
          <w:rFonts w:asciiTheme="minorHAnsi" w:eastAsiaTheme="minorEastAsia" w:hAnsiTheme="minorHAnsi" w:cstheme="minorBidi"/>
          <w:b w:val="0"/>
          <w:sz w:val="22"/>
          <w:szCs w:val="22"/>
          <w:lang w:eastAsia="en-AU"/>
        </w:rPr>
      </w:pPr>
      <w:hyperlink w:anchor="_Toc124847229" w:history="1">
        <w:r w:rsidR="00EE339D" w:rsidRPr="00010B30">
          <w:rPr>
            <w:rStyle w:val="Hyperlink"/>
          </w:rPr>
          <w:t>Governance Framework</w:t>
        </w:r>
        <w:r w:rsidR="00EE339D">
          <w:rPr>
            <w:webHidden/>
          </w:rPr>
          <w:tab/>
        </w:r>
        <w:r w:rsidR="00EE339D">
          <w:rPr>
            <w:webHidden/>
          </w:rPr>
          <w:fldChar w:fldCharType="begin"/>
        </w:r>
        <w:r w:rsidR="00EE339D">
          <w:rPr>
            <w:webHidden/>
          </w:rPr>
          <w:instrText xml:space="preserve"> PAGEREF _Toc124847229 \h </w:instrText>
        </w:r>
        <w:r w:rsidR="00EE339D">
          <w:rPr>
            <w:webHidden/>
          </w:rPr>
        </w:r>
        <w:r w:rsidR="00EE339D">
          <w:rPr>
            <w:webHidden/>
          </w:rPr>
          <w:fldChar w:fldCharType="separate"/>
        </w:r>
        <w:r w:rsidR="00EE339D">
          <w:rPr>
            <w:webHidden/>
          </w:rPr>
          <w:t>21</w:t>
        </w:r>
        <w:r w:rsidR="00EE339D">
          <w:rPr>
            <w:webHidden/>
          </w:rPr>
          <w:fldChar w:fldCharType="end"/>
        </w:r>
      </w:hyperlink>
    </w:p>
    <w:p w14:paraId="3CA0427F" w14:textId="696E1434" w:rsidR="00EE339D" w:rsidRDefault="00000000">
      <w:pPr>
        <w:pStyle w:val="TOC1"/>
        <w:rPr>
          <w:rFonts w:asciiTheme="minorHAnsi" w:eastAsiaTheme="minorEastAsia" w:hAnsiTheme="minorHAnsi" w:cstheme="minorBidi"/>
          <w:b w:val="0"/>
          <w:sz w:val="22"/>
          <w:szCs w:val="22"/>
          <w:lang w:eastAsia="en-AU"/>
        </w:rPr>
      </w:pPr>
      <w:hyperlink w:anchor="_Toc124847230" w:history="1">
        <w:r w:rsidR="00EE339D" w:rsidRPr="00010B30">
          <w:rPr>
            <w:rStyle w:val="Hyperlink"/>
          </w:rPr>
          <w:t>Performance monitoring and reporting</w:t>
        </w:r>
        <w:r w:rsidR="00EE339D">
          <w:rPr>
            <w:webHidden/>
          </w:rPr>
          <w:tab/>
        </w:r>
        <w:r w:rsidR="00EE339D">
          <w:rPr>
            <w:webHidden/>
          </w:rPr>
          <w:fldChar w:fldCharType="begin"/>
        </w:r>
        <w:r w:rsidR="00EE339D">
          <w:rPr>
            <w:webHidden/>
          </w:rPr>
          <w:instrText xml:space="preserve"> PAGEREF _Toc124847230 \h </w:instrText>
        </w:r>
        <w:r w:rsidR="00EE339D">
          <w:rPr>
            <w:webHidden/>
          </w:rPr>
        </w:r>
        <w:r w:rsidR="00EE339D">
          <w:rPr>
            <w:webHidden/>
          </w:rPr>
          <w:fldChar w:fldCharType="separate"/>
        </w:r>
        <w:r w:rsidR="00EE339D">
          <w:rPr>
            <w:webHidden/>
          </w:rPr>
          <w:t>21</w:t>
        </w:r>
        <w:r w:rsidR="00EE339D">
          <w:rPr>
            <w:webHidden/>
          </w:rPr>
          <w:fldChar w:fldCharType="end"/>
        </w:r>
      </w:hyperlink>
    </w:p>
    <w:p w14:paraId="6B23D215" w14:textId="1C470C02" w:rsidR="00EE339D" w:rsidRDefault="00000000">
      <w:pPr>
        <w:pStyle w:val="TOC2"/>
        <w:rPr>
          <w:rFonts w:asciiTheme="minorHAnsi" w:eastAsiaTheme="minorEastAsia" w:hAnsiTheme="minorHAnsi" w:cstheme="minorBidi"/>
          <w:sz w:val="22"/>
          <w:szCs w:val="22"/>
          <w:lang w:eastAsia="en-AU"/>
        </w:rPr>
      </w:pPr>
      <w:hyperlink w:anchor="_Toc124847231" w:history="1">
        <w:r w:rsidR="00EE339D" w:rsidRPr="00010B30">
          <w:rPr>
            <w:rStyle w:val="Hyperlink"/>
          </w:rPr>
          <w:t>Key features</w:t>
        </w:r>
        <w:r w:rsidR="00EE339D">
          <w:rPr>
            <w:webHidden/>
          </w:rPr>
          <w:tab/>
        </w:r>
        <w:r w:rsidR="00EE339D">
          <w:rPr>
            <w:webHidden/>
          </w:rPr>
          <w:fldChar w:fldCharType="begin"/>
        </w:r>
        <w:r w:rsidR="00EE339D">
          <w:rPr>
            <w:webHidden/>
          </w:rPr>
          <w:instrText xml:space="preserve"> PAGEREF _Toc124847231 \h </w:instrText>
        </w:r>
        <w:r w:rsidR="00EE339D">
          <w:rPr>
            <w:webHidden/>
          </w:rPr>
        </w:r>
        <w:r w:rsidR="00EE339D">
          <w:rPr>
            <w:webHidden/>
          </w:rPr>
          <w:fldChar w:fldCharType="separate"/>
        </w:r>
        <w:r w:rsidR="00EE339D">
          <w:rPr>
            <w:webHidden/>
          </w:rPr>
          <w:t>21</w:t>
        </w:r>
        <w:r w:rsidR="00EE339D">
          <w:rPr>
            <w:webHidden/>
          </w:rPr>
          <w:fldChar w:fldCharType="end"/>
        </w:r>
      </w:hyperlink>
    </w:p>
    <w:p w14:paraId="583F6890" w14:textId="3BDA34E5" w:rsidR="00EE339D" w:rsidRDefault="00000000">
      <w:pPr>
        <w:pStyle w:val="TOC2"/>
        <w:rPr>
          <w:rFonts w:asciiTheme="minorHAnsi" w:eastAsiaTheme="minorEastAsia" w:hAnsiTheme="minorHAnsi" w:cstheme="minorBidi"/>
          <w:sz w:val="22"/>
          <w:szCs w:val="22"/>
          <w:lang w:eastAsia="en-AU"/>
        </w:rPr>
      </w:pPr>
      <w:hyperlink w:anchor="_Toc124847232" w:history="1">
        <w:r w:rsidR="00EE339D" w:rsidRPr="00010B30">
          <w:rPr>
            <w:rStyle w:val="Hyperlink"/>
          </w:rPr>
          <w:t>Data reporting</w:t>
        </w:r>
        <w:r w:rsidR="00EE339D">
          <w:rPr>
            <w:webHidden/>
          </w:rPr>
          <w:tab/>
        </w:r>
        <w:r w:rsidR="00EE339D">
          <w:rPr>
            <w:webHidden/>
          </w:rPr>
          <w:fldChar w:fldCharType="begin"/>
        </w:r>
        <w:r w:rsidR="00EE339D">
          <w:rPr>
            <w:webHidden/>
          </w:rPr>
          <w:instrText xml:space="preserve"> PAGEREF _Toc124847232 \h </w:instrText>
        </w:r>
        <w:r w:rsidR="00EE339D">
          <w:rPr>
            <w:webHidden/>
          </w:rPr>
        </w:r>
        <w:r w:rsidR="00EE339D">
          <w:rPr>
            <w:webHidden/>
          </w:rPr>
          <w:fldChar w:fldCharType="separate"/>
        </w:r>
        <w:r w:rsidR="00EE339D">
          <w:rPr>
            <w:webHidden/>
          </w:rPr>
          <w:t>21</w:t>
        </w:r>
        <w:r w:rsidR="00EE339D">
          <w:rPr>
            <w:webHidden/>
          </w:rPr>
          <w:fldChar w:fldCharType="end"/>
        </w:r>
      </w:hyperlink>
    </w:p>
    <w:p w14:paraId="139B3CC0" w14:textId="70C997A1" w:rsidR="00EE339D" w:rsidRDefault="00000000">
      <w:pPr>
        <w:pStyle w:val="TOC1"/>
        <w:rPr>
          <w:rFonts w:asciiTheme="minorHAnsi" w:eastAsiaTheme="minorEastAsia" w:hAnsiTheme="minorHAnsi" w:cstheme="minorBidi"/>
          <w:b w:val="0"/>
          <w:sz w:val="22"/>
          <w:szCs w:val="22"/>
          <w:lang w:eastAsia="en-AU"/>
        </w:rPr>
      </w:pPr>
      <w:hyperlink w:anchor="_Toc124847233" w:history="1">
        <w:r w:rsidR="00EE339D" w:rsidRPr="00010B30">
          <w:rPr>
            <w:rStyle w:val="Hyperlink"/>
          </w:rPr>
          <w:t>Additional program reporting requirements</w:t>
        </w:r>
        <w:r w:rsidR="00EE339D">
          <w:rPr>
            <w:webHidden/>
          </w:rPr>
          <w:tab/>
        </w:r>
        <w:r w:rsidR="00EE339D">
          <w:rPr>
            <w:webHidden/>
          </w:rPr>
          <w:fldChar w:fldCharType="begin"/>
        </w:r>
        <w:r w:rsidR="00EE339D">
          <w:rPr>
            <w:webHidden/>
          </w:rPr>
          <w:instrText xml:space="preserve"> PAGEREF _Toc124847233 \h </w:instrText>
        </w:r>
        <w:r w:rsidR="00EE339D">
          <w:rPr>
            <w:webHidden/>
          </w:rPr>
        </w:r>
        <w:r w:rsidR="00EE339D">
          <w:rPr>
            <w:webHidden/>
          </w:rPr>
          <w:fldChar w:fldCharType="separate"/>
        </w:r>
        <w:r w:rsidR="00EE339D">
          <w:rPr>
            <w:webHidden/>
          </w:rPr>
          <w:t>22</w:t>
        </w:r>
        <w:r w:rsidR="00EE339D">
          <w:rPr>
            <w:webHidden/>
          </w:rPr>
          <w:fldChar w:fldCharType="end"/>
        </w:r>
      </w:hyperlink>
    </w:p>
    <w:p w14:paraId="45763C76" w14:textId="14590BE0" w:rsidR="00EE339D" w:rsidRDefault="00000000">
      <w:pPr>
        <w:pStyle w:val="TOC2"/>
        <w:rPr>
          <w:rFonts w:asciiTheme="minorHAnsi" w:eastAsiaTheme="minorEastAsia" w:hAnsiTheme="minorHAnsi" w:cstheme="minorBidi"/>
          <w:sz w:val="22"/>
          <w:szCs w:val="22"/>
          <w:lang w:eastAsia="en-AU"/>
        </w:rPr>
      </w:pPr>
      <w:hyperlink w:anchor="_Toc124847234" w:history="1">
        <w:r w:rsidR="00EE339D" w:rsidRPr="00010B30">
          <w:rPr>
            <w:rStyle w:val="Hyperlink"/>
          </w:rPr>
          <w:t>Activity-based targets</w:t>
        </w:r>
        <w:r w:rsidR="00EE339D">
          <w:rPr>
            <w:webHidden/>
          </w:rPr>
          <w:tab/>
        </w:r>
        <w:r w:rsidR="00EE339D">
          <w:rPr>
            <w:webHidden/>
          </w:rPr>
          <w:fldChar w:fldCharType="begin"/>
        </w:r>
        <w:r w:rsidR="00EE339D">
          <w:rPr>
            <w:webHidden/>
          </w:rPr>
          <w:instrText xml:space="preserve"> PAGEREF _Toc124847234 \h </w:instrText>
        </w:r>
        <w:r w:rsidR="00EE339D">
          <w:rPr>
            <w:webHidden/>
          </w:rPr>
        </w:r>
        <w:r w:rsidR="00EE339D">
          <w:rPr>
            <w:webHidden/>
          </w:rPr>
          <w:fldChar w:fldCharType="separate"/>
        </w:r>
        <w:r w:rsidR="00EE339D">
          <w:rPr>
            <w:webHidden/>
          </w:rPr>
          <w:t>22</w:t>
        </w:r>
        <w:r w:rsidR="00EE339D">
          <w:rPr>
            <w:webHidden/>
          </w:rPr>
          <w:fldChar w:fldCharType="end"/>
        </w:r>
      </w:hyperlink>
    </w:p>
    <w:p w14:paraId="63FA42DF" w14:textId="78105A75" w:rsidR="00EE339D" w:rsidRDefault="00000000">
      <w:pPr>
        <w:pStyle w:val="TOC1"/>
        <w:rPr>
          <w:rFonts w:asciiTheme="minorHAnsi" w:eastAsiaTheme="minorEastAsia" w:hAnsiTheme="minorHAnsi" w:cstheme="minorBidi"/>
          <w:b w:val="0"/>
          <w:sz w:val="22"/>
          <w:szCs w:val="22"/>
          <w:lang w:eastAsia="en-AU"/>
        </w:rPr>
      </w:pPr>
      <w:hyperlink w:anchor="_Toc124847235" w:history="1">
        <w:r w:rsidR="00EE339D" w:rsidRPr="00010B30">
          <w:rPr>
            <w:rStyle w:val="Hyperlink"/>
          </w:rPr>
          <w:t>Appendix 1 – HFRP payment mechanism and six-monthly funding reconciliation reporting</w:t>
        </w:r>
        <w:r w:rsidR="00EE339D">
          <w:rPr>
            <w:webHidden/>
          </w:rPr>
          <w:tab/>
        </w:r>
        <w:r w:rsidR="00EE339D">
          <w:rPr>
            <w:webHidden/>
          </w:rPr>
          <w:fldChar w:fldCharType="begin"/>
        </w:r>
        <w:r w:rsidR="00EE339D">
          <w:rPr>
            <w:webHidden/>
          </w:rPr>
          <w:instrText xml:space="preserve"> PAGEREF _Toc124847235 \h </w:instrText>
        </w:r>
        <w:r w:rsidR="00EE339D">
          <w:rPr>
            <w:webHidden/>
          </w:rPr>
        </w:r>
        <w:r w:rsidR="00EE339D">
          <w:rPr>
            <w:webHidden/>
          </w:rPr>
          <w:fldChar w:fldCharType="separate"/>
        </w:r>
        <w:r w:rsidR="00EE339D">
          <w:rPr>
            <w:webHidden/>
          </w:rPr>
          <w:t>23</w:t>
        </w:r>
        <w:r w:rsidR="00EE339D">
          <w:rPr>
            <w:webHidden/>
          </w:rPr>
          <w:fldChar w:fldCharType="end"/>
        </w:r>
      </w:hyperlink>
    </w:p>
    <w:p w14:paraId="12E45435" w14:textId="1744A00D" w:rsidR="00EE339D" w:rsidRDefault="00000000">
      <w:pPr>
        <w:pStyle w:val="TOC2"/>
        <w:rPr>
          <w:rFonts w:asciiTheme="minorHAnsi" w:eastAsiaTheme="minorEastAsia" w:hAnsiTheme="minorHAnsi" w:cstheme="minorBidi"/>
          <w:sz w:val="22"/>
          <w:szCs w:val="22"/>
          <w:lang w:eastAsia="en-AU"/>
        </w:rPr>
      </w:pPr>
      <w:hyperlink w:anchor="_Toc124847236" w:history="1">
        <w:r w:rsidR="00EE339D" w:rsidRPr="00010B30">
          <w:rPr>
            <w:rStyle w:val="Hyperlink"/>
            <w:rFonts w:eastAsia="Segoe UI"/>
          </w:rPr>
          <w:t>Six-monthly reconciliation funding reporting requirements</w:t>
        </w:r>
        <w:r w:rsidR="00EE339D">
          <w:rPr>
            <w:webHidden/>
          </w:rPr>
          <w:tab/>
        </w:r>
        <w:r w:rsidR="00EE339D">
          <w:rPr>
            <w:webHidden/>
          </w:rPr>
          <w:fldChar w:fldCharType="begin"/>
        </w:r>
        <w:r w:rsidR="00EE339D">
          <w:rPr>
            <w:webHidden/>
          </w:rPr>
          <w:instrText xml:space="preserve"> PAGEREF _Toc124847236 \h </w:instrText>
        </w:r>
        <w:r w:rsidR="00EE339D">
          <w:rPr>
            <w:webHidden/>
          </w:rPr>
        </w:r>
        <w:r w:rsidR="00EE339D">
          <w:rPr>
            <w:webHidden/>
          </w:rPr>
          <w:fldChar w:fldCharType="separate"/>
        </w:r>
        <w:r w:rsidR="00EE339D">
          <w:rPr>
            <w:webHidden/>
          </w:rPr>
          <w:t>24</w:t>
        </w:r>
        <w:r w:rsidR="00EE339D">
          <w:rPr>
            <w:webHidden/>
          </w:rPr>
          <w:fldChar w:fldCharType="end"/>
        </w:r>
      </w:hyperlink>
    </w:p>
    <w:p w14:paraId="5C7F3E02" w14:textId="26BD63CA" w:rsidR="00EE339D" w:rsidRDefault="00000000">
      <w:pPr>
        <w:pStyle w:val="TOC1"/>
        <w:rPr>
          <w:rFonts w:asciiTheme="minorHAnsi" w:eastAsiaTheme="minorEastAsia" w:hAnsiTheme="minorHAnsi" w:cstheme="minorBidi"/>
          <w:b w:val="0"/>
          <w:sz w:val="22"/>
          <w:szCs w:val="22"/>
          <w:lang w:eastAsia="en-AU"/>
        </w:rPr>
      </w:pPr>
      <w:hyperlink w:anchor="_Toc124847237" w:history="1">
        <w:r w:rsidR="00EE339D" w:rsidRPr="00010B30">
          <w:rPr>
            <w:rStyle w:val="Hyperlink"/>
          </w:rPr>
          <w:t>Appendix 2 – measuring program performance through activity-based targets</w:t>
        </w:r>
        <w:r w:rsidR="00EE339D">
          <w:rPr>
            <w:webHidden/>
          </w:rPr>
          <w:tab/>
        </w:r>
        <w:r w:rsidR="00EE339D">
          <w:rPr>
            <w:webHidden/>
          </w:rPr>
          <w:fldChar w:fldCharType="begin"/>
        </w:r>
        <w:r w:rsidR="00EE339D">
          <w:rPr>
            <w:webHidden/>
          </w:rPr>
          <w:instrText xml:space="preserve"> PAGEREF _Toc124847237 \h </w:instrText>
        </w:r>
        <w:r w:rsidR="00EE339D">
          <w:rPr>
            <w:webHidden/>
          </w:rPr>
        </w:r>
        <w:r w:rsidR="00EE339D">
          <w:rPr>
            <w:webHidden/>
          </w:rPr>
          <w:fldChar w:fldCharType="separate"/>
        </w:r>
        <w:r w:rsidR="00EE339D">
          <w:rPr>
            <w:webHidden/>
          </w:rPr>
          <w:t>25</w:t>
        </w:r>
        <w:r w:rsidR="00EE339D">
          <w:rPr>
            <w:webHidden/>
          </w:rPr>
          <w:fldChar w:fldCharType="end"/>
        </w:r>
      </w:hyperlink>
    </w:p>
    <w:p w14:paraId="187ABAE1" w14:textId="57320FC4" w:rsidR="00EE339D" w:rsidRDefault="00000000">
      <w:pPr>
        <w:pStyle w:val="TOC1"/>
        <w:rPr>
          <w:rFonts w:asciiTheme="minorHAnsi" w:eastAsiaTheme="minorEastAsia" w:hAnsiTheme="minorHAnsi" w:cstheme="minorBidi"/>
          <w:b w:val="0"/>
          <w:sz w:val="22"/>
          <w:szCs w:val="22"/>
          <w:lang w:eastAsia="en-AU"/>
        </w:rPr>
      </w:pPr>
      <w:hyperlink w:anchor="_Toc124847238" w:history="1">
        <w:r w:rsidR="00EE339D" w:rsidRPr="00010B30">
          <w:rPr>
            <w:rStyle w:val="Hyperlink"/>
          </w:rPr>
          <w:t>Appendix 3 – HFRP VHR eligibility and process</w:t>
        </w:r>
        <w:r w:rsidR="00EE339D">
          <w:rPr>
            <w:webHidden/>
          </w:rPr>
          <w:tab/>
        </w:r>
        <w:r w:rsidR="00EE339D">
          <w:rPr>
            <w:webHidden/>
          </w:rPr>
          <w:fldChar w:fldCharType="begin"/>
        </w:r>
        <w:r w:rsidR="00EE339D">
          <w:rPr>
            <w:webHidden/>
          </w:rPr>
          <w:instrText xml:space="preserve"> PAGEREF _Toc124847238 \h </w:instrText>
        </w:r>
        <w:r w:rsidR="00EE339D">
          <w:rPr>
            <w:webHidden/>
          </w:rPr>
        </w:r>
        <w:r w:rsidR="00EE339D">
          <w:rPr>
            <w:webHidden/>
          </w:rPr>
          <w:fldChar w:fldCharType="separate"/>
        </w:r>
        <w:r w:rsidR="00EE339D">
          <w:rPr>
            <w:webHidden/>
          </w:rPr>
          <w:t>27</w:t>
        </w:r>
        <w:r w:rsidR="00EE339D">
          <w:rPr>
            <w:webHidden/>
          </w:rPr>
          <w:fldChar w:fldCharType="end"/>
        </w:r>
      </w:hyperlink>
    </w:p>
    <w:p w14:paraId="37600FA6" w14:textId="29BF5E49" w:rsidR="00EE339D" w:rsidRDefault="00000000">
      <w:pPr>
        <w:pStyle w:val="TOC2"/>
        <w:rPr>
          <w:rFonts w:asciiTheme="minorHAnsi" w:eastAsiaTheme="minorEastAsia" w:hAnsiTheme="minorHAnsi" w:cstheme="minorBidi"/>
          <w:sz w:val="22"/>
          <w:szCs w:val="22"/>
          <w:lang w:eastAsia="en-AU"/>
        </w:rPr>
      </w:pPr>
      <w:hyperlink w:anchor="_Toc124847239" w:history="1">
        <w:r w:rsidR="00EE339D" w:rsidRPr="00010B30">
          <w:rPr>
            <w:rStyle w:val="Hyperlink"/>
            <w:rFonts w:eastAsia="MS Gothic"/>
          </w:rPr>
          <w:t>Special dispensations</w:t>
        </w:r>
        <w:r w:rsidR="00EE339D">
          <w:rPr>
            <w:webHidden/>
          </w:rPr>
          <w:tab/>
        </w:r>
        <w:r w:rsidR="00EE339D">
          <w:rPr>
            <w:webHidden/>
          </w:rPr>
          <w:fldChar w:fldCharType="begin"/>
        </w:r>
        <w:r w:rsidR="00EE339D">
          <w:rPr>
            <w:webHidden/>
          </w:rPr>
          <w:instrText xml:space="preserve"> PAGEREF _Toc124847239 \h </w:instrText>
        </w:r>
        <w:r w:rsidR="00EE339D">
          <w:rPr>
            <w:webHidden/>
          </w:rPr>
        </w:r>
        <w:r w:rsidR="00EE339D">
          <w:rPr>
            <w:webHidden/>
          </w:rPr>
          <w:fldChar w:fldCharType="separate"/>
        </w:r>
        <w:r w:rsidR="00EE339D">
          <w:rPr>
            <w:webHidden/>
          </w:rPr>
          <w:t>27</w:t>
        </w:r>
        <w:r w:rsidR="00EE339D">
          <w:rPr>
            <w:webHidden/>
          </w:rPr>
          <w:fldChar w:fldCharType="end"/>
        </w:r>
      </w:hyperlink>
    </w:p>
    <w:p w14:paraId="7B4518D6" w14:textId="614A2C57" w:rsidR="00EE339D" w:rsidRDefault="00000000">
      <w:pPr>
        <w:pStyle w:val="TOC2"/>
        <w:rPr>
          <w:rFonts w:asciiTheme="minorHAnsi" w:eastAsiaTheme="minorEastAsia" w:hAnsiTheme="minorHAnsi" w:cstheme="minorBidi"/>
          <w:sz w:val="22"/>
          <w:szCs w:val="22"/>
          <w:lang w:eastAsia="en-AU"/>
        </w:rPr>
      </w:pPr>
      <w:hyperlink w:anchor="_Toc124847240" w:history="1">
        <w:r w:rsidR="00EE339D" w:rsidRPr="00010B30">
          <w:rPr>
            <w:rStyle w:val="Hyperlink"/>
            <w:rFonts w:eastAsia="MS Gothic"/>
          </w:rPr>
          <w:t>RentAssist bond loans</w:t>
        </w:r>
        <w:r w:rsidR="00EE339D">
          <w:rPr>
            <w:webHidden/>
          </w:rPr>
          <w:tab/>
        </w:r>
        <w:r w:rsidR="00EE339D">
          <w:rPr>
            <w:webHidden/>
          </w:rPr>
          <w:fldChar w:fldCharType="begin"/>
        </w:r>
        <w:r w:rsidR="00EE339D">
          <w:rPr>
            <w:webHidden/>
          </w:rPr>
          <w:instrText xml:space="preserve"> PAGEREF _Toc124847240 \h </w:instrText>
        </w:r>
        <w:r w:rsidR="00EE339D">
          <w:rPr>
            <w:webHidden/>
          </w:rPr>
        </w:r>
        <w:r w:rsidR="00EE339D">
          <w:rPr>
            <w:webHidden/>
          </w:rPr>
          <w:fldChar w:fldCharType="separate"/>
        </w:r>
        <w:r w:rsidR="00EE339D">
          <w:rPr>
            <w:webHidden/>
          </w:rPr>
          <w:t>28</w:t>
        </w:r>
        <w:r w:rsidR="00EE339D">
          <w:rPr>
            <w:webHidden/>
          </w:rPr>
          <w:fldChar w:fldCharType="end"/>
        </w:r>
      </w:hyperlink>
    </w:p>
    <w:p w14:paraId="24D6B92A" w14:textId="2B6F4CBB" w:rsidR="00EE339D" w:rsidRDefault="00000000">
      <w:pPr>
        <w:pStyle w:val="TOC2"/>
        <w:rPr>
          <w:rFonts w:asciiTheme="minorHAnsi" w:eastAsiaTheme="minorEastAsia" w:hAnsiTheme="minorHAnsi" w:cstheme="minorBidi"/>
          <w:sz w:val="22"/>
          <w:szCs w:val="22"/>
          <w:lang w:eastAsia="en-AU"/>
        </w:rPr>
      </w:pPr>
      <w:hyperlink w:anchor="_Toc124847241" w:history="1">
        <w:r w:rsidR="00EE339D" w:rsidRPr="00010B30">
          <w:rPr>
            <w:rStyle w:val="Hyperlink"/>
            <w:rFonts w:eastAsia="MS Gothic"/>
          </w:rPr>
          <w:t>Public housing</w:t>
        </w:r>
        <w:r w:rsidR="00EE339D">
          <w:rPr>
            <w:webHidden/>
          </w:rPr>
          <w:tab/>
        </w:r>
        <w:r w:rsidR="00EE339D">
          <w:rPr>
            <w:webHidden/>
          </w:rPr>
          <w:fldChar w:fldCharType="begin"/>
        </w:r>
        <w:r w:rsidR="00EE339D">
          <w:rPr>
            <w:webHidden/>
          </w:rPr>
          <w:instrText xml:space="preserve"> PAGEREF _Toc124847241 \h </w:instrText>
        </w:r>
        <w:r w:rsidR="00EE339D">
          <w:rPr>
            <w:webHidden/>
          </w:rPr>
        </w:r>
        <w:r w:rsidR="00EE339D">
          <w:rPr>
            <w:webHidden/>
          </w:rPr>
          <w:fldChar w:fldCharType="separate"/>
        </w:r>
        <w:r w:rsidR="00EE339D">
          <w:rPr>
            <w:webHidden/>
          </w:rPr>
          <w:t>28</w:t>
        </w:r>
        <w:r w:rsidR="00EE339D">
          <w:rPr>
            <w:webHidden/>
          </w:rPr>
          <w:fldChar w:fldCharType="end"/>
        </w:r>
      </w:hyperlink>
    </w:p>
    <w:p w14:paraId="42C49055" w14:textId="5C8A37A1"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33C6FA12" w14:textId="77777777" w:rsidR="0013169E" w:rsidRDefault="0013169E" w:rsidP="0013169E">
      <w:pPr>
        <w:pStyle w:val="Heading1"/>
      </w:pPr>
      <w:bookmarkStart w:id="1" w:name="_Toc111195399"/>
      <w:bookmarkStart w:id="2" w:name="_Toc119413886"/>
      <w:bookmarkStart w:id="3" w:name="_Toc123723338"/>
      <w:bookmarkStart w:id="4" w:name="_Toc124847200"/>
      <w:r w:rsidRPr="482CF03A">
        <w:lastRenderedPageBreak/>
        <w:t>Acknowledgement</w:t>
      </w:r>
      <w:r>
        <w:t xml:space="preserve"> </w:t>
      </w:r>
      <w:r w:rsidRPr="482CF03A">
        <w:t>of</w:t>
      </w:r>
      <w:r>
        <w:t xml:space="preserve"> </w:t>
      </w:r>
      <w:r w:rsidRPr="482CF03A">
        <w:t>Country</w:t>
      </w:r>
      <w:bookmarkEnd w:id="1"/>
      <w:bookmarkEnd w:id="2"/>
      <w:bookmarkEnd w:id="3"/>
      <w:bookmarkEnd w:id="4"/>
    </w:p>
    <w:p w14:paraId="737465A5" w14:textId="77777777" w:rsidR="0013169E" w:rsidRPr="0013169E" w:rsidRDefault="0013169E" w:rsidP="0013169E">
      <w:pPr>
        <w:pStyle w:val="DHHSbody"/>
        <w:rPr>
          <w:rFonts w:ascii="Arial" w:hAnsi="Arial" w:cs="Arial"/>
        </w:rPr>
      </w:pPr>
      <w:r w:rsidRPr="0013169E">
        <w:rPr>
          <w:rFonts w:ascii="Arial" w:hAnsi="Arial" w:cs="Arial"/>
        </w:rPr>
        <w:t>The Victorian Government proudly acknowledges Victorian Aboriginal people as the First Peoples and Traditional Owners and custodians of the land and waters on which we rely. We celebrate that Australia is rich in living Aboriginal culture, based on the values of reciprocity and respect for Elders and Country.</w:t>
      </w:r>
    </w:p>
    <w:p w14:paraId="536C545D" w14:textId="77777777" w:rsidR="0013169E" w:rsidRPr="0013169E" w:rsidRDefault="0013169E" w:rsidP="0013169E">
      <w:pPr>
        <w:pStyle w:val="DHHSbody"/>
        <w:rPr>
          <w:rFonts w:ascii="Arial" w:hAnsi="Arial" w:cs="Arial"/>
        </w:rPr>
      </w:pPr>
      <w:r w:rsidRPr="0013169E">
        <w:rPr>
          <w:rFonts w:ascii="Arial" w:hAnsi="Arial" w:cs="Arial"/>
        </w:rPr>
        <w:t xml:space="preserve">We acknowledge the ongoing leadership role of the Aboriginal community in creating services and supports to ensure that all Aboriginal children are raised in safe, healthy, and culturally rich families and communities, and have every opportunity for a bright future. </w:t>
      </w:r>
    </w:p>
    <w:p w14:paraId="7DED6380" w14:textId="77777777" w:rsidR="0013169E" w:rsidRPr="0013169E" w:rsidRDefault="0013169E" w:rsidP="0013169E">
      <w:pPr>
        <w:pStyle w:val="DHHSbody"/>
        <w:rPr>
          <w:rFonts w:ascii="Arial" w:hAnsi="Arial" w:cs="Arial"/>
        </w:rPr>
      </w:pPr>
      <w:r w:rsidRPr="0013169E">
        <w:rPr>
          <w:rFonts w:ascii="Arial" w:hAnsi="Arial" w:cs="Arial"/>
        </w:rPr>
        <w:t>We pay our respects to ancestors of this Country, Elders, knowledge holders and leaders – past and present.</w:t>
      </w:r>
    </w:p>
    <w:p w14:paraId="170F1F09" w14:textId="77777777" w:rsidR="0013169E" w:rsidRPr="0087578D" w:rsidRDefault="0013169E" w:rsidP="0013169E">
      <w:pPr>
        <w:pStyle w:val="Heading1"/>
      </w:pPr>
      <w:bookmarkStart w:id="5" w:name="_Toc111195400"/>
      <w:bookmarkStart w:id="6" w:name="_Toc119413887"/>
      <w:bookmarkStart w:id="7" w:name="_Toc123723339"/>
      <w:bookmarkStart w:id="8" w:name="_Toc124847201"/>
      <w:r w:rsidRPr="0087578D">
        <w:t>Glossary</w:t>
      </w:r>
      <w:bookmarkEnd w:id="5"/>
      <w:bookmarkEnd w:id="6"/>
      <w:bookmarkEnd w:id="7"/>
      <w:bookmarkEnd w:id="8"/>
    </w:p>
    <w:tbl>
      <w:tblPr>
        <w:tblStyle w:val="TableGrid"/>
        <w:tblW w:w="10305" w:type="dxa"/>
        <w:tblBorders>
          <w:top w:val="single" w:sz="4" w:space="0" w:color="032833"/>
          <w:left w:val="single" w:sz="4" w:space="0" w:color="032833"/>
          <w:bottom w:val="single" w:sz="4" w:space="0" w:color="032833"/>
          <w:right w:val="single" w:sz="4" w:space="0" w:color="032833"/>
          <w:insideH w:val="single" w:sz="4" w:space="0" w:color="032833"/>
          <w:insideV w:val="single" w:sz="4" w:space="0" w:color="032833"/>
        </w:tblBorders>
        <w:tblLook w:val="04A0" w:firstRow="1" w:lastRow="0" w:firstColumn="1" w:lastColumn="0" w:noHBand="0" w:noVBand="1"/>
      </w:tblPr>
      <w:tblGrid>
        <w:gridCol w:w="2864"/>
        <w:gridCol w:w="7441"/>
      </w:tblGrid>
      <w:tr w:rsidR="0013169E" w:rsidRPr="0013169E" w14:paraId="594E89DA" w14:textId="77777777" w:rsidTr="0013169E">
        <w:trPr>
          <w:trHeight w:val="303"/>
          <w:tblHeader/>
        </w:trPr>
        <w:tc>
          <w:tcPr>
            <w:tcW w:w="2864" w:type="dxa"/>
            <w:shd w:val="clear" w:color="auto" w:fill="auto"/>
          </w:tcPr>
          <w:p w14:paraId="3A2667B9" w14:textId="77777777" w:rsidR="0013169E" w:rsidRPr="0013169E" w:rsidRDefault="0013169E" w:rsidP="0013169E">
            <w:pPr>
              <w:pStyle w:val="DHHStablecolhead"/>
              <w:rPr>
                <w:color w:val="auto"/>
              </w:rPr>
            </w:pPr>
            <w:r w:rsidRPr="0013169E">
              <w:rPr>
                <w:color w:val="auto"/>
              </w:rPr>
              <w:t>Term</w:t>
            </w:r>
          </w:p>
        </w:tc>
        <w:tc>
          <w:tcPr>
            <w:tcW w:w="7441" w:type="dxa"/>
            <w:shd w:val="clear" w:color="auto" w:fill="auto"/>
          </w:tcPr>
          <w:p w14:paraId="6E65FAAC" w14:textId="77777777" w:rsidR="0013169E" w:rsidRPr="0013169E" w:rsidRDefault="0013169E" w:rsidP="0013169E">
            <w:pPr>
              <w:pStyle w:val="DHHStablecolhead"/>
              <w:rPr>
                <w:color w:val="auto"/>
              </w:rPr>
            </w:pPr>
            <w:r w:rsidRPr="0013169E">
              <w:rPr>
                <w:color w:val="auto"/>
              </w:rPr>
              <w:t>Definition</w:t>
            </w:r>
          </w:p>
        </w:tc>
      </w:tr>
      <w:tr w:rsidR="0013169E" w14:paraId="765018C7" w14:textId="77777777" w:rsidTr="00CA3704">
        <w:tc>
          <w:tcPr>
            <w:tcW w:w="2864" w:type="dxa"/>
          </w:tcPr>
          <w:p w14:paraId="350B434B" w14:textId="77777777" w:rsidR="0013169E" w:rsidRPr="00696BA9" w:rsidRDefault="0013169E" w:rsidP="0013169E">
            <w:pPr>
              <w:pStyle w:val="DHHStabletext"/>
              <w:rPr>
                <w:lang w:val="en-GB"/>
              </w:rPr>
            </w:pPr>
            <w:r w:rsidRPr="00696BA9">
              <w:rPr>
                <w:lang w:val="en-GB"/>
              </w:rPr>
              <w:t>Aboriginal</w:t>
            </w:r>
          </w:p>
        </w:tc>
        <w:tc>
          <w:tcPr>
            <w:tcW w:w="7441" w:type="dxa"/>
          </w:tcPr>
          <w:p w14:paraId="0C215896" w14:textId="77777777" w:rsidR="0013169E" w:rsidRPr="00696BA9" w:rsidRDefault="0013169E" w:rsidP="0013169E">
            <w:pPr>
              <w:pStyle w:val="DHHStabletext"/>
              <w:rPr>
                <w:lang w:eastAsia="en-AU"/>
              </w:rPr>
            </w:pPr>
            <w:r w:rsidRPr="00696BA9">
              <w:rPr>
                <w:lang w:eastAsia="en-AU"/>
              </w:rPr>
              <w:t>Describes First Nations Aboriginal and Torres Strait Islander peoples. We acknowledge the term ‘Aboriginal’ does not capture the entire diversity and complexity of Victoria’s Aboriginal and Torres Strait Islander peoples and cultures. Our intent is always to use terms that are respectful, inclusive, and accurate.</w:t>
            </w:r>
          </w:p>
        </w:tc>
      </w:tr>
      <w:tr w:rsidR="0013169E" w14:paraId="6A5E5592" w14:textId="77777777" w:rsidTr="00CA3704">
        <w:tc>
          <w:tcPr>
            <w:tcW w:w="2864" w:type="dxa"/>
          </w:tcPr>
          <w:p w14:paraId="79D38386" w14:textId="77777777" w:rsidR="0013169E" w:rsidRPr="00696BA9" w:rsidRDefault="0013169E" w:rsidP="0013169E">
            <w:pPr>
              <w:pStyle w:val="DHHStabletext"/>
              <w:rPr>
                <w:lang w:val="en-GB"/>
              </w:rPr>
            </w:pPr>
            <w:r w:rsidRPr="00696BA9">
              <w:rPr>
                <w:lang w:val="en-GB"/>
              </w:rPr>
              <w:t xml:space="preserve">Aboriginal Community Controlled Organisation (ACCO) </w:t>
            </w:r>
          </w:p>
        </w:tc>
        <w:tc>
          <w:tcPr>
            <w:tcW w:w="7441" w:type="dxa"/>
          </w:tcPr>
          <w:p w14:paraId="4269A7FC" w14:textId="77777777" w:rsidR="0013169E" w:rsidRPr="00696BA9" w:rsidRDefault="0013169E" w:rsidP="0013169E">
            <w:pPr>
              <w:pStyle w:val="DHHStabletext"/>
              <w:rPr>
                <w:rFonts w:eastAsia="Arial"/>
                <w:lang w:eastAsia="en-AU"/>
              </w:rPr>
            </w:pPr>
            <w:r w:rsidRPr="00696BA9">
              <w:rPr>
                <w:lang w:eastAsia="en-AU"/>
              </w:rPr>
              <w:t>An</w:t>
            </w:r>
            <w:r w:rsidRPr="00696BA9" w:rsidDel="00860378">
              <w:rPr>
                <w:lang w:eastAsia="en-AU"/>
              </w:rPr>
              <w:t xml:space="preserve"> </w:t>
            </w:r>
            <w:r w:rsidRPr="00696BA9">
              <w:rPr>
                <w:lang w:eastAsia="en-AU"/>
              </w:rPr>
              <w:t>organisation that functions under the principle of self-determination, is initiated by and for a local Aboriginal community and is based in a local Aboriginal community.</w:t>
            </w:r>
          </w:p>
        </w:tc>
      </w:tr>
      <w:tr w:rsidR="0013169E" w14:paraId="24A22139" w14:textId="77777777" w:rsidTr="00CA3704">
        <w:trPr>
          <w:trHeight w:val="576"/>
        </w:trPr>
        <w:tc>
          <w:tcPr>
            <w:tcW w:w="2864" w:type="dxa"/>
          </w:tcPr>
          <w:p w14:paraId="4005B8E0" w14:textId="77777777" w:rsidR="0013169E" w:rsidRPr="00696BA9" w:rsidRDefault="0013169E" w:rsidP="0013169E">
            <w:pPr>
              <w:pStyle w:val="DHHStabletext"/>
            </w:pPr>
            <w:r w:rsidRPr="00696BA9">
              <w:rPr>
                <w:lang w:val="en-GB"/>
              </w:rPr>
              <w:t>Activity Descriptor</w:t>
            </w:r>
          </w:p>
        </w:tc>
        <w:tc>
          <w:tcPr>
            <w:tcW w:w="7441" w:type="dxa"/>
          </w:tcPr>
          <w:p w14:paraId="3692465D" w14:textId="77777777" w:rsidR="0013169E" w:rsidRPr="00696BA9" w:rsidRDefault="0013169E" w:rsidP="0013169E">
            <w:pPr>
              <w:pStyle w:val="DHHStabletext"/>
              <w:rPr>
                <w:rFonts w:cs="Arial"/>
              </w:rPr>
            </w:pPr>
            <w:r w:rsidRPr="00696BA9">
              <w:rPr>
                <w:rFonts w:cs="Arial"/>
                <w:color w:val="000000" w:themeColor="text1"/>
                <w:lang w:val="en-GB" w:eastAsia="en-AU"/>
              </w:rPr>
              <w:t>A schedule to the Service Agreement, which contains detailed information of Families, Fairness and Housing (DFFH)-funded services activity</w:t>
            </w:r>
            <w:r>
              <w:rPr>
                <w:rFonts w:cs="Arial"/>
                <w:color w:val="000000" w:themeColor="text1"/>
                <w:lang w:val="en-GB" w:eastAsia="en-AU"/>
              </w:rPr>
              <w:t xml:space="preserve">. For more information </w:t>
            </w:r>
            <w:hyperlink r:id="rId19" w:history="1">
              <w:r w:rsidRPr="0013169E">
                <w:rPr>
                  <w:rStyle w:val="Hyperlink"/>
                  <w:rFonts w:cs="Arial"/>
                  <w:sz w:val="21"/>
                  <w:szCs w:val="21"/>
                  <w:lang w:val="en-GB" w:eastAsia="en-AU"/>
                </w:rPr>
                <w:t>visit the DFFH and DH activity search</w:t>
              </w:r>
            </w:hyperlink>
            <w:r>
              <w:rPr>
                <w:rFonts w:cs="Arial"/>
                <w:color w:val="000000" w:themeColor="text1"/>
                <w:lang w:val="en-GB" w:eastAsia="en-AU"/>
              </w:rPr>
              <w:t xml:space="preserve"> &lt;</w:t>
            </w:r>
            <w:r w:rsidRPr="007103E3">
              <w:rPr>
                <w:rFonts w:cs="Arial"/>
                <w:color w:val="000000" w:themeColor="text1"/>
                <w:lang w:val="en-GB" w:eastAsia="en-AU"/>
              </w:rPr>
              <w:t>https://providers.dhhs.vic.gov.au/health-human-services-activity-search</w:t>
            </w:r>
            <w:r>
              <w:rPr>
                <w:rFonts w:cs="Arial"/>
                <w:color w:val="000000" w:themeColor="text1"/>
                <w:lang w:val="en-GB" w:eastAsia="en-AU"/>
              </w:rPr>
              <w:t>&gt;.</w:t>
            </w:r>
          </w:p>
        </w:tc>
      </w:tr>
      <w:tr w:rsidR="0013169E" w:rsidRPr="0013169E" w14:paraId="478BA53F" w14:textId="77777777" w:rsidTr="00CA3704">
        <w:tc>
          <w:tcPr>
            <w:tcW w:w="2864" w:type="dxa"/>
          </w:tcPr>
          <w:p w14:paraId="7AE14D76" w14:textId="77777777" w:rsidR="0013169E" w:rsidRPr="0013169E" w:rsidRDefault="0013169E" w:rsidP="0013169E">
            <w:pPr>
              <w:pStyle w:val="DHHStabletext"/>
              <w:rPr>
                <w:lang w:val="en-GB"/>
              </w:rPr>
            </w:pPr>
            <w:r w:rsidRPr="0013169E">
              <w:rPr>
                <w:lang w:val="en-GB"/>
              </w:rPr>
              <w:t>APSS</w:t>
            </w:r>
          </w:p>
        </w:tc>
        <w:tc>
          <w:tcPr>
            <w:tcW w:w="7441" w:type="dxa"/>
          </w:tcPr>
          <w:p w14:paraId="3065AC31" w14:textId="77777777" w:rsidR="0013169E" w:rsidRPr="0013169E" w:rsidRDefault="0013169E" w:rsidP="0013169E">
            <w:pPr>
              <w:pStyle w:val="DHHStabletext"/>
              <w:rPr>
                <w:lang w:val="en-GB"/>
              </w:rPr>
            </w:pPr>
            <w:r w:rsidRPr="0013169E">
              <w:rPr>
                <w:lang w:val="en-GB"/>
              </w:rPr>
              <w:t>Agency Performance System and Support teams located in DFFH local areas.</w:t>
            </w:r>
          </w:p>
        </w:tc>
      </w:tr>
      <w:tr w:rsidR="0013169E" w:rsidRPr="0013169E" w14:paraId="3858A918" w14:textId="77777777" w:rsidTr="00CA3704">
        <w:tc>
          <w:tcPr>
            <w:tcW w:w="2864" w:type="dxa"/>
          </w:tcPr>
          <w:p w14:paraId="534F4CBC" w14:textId="77777777" w:rsidR="0013169E" w:rsidRPr="0013169E" w:rsidRDefault="0013169E" w:rsidP="0013169E">
            <w:pPr>
              <w:pStyle w:val="DHHStabletext"/>
              <w:rPr>
                <w:lang w:val="en-GB"/>
              </w:rPr>
            </w:pPr>
            <w:r w:rsidRPr="0013169E">
              <w:rPr>
                <w:lang w:val="en-GB"/>
              </w:rPr>
              <w:t>Children</w:t>
            </w:r>
          </w:p>
        </w:tc>
        <w:tc>
          <w:tcPr>
            <w:tcW w:w="7441" w:type="dxa"/>
          </w:tcPr>
          <w:p w14:paraId="243FA2E3" w14:textId="77777777" w:rsidR="0013169E" w:rsidRPr="0013169E" w:rsidRDefault="0013169E" w:rsidP="0013169E">
            <w:pPr>
              <w:pStyle w:val="DHHStabletext"/>
              <w:rPr>
                <w:lang w:val="en-GB"/>
              </w:rPr>
            </w:pPr>
            <w:r w:rsidRPr="0013169E">
              <w:rPr>
                <w:lang w:val="en-GB"/>
              </w:rPr>
              <w:t>Children in this document include infants (including the unborn child), children and young people under 18 years of age.</w:t>
            </w:r>
          </w:p>
        </w:tc>
      </w:tr>
      <w:tr w:rsidR="0013169E" w:rsidRPr="0013169E" w14:paraId="32AC2BF7" w14:textId="77777777" w:rsidTr="00CA3704">
        <w:trPr>
          <w:trHeight w:val="360"/>
        </w:trPr>
        <w:tc>
          <w:tcPr>
            <w:tcW w:w="2864" w:type="dxa"/>
            <w:tcBorders>
              <w:top w:val="single" w:sz="4" w:space="0" w:color="032833"/>
              <w:left w:val="single" w:sz="4" w:space="0" w:color="032833"/>
              <w:bottom w:val="single" w:sz="4" w:space="0" w:color="032833"/>
              <w:right w:val="single" w:sz="4" w:space="0" w:color="032833"/>
            </w:tcBorders>
          </w:tcPr>
          <w:p w14:paraId="3C5BD443" w14:textId="77777777" w:rsidR="0013169E" w:rsidRPr="0013169E" w:rsidRDefault="0013169E" w:rsidP="0013169E">
            <w:pPr>
              <w:pStyle w:val="DHHStabletext"/>
              <w:rPr>
                <w:lang w:val="en-GB"/>
              </w:rPr>
            </w:pPr>
            <w:r w:rsidRPr="0013169E">
              <w:rPr>
                <w:lang w:val="en-GB"/>
              </w:rPr>
              <w:t xml:space="preserve">Client </w:t>
            </w:r>
          </w:p>
        </w:tc>
        <w:tc>
          <w:tcPr>
            <w:tcW w:w="7441" w:type="dxa"/>
            <w:tcBorders>
              <w:top w:val="single" w:sz="4" w:space="0" w:color="032833"/>
              <w:left w:val="single" w:sz="4" w:space="0" w:color="032833"/>
              <w:bottom w:val="single" w:sz="4" w:space="0" w:color="032833"/>
              <w:right w:val="single" w:sz="4" w:space="0" w:color="032833"/>
            </w:tcBorders>
          </w:tcPr>
          <w:p w14:paraId="29EAE050" w14:textId="3EC3A87D" w:rsidR="0013169E" w:rsidRPr="0013169E" w:rsidRDefault="0013169E" w:rsidP="0013169E">
            <w:pPr>
              <w:pStyle w:val="DHHStabletext"/>
              <w:rPr>
                <w:lang w:val="en-GB"/>
              </w:rPr>
            </w:pPr>
            <w:r w:rsidRPr="0013169E">
              <w:rPr>
                <w:lang w:val="en-GB"/>
              </w:rPr>
              <w:t>The recipient of services as described in the Service Agreement. May also be refer</w:t>
            </w:r>
            <w:r w:rsidR="007503BD">
              <w:rPr>
                <w:lang w:val="en-GB"/>
              </w:rPr>
              <w:t>r</w:t>
            </w:r>
            <w:r w:rsidRPr="0013169E">
              <w:rPr>
                <w:lang w:val="en-GB"/>
              </w:rPr>
              <w:t>ed to as household.</w:t>
            </w:r>
          </w:p>
        </w:tc>
      </w:tr>
      <w:tr w:rsidR="0013169E" w:rsidRPr="0013169E" w14:paraId="114E0883" w14:textId="77777777" w:rsidTr="00CA3704">
        <w:trPr>
          <w:trHeight w:val="375"/>
        </w:trPr>
        <w:tc>
          <w:tcPr>
            <w:tcW w:w="2864" w:type="dxa"/>
          </w:tcPr>
          <w:p w14:paraId="121F6079" w14:textId="77777777" w:rsidR="0013169E" w:rsidRPr="0013169E" w:rsidRDefault="0013169E" w:rsidP="0013169E">
            <w:pPr>
              <w:pStyle w:val="DHHStabletext"/>
              <w:rPr>
                <w:lang w:val="en-GB"/>
              </w:rPr>
            </w:pPr>
            <w:r w:rsidRPr="0013169E">
              <w:rPr>
                <w:lang w:val="en-GB"/>
              </w:rPr>
              <w:t>Contracting Party</w:t>
            </w:r>
          </w:p>
        </w:tc>
        <w:tc>
          <w:tcPr>
            <w:tcW w:w="7441" w:type="dxa"/>
          </w:tcPr>
          <w:p w14:paraId="58C4CF35" w14:textId="77777777" w:rsidR="0013169E" w:rsidRPr="0013169E" w:rsidRDefault="0013169E" w:rsidP="0013169E">
            <w:pPr>
              <w:pStyle w:val="DHHStabletext"/>
              <w:rPr>
                <w:lang w:val="en-GB"/>
              </w:rPr>
            </w:pPr>
            <w:r w:rsidRPr="0013169E">
              <w:rPr>
                <w:lang w:val="en-GB"/>
              </w:rPr>
              <w:t>The party/parties contracted to deliver Services under the Service Agreement, a Registered Housing Agency, or a Consortium.</w:t>
            </w:r>
          </w:p>
        </w:tc>
      </w:tr>
      <w:tr w:rsidR="0013169E" w:rsidRPr="0013169E" w14:paraId="736D7E40" w14:textId="77777777" w:rsidTr="00CA3704">
        <w:trPr>
          <w:trHeight w:val="375"/>
        </w:trPr>
        <w:tc>
          <w:tcPr>
            <w:tcW w:w="2864" w:type="dxa"/>
          </w:tcPr>
          <w:p w14:paraId="79A93E69" w14:textId="77777777" w:rsidR="0013169E" w:rsidRPr="0013169E" w:rsidRDefault="0013169E" w:rsidP="0013169E">
            <w:pPr>
              <w:pStyle w:val="DHHStabletext"/>
              <w:rPr>
                <w:lang w:val="en-GB"/>
              </w:rPr>
            </w:pPr>
            <w:r w:rsidRPr="0013169E">
              <w:rPr>
                <w:lang w:val="en-GB"/>
              </w:rPr>
              <w:t>Contractual Close</w:t>
            </w:r>
          </w:p>
        </w:tc>
        <w:tc>
          <w:tcPr>
            <w:tcW w:w="7441" w:type="dxa"/>
          </w:tcPr>
          <w:p w14:paraId="6CCC4484" w14:textId="61882DB9" w:rsidR="0013169E" w:rsidRPr="0013169E" w:rsidRDefault="0013169E" w:rsidP="0013169E">
            <w:pPr>
              <w:pStyle w:val="DHHStabletext"/>
              <w:rPr>
                <w:lang w:val="en-GB"/>
              </w:rPr>
            </w:pPr>
            <w:r w:rsidRPr="0013169E">
              <w:rPr>
                <w:lang w:val="en-GB"/>
              </w:rPr>
              <w:t xml:space="preserve">The date on which relevant agreements between the </w:t>
            </w:r>
            <w:r w:rsidR="000B0506">
              <w:rPr>
                <w:lang w:val="en-GB"/>
              </w:rPr>
              <w:t>service provider</w:t>
            </w:r>
            <w:r w:rsidRPr="0013169E">
              <w:rPr>
                <w:lang w:val="en-GB"/>
              </w:rPr>
              <w:t xml:space="preserve"> and DFFH are ended.</w:t>
            </w:r>
          </w:p>
        </w:tc>
      </w:tr>
      <w:tr w:rsidR="0013169E" w:rsidRPr="0013169E" w14:paraId="1FE9F7D3" w14:textId="77777777" w:rsidTr="00CA3704">
        <w:tc>
          <w:tcPr>
            <w:tcW w:w="2864" w:type="dxa"/>
          </w:tcPr>
          <w:p w14:paraId="4A9158A8" w14:textId="77777777" w:rsidR="0013169E" w:rsidRPr="0013169E" w:rsidRDefault="0013169E" w:rsidP="0013169E">
            <w:pPr>
              <w:pStyle w:val="DHHStabletext"/>
              <w:rPr>
                <w:lang w:val="en-GB"/>
              </w:rPr>
            </w:pPr>
            <w:r w:rsidRPr="0013169E">
              <w:rPr>
                <w:lang w:val="en-GB"/>
              </w:rPr>
              <w:t>Community Service Organisation</w:t>
            </w:r>
          </w:p>
        </w:tc>
        <w:tc>
          <w:tcPr>
            <w:tcW w:w="7441" w:type="dxa"/>
          </w:tcPr>
          <w:p w14:paraId="4503052A" w14:textId="77777777" w:rsidR="0013169E" w:rsidRPr="0013169E" w:rsidRDefault="0013169E" w:rsidP="0013169E">
            <w:pPr>
              <w:pStyle w:val="DHHStabletext"/>
              <w:rPr>
                <w:lang w:val="en-GB"/>
              </w:rPr>
            </w:pPr>
            <w:r w:rsidRPr="0013169E">
              <w:rPr>
                <w:lang w:val="en-GB"/>
              </w:rPr>
              <w:t>An accredited and registered organisation that has a Service Agreement with DFFH and is funded to deliver programs.</w:t>
            </w:r>
          </w:p>
        </w:tc>
      </w:tr>
      <w:tr w:rsidR="0013169E" w:rsidRPr="0013169E" w14:paraId="0C78C6C1" w14:textId="77777777" w:rsidTr="00CA3704">
        <w:tc>
          <w:tcPr>
            <w:tcW w:w="2864" w:type="dxa"/>
          </w:tcPr>
          <w:p w14:paraId="6DD50BC7" w14:textId="77777777" w:rsidR="0013169E" w:rsidRPr="0013169E" w:rsidRDefault="0013169E" w:rsidP="0013169E">
            <w:pPr>
              <w:pStyle w:val="DHHStabletext"/>
              <w:rPr>
                <w:lang w:val="en-GB"/>
              </w:rPr>
            </w:pPr>
            <w:r w:rsidRPr="0013169E">
              <w:rPr>
                <w:lang w:val="en-GB"/>
              </w:rPr>
              <w:t>DFFH</w:t>
            </w:r>
          </w:p>
        </w:tc>
        <w:tc>
          <w:tcPr>
            <w:tcW w:w="7441" w:type="dxa"/>
          </w:tcPr>
          <w:p w14:paraId="2131BEFD" w14:textId="77777777" w:rsidR="0013169E" w:rsidRPr="0013169E" w:rsidRDefault="0013169E" w:rsidP="0013169E">
            <w:pPr>
              <w:pStyle w:val="DHHStabletext"/>
              <w:rPr>
                <w:lang w:val="en-GB"/>
              </w:rPr>
            </w:pPr>
            <w:r w:rsidRPr="0013169E">
              <w:rPr>
                <w:lang w:val="en-GB"/>
              </w:rPr>
              <w:t>Department of Families, Fairness and Housing</w:t>
            </w:r>
          </w:p>
        </w:tc>
      </w:tr>
      <w:tr w:rsidR="0013169E" w:rsidRPr="0013169E" w14:paraId="377AA43E" w14:textId="77777777" w:rsidTr="00CA3704">
        <w:tc>
          <w:tcPr>
            <w:tcW w:w="2864" w:type="dxa"/>
          </w:tcPr>
          <w:p w14:paraId="106DA199" w14:textId="77777777" w:rsidR="0013169E" w:rsidRPr="0013169E" w:rsidRDefault="0013169E" w:rsidP="0013169E">
            <w:pPr>
              <w:pStyle w:val="DHHStabletext"/>
              <w:rPr>
                <w:lang w:val="en-GB"/>
              </w:rPr>
            </w:pPr>
            <w:r w:rsidRPr="0013169E">
              <w:rPr>
                <w:lang w:val="en-GB"/>
              </w:rPr>
              <w:t>Dwelling</w:t>
            </w:r>
          </w:p>
        </w:tc>
        <w:tc>
          <w:tcPr>
            <w:tcW w:w="7441" w:type="dxa"/>
          </w:tcPr>
          <w:p w14:paraId="58DD28FF" w14:textId="77777777" w:rsidR="0013169E" w:rsidRPr="0013169E" w:rsidRDefault="0013169E" w:rsidP="0013169E">
            <w:pPr>
              <w:pStyle w:val="DHHStabletext"/>
              <w:rPr>
                <w:lang w:val="en-GB"/>
              </w:rPr>
            </w:pPr>
            <w:r w:rsidRPr="0013169E">
              <w:rPr>
                <w:lang w:val="en-GB"/>
              </w:rPr>
              <w:t>A suitable form of housing provided as part of the Homelessness Flood Recovery Program.</w:t>
            </w:r>
          </w:p>
        </w:tc>
      </w:tr>
      <w:tr w:rsidR="0013169E" w:rsidRPr="0013169E" w14:paraId="1D0CB5F8" w14:textId="77777777" w:rsidTr="007503BD">
        <w:trPr>
          <w:trHeight w:val="760"/>
        </w:trPr>
        <w:tc>
          <w:tcPr>
            <w:tcW w:w="2864" w:type="dxa"/>
            <w:tcBorders>
              <w:top w:val="single" w:sz="4" w:space="0" w:color="032833"/>
              <w:left w:val="single" w:sz="4" w:space="0" w:color="032833"/>
              <w:bottom w:val="single" w:sz="4" w:space="0" w:color="032833"/>
              <w:right w:val="single" w:sz="4" w:space="0" w:color="032833"/>
            </w:tcBorders>
          </w:tcPr>
          <w:p w14:paraId="76FB9DAF" w14:textId="77777777" w:rsidR="0013169E" w:rsidRPr="0013169E" w:rsidRDefault="0013169E" w:rsidP="0013169E">
            <w:pPr>
              <w:pStyle w:val="DHHStabletext"/>
              <w:rPr>
                <w:lang w:val="en-GB"/>
              </w:rPr>
            </w:pPr>
            <w:r w:rsidRPr="0013169E">
              <w:rPr>
                <w:lang w:val="en-GB"/>
              </w:rPr>
              <w:t>Family</w:t>
            </w:r>
          </w:p>
        </w:tc>
        <w:tc>
          <w:tcPr>
            <w:tcW w:w="7441" w:type="dxa"/>
            <w:tcBorders>
              <w:top w:val="single" w:sz="4" w:space="0" w:color="032833"/>
              <w:left w:val="single" w:sz="4" w:space="0" w:color="032833"/>
              <w:bottom w:val="single" w:sz="4" w:space="0" w:color="032833"/>
              <w:right w:val="single" w:sz="4" w:space="0" w:color="032833"/>
            </w:tcBorders>
          </w:tcPr>
          <w:p w14:paraId="2DDD4780" w14:textId="77777777" w:rsidR="0013169E" w:rsidRPr="0013169E" w:rsidRDefault="0013169E" w:rsidP="0013169E">
            <w:pPr>
              <w:pStyle w:val="DHHStabletext"/>
              <w:rPr>
                <w:lang w:val="en-GB"/>
              </w:rPr>
            </w:pPr>
            <w:r w:rsidRPr="0013169E">
              <w:rPr>
                <w:lang w:val="en-GB"/>
              </w:rPr>
              <w:t>A family may include biological relations, such as children, stepchildren, parents, intimate partners, domestic relationships, grandparents, siblings, cousins, kinship relations and others who may or may not be living together.</w:t>
            </w:r>
          </w:p>
        </w:tc>
      </w:tr>
      <w:tr w:rsidR="0013169E" w:rsidRPr="007503BD" w14:paraId="246384D1" w14:textId="77777777" w:rsidTr="00CA3704">
        <w:tc>
          <w:tcPr>
            <w:tcW w:w="2864" w:type="dxa"/>
          </w:tcPr>
          <w:p w14:paraId="0BADB4FA" w14:textId="77777777" w:rsidR="0013169E" w:rsidRPr="007503BD" w:rsidRDefault="0013169E" w:rsidP="007503BD">
            <w:pPr>
              <w:pStyle w:val="DHHStabletext"/>
              <w:rPr>
                <w:lang w:val="en-GB"/>
              </w:rPr>
            </w:pPr>
            <w:r w:rsidRPr="007503BD">
              <w:rPr>
                <w:lang w:val="en-GB"/>
              </w:rPr>
              <w:t xml:space="preserve">From Homelessness to a Home (H2H) Program </w:t>
            </w:r>
          </w:p>
        </w:tc>
        <w:tc>
          <w:tcPr>
            <w:tcW w:w="7441" w:type="dxa"/>
          </w:tcPr>
          <w:p w14:paraId="2204920B" w14:textId="77777777" w:rsidR="0013169E" w:rsidRPr="007503BD" w:rsidRDefault="0013169E" w:rsidP="007503BD">
            <w:pPr>
              <w:pStyle w:val="DHHStabletext"/>
              <w:rPr>
                <w:lang w:val="en-GB"/>
              </w:rPr>
            </w:pPr>
            <w:r w:rsidRPr="007503BD">
              <w:rPr>
                <w:lang w:val="en-GB"/>
              </w:rPr>
              <w:t>A program that</w:t>
            </w:r>
            <w:r w:rsidRPr="007503BD" w:rsidDel="00D35AFC">
              <w:rPr>
                <w:lang w:val="en-GB"/>
              </w:rPr>
              <w:t xml:space="preserve"> </w:t>
            </w:r>
            <w:r w:rsidRPr="007503BD">
              <w:rPr>
                <w:lang w:val="en-GB"/>
              </w:rPr>
              <w:t xml:space="preserve">provides up to 1,845 households with medium and long-term housing and wrap around support for people experiencing homelessness who </w:t>
            </w:r>
            <w:r w:rsidRPr="007503BD">
              <w:rPr>
                <w:lang w:val="en-GB"/>
              </w:rPr>
              <w:lastRenderedPageBreak/>
              <w:t>were residing in emergency accommodation due to the coronavirus (COVID-19) pandemic.</w:t>
            </w:r>
          </w:p>
        </w:tc>
      </w:tr>
      <w:tr w:rsidR="0013169E" w:rsidRPr="007503BD" w14:paraId="16371F33" w14:textId="77777777" w:rsidTr="00CA3704">
        <w:tc>
          <w:tcPr>
            <w:tcW w:w="2864" w:type="dxa"/>
          </w:tcPr>
          <w:p w14:paraId="18EB1115" w14:textId="77777777" w:rsidR="0013169E" w:rsidRPr="007503BD" w:rsidRDefault="0013169E" w:rsidP="007503BD">
            <w:pPr>
              <w:pStyle w:val="DHHStabletext"/>
              <w:rPr>
                <w:lang w:val="en-GB"/>
              </w:rPr>
            </w:pPr>
            <w:r w:rsidRPr="007503BD">
              <w:rPr>
                <w:lang w:val="en-GB"/>
              </w:rPr>
              <w:lastRenderedPageBreak/>
              <w:t xml:space="preserve">Funding and Service Agreement </w:t>
            </w:r>
          </w:p>
        </w:tc>
        <w:tc>
          <w:tcPr>
            <w:tcW w:w="7441" w:type="dxa"/>
          </w:tcPr>
          <w:p w14:paraId="0CFB0D3A" w14:textId="77777777" w:rsidR="0013169E" w:rsidRPr="007503BD" w:rsidDel="00A130C4" w:rsidRDefault="0013169E" w:rsidP="007503BD">
            <w:pPr>
              <w:pStyle w:val="DHHStabletext"/>
              <w:rPr>
                <w:lang w:val="en-GB"/>
              </w:rPr>
            </w:pPr>
            <w:r w:rsidRPr="007503BD">
              <w:rPr>
                <w:lang w:val="en-GB"/>
              </w:rPr>
              <w:t>Legal contract between a government department and a funded organisation for delivery of services in the community.</w:t>
            </w:r>
          </w:p>
        </w:tc>
      </w:tr>
      <w:tr w:rsidR="0013169E" w:rsidRPr="007503BD" w14:paraId="074913CD" w14:textId="77777777" w:rsidTr="00CA3704">
        <w:tc>
          <w:tcPr>
            <w:tcW w:w="2864" w:type="dxa"/>
          </w:tcPr>
          <w:p w14:paraId="5BB492AF" w14:textId="72E342CC" w:rsidR="0013169E" w:rsidRPr="007503BD" w:rsidRDefault="0013169E" w:rsidP="007503BD">
            <w:pPr>
              <w:pStyle w:val="DHHStabletext"/>
              <w:rPr>
                <w:lang w:val="en-GB"/>
              </w:rPr>
            </w:pPr>
            <w:r w:rsidRPr="007503BD">
              <w:rPr>
                <w:lang w:val="en-GB"/>
              </w:rPr>
              <w:t xml:space="preserve">Head </w:t>
            </w:r>
            <w:r w:rsidR="009C5AAA">
              <w:rPr>
                <w:lang w:val="en-GB"/>
              </w:rPr>
              <w:t>l</w:t>
            </w:r>
            <w:r w:rsidRPr="007503BD">
              <w:rPr>
                <w:lang w:val="en-GB"/>
              </w:rPr>
              <w:t xml:space="preserve">eased </w:t>
            </w:r>
            <w:r w:rsidR="009C5AAA">
              <w:rPr>
                <w:lang w:val="en-GB"/>
              </w:rPr>
              <w:t>d</w:t>
            </w:r>
            <w:r w:rsidRPr="007503BD">
              <w:rPr>
                <w:lang w:val="en-GB"/>
              </w:rPr>
              <w:t xml:space="preserve">wellings or </w:t>
            </w:r>
            <w:r w:rsidR="009C5AAA">
              <w:rPr>
                <w:lang w:val="en-GB"/>
              </w:rPr>
              <w:t>p</w:t>
            </w:r>
            <w:r w:rsidRPr="007503BD">
              <w:rPr>
                <w:lang w:val="en-GB"/>
              </w:rPr>
              <w:t>roperties</w:t>
            </w:r>
          </w:p>
        </w:tc>
        <w:tc>
          <w:tcPr>
            <w:tcW w:w="7441" w:type="dxa"/>
          </w:tcPr>
          <w:p w14:paraId="396C3564" w14:textId="2EDC38DE" w:rsidR="0013169E" w:rsidRPr="007503BD" w:rsidRDefault="0013169E" w:rsidP="007503BD">
            <w:pPr>
              <w:pStyle w:val="DHHStabletext"/>
              <w:rPr>
                <w:lang w:val="en-GB"/>
              </w:rPr>
            </w:pPr>
            <w:r w:rsidRPr="007503BD">
              <w:rPr>
                <w:lang w:val="en-GB"/>
              </w:rPr>
              <w:t xml:space="preserve">Dwellings owned by private residential rental providers that are made available to the </w:t>
            </w:r>
            <w:r w:rsidR="000B0506">
              <w:rPr>
                <w:lang w:val="en-GB"/>
              </w:rPr>
              <w:t>service provider</w:t>
            </w:r>
            <w:r w:rsidRPr="007503BD">
              <w:rPr>
                <w:lang w:val="en-GB"/>
              </w:rPr>
              <w:t xml:space="preserve"> for up to 12 months.</w:t>
            </w:r>
          </w:p>
        </w:tc>
      </w:tr>
      <w:tr w:rsidR="0013169E" w:rsidRPr="007503BD" w14:paraId="1CBB2E51" w14:textId="77777777" w:rsidTr="00CA3704">
        <w:tc>
          <w:tcPr>
            <w:tcW w:w="2864" w:type="dxa"/>
          </w:tcPr>
          <w:p w14:paraId="1989441E" w14:textId="77777777" w:rsidR="0013169E" w:rsidRPr="007503BD" w:rsidRDefault="0013169E" w:rsidP="007503BD">
            <w:pPr>
              <w:pStyle w:val="DHHStabletext"/>
              <w:rPr>
                <w:lang w:val="en-GB"/>
              </w:rPr>
            </w:pPr>
            <w:r w:rsidRPr="007503BD">
              <w:rPr>
                <w:lang w:val="en-GB"/>
              </w:rPr>
              <w:t>HEF</w:t>
            </w:r>
          </w:p>
        </w:tc>
        <w:tc>
          <w:tcPr>
            <w:tcW w:w="7441" w:type="dxa"/>
          </w:tcPr>
          <w:p w14:paraId="4206DF8E" w14:textId="299E7644" w:rsidR="0013169E" w:rsidRPr="007503BD" w:rsidRDefault="0013169E" w:rsidP="007503BD">
            <w:pPr>
              <w:pStyle w:val="DHHStabletext"/>
              <w:rPr>
                <w:lang w:val="en-GB"/>
              </w:rPr>
            </w:pPr>
            <w:r w:rsidRPr="007503BD">
              <w:rPr>
                <w:lang w:val="en-GB"/>
              </w:rPr>
              <w:t>Housing Establishment Funds that assist eligible clients to access emergency overnight accommodation or private rental accommodation.</w:t>
            </w:r>
          </w:p>
        </w:tc>
      </w:tr>
      <w:tr w:rsidR="0013169E" w:rsidRPr="007503BD" w14:paraId="6F7A747E" w14:textId="77777777" w:rsidTr="00CA3704">
        <w:tc>
          <w:tcPr>
            <w:tcW w:w="2864" w:type="dxa"/>
          </w:tcPr>
          <w:p w14:paraId="53ECAA33" w14:textId="77777777" w:rsidR="0013169E" w:rsidRPr="007503BD" w:rsidRDefault="0013169E" w:rsidP="007503BD">
            <w:pPr>
              <w:pStyle w:val="DHHStabletext"/>
              <w:rPr>
                <w:lang w:val="en-GB"/>
              </w:rPr>
            </w:pPr>
            <w:r w:rsidRPr="007503BD">
              <w:rPr>
                <w:lang w:val="en-GB"/>
              </w:rPr>
              <w:t>HiiP</w:t>
            </w:r>
          </w:p>
        </w:tc>
        <w:tc>
          <w:tcPr>
            <w:tcW w:w="7441" w:type="dxa"/>
          </w:tcPr>
          <w:p w14:paraId="394A3906" w14:textId="77777777" w:rsidR="0013169E" w:rsidRPr="007503BD" w:rsidRDefault="0013169E" w:rsidP="007503BD">
            <w:pPr>
              <w:pStyle w:val="DHHStabletext"/>
              <w:rPr>
                <w:lang w:val="en-GB"/>
              </w:rPr>
            </w:pPr>
            <w:r w:rsidRPr="007503BD">
              <w:rPr>
                <w:lang w:val="en-GB"/>
              </w:rPr>
              <w:t>Housing Integrated Information Program – a platform used by DFFH to manage social housing.</w:t>
            </w:r>
          </w:p>
        </w:tc>
      </w:tr>
      <w:tr w:rsidR="0013169E" w:rsidRPr="007503BD" w14:paraId="47091B26" w14:textId="77777777" w:rsidTr="00CA3704">
        <w:tc>
          <w:tcPr>
            <w:tcW w:w="2864" w:type="dxa"/>
          </w:tcPr>
          <w:p w14:paraId="47D3F365" w14:textId="77777777" w:rsidR="0013169E" w:rsidRPr="007503BD" w:rsidRDefault="0013169E" w:rsidP="007503BD">
            <w:pPr>
              <w:pStyle w:val="DHHStabletext"/>
              <w:rPr>
                <w:lang w:val="en-GB"/>
              </w:rPr>
            </w:pPr>
            <w:r w:rsidRPr="007503BD">
              <w:rPr>
                <w:lang w:val="en-GB"/>
              </w:rPr>
              <w:t>Homelessness Entry Points</w:t>
            </w:r>
          </w:p>
        </w:tc>
        <w:tc>
          <w:tcPr>
            <w:tcW w:w="7441" w:type="dxa"/>
          </w:tcPr>
          <w:p w14:paraId="292D39A4" w14:textId="77777777" w:rsidR="0013169E" w:rsidRPr="007503BD" w:rsidRDefault="0013169E" w:rsidP="007503BD">
            <w:pPr>
              <w:pStyle w:val="DHHStabletext"/>
              <w:rPr>
                <w:lang w:val="en-GB"/>
              </w:rPr>
            </w:pPr>
            <w:r w:rsidRPr="007503BD">
              <w:rPr>
                <w:lang w:val="en-GB"/>
              </w:rPr>
              <w:t>Access points into the homelessness service system, providing assistance, initial assessment planning and pathways out of homelessness.</w:t>
            </w:r>
          </w:p>
        </w:tc>
      </w:tr>
      <w:tr w:rsidR="0013169E" w:rsidRPr="007503BD" w14:paraId="7E851C05" w14:textId="77777777" w:rsidTr="00CA3704">
        <w:tc>
          <w:tcPr>
            <w:tcW w:w="2864" w:type="dxa"/>
          </w:tcPr>
          <w:p w14:paraId="43636116" w14:textId="77777777" w:rsidR="0013169E" w:rsidRPr="007503BD" w:rsidRDefault="0013169E" w:rsidP="007503BD">
            <w:pPr>
              <w:pStyle w:val="DHHStabletext"/>
              <w:rPr>
                <w:lang w:val="en-GB"/>
              </w:rPr>
            </w:pPr>
            <w:r w:rsidRPr="007503BD">
              <w:rPr>
                <w:lang w:val="en-GB"/>
              </w:rPr>
              <w:t>Homes For Families (H4F)</w:t>
            </w:r>
          </w:p>
        </w:tc>
        <w:tc>
          <w:tcPr>
            <w:tcW w:w="7441" w:type="dxa"/>
          </w:tcPr>
          <w:p w14:paraId="5690727D" w14:textId="77777777" w:rsidR="0013169E" w:rsidRPr="007503BD" w:rsidRDefault="0013169E" w:rsidP="007503BD">
            <w:pPr>
              <w:pStyle w:val="DHHStabletext"/>
              <w:rPr>
                <w:lang w:val="en-GB"/>
              </w:rPr>
            </w:pPr>
            <w:r w:rsidRPr="007503BD">
              <w:rPr>
                <w:lang w:val="en-GB"/>
              </w:rPr>
              <w:t>A program that provides up to 170 families with children who were residing in emergency accommodation due to the coronavirus (COVID-19) pandemic as at or on 25 October 2021 with access to stable medium- and long-term housing and integrated service packages.</w:t>
            </w:r>
          </w:p>
        </w:tc>
      </w:tr>
      <w:tr w:rsidR="0013169E" w:rsidRPr="007503BD" w14:paraId="0A6E4575" w14:textId="77777777" w:rsidTr="00CA3704">
        <w:tc>
          <w:tcPr>
            <w:tcW w:w="2864" w:type="dxa"/>
          </w:tcPr>
          <w:p w14:paraId="5390DA43" w14:textId="77777777" w:rsidR="0013169E" w:rsidRPr="007503BD" w:rsidRDefault="0013169E" w:rsidP="007503BD">
            <w:pPr>
              <w:pStyle w:val="DHHStabletext"/>
              <w:rPr>
                <w:lang w:val="en-GB"/>
              </w:rPr>
            </w:pPr>
            <w:r w:rsidRPr="007503BD">
              <w:rPr>
                <w:lang w:val="en-GB"/>
              </w:rPr>
              <w:t>Homes Victoria</w:t>
            </w:r>
          </w:p>
        </w:tc>
        <w:tc>
          <w:tcPr>
            <w:tcW w:w="7441" w:type="dxa"/>
          </w:tcPr>
          <w:p w14:paraId="77120C49" w14:textId="77777777" w:rsidR="0013169E" w:rsidRPr="007503BD" w:rsidRDefault="0013169E" w:rsidP="007503BD">
            <w:pPr>
              <w:pStyle w:val="DHHStabletext"/>
              <w:rPr>
                <w:lang w:val="en-GB"/>
              </w:rPr>
            </w:pPr>
            <w:r w:rsidRPr="007503BD">
              <w:rPr>
                <w:lang w:val="en-GB"/>
              </w:rPr>
              <w:t>Homes Victoria is the new government agency that manages Victoria’s social housing system. Homes Victoria is a subsidiary of DFFH.</w:t>
            </w:r>
          </w:p>
        </w:tc>
      </w:tr>
      <w:tr w:rsidR="0013169E" w:rsidRPr="007503BD" w14:paraId="3B62B354" w14:textId="77777777" w:rsidTr="00CA3704">
        <w:tc>
          <w:tcPr>
            <w:tcW w:w="2864" w:type="dxa"/>
          </w:tcPr>
          <w:p w14:paraId="436B5393" w14:textId="2B433080" w:rsidR="0013169E" w:rsidRPr="007503BD" w:rsidRDefault="0013169E" w:rsidP="007503BD">
            <w:pPr>
              <w:pStyle w:val="DHHStabletext"/>
              <w:rPr>
                <w:lang w:val="en-GB"/>
              </w:rPr>
            </w:pPr>
            <w:r w:rsidRPr="007503BD">
              <w:rPr>
                <w:lang w:val="en-GB"/>
              </w:rPr>
              <w:t xml:space="preserve">Service </w:t>
            </w:r>
            <w:r w:rsidR="009C5AAA">
              <w:rPr>
                <w:lang w:val="en-GB"/>
              </w:rPr>
              <w:t>p</w:t>
            </w:r>
            <w:r w:rsidRPr="007503BD">
              <w:rPr>
                <w:lang w:val="en-GB"/>
              </w:rPr>
              <w:t>rovider</w:t>
            </w:r>
          </w:p>
        </w:tc>
        <w:tc>
          <w:tcPr>
            <w:tcW w:w="7441" w:type="dxa"/>
          </w:tcPr>
          <w:p w14:paraId="0771FF7B" w14:textId="1C26189F" w:rsidR="0013169E" w:rsidRPr="007503BD" w:rsidRDefault="0013169E" w:rsidP="007503BD">
            <w:pPr>
              <w:pStyle w:val="DHHStabletext"/>
              <w:rPr>
                <w:lang w:val="en-GB"/>
              </w:rPr>
            </w:pPr>
            <w:r w:rsidRPr="007503BD">
              <w:rPr>
                <w:lang w:val="en-GB"/>
              </w:rPr>
              <w:t>Registered Housing Agency funded to provide support during the funded program period.</w:t>
            </w:r>
          </w:p>
        </w:tc>
      </w:tr>
      <w:tr w:rsidR="0013169E" w:rsidRPr="007503BD" w14:paraId="04FB8D25" w14:textId="77777777" w:rsidTr="00CA3704">
        <w:tc>
          <w:tcPr>
            <w:tcW w:w="2864" w:type="dxa"/>
          </w:tcPr>
          <w:p w14:paraId="54866658" w14:textId="77777777" w:rsidR="0013169E" w:rsidRPr="007503BD" w:rsidRDefault="0013169E" w:rsidP="007503BD">
            <w:pPr>
              <w:pStyle w:val="DHHStabletext"/>
              <w:rPr>
                <w:lang w:val="en-GB"/>
              </w:rPr>
            </w:pPr>
            <w:r w:rsidRPr="007503BD">
              <w:rPr>
                <w:lang w:val="en-GB"/>
              </w:rPr>
              <w:t>Key Output Performance Measures (KOPMs)</w:t>
            </w:r>
          </w:p>
        </w:tc>
        <w:tc>
          <w:tcPr>
            <w:tcW w:w="7441" w:type="dxa"/>
          </w:tcPr>
          <w:p w14:paraId="43112D16" w14:textId="065069F7" w:rsidR="0013169E" w:rsidRPr="007503BD" w:rsidRDefault="0013169E" w:rsidP="007503BD">
            <w:pPr>
              <w:pStyle w:val="DHHStabletext"/>
              <w:rPr>
                <w:lang w:val="en-GB"/>
              </w:rPr>
            </w:pPr>
            <w:r w:rsidRPr="007503BD">
              <w:rPr>
                <w:lang w:val="en-GB"/>
              </w:rPr>
              <w:t xml:space="preserve">The volume and performance of </w:t>
            </w:r>
            <w:r w:rsidR="009C5AAA">
              <w:rPr>
                <w:lang w:val="en-GB"/>
              </w:rPr>
              <w:t>s</w:t>
            </w:r>
            <w:r w:rsidRPr="007503BD">
              <w:rPr>
                <w:lang w:val="en-GB"/>
              </w:rPr>
              <w:t xml:space="preserve">ervices required to be delivered monthly as outlined in FASA </w:t>
            </w:r>
          </w:p>
        </w:tc>
      </w:tr>
      <w:tr w:rsidR="0013169E" w:rsidRPr="007503BD" w14:paraId="65ABF47D" w14:textId="77777777" w:rsidTr="00CA3704">
        <w:tc>
          <w:tcPr>
            <w:tcW w:w="2864" w:type="dxa"/>
          </w:tcPr>
          <w:p w14:paraId="41628A5A" w14:textId="77777777" w:rsidR="0013169E" w:rsidRPr="007503BD" w:rsidRDefault="0013169E" w:rsidP="007503BD">
            <w:pPr>
              <w:pStyle w:val="DHHStabletext"/>
              <w:rPr>
                <w:lang w:val="en-GB"/>
              </w:rPr>
            </w:pPr>
            <w:r w:rsidRPr="007503BD">
              <w:rPr>
                <w:lang w:val="en-GB"/>
              </w:rPr>
              <w:t>PHAP</w:t>
            </w:r>
          </w:p>
        </w:tc>
        <w:tc>
          <w:tcPr>
            <w:tcW w:w="7441" w:type="dxa"/>
          </w:tcPr>
          <w:p w14:paraId="7C62643A" w14:textId="77777777" w:rsidR="0013169E" w:rsidRPr="007503BD" w:rsidRDefault="0013169E" w:rsidP="007503BD">
            <w:pPr>
              <w:pStyle w:val="DHHStabletext"/>
              <w:rPr>
                <w:lang w:val="en-GB"/>
              </w:rPr>
            </w:pPr>
            <w:r w:rsidRPr="007503BD">
              <w:rPr>
                <w:lang w:val="en-GB"/>
              </w:rPr>
              <w:t>Personal Hardship Assistance Program that provides emergency hardship payments</w:t>
            </w:r>
          </w:p>
        </w:tc>
      </w:tr>
      <w:tr w:rsidR="0013169E" w:rsidRPr="007503BD" w14:paraId="62DA4270" w14:textId="77777777" w:rsidTr="00CA3704">
        <w:tc>
          <w:tcPr>
            <w:tcW w:w="2864" w:type="dxa"/>
          </w:tcPr>
          <w:p w14:paraId="10CF3D26" w14:textId="77777777" w:rsidR="0013169E" w:rsidRPr="007503BD" w:rsidRDefault="0013169E" w:rsidP="007503BD">
            <w:pPr>
              <w:pStyle w:val="DHHStabletext"/>
              <w:rPr>
                <w:lang w:val="en-GB"/>
              </w:rPr>
            </w:pPr>
            <w:r w:rsidRPr="007503BD">
              <w:rPr>
                <w:lang w:val="en-GB"/>
              </w:rPr>
              <w:t>Policies</w:t>
            </w:r>
          </w:p>
        </w:tc>
        <w:tc>
          <w:tcPr>
            <w:tcW w:w="7441" w:type="dxa"/>
          </w:tcPr>
          <w:p w14:paraId="79699732" w14:textId="77777777" w:rsidR="0013169E" w:rsidRPr="007503BD" w:rsidRDefault="0013169E" w:rsidP="007503BD">
            <w:pPr>
              <w:pStyle w:val="DHHStabletext"/>
              <w:rPr>
                <w:lang w:val="en-GB"/>
              </w:rPr>
            </w:pPr>
            <w:r w:rsidRPr="007503BD">
              <w:rPr>
                <w:lang w:val="en-GB"/>
              </w:rPr>
              <w:t>The applicable Victorian Government Policies as outlined in the Service Agreement.</w:t>
            </w:r>
          </w:p>
        </w:tc>
      </w:tr>
      <w:tr w:rsidR="0013169E" w:rsidRPr="007503BD" w14:paraId="67CAF647" w14:textId="77777777" w:rsidTr="00CA3704">
        <w:tc>
          <w:tcPr>
            <w:tcW w:w="2864" w:type="dxa"/>
            <w:shd w:val="clear" w:color="auto" w:fill="auto"/>
          </w:tcPr>
          <w:p w14:paraId="6A33A477" w14:textId="77777777" w:rsidR="0013169E" w:rsidRPr="007503BD" w:rsidRDefault="0013169E" w:rsidP="007503BD">
            <w:pPr>
              <w:pStyle w:val="DHHStabletext"/>
              <w:rPr>
                <w:lang w:val="en-GB"/>
              </w:rPr>
            </w:pPr>
            <w:r w:rsidRPr="007503BD">
              <w:rPr>
                <w:lang w:val="en-GB"/>
              </w:rPr>
              <w:t>SAMS2</w:t>
            </w:r>
          </w:p>
        </w:tc>
        <w:tc>
          <w:tcPr>
            <w:tcW w:w="7441" w:type="dxa"/>
            <w:shd w:val="clear" w:color="auto" w:fill="auto"/>
          </w:tcPr>
          <w:p w14:paraId="5A396B01" w14:textId="77777777" w:rsidR="0013169E" w:rsidRPr="007503BD" w:rsidRDefault="0013169E" w:rsidP="007503BD">
            <w:pPr>
              <w:pStyle w:val="DHHStabletext"/>
              <w:rPr>
                <w:lang w:val="en-GB"/>
              </w:rPr>
            </w:pPr>
            <w:r w:rsidRPr="007503BD">
              <w:rPr>
                <w:lang w:val="en-GB"/>
              </w:rPr>
              <w:t>Service Agreement Management System</w:t>
            </w:r>
          </w:p>
        </w:tc>
      </w:tr>
      <w:tr w:rsidR="0013169E" w:rsidRPr="007503BD" w14:paraId="3B30B625" w14:textId="77777777" w:rsidTr="00CA3704">
        <w:tc>
          <w:tcPr>
            <w:tcW w:w="2864" w:type="dxa"/>
          </w:tcPr>
          <w:p w14:paraId="7056F7BA" w14:textId="77777777" w:rsidR="0013169E" w:rsidRPr="007503BD" w:rsidRDefault="0013169E" w:rsidP="007503BD">
            <w:pPr>
              <w:pStyle w:val="DHHStabletext"/>
              <w:rPr>
                <w:lang w:val="en-GB"/>
              </w:rPr>
            </w:pPr>
            <w:r w:rsidRPr="007503BD">
              <w:rPr>
                <w:lang w:val="en-GB"/>
              </w:rPr>
              <w:t>Services</w:t>
            </w:r>
          </w:p>
        </w:tc>
        <w:tc>
          <w:tcPr>
            <w:tcW w:w="7441" w:type="dxa"/>
          </w:tcPr>
          <w:p w14:paraId="536A9706" w14:textId="7E60898E" w:rsidR="0013169E" w:rsidRPr="007503BD" w:rsidRDefault="0013169E" w:rsidP="007503BD">
            <w:pPr>
              <w:pStyle w:val="DHHStabletext"/>
              <w:rPr>
                <w:lang w:val="en-GB"/>
              </w:rPr>
            </w:pPr>
            <w:r w:rsidRPr="007503BD">
              <w:rPr>
                <w:lang w:val="en-GB"/>
              </w:rPr>
              <w:t xml:space="preserve">The </w:t>
            </w:r>
            <w:r w:rsidR="000B0506">
              <w:rPr>
                <w:lang w:val="en-GB"/>
              </w:rPr>
              <w:t>service provider</w:t>
            </w:r>
            <w:r w:rsidRPr="007503BD">
              <w:rPr>
                <w:lang w:val="en-GB"/>
              </w:rPr>
              <w:t xml:space="preserve"> provides the collective </w:t>
            </w:r>
            <w:r w:rsidR="009C5AAA">
              <w:rPr>
                <w:lang w:val="en-GB"/>
              </w:rPr>
              <w:t>p</w:t>
            </w:r>
            <w:r w:rsidRPr="007503BD">
              <w:rPr>
                <w:lang w:val="en-GB"/>
              </w:rPr>
              <w:t xml:space="preserve">roperty </w:t>
            </w:r>
            <w:r w:rsidR="009C5AAA">
              <w:rPr>
                <w:lang w:val="en-GB"/>
              </w:rPr>
              <w:t>s</w:t>
            </w:r>
            <w:r w:rsidRPr="007503BD">
              <w:rPr>
                <w:lang w:val="en-GB"/>
              </w:rPr>
              <w:t xml:space="preserve">ervices and </w:t>
            </w:r>
            <w:r w:rsidR="009C5AAA">
              <w:rPr>
                <w:lang w:val="en-GB"/>
              </w:rPr>
              <w:t>case management s</w:t>
            </w:r>
            <w:r w:rsidRPr="007503BD">
              <w:rPr>
                <w:lang w:val="en-GB"/>
              </w:rPr>
              <w:t>upport, as set out or described in the Service Agreement(s), including the relevant Activity Description(s).</w:t>
            </w:r>
          </w:p>
        </w:tc>
      </w:tr>
      <w:tr w:rsidR="0013169E" w:rsidRPr="007503BD" w14:paraId="3BF26C5B" w14:textId="77777777" w:rsidTr="00CA3704">
        <w:tc>
          <w:tcPr>
            <w:tcW w:w="2864" w:type="dxa"/>
          </w:tcPr>
          <w:p w14:paraId="56C871AC" w14:textId="77777777" w:rsidR="0013169E" w:rsidRPr="007503BD" w:rsidRDefault="0013169E" w:rsidP="007503BD">
            <w:pPr>
              <w:pStyle w:val="DHHStabletext"/>
              <w:rPr>
                <w:lang w:val="en-GB"/>
              </w:rPr>
            </w:pPr>
            <w:r w:rsidRPr="007503BD">
              <w:rPr>
                <w:lang w:val="en-GB"/>
              </w:rPr>
              <w:t>Service Agreement</w:t>
            </w:r>
          </w:p>
        </w:tc>
        <w:tc>
          <w:tcPr>
            <w:tcW w:w="7441" w:type="dxa"/>
          </w:tcPr>
          <w:p w14:paraId="2244941A" w14:textId="7094A8E8" w:rsidR="0013169E" w:rsidRPr="007503BD" w:rsidRDefault="0013169E" w:rsidP="007503BD">
            <w:pPr>
              <w:pStyle w:val="DHHStabletext"/>
              <w:rPr>
                <w:lang w:val="en-GB"/>
              </w:rPr>
            </w:pPr>
            <w:r w:rsidRPr="007503BD">
              <w:rPr>
                <w:lang w:val="en-GB"/>
              </w:rPr>
              <w:t xml:space="preserve">The contractual arrangement(s) between DFFH and each </w:t>
            </w:r>
            <w:r w:rsidR="000B0506">
              <w:rPr>
                <w:lang w:val="en-GB"/>
              </w:rPr>
              <w:t>service provider</w:t>
            </w:r>
            <w:r w:rsidRPr="007503BD">
              <w:rPr>
                <w:lang w:val="en-GB"/>
              </w:rPr>
              <w:t xml:space="preserve"> for the delivery of </w:t>
            </w:r>
            <w:r w:rsidR="000B0506">
              <w:rPr>
                <w:lang w:val="en-GB"/>
              </w:rPr>
              <w:t>s</w:t>
            </w:r>
            <w:r w:rsidRPr="007503BD">
              <w:rPr>
                <w:lang w:val="en-GB"/>
              </w:rPr>
              <w:t>ervices.</w:t>
            </w:r>
          </w:p>
        </w:tc>
      </w:tr>
      <w:tr w:rsidR="0013169E" w:rsidRPr="007503BD" w14:paraId="286DF5FB" w14:textId="77777777" w:rsidTr="00CA3704">
        <w:tc>
          <w:tcPr>
            <w:tcW w:w="2864" w:type="dxa"/>
          </w:tcPr>
          <w:p w14:paraId="5E33C0C3" w14:textId="77777777" w:rsidR="0013169E" w:rsidRPr="007503BD" w:rsidRDefault="0013169E" w:rsidP="007503BD">
            <w:pPr>
              <w:pStyle w:val="DHHStabletext"/>
              <w:rPr>
                <w:lang w:val="en-GB"/>
              </w:rPr>
            </w:pPr>
            <w:r w:rsidRPr="007503BD">
              <w:rPr>
                <w:lang w:val="en-GB"/>
              </w:rPr>
              <w:t>Service Package</w:t>
            </w:r>
          </w:p>
        </w:tc>
        <w:tc>
          <w:tcPr>
            <w:tcW w:w="7441" w:type="dxa"/>
          </w:tcPr>
          <w:p w14:paraId="0276F3A7" w14:textId="0D3402D1" w:rsidR="0013169E" w:rsidRPr="007503BD" w:rsidRDefault="0013169E" w:rsidP="007503BD">
            <w:pPr>
              <w:pStyle w:val="DHHStabletext"/>
              <w:rPr>
                <w:lang w:val="en-GB"/>
              </w:rPr>
            </w:pPr>
            <w:r w:rsidRPr="007503BD">
              <w:rPr>
                <w:lang w:val="en-GB"/>
              </w:rPr>
              <w:t xml:space="preserve">The package of </w:t>
            </w:r>
            <w:r w:rsidR="000B0506">
              <w:rPr>
                <w:lang w:val="en-GB"/>
              </w:rPr>
              <w:t>p</w:t>
            </w:r>
            <w:r w:rsidRPr="007503BD">
              <w:rPr>
                <w:lang w:val="en-GB"/>
              </w:rPr>
              <w:t xml:space="preserve">roperty and </w:t>
            </w:r>
            <w:r w:rsidR="000B0506">
              <w:rPr>
                <w:lang w:val="en-GB"/>
              </w:rPr>
              <w:t>s</w:t>
            </w:r>
            <w:r w:rsidRPr="007503BD">
              <w:rPr>
                <w:lang w:val="en-GB"/>
              </w:rPr>
              <w:t xml:space="preserve">upport </w:t>
            </w:r>
            <w:r w:rsidR="000B0506">
              <w:rPr>
                <w:lang w:val="en-GB"/>
              </w:rPr>
              <w:t>s</w:t>
            </w:r>
            <w:r w:rsidRPr="007503BD">
              <w:rPr>
                <w:lang w:val="en-GB"/>
              </w:rPr>
              <w:t>ervices allocated to each household.</w:t>
            </w:r>
          </w:p>
        </w:tc>
      </w:tr>
      <w:tr w:rsidR="0013169E" w:rsidRPr="007503BD" w14:paraId="56BEF368" w14:textId="77777777" w:rsidTr="00CA3704">
        <w:tc>
          <w:tcPr>
            <w:tcW w:w="2864" w:type="dxa"/>
          </w:tcPr>
          <w:p w14:paraId="1D826D63" w14:textId="77777777" w:rsidR="0013169E" w:rsidRPr="007503BD" w:rsidRDefault="0013169E" w:rsidP="007503BD">
            <w:pPr>
              <w:pStyle w:val="DHHStabletext"/>
              <w:rPr>
                <w:lang w:val="en-GB"/>
              </w:rPr>
            </w:pPr>
            <w:r w:rsidRPr="007503BD">
              <w:rPr>
                <w:lang w:val="en-GB"/>
              </w:rPr>
              <w:t xml:space="preserve">Service Partnerships </w:t>
            </w:r>
          </w:p>
        </w:tc>
        <w:tc>
          <w:tcPr>
            <w:tcW w:w="7441" w:type="dxa"/>
          </w:tcPr>
          <w:p w14:paraId="2FAB3938" w14:textId="76FF2448" w:rsidR="0013169E" w:rsidRPr="007503BD" w:rsidRDefault="0013169E" w:rsidP="007503BD">
            <w:pPr>
              <w:pStyle w:val="DHHStabletext"/>
              <w:rPr>
                <w:lang w:val="en-GB"/>
              </w:rPr>
            </w:pPr>
            <w:r w:rsidRPr="007503BD">
              <w:rPr>
                <w:lang w:val="en-GB"/>
              </w:rPr>
              <w:t xml:space="preserve">A partnership that HFRP will seek to use to meet </w:t>
            </w:r>
            <w:r w:rsidR="007503BD">
              <w:rPr>
                <w:lang w:val="en-GB"/>
              </w:rPr>
              <w:t>household</w:t>
            </w:r>
            <w:r w:rsidRPr="007503BD">
              <w:rPr>
                <w:lang w:val="en-GB"/>
              </w:rPr>
              <w:t xml:space="preserve"> needs.</w:t>
            </w:r>
          </w:p>
        </w:tc>
      </w:tr>
      <w:tr w:rsidR="0013169E" w:rsidRPr="007503BD" w14:paraId="6386A420" w14:textId="77777777" w:rsidTr="00CA3704">
        <w:tc>
          <w:tcPr>
            <w:tcW w:w="2864" w:type="dxa"/>
          </w:tcPr>
          <w:p w14:paraId="768CC35B" w14:textId="7ECC0DD7" w:rsidR="0013169E" w:rsidRPr="007503BD" w:rsidRDefault="0013169E" w:rsidP="007503BD">
            <w:pPr>
              <w:pStyle w:val="DHHStabletext"/>
              <w:rPr>
                <w:lang w:val="en-GB"/>
              </w:rPr>
            </w:pPr>
            <w:r w:rsidRPr="007503BD">
              <w:rPr>
                <w:lang w:val="en-GB"/>
              </w:rPr>
              <w:t>Six-</w:t>
            </w:r>
            <w:r w:rsidR="002904BA">
              <w:rPr>
                <w:lang w:val="en-GB"/>
              </w:rPr>
              <w:t>m</w:t>
            </w:r>
            <w:r w:rsidRPr="007503BD">
              <w:rPr>
                <w:lang w:val="en-GB"/>
              </w:rPr>
              <w:t xml:space="preserve">onthly </w:t>
            </w:r>
            <w:r w:rsidR="002904BA">
              <w:rPr>
                <w:lang w:val="en-GB"/>
              </w:rPr>
              <w:t>f</w:t>
            </w:r>
            <w:r w:rsidRPr="007503BD">
              <w:rPr>
                <w:lang w:val="en-GB"/>
              </w:rPr>
              <w:t xml:space="preserve">unding </w:t>
            </w:r>
            <w:r w:rsidR="002904BA">
              <w:rPr>
                <w:lang w:val="en-GB"/>
              </w:rPr>
              <w:t>r</w:t>
            </w:r>
            <w:r w:rsidRPr="007503BD">
              <w:rPr>
                <w:lang w:val="en-GB"/>
              </w:rPr>
              <w:t xml:space="preserve">econciliation </w:t>
            </w:r>
            <w:r w:rsidR="002904BA">
              <w:rPr>
                <w:lang w:val="en-GB"/>
              </w:rPr>
              <w:t>r</w:t>
            </w:r>
            <w:r w:rsidRPr="007503BD">
              <w:rPr>
                <w:lang w:val="en-GB"/>
              </w:rPr>
              <w:t>eport</w:t>
            </w:r>
          </w:p>
        </w:tc>
        <w:tc>
          <w:tcPr>
            <w:tcW w:w="7441" w:type="dxa"/>
          </w:tcPr>
          <w:p w14:paraId="112F6D74" w14:textId="7E62860D" w:rsidR="0013169E" w:rsidRPr="007503BD" w:rsidRDefault="0013169E" w:rsidP="007503BD">
            <w:pPr>
              <w:pStyle w:val="DHHStabletext"/>
              <w:rPr>
                <w:lang w:val="en-GB"/>
              </w:rPr>
            </w:pPr>
            <w:r w:rsidRPr="007503BD">
              <w:rPr>
                <w:lang w:val="en-GB"/>
              </w:rPr>
              <w:t xml:space="preserve">A template completed by </w:t>
            </w:r>
            <w:r w:rsidR="000B0506">
              <w:rPr>
                <w:lang w:val="en-GB"/>
              </w:rPr>
              <w:t>service provider</w:t>
            </w:r>
            <w:r w:rsidRPr="007503BD">
              <w:rPr>
                <w:lang w:val="en-GB"/>
              </w:rPr>
              <w:t xml:space="preserve">s and submitted on a </w:t>
            </w:r>
            <w:r w:rsidRPr="007503BD" w:rsidDel="00E65E38">
              <w:rPr>
                <w:lang w:val="en-GB"/>
              </w:rPr>
              <w:t>six</w:t>
            </w:r>
            <w:r w:rsidRPr="007503BD">
              <w:rPr>
                <w:lang w:val="en-GB"/>
              </w:rPr>
              <w:t>-monthly basis to the Secure Data Exchange platform as part of the reconciliation process described in Appendix 1.</w:t>
            </w:r>
          </w:p>
        </w:tc>
      </w:tr>
      <w:tr w:rsidR="0013169E" w:rsidRPr="007503BD" w14:paraId="06B8384D" w14:textId="77777777" w:rsidTr="00CA3704">
        <w:tc>
          <w:tcPr>
            <w:tcW w:w="2864" w:type="dxa"/>
          </w:tcPr>
          <w:p w14:paraId="3F53472D" w14:textId="77777777" w:rsidR="0013169E" w:rsidRPr="007503BD" w:rsidRDefault="0013169E" w:rsidP="007503BD">
            <w:pPr>
              <w:pStyle w:val="DHHStabletext"/>
              <w:rPr>
                <w:lang w:val="en-GB"/>
              </w:rPr>
            </w:pPr>
            <w:r w:rsidRPr="007503BD">
              <w:rPr>
                <w:lang w:val="en-GB"/>
              </w:rPr>
              <w:t>Subcontractor</w:t>
            </w:r>
          </w:p>
        </w:tc>
        <w:tc>
          <w:tcPr>
            <w:tcW w:w="7441" w:type="dxa"/>
          </w:tcPr>
          <w:p w14:paraId="78DE643C" w14:textId="47E63CEE" w:rsidR="0013169E" w:rsidRPr="007503BD" w:rsidRDefault="0013169E" w:rsidP="007503BD">
            <w:pPr>
              <w:pStyle w:val="DHHStabletext"/>
              <w:rPr>
                <w:lang w:val="en-GB"/>
              </w:rPr>
            </w:pPr>
            <w:r w:rsidRPr="007503BD">
              <w:rPr>
                <w:lang w:val="en-GB"/>
              </w:rPr>
              <w:t xml:space="preserve">A service provider that has an agreement with a </w:t>
            </w:r>
            <w:r w:rsidR="000B0506">
              <w:rPr>
                <w:lang w:val="en-GB"/>
              </w:rPr>
              <w:t>service provider</w:t>
            </w:r>
            <w:r w:rsidRPr="007503BD">
              <w:rPr>
                <w:lang w:val="en-GB"/>
              </w:rPr>
              <w:t xml:space="preserve"> and not the department. The </w:t>
            </w:r>
            <w:r w:rsidR="000B0506">
              <w:rPr>
                <w:lang w:val="en-GB"/>
              </w:rPr>
              <w:t>service provider</w:t>
            </w:r>
            <w:r w:rsidRPr="007503BD">
              <w:rPr>
                <w:lang w:val="en-GB"/>
              </w:rPr>
              <w:t xml:space="preserve"> is responsible for the delivery of the </w:t>
            </w:r>
            <w:r w:rsidR="007503BD">
              <w:rPr>
                <w:lang w:val="en-GB"/>
              </w:rPr>
              <w:t>s</w:t>
            </w:r>
            <w:r w:rsidRPr="007503BD">
              <w:rPr>
                <w:lang w:val="en-GB"/>
              </w:rPr>
              <w:t>ervices.</w:t>
            </w:r>
          </w:p>
        </w:tc>
      </w:tr>
      <w:tr w:rsidR="0013169E" w:rsidRPr="007503BD" w14:paraId="2297600E" w14:textId="77777777" w:rsidTr="00CA3704">
        <w:tc>
          <w:tcPr>
            <w:tcW w:w="2864" w:type="dxa"/>
          </w:tcPr>
          <w:p w14:paraId="6454A807" w14:textId="77777777" w:rsidR="0013169E" w:rsidRPr="007503BD" w:rsidRDefault="0013169E" w:rsidP="007503BD">
            <w:pPr>
              <w:pStyle w:val="DHHStabletext"/>
              <w:rPr>
                <w:lang w:val="en-GB"/>
              </w:rPr>
            </w:pPr>
            <w:r w:rsidRPr="007503BD">
              <w:rPr>
                <w:lang w:val="en-GB"/>
              </w:rPr>
              <w:t>Service Commencement</w:t>
            </w:r>
          </w:p>
        </w:tc>
        <w:tc>
          <w:tcPr>
            <w:tcW w:w="7441" w:type="dxa"/>
          </w:tcPr>
          <w:p w14:paraId="1EBF0E61" w14:textId="77777777" w:rsidR="0013169E" w:rsidRPr="007503BD" w:rsidRDefault="0013169E" w:rsidP="007503BD">
            <w:pPr>
              <w:pStyle w:val="DHHStabletext"/>
              <w:rPr>
                <w:lang w:val="en-GB"/>
              </w:rPr>
            </w:pPr>
            <w:r w:rsidRPr="007503BD">
              <w:rPr>
                <w:lang w:val="en-GB"/>
              </w:rPr>
              <w:t>Service commences on 1 December 2022 for a period of 12 months</w:t>
            </w:r>
          </w:p>
        </w:tc>
      </w:tr>
      <w:tr w:rsidR="0013169E" w:rsidRPr="007503BD" w14:paraId="47A59544" w14:textId="77777777" w:rsidTr="00CA3704">
        <w:trPr>
          <w:trHeight w:val="495"/>
        </w:trPr>
        <w:tc>
          <w:tcPr>
            <w:tcW w:w="2864" w:type="dxa"/>
          </w:tcPr>
          <w:p w14:paraId="244CB122" w14:textId="77777777" w:rsidR="0013169E" w:rsidRPr="007503BD" w:rsidRDefault="0013169E" w:rsidP="007503BD">
            <w:pPr>
              <w:pStyle w:val="DHHStabletext"/>
              <w:rPr>
                <w:lang w:val="en-GB"/>
              </w:rPr>
            </w:pPr>
            <w:r w:rsidRPr="007503BD">
              <w:rPr>
                <w:lang w:val="en-GB"/>
              </w:rPr>
              <w:t>Transitional Housing Management (THM)</w:t>
            </w:r>
          </w:p>
        </w:tc>
        <w:tc>
          <w:tcPr>
            <w:tcW w:w="7441" w:type="dxa"/>
          </w:tcPr>
          <w:p w14:paraId="2D343A19" w14:textId="77777777" w:rsidR="0013169E" w:rsidRPr="007503BD" w:rsidRDefault="0013169E" w:rsidP="007503BD">
            <w:pPr>
              <w:pStyle w:val="DHHStabletext"/>
              <w:rPr>
                <w:lang w:val="en-GB"/>
              </w:rPr>
            </w:pPr>
            <w:r w:rsidRPr="007503BD">
              <w:rPr>
                <w:lang w:val="en-GB"/>
              </w:rPr>
              <w:t>Properties owned by Homes Victoria and managed by Community Housing providers offering</w:t>
            </w:r>
            <w:r w:rsidRPr="007503BD" w:rsidDel="00A130C4">
              <w:rPr>
                <w:lang w:val="en-GB"/>
              </w:rPr>
              <w:t xml:space="preserve"> </w:t>
            </w:r>
            <w:r w:rsidRPr="007503BD">
              <w:rPr>
                <w:lang w:val="en-GB"/>
              </w:rPr>
              <w:t>temporary housing for clients experiencing homelessness while longer term housing options are secured.</w:t>
            </w:r>
          </w:p>
        </w:tc>
      </w:tr>
      <w:tr w:rsidR="0013169E" w:rsidRPr="007503BD" w14:paraId="614F679C" w14:textId="77777777" w:rsidTr="00CA3704">
        <w:trPr>
          <w:trHeight w:val="495"/>
        </w:trPr>
        <w:tc>
          <w:tcPr>
            <w:tcW w:w="2864" w:type="dxa"/>
          </w:tcPr>
          <w:p w14:paraId="365C36C8" w14:textId="77777777" w:rsidR="0013169E" w:rsidRPr="007503BD" w:rsidRDefault="0013169E" w:rsidP="007503BD">
            <w:pPr>
              <w:pStyle w:val="DHHStabletext"/>
              <w:rPr>
                <w:lang w:val="en-GB"/>
              </w:rPr>
            </w:pPr>
            <w:r w:rsidRPr="007503BD">
              <w:rPr>
                <w:lang w:val="en-GB"/>
              </w:rPr>
              <w:t>Victorian Housing Register (VHR)</w:t>
            </w:r>
          </w:p>
        </w:tc>
        <w:tc>
          <w:tcPr>
            <w:tcW w:w="7441" w:type="dxa"/>
          </w:tcPr>
          <w:p w14:paraId="0AAE71C6" w14:textId="77777777" w:rsidR="0013169E" w:rsidRPr="007503BD" w:rsidRDefault="0013169E" w:rsidP="007503BD">
            <w:pPr>
              <w:pStyle w:val="DHHStabletext"/>
              <w:rPr>
                <w:lang w:val="en-GB"/>
              </w:rPr>
            </w:pPr>
            <w:r w:rsidRPr="007503BD">
              <w:rPr>
                <w:lang w:val="en-GB"/>
              </w:rPr>
              <w:t xml:space="preserve">A single-entry point for eligible applicants to apply for long term social housing in Victoria. The register applies to both public and community housing. </w:t>
            </w:r>
          </w:p>
        </w:tc>
      </w:tr>
    </w:tbl>
    <w:p w14:paraId="3E46ABBB" w14:textId="77777777" w:rsidR="0013169E" w:rsidRDefault="0013169E" w:rsidP="0013169E">
      <w:pPr>
        <w:rPr>
          <w:rFonts w:eastAsia="MS Gothic" w:cs="Arial"/>
          <w:bCs/>
          <w:color w:val="1F497D" w:themeColor="text2"/>
          <w:kern w:val="32"/>
          <w:sz w:val="36"/>
          <w:szCs w:val="40"/>
        </w:rPr>
      </w:pPr>
      <w:r>
        <w:br w:type="page"/>
      </w:r>
    </w:p>
    <w:p w14:paraId="43287790" w14:textId="235728DB" w:rsidR="00EE29AD" w:rsidRPr="00A71CE4" w:rsidRDefault="002149BA" w:rsidP="00562811">
      <w:pPr>
        <w:pStyle w:val="Heading1"/>
        <w:spacing w:before="0"/>
      </w:pPr>
      <w:bookmarkStart w:id="9" w:name="_Toc124847202"/>
      <w:r>
        <w:lastRenderedPageBreak/>
        <w:t>Overview</w:t>
      </w:r>
      <w:bookmarkEnd w:id="9"/>
    </w:p>
    <w:p w14:paraId="7B52BE45" w14:textId="77777777" w:rsidR="002149BA" w:rsidRPr="002149BA" w:rsidRDefault="002149BA" w:rsidP="002149BA">
      <w:pPr>
        <w:pStyle w:val="Body"/>
      </w:pPr>
      <w:r w:rsidRPr="002149BA">
        <w:t>Since mid-October 2022, Victoria has been experiencing a significant flooding event. Heavy rainfall across much of the state has led to major riverine and flash flooding, particularly for communities in proximity to the Campaspe, Murray, Loddon and Goulburn rivers. Several communities are still experiencing major flooding, whilst other locations are beginning the process of recovery and clean-up.</w:t>
      </w:r>
    </w:p>
    <w:p w14:paraId="305A4DAF" w14:textId="77777777" w:rsidR="002149BA" w:rsidRPr="002149BA" w:rsidRDefault="002149BA" w:rsidP="002149BA">
      <w:pPr>
        <w:pStyle w:val="Body"/>
      </w:pPr>
      <w:r w:rsidRPr="002149BA">
        <w:t>On 31 October 2022, the Security and Emergency Management Committee of Cabinet approved two streams of funding totalling $11.281 million in 2022-23 (over six to 12 months) to boost support for Victoria’s most vulnerable individuals and families and to enable property repairs.</w:t>
      </w:r>
    </w:p>
    <w:p w14:paraId="13630CB7" w14:textId="36925A48" w:rsidR="002149BA" w:rsidRDefault="002149BA" w:rsidP="002149BA">
      <w:pPr>
        <w:pStyle w:val="Body"/>
      </w:pPr>
      <w:r w:rsidRPr="002149BA">
        <w:t>The Homes Victoria Homelessness Flood Recovery Program (HFRP) is funded through Stream 2, with $5.06 million available for intensive case management and housing establishment funding support over 12 months. A further $667,000 was allocated for surge capacity for housing and homelessness providers.</w:t>
      </w:r>
    </w:p>
    <w:p w14:paraId="279E601D" w14:textId="76513F6D" w:rsidR="002149BA" w:rsidRDefault="002149BA" w:rsidP="002149BA">
      <w:pPr>
        <w:pStyle w:val="Heading2"/>
      </w:pPr>
      <w:bookmarkStart w:id="10" w:name="_Toc124847203"/>
      <w:r>
        <w:t>Objectives</w:t>
      </w:r>
      <w:bookmarkEnd w:id="10"/>
    </w:p>
    <w:p w14:paraId="39A033E3" w14:textId="77777777" w:rsidR="002149BA" w:rsidRDefault="002149BA" w:rsidP="002149BA">
      <w:pPr>
        <w:pStyle w:val="Body"/>
      </w:pPr>
      <w:r>
        <w:t>The Victorian Government’s key objectives for this program are to:</w:t>
      </w:r>
    </w:p>
    <w:p w14:paraId="51F358F1" w14:textId="77777777" w:rsidR="002149BA" w:rsidRPr="00427D95" w:rsidRDefault="002149BA" w:rsidP="00427D95">
      <w:pPr>
        <w:pStyle w:val="Bullet1"/>
      </w:pPr>
      <w:r w:rsidRPr="00427D95">
        <w:t>provide intensive case management for individuals who have experienced long-term homelessness before the flood events</w:t>
      </w:r>
    </w:p>
    <w:p w14:paraId="7FA7E858" w14:textId="77777777" w:rsidR="002149BA" w:rsidRPr="00427D95" w:rsidRDefault="002149BA" w:rsidP="00427D95">
      <w:pPr>
        <w:pStyle w:val="Bullet1"/>
      </w:pPr>
      <w:r w:rsidRPr="00427D95">
        <w:t>establish medium- to long-term housing for those who have experienced long-term homelessness before the flood events</w:t>
      </w:r>
    </w:p>
    <w:p w14:paraId="67896D28" w14:textId="0DCC30E4" w:rsidR="002149BA" w:rsidRPr="00427D95" w:rsidRDefault="002149BA" w:rsidP="00427D95">
      <w:pPr>
        <w:pStyle w:val="Bullet1"/>
      </w:pPr>
      <w:r w:rsidRPr="00427D95">
        <w:t>return displaced social housing tenants to their property</w:t>
      </w:r>
      <w:r w:rsidR="00C446F9">
        <w:t>.</w:t>
      </w:r>
    </w:p>
    <w:p w14:paraId="1E2D74AB" w14:textId="77777777" w:rsidR="002149BA" w:rsidRPr="00384915" w:rsidRDefault="002149BA" w:rsidP="002149BA">
      <w:pPr>
        <w:pStyle w:val="Body"/>
      </w:pPr>
      <w:r w:rsidRPr="00384915">
        <w:t xml:space="preserve">Stream 2 will achieve these objectives by working with clients to: </w:t>
      </w:r>
    </w:p>
    <w:p w14:paraId="50E1957E" w14:textId="77777777" w:rsidR="002149BA" w:rsidRDefault="002149BA" w:rsidP="0013169E">
      <w:pPr>
        <w:pStyle w:val="Body"/>
        <w:numPr>
          <w:ilvl w:val="0"/>
          <w:numId w:val="12"/>
        </w:numPr>
      </w:pPr>
      <w:r>
        <w:t>secure safe and stable medium - to long-term housing</w:t>
      </w:r>
    </w:p>
    <w:p w14:paraId="7930E6A6" w14:textId="77777777" w:rsidR="002149BA" w:rsidRDefault="002149BA" w:rsidP="0013169E">
      <w:pPr>
        <w:pStyle w:val="Body"/>
        <w:numPr>
          <w:ilvl w:val="0"/>
          <w:numId w:val="12"/>
        </w:numPr>
      </w:pPr>
      <w:r>
        <w:t>assertively address identified risks and needs</w:t>
      </w:r>
    </w:p>
    <w:p w14:paraId="640D7360" w14:textId="7AB6FD48" w:rsidR="002149BA" w:rsidRPr="002149BA" w:rsidRDefault="002149BA" w:rsidP="0013169E">
      <w:pPr>
        <w:pStyle w:val="Body"/>
        <w:numPr>
          <w:ilvl w:val="0"/>
          <w:numId w:val="12"/>
        </w:numPr>
      </w:pPr>
      <w:r>
        <w:t>build motivation and capacity to make and sustain positive change</w:t>
      </w:r>
      <w:r w:rsidR="000A4C6F">
        <w:t>.</w:t>
      </w:r>
    </w:p>
    <w:p w14:paraId="790DB68E" w14:textId="375E8FAE" w:rsidR="00F15144" w:rsidRDefault="00097DC9" w:rsidP="00B94C5E">
      <w:pPr>
        <w:pStyle w:val="Heading1"/>
      </w:pPr>
      <w:bookmarkStart w:id="11" w:name="_Toc124847204"/>
      <w:r>
        <w:t>Eligibility</w:t>
      </w:r>
      <w:bookmarkEnd w:id="11"/>
    </w:p>
    <w:p w14:paraId="3F5E173D" w14:textId="77777777" w:rsidR="00097DC9" w:rsidRPr="00097DC9" w:rsidRDefault="00097DC9" w:rsidP="00097DC9">
      <w:pPr>
        <w:pStyle w:val="DHHSbody"/>
        <w:rPr>
          <w:rFonts w:ascii="Arial" w:hAnsi="Arial" w:cs="Arial"/>
        </w:rPr>
      </w:pPr>
      <w:r w:rsidRPr="00097DC9">
        <w:rPr>
          <w:rFonts w:ascii="Arial" w:hAnsi="Arial" w:cs="Arial"/>
        </w:rPr>
        <w:t>The Homelessness Flood Recovery Program will support:</w:t>
      </w:r>
    </w:p>
    <w:p w14:paraId="17AE6404" w14:textId="77777777" w:rsidR="00097DC9" w:rsidRPr="00097DC9" w:rsidRDefault="00097DC9" w:rsidP="00427D95">
      <w:pPr>
        <w:pStyle w:val="Bullet1"/>
      </w:pPr>
      <w:r w:rsidRPr="00097DC9">
        <w:t>households with complex needs who have experienced homelessness prior to the floods</w:t>
      </w:r>
    </w:p>
    <w:p w14:paraId="183FB3AA" w14:textId="77777777" w:rsidR="00097DC9" w:rsidRPr="00097DC9" w:rsidRDefault="00097DC9" w:rsidP="00427D95">
      <w:pPr>
        <w:pStyle w:val="Bullet1"/>
      </w:pPr>
      <w:r w:rsidRPr="00097DC9">
        <w:t>social housing tenants with complex needs who have been displaced by the floods</w:t>
      </w:r>
    </w:p>
    <w:p w14:paraId="5EDC3BCD" w14:textId="77777777" w:rsidR="00097DC9" w:rsidRPr="00097DC9" w:rsidRDefault="00097DC9" w:rsidP="00427D95">
      <w:pPr>
        <w:pStyle w:val="Bullet1"/>
      </w:pPr>
      <w:r w:rsidRPr="00097DC9">
        <w:t>households who are currently not receiving intensive support through homeless, child and family, or family violence programs, including the H2H and H4F programs</w:t>
      </w:r>
    </w:p>
    <w:p w14:paraId="41EF0668" w14:textId="591FA2E0" w:rsidR="00097DC9" w:rsidRPr="00097DC9" w:rsidRDefault="00097DC9" w:rsidP="00427D95">
      <w:pPr>
        <w:pStyle w:val="Bullet1"/>
      </w:pPr>
      <w:r w:rsidRPr="00097DC9">
        <w:t>households receiving NDIS support where housing is not a component of their funded NDIS package</w:t>
      </w:r>
      <w:r w:rsidR="000A4C6F">
        <w:t>.</w:t>
      </w:r>
    </w:p>
    <w:p w14:paraId="09D5A2F2" w14:textId="2833255A" w:rsidR="00097DC9" w:rsidRPr="00097DC9" w:rsidRDefault="00097DC9" w:rsidP="00DC5FD5">
      <w:pPr>
        <w:pStyle w:val="DHHSbody"/>
        <w:spacing w:before="120"/>
        <w:rPr>
          <w:rFonts w:ascii="Arial" w:hAnsi="Arial" w:cs="Arial"/>
        </w:rPr>
      </w:pPr>
      <w:r w:rsidRPr="00097DC9">
        <w:rPr>
          <w:rFonts w:ascii="Arial" w:hAnsi="Arial" w:cs="Arial"/>
        </w:rPr>
        <w:t xml:space="preserve">For clients to be housed, </w:t>
      </w:r>
      <w:r w:rsidR="000B0506">
        <w:rPr>
          <w:rFonts w:ascii="Arial" w:hAnsi="Arial" w:cs="Arial"/>
        </w:rPr>
        <w:t>service provider</w:t>
      </w:r>
      <w:r w:rsidRPr="00097DC9">
        <w:rPr>
          <w:rFonts w:ascii="Arial" w:hAnsi="Arial" w:cs="Arial"/>
        </w:rPr>
        <w:t xml:space="preserve">s must confirm VHR eligibility requirements have been met in consultation with Homelessness Entry Points. Refer to Appendix 3 – HFRP VHR </w:t>
      </w:r>
      <w:r w:rsidR="00ED5BAE">
        <w:rPr>
          <w:rFonts w:ascii="Arial" w:hAnsi="Arial" w:cs="Arial"/>
        </w:rPr>
        <w:t>e</w:t>
      </w:r>
      <w:r w:rsidRPr="00097DC9">
        <w:rPr>
          <w:rFonts w:ascii="Arial" w:hAnsi="Arial" w:cs="Arial"/>
        </w:rPr>
        <w:t xml:space="preserve">ligibility and </w:t>
      </w:r>
      <w:r w:rsidR="00ED5BAE">
        <w:rPr>
          <w:rFonts w:ascii="Arial" w:hAnsi="Arial" w:cs="Arial"/>
        </w:rPr>
        <w:t>p</w:t>
      </w:r>
      <w:r w:rsidRPr="00097DC9">
        <w:rPr>
          <w:rFonts w:ascii="Arial" w:hAnsi="Arial" w:cs="Arial"/>
        </w:rPr>
        <w:t>rocess for further information.</w:t>
      </w:r>
    </w:p>
    <w:p w14:paraId="4FA4F099" w14:textId="77777777" w:rsidR="00301D85" w:rsidRPr="004C085B" w:rsidRDefault="00301D85" w:rsidP="00301D85">
      <w:pPr>
        <w:pStyle w:val="Heading2"/>
      </w:pPr>
      <w:bookmarkStart w:id="12" w:name="_Toc119413901"/>
      <w:bookmarkStart w:id="13" w:name="_Toc123723344"/>
      <w:bookmarkStart w:id="14" w:name="_Toc124847205"/>
      <w:r>
        <w:lastRenderedPageBreak/>
        <w:t>Service package allocation</w:t>
      </w:r>
      <w:bookmarkEnd w:id="12"/>
      <w:bookmarkEnd w:id="13"/>
      <w:bookmarkEnd w:id="14"/>
    </w:p>
    <w:p w14:paraId="05AF031D" w14:textId="77777777" w:rsidR="00301D85" w:rsidRPr="00301D85" w:rsidRDefault="00301D85" w:rsidP="00301D85">
      <w:pPr>
        <w:pStyle w:val="DHHSbody"/>
        <w:rPr>
          <w:rFonts w:ascii="Arial" w:hAnsi="Arial" w:cs="Arial"/>
          <w:color w:val="000000" w:themeColor="text1"/>
        </w:rPr>
      </w:pPr>
      <w:r w:rsidRPr="00301D85">
        <w:rPr>
          <w:rFonts w:ascii="Arial" w:hAnsi="Arial" w:cs="Arial"/>
          <w:color w:val="000000" w:themeColor="text1"/>
        </w:rPr>
        <w:t>Referrals may be received from homelessness entry points, Emergency Recovery Victoria, Aboriginal Housing Victoria, Community Housing Providers and local housing office or the Orange Door in the relevant areas.</w:t>
      </w:r>
    </w:p>
    <w:p w14:paraId="261727BC" w14:textId="77777777" w:rsidR="00301D85" w:rsidRPr="00301D85" w:rsidRDefault="00301D85" w:rsidP="00301D85">
      <w:pPr>
        <w:pStyle w:val="DHHSbody"/>
        <w:rPr>
          <w:rFonts w:ascii="Arial" w:hAnsi="Arial" w:cs="Arial"/>
          <w:color w:val="000000" w:themeColor="text1"/>
        </w:rPr>
      </w:pPr>
      <w:r w:rsidRPr="00301D85">
        <w:rPr>
          <w:rFonts w:ascii="Arial" w:hAnsi="Arial" w:cs="Arial"/>
          <w:color w:val="000000" w:themeColor="text1"/>
        </w:rPr>
        <w:t>The HFRP-approved Community Housing providers are Beyond Housing, Haven; Home, Safe, Rumbalara Aboriginal Cooperative and Mallee District Aboriginal Services.</w:t>
      </w:r>
    </w:p>
    <w:p w14:paraId="615C139D" w14:textId="7DFEDC48" w:rsidR="00301D85" w:rsidRPr="00A15406" w:rsidRDefault="00301D85" w:rsidP="00301D85">
      <w:pPr>
        <w:pStyle w:val="Heading3"/>
      </w:pPr>
      <w:bookmarkStart w:id="15" w:name="_Toc119413892"/>
      <w:bookmarkStart w:id="16" w:name="_Toc123723345"/>
      <w:r>
        <w:t xml:space="preserve">Prioritisation and </w:t>
      </w:r>
      <w:r w:rsidR="007D636E">
        <w:t>a</w:t>
      </w:r>
      <w:r>
        <w:t xml:space="preserve">llocation of </w:t>
      </w:r>
      <w:r w:rsidR="007D636E">
        <w:t>e</w:t>
      </w:r>
      <w:r>
        <w:t xml:space="preserve">ligible </w:t>
      </w:r>
      <w:r w:rsidR="007D636E">
        <w:t>c</w:t>
      </w:r>
      <w:r>
        <w:t>lients</w:t>
      </w:r>
      <w:bookmarkEnd w:id="15"/>
      <w:bookmarkEnd w:id="16"/>
    </w:p>
    <w:p w14:paraId="24695058" w14:textId="77777777" w:rsidR="00301D85" w:rsidRPr="00301D85" w:rsidRDefault="00301D85" w:rsidP="00301D85">
      <w:pPr>
        <w:pStyle w:val="DHHSbody"/>
        <w:rPr>
          <w:rFonts w:ascii="Arial" w:hAnsi="Arial" w:cs="Arial"/>
        </w:rPr>
      </w:pPr>
      <w:r w:rsidRPr="00301D85">
        <w:rPr>
          <w:rFonts w:ascii="Arial" w:hAnsi="Arial" w:cs="Arial"/>
        </w:rPr>
        <w:t>Households will be prioritised for service packages based on their individual needs, including the risk of experiencing a prolonged period of homelessness, returning to experiencing homelessness or living in an unsafe environment without dedicated assistance to access housing with support.</w:t>
      </w:r>
    </w:p>
    <w:p w14:paraId="773BFF6E" w14:textId="77777777" w:rsidR="00301D85" w:rsidRPr="00301D85" w:rsidRDefault="00301D85" w:rsidP="00301D85">
      <w:pPr>
        <w:pStyle w:val="DHHSbody"/>
        <w:rPr>
          <w:rFonts w:ascii="Arial" w:hAnsi="Arial" w:cs="Arial"/>
        </w:rPr>
      </w:pPr>
      <w:r w:rsidRPr="00301D85">
        <w:rPr>
          <w:rFonts w:ascii="Arial" w:hAnsi="Arial" w:cs="Arial"/>
        </w:rPr>
        <w:t>Prioritisation criteria include clients:</w:t>
      </w:r>
    </w:p>
    <w:p w14:paraId="53C31965" w14:textId="77777777" w:rsidR="00301D85" w:rsidRPr="00301D85" w:rsidRDefault="00301D85" w:rsidP="00427D95">
      <w:pPr>
        <w:pStyle w:val="Bullet1"/>
      </w:pPr>
      <w:r w:rsidRPr="00301D85">
        <w:t>with complex needs</w:t>
      </w:r>
    </w:p>
    <w:p w14:paraId="7EB20A09" w14:textId="77777777" w:rsidR="00301D85" w:rsidRPr="00301D85" w:rsidRDefault="00301D85" w:rsidP="00427D95">
      <w:pPr>
        <w:pStyle w:val="Bullet1"/>
      </w:pPr>
      <w:r w:rsidRPr="00301D85">
        <w:t>with no fixed address</w:t>
      </w:r>
    </w:p>
    <w:p w14:paraId="0F37ED04" w14:textId="77777777" w:rsidR="00301D85" w:rsidRPr="00301D85" w:rsidRDefault="00301D85" w:rsidP="00427D95">
      <w:pPr>
        <w:pStyle w:val="Bullet1"/>
      </w:pPr>
      <w:r w:rsidRPr="00301D85">
        <w:t>with other complex needs who require prioritisation.</w:t>
      </w:r>
    </w:p>
    <w:p w14:paraId="6F8C5BBC" w14:textId="77777777" w:rsidR="00301D85" w:rsidRPr="003233B4" w:rsidRDefault="00301D85" w:rsidP="00301D85">
      <w:pPr>
        <w:pStyle w:val="Heading3"/>
      </w:pPr>
      <w:bookmarkStart w:id="17" w:name="_Toc123723346"/>
      <w:r w:rsidRPr="003233B4">
        <w:t>Definition of complex needs</w:t>
      </w:r>
      <w:bookmarkEnd w:id="17"/>
    </w:p>
    <w:p w14:paraId="76A83EB8" w14:textId="4141D714" w:rsidR="00301D85" w:rsidRPr="00301D85" w:rsidRDefault="00301D85" w:rsidP="00301D85">
      <w:pPr>
        <w:pStyle w:val="DHHSbody"/>
        <w:rPr>
          <w:rFonts w:ascii="Arial" w:hAnsi="Arial" w:cs="Arial"/>
        </w:rPr>
      </w:pPr>
      <w:r w:rsidRPr="00301D85">
        <w:rPr>
          <w:rFonts w:ascii="Arial" w:hAnsi="Arial" w:cs="Arial"/>
        </w:rPr>
        <w:t>People defined as having complex needs have two or more presenting support needs, for example a mental health condition and substance misuse or addiction.</w:t>
      </w:r>
      <w:r w:rsidR="00C36675">
        <w:rPr>
          <w:rStyle w:val="FootnoteReference"/>
          <w:rFonts w:ascii="Arial" w:hAnsi="Arial" w:cs="Arial"/>
        </w:rPr>
        <w:footnoteReference w:id="1"/>
      </w:r>
    </w:p>
    <w:p w14:paraId="2F7B09C3" w14:textId="77777777" w:rsidR="00301D85" w:rsidRPr="00301D85" w:rsidRDefault="00301D85" w:rsidP="00301D85">
      <w:pPr>
        <w:pStyle w:val="DHHSbody"/>
        <w:rPr>
          <w:rFonts w:ascii="Arial" w:hAnsi="Arial" w:cs="Arial"/>
        </w:rPr>
      </w:pPr>
      <w:r w:rsidRPr="00301D85">
        <w:rPr>
          <w:rFonts w:ascii="Arial" w:hAnsi="Arial" w:cs="Arial"/>
        </w:rPr>
        <w:t>Note that people with complex needs can be stable and maintain ‘good health and wellbeing’ needing intensive support only episodically.</w:t>
      </w:r>
    </w:p>
    <w:p w14:paraId="0AD3917A" w14:textId="6ACF0AC3" w:rsidR="00301D85" w:rsidRPr="00ED0C97" w:rsidRDefault="00301D85" w:rsidP="00301D85">
      <w:pPr>
        <w:pStyle w:val="Heading3"/>
      </w:pPr>
      <w:bookmarkStart w:id="18" w:name="_Toc123723347"/>
      <w:r w:rsidRPr="00ED0C97">
        <w:t>Allocation</w:t>
      </w:r>
      <w:r w:rsidR="000A6DCA">
        <w:t>s</w:t>
      </w:r>
      <w:r w:rsidRPr="00ED0C97">
        <w:t xml:space="preserve"> </w:t>
      </w:r>
      <w:r w:rsidR="00C36675">
        <w:t>p</w:t>
      </w:r>
      <w:r w:rsidRPr="00ED0C97">
        <w:t>rocess</w:t>
      </w:r>
      <w:bookmarkEnd w:id="18"/>
    </w:p>
    <w:p w14:paraId="7180995C" w14:textId="1398A7C1" w:rsidR="00301D85" w:rsidRPr="00075114" w:rsidRDefault="00301D85" w:rsidP="00301D85">
      <w:pPr>
        <w:pStyle w:val="DHHSbody"/>
        <w:rPr>
          <w:rFonts w:ascii="Arial" w:hAnsi="Arial" w:cs="Arial"/>
        </w:rPr>
      </w:pPr>
      <w:r w:rsidRPr="00075114">
        <w:rPr>
          <w:rFonts w:ascii="Arial" w:hAnsi="Arial" w:cs="Arial"/>
        </w:rPr>
        <w:t>Weekly meetings comprising nominated representative</w:t>
      </w:r>
      <w:r w:rsidR="00075114" w:rsidRPr="00075114">
        <w:rPr>
          <w:rFonts w:ascii="Arial" w:hAnsi="Arial" w:cs="Arial"/>
        </w:rPr>
        <w:t>s</w:t>
      </w:r>
      <w:r w:rsidRPr="00075114">
        <w:rPr>
          <w:rFonts w:ascii="Arial" w:hAnsi="Arial" w:cs="Arial"/>
        </w:rPr>
        <w:t xml:space="preserve"> from each area </w:t>
      </w:r>
      <w:r w:rsidR="000B0506">
        <w:rPr>
          <w:rFonts w:ascii="Arial" w:hAnsi="Arial" w:cs="Arial"/>
        </w:rPr>
        <w:t>service provider</w:t>
      </w:r>
      <w:r w:rsidRPr="00075114">
        <w:rPr>
          <w:rFonts w:ascii="Arial" w:hAnsi="Arial" w:cs="Arial"/>
        </w:rPr>
        <w:t xml:space="preserve"> and APSS team have been established to ensure collaborative and transparent allocation of service packages</w:t>
      </w:r>
      <w:r w:rsidR="00C36675">
        <w:rPr>
          <w:rFonts w:ascii="Arial" w:hAnsi="Arial" w:cs="Arial"/>
        </w:rPr>
        <w:t>.</w:t>
      </w:r>
    </w:p>
    <w:p w14:paraId="6D88466B" w14:textId="71993272" w:rsidR="00301D85" w:rsidRPr="00075114" w:rsidRDefault="00301D85" w:rsidP="00301D85">
      <w:pPr>
        <w:pStyle w:val="DHHSbody"/>
        <w:rPr>
          <w:rFonts w:ascii="Arial" w:hAnsi="Arial" w:cs="Arial"/>
        </w:rPr>
      </w:pPr>
      <w:r w:rsidRPr="00075114">
        <w:rPr>
          <w:rFonts w:ascii="Arial" w:hAnsi="Arial" w:cs="Arial"/>
        </w:rPr>
        <w:t xml:space="preserve">The area </w:t>
      </w:r>
      <w:r w:rsidR="000B0506">
        <w:rPr>
          <w:rFonts w:ascii="Arial" w:hAnsi="Arial" w:cs="Arial"/>
        </w:rPr>
        <w:t>service provider</w:t>
      </w:r>
      <w:r w:rsidRPr="00075114">
        <w:rPr>
          <w:rFonts w:ascii="Arial" w:hAnsi="Arial" w:cs="Arial"/>
        </w:rPr>
        <w:t xml:space="preserve"> is responsible for evaluating households presented for support, allocating service packages, establishment costs and HEF to eligible households, and prioritising the commencement of service packages in line with the agreed prioritisation criteria.</w:t>
      </w:r>
    </w:p>
    <w:p w14:paraId="1A4B5DE4" w14:textId="2BC0A445" w:rsidR="00301D85" w:rsidRPr="00075114" w:rsidRDefault="00301D85" w:rsidP="00301D85">
      <w:pPr>
        <w:rPr>
          <w:rFonts w:eastAsia="Times" w:cs="Arial"/>
        </w:rPr>
      </w:pPr>
      <w:r w:rsidRPr="00075114">
        <w:rPr>
          <w:rFonts w:eastAsia="Times" w:cs="Arial"/>
        </w:rPr>
        <w:t>Individual area spreadsheets based on the daily ERV Flood Accommodation spreadsheet distributed by Windermere have been uploaded to secure Teams channels to allow real-time allocation and reporting.</w:t>
      </w:r>
    </w:p>
    <w:p w14:paraId="585DC31A" w14:textId="77777777" w:rsidR="00301D85" w:rsidRPr="00ED5BAE" w:rsidRDefault="00301D85" w:rsidP="00ED5BAE">
      <w:pPr>
        <w:pStyle w:val="Numberdigit"/>
        <w:numPr>
          <w:ilvl w:val="0"/>
          <w:numId w:val="11"/>
        </w:numPr>
      </w:pPr>
      <w:r w:rsidRPr="00ED5BAE">
        <w:t>Each business day: HFRP team updates the individual area spreadsheets with new households from the daily ERV Flood Accommodation spreadsheet.</w:t>
      </w:r>
    </w:p>
    <w:p w14:paraId="14A92B37" w14:textId="77777777" w:rsidR="00ED5BAE" w:rsidRDefault="00301D85" w:rsidP="00ED5BAE">
      <w:pPr>
        <w:pStyle w:val="Numberdigit"/>
        <w:numPr>
          <w:ilvl w:val="0"/>
          <w:numId w:val="11"/>
        </w:numPr>
      </w:pPr>
      <w:r w:rsidRPr="00ED5BAE">
        <w:t xml:space="preserve">As required: </w:t>
      </w:r>
      <w:r w:rsidR="000B0506" w:rsidRPr="00ED5BAE">
        <w:t>service provider</w:t>
      </w:r>
      <w:r w:rsidRPr="00ED5BAE">
        <w:t>s and APSS teams add new households referred directly to them to their respective area spreadsheet.</w:t>
      </w:r>
    </w:p>
    <w:p w14:paraId="3F607509" w14:textId="77777777" w:rsidR="00ED5BAE" w:rsidRPr="00ED5BAE" w:rsidRDefault="00301D85" w:rsidP="00ED5BAE">
      <w:pPr>
        <w:pStyle w:val="Numberdigit"/>
        <w:numPr>
          <w:ilvl w:val="0"/>
          <w:numId w:val="11"/>
        </w:numPr>
      </w:pPr>
      <w:r w:rsidRPr="00ED5BAE">
        <w:rPr>
          <w:rFonts w:cs="Arial"/>
        </w:rPr>
        <w:t xml:space="preserve">Ongoing: </w:t>
      </w:r>
      <w:r w:rsidR="000B0506" w:rsidRPr="00ED5BAE">
        <w:rPr>
          <w:rFonts w:cs="Arial"/>
        </w:rPr>
        <w:t>service provider</w:t>
      </w:r>
      <w:r w:rsidRPr="00ED5BAE">
        <w:rPr>
          <w:rFonts w:cs="Arial"/>
        </w:rPr>
        <w:t>s assess and prioritise households then update their area spreadsheet to indicate which households have been allocated service packages, establishment costs and HEF.</w:t>
      </w:r>
    </w:p>
    <w:p w14:paraId="714725C8" w14:textId="77777777" w:rsidR="009A640C" w:rsidRPr="009A640C" w:rsidRDefault="00301D85" w:rsidP="009A640C">
      <w:pPr>
        <w:pStyle w:val="Numberdigit"/>
        <w:numPr>
          <w:ilvl w:val="0"/>
          <w:numId w:val="11"/>
        </w:numPr>
      </w:pPr>
      <w:r w:rsidRPr="00ED5BAE">
        <w:rPr>
          <w:rFonts w:cs="Arial"/>
        </w:rPr>
        <w:t xml:space="preserve">Weekly: </w:t>
      </w:r>
      <w:r w:rsidR="000B0506" w:rsidRPr="00ED5BAE">
        <w:rPr>
          <w:rFonts w:cs="Arial"/>
        </w:rPr>
        <w:t>service provider</w:t>
      </w:r>
      <w:r w:rsidRPr="00ED5BAE">
        <w:rPr>
          <w:rFonts w:cs="Arial"/>
        </w:rPr>
        <w:t>s, APSS teams and HFRP team meet to discuss and finalise allocations, with HFRP team documenting outcomes.</w:t>
      </w:r>
    </w:p>
    <w:p w14:paraId="59850701" w14:textId="70651798" w:rsidR="00097DC9" w:rsidRPr="009A640C" w:rsidRDefault="00071499" w:rsidP="009A640C">
      <w:pPr>
        <w:pStyle w:val="Numberdigit"/>
        <w:numPr>
          <w:ilvl w:val="0"/>
          <w:numId w:val="11"/>
        </w:numPr>
      </w:pPr>
      <w:r w:rsidRPr="009A640C">
        <w:rPr>
          <w:rFonts w:cs="Arial"/>
        </w:rPr>
        <w:lastRenderedPageBreak/>
        <w:t xml:space="preserve">As required: </w:t>
      </w:r>
      <w:r w:rsidR="000B0506" w:rsidRPr="009A640C">
        <w:rPr>
          <w:rFonts w:cs="Arial"/>
        </w:rPr>
        <w:t>service provider</w:t>
      </w:r>
      <w:r w:rsidRPr="009A640C">
        <w:rPr>
          <w:rFonts w:cs="Arial"/>
        </w:rPr>
        <w:t>s update their area spreadsheet to indicate if a household has disengaged from the program and any remaining package funding has been allocated to another household.</w:t>
      </w:r>
    </w:p>
    <w:p w14:paraId="0A785B48" w14:textId="77777777" w:rsidR="00E52448" w:rsidRDefault="00E52448" w:rsidP="00E52448">
      <w:pPr>
        <w:pStyle w:val="Heading2"/>
      </w:pPr>
      <w:bookmarkStart w:id="19" w:name="_Toc119413893"/>
      <w:bookmarkStart w:id="20" w:name="_Toc123723348"/>
      <w:bookmarkStart w:id="21" w:name="_Toc124847206"/>
      <w:r>
        <w:t>Types of support</w:t>
      </w:r>
      <w:bookmarkEnd w:id="19"/>
      <w:bookmarkEnd w:id="20"/>
      <w:bookmarkEnd w:id="21"/>
    </w:p>
    <w:p w14:paraId="4652915A" w14:textId="77777777" w:rsidR="00E52448" w:rsidRPr="00E52448" w:rsidRDefault="00E52448" w:rsidP="00E52448">
      <w:pPr>
        <w:pStyle w:val="DHHSbody"/>
        <w:rPr>
          <w:rFonts w:ascii="Arial" w:hAnsi="Arial" w:cs="Arial"/>
        </w:rPr>
      </w:pPr>
      <w:r w:rsidRPr="00E52448">
        <w:rPr>
          <w:rFonts w:ascii="Arial" w:hAnsi="Arial" w:cs="Arial"/>
        </w:rPr>
        <w:t>The Homelessness Flood Recovery Program incorporates:</w:t>
      </w:r>
    </w:p>
    <w:p w14:paraId="689F0C60" w14:textId="77777777" w:rsidR="00E52448" w:rsidRPr="00E52448" w:rsidRDefault="00E52448" w:rsidP="00427D95">
      <w:pPr>
        <w:pStyle w:val="Bullet1"/>
      </w:pPr>
      <w:r w:rsidRPr="00E52448">
        <w:t>Intensive support packages: 100 packages are available, with each package worth $25,000.</w:t>
      </w:r>
    </w:p>
    <w:p w14:paraId="38AAA12F" w14:textId="77777777" w:rsidR="00E52448" w:rsidRPr="00E52448" w:rsidRDefault="00E52448" w:rsidP="00427D95">
      <w:pPr>
        <w:pStyle w:val="Bullet1"/>
      </w:pPr>
      <w:r w:rsidRPr="00E52448">
        <w:t xml:space="preserve">Establishment costs: 100 packages are available, with each package worth $4,400. </w:t>
      </w:r>
    </w:p>
    <w:p w14:paraId="04F6478B" w14:textId="77777777" w:rsidR="00E52448" w:rsidRPr="00E52448" w:rsidRDefault="00E52448" w:rsidP="00427D95">
      <w:pPr>
        <w:pStyle w:val="Bullet1"/>
      </w:pPr>
      <w:r w:rsidRPr="00E52448">
        <w:t>Housing Establishment Funding (HEF) in a flexible brokerage model: 33 packages are available, with each package worth $49,000.</w:t>
      </w:r>
    </w:p>
    <w:p w14:paraId="77234D33" w14:textId="3EA57716" w:rsidR="00E52448" w:rsidRPr="00E52448" w:rsidRDefault="000B0506" w:rsidP="009A640C">
      <w:pPr>
        <w:pStyle w:val="DHHSbody"/>
        <w:spacing w:before="120"/>
        <w:rPr>
          <w:rFonts w:ascii="Arial" w:hAnsi="Arial" w:cs="Arial"/>
        </w:rPr>
      </w:pPr>
      <w:r>
        <w:rPr>
          <w:rFonts w:ascii="Arial" w:hAnsi="Arial" w:cs="Arial"/>
        </w:rPr>
        <w:t>Service provider</w:t>
      </w:r>
      <w:r w:rsidR="00E52448" w:rsidRPr="00E52448">
        <w:rPr>
          <w:rFonts w:ascii="Arial" w:hAnsi="Arial" w:cs="Arial"/>
        </w:rPr>
        <w:t>s can work with households prior to the commencement of their tenancy. Households may receive up to 12 months’ support if they are returning to their properties or housing support to establish a new tenancy. All supports delivered must be managed within the funding allocation.</w:t>
      </w:r>
    </w:p>
    <w:p w14:paraId="20559617" w14:textId="47DC766B" w:rsidR="00E52448" w:rsidRPr="00E52448" w:rsidRDefault="00E52448" w:rsidP="00E52448">
      <w:pPr>
        <w:pStyle w:val="DHHSbody"/>
        <w:rPr>
          <w:rFonts w:ascii="Arial" w:hAnsi="Arial" w:cs="Arial"/>
          <w:lang w:val="en-US"/>
        </w:rPr>
      </w:pPr>
      <w:r w:rsidRPr="00E52448">
        <w:rPr>
          <w:rFonts w:ascii="Arial" w:hAnsi="Arial" w:cs="Arial"/>
          <w:lang w:val="en-US"/>
        </w:rPr>
        <w:t xml:space="preserve">Service </w:t>
      </w:r>
      <w:r w:rsidR="000B0506">
        <w:rPr>
          <w:rFonts w:ascii="Arial" w:hAnsi="Arial" w:cs="Arial"/>
          <w:lang w:val="en-US"/>
        </w:rPr>
        <w:t>p</w:t>
      </w:r>
      <w:r w:rsidRPr="00E52448">
        <w:rPr>
          <w:rFonts w:ascii="Arial" w:hAnsi="Arial" w:cs="Arial"/>
          <w:lang w:val="en-US"/>
        </w:rPr>
        <w:t xml:space="preserve">roviders must ensure support delivered under this program is culturally appropriate and delivered in partnership with local Aboriginal services where possible. </w:t>
      </w:r>
      <w:hyperlink r:id="rId20">
        <w:r w:rsidRPr="00E52448">
          <w:rPr>
            <w:rStyle w:val="Hyperlink"/>
            <w:rFonts w:ascii="Arial" w:hAnsi="Arial" w:cs="Arial"/>
            <w:lang w:val="en-US"/>
          </w:rPr>
          <w:t xml:space="preserve">The Victorian Aboriginal Housing and Homelessness Framework - </w:t>
        </w:r>
        <w:r w:rsidRPr="00E52448">
          <w:rPr>
            <w:rStyle w:val="Hyperlink"/>
            <w:rFonts w:ascii="Arial" w:hAnsi="Arial" w:cs="Arial"/>
            <w:i/>
            <w:iCs/>
            <w:lang w:val="en-US"/>
          </w:rPr>
          <w:t>Mana-na Woorn-tyeen Maar-takoort</w:t>
        </w:r>
      </w:hyperlink>
      <w:r w:rsidRPr="00E52448">
        <w:rPr>
          <w:rFonts w:ascii="Arial" w:hAnsi="Arial" w:cs="Arial"/>
          <w:b/>
          <w:bCs/>
          <w:lang w:val="en-US"/>
        </w:rPr>
        <w:t xml:space="preserve"> </w:t>
      </w:r>
      <w:r w:rsidRPr="00E52448">
        <w:rPr>
          <w:rFonts w:ascii="Arial" w:hAnsi="Arial" w:cs="Arial"/>
          <w:lang w:val="en-US"/>
        </w:rPr>
        <w:t>&lt;</w:t>
      </w:r>
      <w:r w:rsidRPr="00E52448">
        <w:rPr>
          <w:rStyle w:val="Hyperlink"/>
          <w:rFonts w:ascii="Arial" w:hAnsi="Arial" w:cs="Arial"/>
          <w:color w:val="000000" w:themeColor="text1"/>
          <w:lang w:val="en-US"/>
        </w:rPr>
        <w:t>https://www.vahhf.org.au/&gt;</w:t>
      </w:r>
      <w:r w:rsidRPr="00E52448">
        <w:rPr>
          <w:rFonts w:ascii="Arial" w:hAnsi="Arial" w:cs="Arial"/>
          <w:lang w:val="en-US"/>
        </w:rPr>
        <w:t xml:space="preserve"> sets out an approach to ensure all Aboriginal Victorians have safe, secure and stable </w:t>
      </w:r>
      <w:r w:rsidRPr="00607D0F">
        <w:rPr>
          <w:rFonts w:ascii="Arial" w:hAnsi="Arial" w:cs="Arial"/>
        </w:rPr>
        <w:t xml:space="preserve">housing. The framework is a </w:t>
      </w:r>
      <w:r w:rsidRPr="00607D0F">
        <w:rPr>
          <w:rFonts w:ascii="Arial" w:hAnsi="Arial" w:cs="Arial"/>
          <w:lang w:val="en-US"/>
        </w:rPr>
        <w:t>guiding</w:t>
      </w:r>
      <w:r w:rsidRPr="00E52448">
        <w:rPr>
          <w:rFonts w:ascii="Arial" w:hAnsi="Arial" w:cs="Arial"/>
          <w:lang w:val="en-US"/>
        </w:rPr>
        <w:t xml:space="preserve"> document for delivering the HFRP program to clients and households who identify as Aboriginal.</w:t>
      </w:r>
    </w:p>
    <w:p w14:paraId="0E6BADE0" w14:textId="77777777" w:rsidR="00E52448" w:rsidRPr="00055A1B" w:rsidRDefault="00E52448" w:rsidP="00E52448">
      <w:pPr>
        <w:pStyle w:val="Heading2"/>
        <w:rPr>
          <w:rFonts w:eastAsia="Times"/>
        </w:rPr>
      </w:pPr>
      <w:bookmarkStart w:id="22" w:name="_Toc119413894"/>
      <w:bookmarkStart w:id="23" w:name="_Toc123723349"/>
      <w:bookmarkStart w:id="24" w:name="_Toc124847207"/>
      <w:r w:rsidRPr="00055A1B">
        <w:rPr>
          <w:rFonts w:eastAsia="Times"/>
        </w:rPr>
        <w:t>Monitoring and reporting</w:t>
      </w:r>
      <w:bookmarkEnd w:id="22"/>
      <w:bookmarkEnd w:id="23"/>
      <w:bookmarkEnd w:id="24"/>
    </w:p>
    <w:p w14:paraId="53FA22B8" w14:textId="77777777" w:rsidR="00E52448" w:rsidRPr="00427D95" w:rsidRDefault="00E52448" w:rsidP="00427D95">
      <w:pPr>
        <w:pStyle w:val="DHHSbody"/>
        <w:rPr>
          <w:rFonts w:ascii="Arial" w:hAnsi="Arial" w:cs="Arial"/>
        </w:rPr>
      </w:pPr>
      <w:r w:rsidRPr="00427D95">
        <w:rPr>
          <w:rFonts w:ascii="Arial" w:hAnsi="Arial" w:cs="Arial"/>
        </w:rPr>
        <w:t xml:space="preserve">The program and performance monitoring of services will follow processes set out in the section of this document titled Performance Monitoring and </w:t>
      </w:r>
      <w:r w:rsidRPr="00427D95" w:rsidDel="0065445D">
        <w:rPr>
          <w:rFonts w:ascii="Arial" w:hAnsi="Arial" w:cs="Arial"/>
        </w:rPr>
        <w:t>Reporting</w:t>
      </w:r>
      <w:r w:rsidRPr="00427D95">
        <w:rPr>
          <w:rFonts w:ascii="Arial" w:hAnsi="Arial" w:cs="Arial"/>
        </w:rPr>
        <w:t>. This includes:</w:t>
      </w:r>
    </w:p>
    <w:p w14:paraId="3E12DD76" w14:textId="3E3F48BF" w:rsidR="00E52448" w:rsidRPr="00427D95" w:rsidRDefault="00F44C10" w:rsidP="00427D95">
      <w:pPr>
        <w:pStyle w:val="Bullet1"/>
      </w:pPr>
      <w:r>
        <w:t>w</w:t>
      </w:r>
      <w:r w:rsidR="00E52448" w:rsidRPr="00427D95">
        <w:t>eekly household data reporting</w:t>
      </w:r>
    </w:p>
    <w:p w14:paraId="74C6D1EE" w14:textId="336B02FE" w:rsidR="00E52448" w:rsidRPr="00427D95" w:rsidRDefault="00D83C3F" w:rsidP="00427D95">
      <w:pPr>
        <w:pStyle w:val="Bullet1"/>
      </w:pPr>
      <w:r w:rsidRPr="007503BD">
        <w:rPr>
          <w:lang w:val="en-GB"/>
        </w:rPr>
        <w:t>Six-</w:t>
      </w:r>
      <w:r>
        <w:rPr>
          <w:lang w:val="en-GB"/>
        </w:rPr>
        <w:t>m</w:t>
      </w:r>
      <w:r w:rsidRPr="007503BD">
        <w:rPr>
          <w:lang w:val="en-GB"/>
        </w:rPr>
        <w:t xml:space="preserve">onthly </w:t>
      </w:r>
      <w:r>
        <w:rPr>
          <w:lang w:val="en-GB"/>
        </w:rPr>
        <w:t>f</w:t>
      </w:r>
      <w:r w:rsidRPr="007503BD">
        <w:rPr>
          <w:lang w:val="en-GB"/>
        </w:rPr>
        <w:t xml:space="preserve">unding </w:t>
      </w:r>
      <w:r>
        <w:rPr>
          <w:lang w:val="en-GB"/>
        </w:rPr>
        <w:t>r</w:t>
      </w:r>
      <w:r w:rsidRPr="007503BD">
        <w:rPr>
          <w:lang w:val="en-GB"/>
        </w:rPr>
        <w:t xml:space="preserve">econciliation </w:t>
      </w:r>
      <w:r>
        <w:rPr>
          <w:lang w:val="en-GB"/>
        </w:rPr>
        <w:t>r</w:t>
      </w:r>
      <w:r w:rsidRPr="007503BD">
        <w:rPr>
          <w:lang w:val="en-GB"/>
        </w:rPr>
        <w:t>eport</w:t>
      </w:r>
      <w:r w:rsidRPr="00427D95">
        <w:t xml:space="preserve"> </w:t>
      </w:r>
      <w:r w:rsidR="00E52448" w:rsidRPr="00427D95">
        <w:t>to Homes Victoria on the dates outlined in Appendix 1 for the duration of the program</w:t>
      </w:r>
    </w:p>
    <w:p w14:paraId="0A707E0B" w14:textId="6EF852CB" w:rsidR="002C4324" w:rsidRDefault="00F44C10" w:rsidP="00427D95">
      <w:pPr>
        <w:pStyle w:val="Bullet1"/>
      </w:pPr>
      <w:r>
        <w:t>e</w:t>
      </w:r>
      <w:r w:rsidR="00E52448" w:rsidRPr="00427D95">
        <w:t>xisting homelessness data reporting against funded activities every quarter, which will be further expanded to include reporting on household service package outcomes</w:t>
      </w:r>
      <w:r>
        <w:t>.</w:t>
      </w:r>
    </w:p>
    <w:p w14:paraId="478D2A2F" w14:textId="77777777" w:rsidR="002C4324" w:rsidRDefault="002C4324">
      <w:pPr>
        <w:spacing w:after="0" w:line="240" w:lineRule="auto"/>
        <w:rPr>
          <w:rFonts w:eastAsia="Times"/>
        </w:rPr>
      </w:pPr>
      <w:r>
        <w:br w:type="page"/>
      </w:r>
    </w:p>
    <w:p w14:paraId="0B34BAF7" w14:textId="3B109AA3" w:rsidR="00427D95" w:rsidRPr="00412DD5" w:rsidRDefault="004D2127" w:rsidP="00427D95">
      <w:pPr>
        <w:pStyle w:val="Heading1"/>
      </w:pPr>
      <w:bookmarkStart w:id="25" w:name="_Toc111195408"/>
      <w:bookmarkStart w:id="26" w:name="_Toc123723350"/>
      <w:bookmarkStart w:id="27" w:name="_Toc124847208"/>
      <w:r>
        <w:lastRenderedPageBreak/>
        <w:t>Package f</w:t>
      </w:r>
      <w:r w:rsidR="00427D95" w:rsidRPr="00412DD5">
        <w:t>unding</w:t>
      </w:r>
      <w:bookmarkEnd w:id="25"/>
      <w:bookmarkEnd w:id="26"/>
      <w:bookmarkEnd w:id="27"/>
    </w:p>
    <w:p w14:paraId="5DB2C02A" w14:textId="1591B49D" w:rsidR="00427D95" w:rsidRPr="00427D95" w:rsidRDefault="00427D95" w:rsidP="00427D95">
      <w:pPr>
        <w:pStyle w:val="DHHSbody"/>
        <w:rPr>
          <w:rStyle w:val="normaltextrun"/>
          <w:rFonts w:ascii="Arial" w:hAnsi="Arial" w:cs="Arial"/>
        </w:rPr>
      </w:pPr>
      <w:r w:rsidRPr="00427D95">
        <w:rPr>
          <w:rStyle w:val="normaltextrun"/>
          <w:rFonts w:ascii="Arial" w:hAnsi="Arial" w:cs="Arial"/>
        </w:rPr>
        <w:t>The allocation of packages is based on data received from Emergency R</w:t>
      </w:r>
      <w:r w:rsidR="00DA50D5">
        <w:rPr>
          <w:rStyle w:val="normaltextrun"/>
          <w:rFonts w:ascii="Arial" w:hAnsi="Arial" w:cs="Arial"/>
        </w:rPr>
        <w:t>ecovery</w:t>
      </w:r>
      <w:r w:rsidRPr="00427D95">
        <w:rPr>
          <w:rStyle w:val="normaltextrun"/>
          <w:rFonts w:ascii="Arial" w:hAnsi="Arial" w:cs="Arial"/>
        </w:rPr>
        <w:t xml:space="preserve"> Victoria, homelessness and housing providers and public housing offices.</w:t>
      </w:r>
    </w:p>
    <w:p w14:paraId="2D82F9EE" w14:textId="77777777" w:rsidR="00427D95" w:rsidRPr="00427D95" w:rsidRDefault="00427D95" w:rsidP="00427D95">
      <w:pPr>
        <w:pStyle w:val="DHHSbody"/>
        <w:rPr>
          <w:rFonts w:ascii="Arial" w:hAnsi="Arial" w:cs="Arial"/>
        </w:rPr>
      </w:pPr>
      <w:r w:rsidRPr="00427D95">
        <w:rPr>
          <w:rStyle w:val="normaltextrun"/>
          <w:rFonts w:ascii="Arial" w:hAnsi="Arial" w:cs="Arial"/>
        </w:rPr>
        <w:t>The Community Organisation Practice Leadership in the affected areas have been consulted to confirm capacity and capability of currently funded housing, homelessness providers and Aboriginal Community Controlled Organisations to deliver the programs in a timely manner.</w:t>
      </w:r>
    </w:p>
    <w:p w14:paraId="14BAE945" w14:textId="75791221" w:rsidR="00427D95" w:rsidRPr="00427D95" w:rsidRDefault="00427D95" w:rsidP="00427D95">
      <w:pPr>
        <w:pStyle w:val="DHHSbody"/>
        <w:rPr>
          <w:rFonts w:ascii="Arial" w:hAnsi="Arial" w:cs="Arial"/>
        </w:rPr>
      </w:pPr>
      <w:r w:rsidRPr="00427D95">
        <w:rPr>
          <w:rFonts w:ascii="Arial" w:hAnsi="Arial" w:cs="Arial"/>
        </w:rPr>
        <w:t xml:space="preserve">Funding will be distributed to </w:t>
      </w:r>
      <w:r w:rsidR="000B0506">
        <w:rPr>
          <w:rFonts w:ascii="Arial" w:hAnsi="Arial" w:cs="Arial"/>
        </w:rPr>
        <w:t>service provider</w:t>
      </w:r>
      <w:r w:rsidRPr="00427D95">
        <w:rPr>
          <w:rFonts w:ascii="Arial" w:hAnsi="Arial" w:cs="Arial"/>
        </w:rPr>
        <w:t>s via direct allocation through the SAMS2 system.</w:t>
      </w:r>
    </w:p>
    <w:p w14:paraId="024B9AE5" w14:textId="31030A02" w:rsidR="00427D95" w:rsidRDefault="00427D95" w:rsidP="00427D95">
      <w:pPr>
        <w:pStyle w:val="Tablecaption"/>
      </w:pPr>
      <w:r>
        <w:t xml:space="preserve">Table 1: </w:t>
      </w:r>
      <w:r w:rsidRPr="4A527ECF">
        <w:rPr>
          <w:bCs/>
          <w:color w:val="000000" w:themeColor="text1"/>
          <w:szCs w:val="21"/>
        </w:rPr>
        <w:t xml:space="preserve">Package </w:t>
      </w:r>
      <w:r w:rsidR="007D636E">
        <w:rPr>
          <w:bCs/>
          <w:color w:val="000000" w:themeColor="text1"/>
          <w:szCs w:val="21"/>
        </w:rPr>
        <w:t>a</w:t>
      </w:r>
      <w:r w:rsidRPr="4A527ECF">
        <w:rPr>
          <w:bCs/>
          <w:color w:val="000000" w:themeColor="text1"/>
          <w:szCs w:val="21"/>
        </w:rPr>
        <w:t>llocation for the intensive case management and Housing Establishment Fund components of funding</w:t>
      </w:r>
    </w:p>
    <w:tbl>
      <w:tblPr>
        <w:tblStyle w:val="TableGrid"/>
        <w:tblW w:w="10065" w:type="dxa"/>
        <w:tblInd w:w="-147" w:type="dxa"/>
        <w:tblLook w:val="06A0" w:firstRow="1" w:lastRow="0" w:firstColumn="1" w:lastColumn="0" w:noHBand="1" w:noVBand="1"/>
      </w:tblPr>
      <w:tblGrid>
        <w:gridCol w:w="1418"/>
        <w:gridCol w:w="2546"/>
        <w:gridCol w:w="1990"/>
        <w:gridCol w:w="1985"/>
        <w:gridCol w:w="2126"/>
      </w:tblGrid>
      <w:tr w:rsidR="007D636E" w14:paraId="2D7BADE0" w14:textId="77777777" w:rsidTr="007D636E">
        <w:trPr>
          <w:tblHeader/>
        </w:trPr>
        <w:tc>
          <w:tcPr>
            <w:tcW w:w="1418" w:type="dxa"/>
          </w:tcPr>
          <w:p w14:paraId="2981E237" w14:textId="564917E6" w:rsidR="007D636E" w:rsidRPr="00CB3285" w:rsidRDefault="007D636E" w:rsidP="00E94CA4">
            <w:pPr>
              <w:pStyle w:val="Tablecolhead"/>
            </w:pPr>
            <w:r>
              <w:t>Area</w:t>
            </w:r>
          </w:p>
        </w:tc>
        <w:tc>
          <w:tcPr>
            <w:tcW w:w="2546" w:type="dxa"/>
          </w:tcPr>
          <w:p w14:paraId="76D01319" w14:textId="4FDC7B06" w:rsidR="007D636E" w:rsidRDefault="007D636E" w:rsidP="00E94CA4">
            <w:pPr>
              <w:pStyle w:val="Tablecolhead"/>
            </w:pPr>
            <w:r>
              <w:t>Service provider</w:t>
            </w:r>
          </w:p>
        </w:tc>
        <w:tc>
          <w:tcPr>
            <w:tcW w:w="1990" w:type="dxa"/>
          </w:tcPr>
          <w:p w14:paraId="2779A2FD" w14:textId="75267421" w:rsidR="007D636E" w:rsidRDefault="007D636E" w:rsidP="00E94CA4">
            <w:pPr>
              <w:pStyle w:val="Tablecolhead"/>
            </w:pPr>
            <w:r>
              <w:t>Intensive case management packages</w:t>
            </w:r>
          </w:p>
        </w:tc>
        <w:tc>
          <w:tcPr>
            <w:tcW w:w="1985" w:type="dxa"/>
          </w:tcPr>
          <w:p w14:paraId="4DBEFD82" w14:textId="56E06416" w:rsidR="007D636E" w:rsidRPr="00D53AC6" w:rsidRDefault="007D636E" w:rsidP="00E94CA4">
            <w:pPr>
              <w:pStyle w:val="Tablecolhead"/>
            </w:pPr>
            <w:r>
              <w:t>Establishment costs packages</w:t>
            </w:r>
          </w:p>
        </w:tc>
        <w:tc>
          <w:tcPr>
            <w:tcW w:w="2126" w:type="dxa"/>
          </w:tcPr>
          <w:p w14:paraId="006E95F6" w14:textId="6D0C48F8" w:rsidR="007D636E" w:rsidRDefault="007D636E" w:rsidP="00E94CA4">
            <w:pPr>
              <w:pStyle w:val="Tablecolhead"/>
            </w:pPr>
            <w:r>
              <w:t>Housing Establishment Fund packages</w:t>
            </w:r>
          </w:p>
        </w:tc>
      </w:tr>
      <w:tr w:rsidR="007D636E" w14:paraId="3D005285" w14:textId="77777777" w:rsidTr="007D636E">
        <w:tc>
          <w:tcPr>
            <w:tcW w:w="1418" w:type="dxa"/>
          </w:tcPr>
          <w:p w14:paraId="71D3C6C3" w14:textId="4F5E0D39" w:rsidR="007D636E" w:rsidRDefault="007D636E" w:rsidP="00E94CA4">
            <w:pPr>
              <w:pStyle w:val="Tabletext"/>
            </w:pPr>
            <w:r>
              <w:t>Goulburn</w:t>
            </w:r>
          </w:p>
        </w:tc>
        <w:tc>
          <w:tcPr>
            <w:tcW w:w="2546" w:type="dxa"/>
          </w:tcPr>
          <w:p w14:paraId="2DCBBFB7" w14:textId="3B7D4D36" w:rsidR="007D636E" w:rsidRDefault="007D636E" w:rsidP="00E94CA4">
            <w:pPr>
              <w:pStyle w:val="Tabletext"/>
            </w:pPr>
            <w:r>
              <w:t>Beyond Housing</w:t>
            </w:r>
          </w:p>
        </w:tc>
        <w:tc>
          <w:tcPr>
            <w:tcW w:w="1990" w:type="dxa"/>
          </w:tcPr>
          <w:p w14:paraId="50B0D349" w14:textId="6387194D" w:rsidR="007D636E" w:rsidRDefault="007D636E" w:rsidP="0049080E">
            <w:pPr>
              <w:pStyle w:val="Tablebullet2"/>
              <w:numPr>
                <w:ilvl w:val="0"/>
                <w:numId w:val="0"/>
              </w:numPr>
            </w:pPr>
            <w:r>
              <w:t>42</w:t>
            </w:r>
          </w:p>
        </w:tc>
        <w:tc>
          <w:tcPr>
            <w:tcW w:w="1985" w:type="dxa"/>
          </w:tcPr>
          <w:p w14:paraId="0F6C57E5" w14:textId="1D527D71" w:rsidR="007D636E" w:rsidRDefault="007D636E" w:rsidP="0049080E">
            <w:pPr>
              <w:pStyle w:val="Tablebullet1"/>
              <w:numPr>
                <w:ilvl w:val="0"/>
                <w:numId w:val="0"/>
              </w:numPr>
              <w:ind w:left="227" w:hanging="227"/>
            </w:pPr>
            <w:r>
              <w:t>42</w:t>
            </w:r>
          </w:p>
        </w:tc>
        <w:tc>
          <w:tcPr>
            <w:tcW w:w="2126" w:type="dxa"/>
          </w:tcPr>
          <w:p w14:paraId="4F885A62" w14:textId="0D6F6C69" w:rsidR="007D636E" w:rsidRDefault="007D636E" w:rsidP="0049080E">
            <w:pPr>
              <w:pStyle w:val="Tablebullet2"/>
              <w:numPr>
                <w:ilvl w:val="0"/>
                <w:numId w:val="0"/>
              </w:numPr>
            </w:pPr>
            <w:r>
              <w:t>14</w:t>
            </w:r>
          </w:p>
        </w:tc>
      </w:tr>
      <w:tr w:rsidR="007D636E" w14:paraId="372CF2A6" w14:textId="77777777" w:rsidTr="007D636E">
        <w:tc>
          <w:tcPr>
            <w:tcW w:w="1418" w:type="dxa"/>
          </w:tcPr>
          <w:p w14:paraId="03ED5F62" w14:textId="00928171" w:rsidR="007D636E" w:rsidRDefault="007D636E" w:rsidP="00E94CA4">
            <w:pPr>
              <w:pStyle w:val="Tabletext"/>
            </w:pPr>
            <w:r>
              <w:t>Goulburn</w:t>
            </w:r>
          </w:p>
        </w:tc>
        <w:tc>
          <w:tcPr>
            <w:tcW w:w="2546" w:type="dxa"/>
          </w:tcPr>
          <w:p w14:paraId="4470F391" w14:textId="35BAB332" w:rsidR="007D636E" w:rsidRDefault="007D636E" w:rsidP="00E94CA4">
            <w:pPr>
              <w:pStyle w:val="Tabletext"/>
            </w:pPr>
            <w:r>
              <w:t>Rumbalara Aboriginal Co-operative</w:t>
            </w:r>
          </w:p>
        </w:tc>
        <w:tc>
          <w:tcPr>
            <w:tcW w:w="1990" w:type="dxa"/>
          </w:tcPr>
          <w:p w14:paraId="3C3CD328" w14:textId="01C48B2F" w:rsidR="007D636E" w:rsidRDefault="007D636E" w:rsidP="0049080E">
            <w:pPr>
              <w:pStyle w:val="Tablebullet2"/>
              <w:numPr>
                <w:ilvl w:val="0"/>
                <w:numId w:val="0"/>
              </w:numPr>
            </w:pPr>
            <w:r>
              <w:t>8</w:t>
            </w:r>
          </w:p>
        </w:tc>
        <w:tc>
          <w:tcPr>
            <w:tcW w:w="1985" w:type="dxa"/>
          </w:tcPr>
          <w:p w14:paraId="047D7915" w14:textId="6C1C3515" w:rsidR="007D636E" w:rsidRDefault="007D636E" w:rsidP="0049080E">
            <w:pPr>
              <w:pStyle w:val="Tablebullet1"/>
              <w:numPr>
                <w:ilvl w:val="0"/>
                <w:numId w:val="0"/>
              </w:numPr>
              <w:ind w:left="227" w:hanging="227"/>
            </w:pPr>
            <w:r>
              <w:t>8</w:t>
            </w:r>
          </w:p>
        </w:tc>
        <w:tc>
          <w:tcPr>
            <w:tcW w:w="2126" w:type="dxa"/>
          </w:tcPr>
          <w:p w14:paraId="5C9ABC0C" w14:textId="112D4A84" w:rsidR="007D636E" w:rsidRDefault="007D636E" w:rsidP="0049080E">
            <w:pPr>
              <w:pStyle w:val="Tablebullet2"/>
              <w:numPr>
                <w:ilvl w:val="0"/>
                <w:numId w:val="0"/>
              </w:numPr>
            </w:pPr>
            <w:r>
              <w:t>3</w:t>
            </w:r>
          </w:p>
        </w:tc>
      </w:tr>
      <w:tr w:rsidR="007D636E" w14:paraId="6592CBD1" w14:textId="77777777" w:rsidTr="007D636E">
        <w:tc>
          <w:tcPr>
            <w:tcW w:w="1418" w:type="dxa"/>
          </w:tcPr>
          <w:p w14:paraId="20DC0F47" w14:textId="60D29257" w:rsidR="007D636E" w:rsidRDefault="007D636E" w:rsidP="00E94CA4">
            <w:pPr>
              <w:pStyle w:val="Tabletext"/>
            </w:pPr>
            <w:r>
              <w:t>Loddon</w:t>
            </w:r>
          </w:p>
        </w:tc>
        <w:tc>
          <w:tcPr>
            <w:tcW w:w="2546" w:type="dxa"/>
          </w:tcPr>
          <w:p w14:paraId="3542E5D8" w14:textId="09DF73CC" w:rsidR="007D636E" w:rsidRDefault="007D636E" w:rsidP="00E94CA4">
            <w:pPr>
              <w:pStyle w:val="Tabletext"/>
            </w:pPr>
            <w:r>
              <w:t>Haven; Home, Safe</w:t>
            </w:r>
          </w:p>
        </w:tc>
        <w:tc>
          <w:tcPr>
            <w:tcW w:w="1990" w:type="dxa"/>
          </w:tcPr>
          <w:p w14:paraId="62785B25" w14:textId="5332B2BE" w:rsidR="007D636E" w:rsidRDefault="007D636E" w:rsidP="0049080E">
            <w:pPr>
              <w:pStyle w:val="Tablebullet2"/>
              <w:numPr>
                <w:ilvl w:val="0"/>
                <w:numId w:val="0"/>
              </w:numPr>
            </w:pPr>
            <w:r>
              <w:t>30</w:t>
            </w:r>
          </w:p>
        </w:tc>
        <w:tc>
          <w:tcPr>
            <w:tcW w:w="1985" w:type="dxa"/>
          </w:tcPr>
          <w:p w14:paraId="3E4D85D0" w14:textId="2CEA358C" w:rsidR="007D636E" w:rsidRDefault="007D636E" w:rsidP="0049080E">
            <w:pPr>
              <w:pStyle w:val="Tablebullet1"/>
              <w:numPr>
                <w:ilvl w:val="0"/>
                <w:numId w:val="0"/>
              </w:numPr>
              <w:ind w:left="227" w:hanging="227"/>
            </w:pPr>
            <w:r>
              <w:t>30</w:t>
            </w:r>
          </w:p>
        </w:tc>
        <w:tc>
          <w:tcPr>
            <w:tcW w:w="2126" w:type="dxa"/>
          </w:tcPr>
          <w:p w14:paraId="3F136191" w14:textId="3469E024" w:rsidR="007D636E" w:rsidRDefault="007D636E" w:rsidP="0049080E">
            <w:pPr>
              <w:pStyle w:val="Tablebullet2"/>
              <w:numPr>
                <w:ilvl w:val="0"/>
                <w:numId w:val="0"/>
              </w:numPr>
            </w:pPr>
            <w:r>
              <w:t>10</w:t>
            </w:r>
          </w:p>
        </w:tc>
      </w:tr>
      <w:tr w:rsidR="007D636E" w14:paraId="4810AA4C" w14:textId="77777777" w:rsidTr="007D636E">
        <w:tc>
          <w:tcPr>
            <w:tcW w:w="1418" w:type="dxa"/>
          </w:tcPr>
          <w:p w14:paraId="7B76A4F0" w14:textId="6D7F3DC8" w:rsidR="007D636E" w:rsidRDefault="007D636E" w:rsidP="00E94CA4">
            <w:pPr>
              <w:pStyle w:val="Tabletext"/>
            </w:pPr>
            <w:r>
              <w:t>Mallee</w:t>
            </w:r>
          </w:p>
        </w:tc>
        <w:tc>
          <w:tcPr>
            <w:tcW w:w="2546" w:type="dxa"/>
          </w:tcPr>
          <w:p w14:paraId="11A2725E" w14:textId="6B4969F9" w:rsidR="007D636E" w:rsidRDefault="007D636E" w:rsidP="00E94CA4">
            <w:pPr>
              <w:pStyle w:val="Tabletext"/>
            </w:pPr>
            <w:r>
              <w:t>Haven; Home, Safe</w:t>
            </w:r>
          </w:p>
        </w:tc>
        <w:tc>
          <w:tcPr>
            <w:tcW w:w="1990" w:type="dxa"/>
          </w:tcPr>
          <w:p w14:paraId="200A3846" w14:textId="10024BA6" w:rsidR="007D636E" w:rsidRDefault="007D636E" w:rsidP="0049080E">
            <w:pPr>
              <w:pStyle w:val="Tablebullet2"/>
              <w:numPr>
                <w:ilvl w:val="0"/>
                <w:numId w:val="0"/>
              </w:numPr>
            </w:pPr>
            <w:r>
              <w:t>9</w:t>
            </w:r>
          </w:p>
        </w:tc>
        <w:tc>
          <w:tcPr>
            <w:tcW w:w="1985" w:type="dxa"/>
          </w:tcPr>
          <w:p w14:paraId="431D8AC7" w14:textId="431CDDA5" w:rsidR="007D636E" w:rsidRDefault="007D636E" w:rsidP="0049080E">
            <w:pPr>
              <w:pStyle w:val="Tablebullet1"/>
              <w:numPr>
                <w:ilvl w:val="0"/>
                <w:numId w:val="0"/>
              </w:numPr>
              <w:ind w:left="227" w:hanging="227"/>
            </w:pPr>
            <w:r>
              <w:t>9</w:t>
            </w:r>
          </w:p>
        </w:tc>
        <w:tc>
          <w:tcPr>
            <w:tcW w:w="2126" w:type="dxa"/>
          </w:tcPr>
          <w:p w14:paraId="5F61DAB8" w14:textId="456FE193" w:rsidR="007D636E" w:rsidRDefault="007D636E" w:rsidP="0049080E">
            <w:pPr>
              <w:pStyle w:val="Tablebullet2"/>
              <w:numPr>
                <w:ilvl w:val="0"/>
                <w:numId w:val="0"/>
              </w:numPr>
            </w:pPr>
            <w:r>
              <w:t>2</w:t>
            </w:r>
          </w:p>
        </w:tc>
      </w:tr>
      <w:tr w:rsidR="007D636E" w14:paraId="5B0D4E5C" w14:textId="77777777" w:rsidTr="007D636E">
        <w:tc>
          <w:tcPr>
            <w:tcW w:w="1418" w:type="dxa"/>
          </w:tcPr>
          <w:p w14:paraId="338671DE" w14:textId="3AD6D3FC" w:rsidR="007D636E" w:rsidRDefault="007D636E" w:rsidP="00E94CA4">
            <w:pPr>
              <w:pStyle w:val="Tabletext"/>
            </w:pPr>
            <w:r>
              <w:t>Mallee</w:t>
            </w:r>
          </w:p>
        </w:tc>
        <w:tc>
          <w:tcPr>
            <w:tcW w:w="2546" w:type="dxa"/>
          </w:tcPr>
          <w:p w14:paraId="47CB1442" w14:textId="378A47C4" w:rsidR="007D636E" w:rsidRDefault="007D636E" w:rsidP="00E94CA4">
            <w:pPr>
              <w:pStyle w:val="Tabletext"/>
            </w:pPr>
            <w:r>
              <w:t>Mallee District Aboriginal Services</w:t>
            </w:r>
          </w:p>
        </w:tc>
        <w:tc>
          <w:tcPr>
            <w:tcW w:w="1990" w:type="dxa"/>
          </w:tcPr>
          <w:p w14:paraId="54D5142C" w14:textId="3B3D2B1D" w:rsidR="007D636E" w:rsidRDefault="007D636E" w:rsidP="0049080E">
            <w:pPr>
              <w:pStyle w:val="Tablebullet2"/>
              <w:numPr>
                <w:ilvl w:val="0"/>
                <w:numId w:val="0"/>
              </w:numPr>
            </w:pPr>
            <w:r>
              <w:t>1</w:t>
            </w:r>
          </w:p>
        </w:tc>
        <w:tc>
          <w:tcPr>
            <w:tcW w:w="1985" w:type="dxa"/>
          </w:tcPr>
          <w:p w14:paraId="0D73C0EB" w14:textId="34ABC7A2" w:rsidR="007D636E" w:rsidRDefault="007D636E" w:rsidP="0049080E">
            <w:pPr>
              <w:pStyle w:val="Tablebullet1"/>
              <w:numPr>
                <w:ilvl w:val="0"/>
                <w:numId w:val="0"/>
              </w:numPr>
              <w:ind w:left="227" w:hanging="227"/>
            </w:pPr>
            <w:r>
              <w:t>1</w:t>
            </w:r>
          </w:p>
        </w:tc>
        <w:tc>
          <w:tcPr>
            <w:tcW w:w="2126" w:type="dxa"/>
          </w:tcPr>
          <w:p w14:paraId="2CBC9E2F" w14:textId="3D16725C" w:rsidR="007D636E" w:rsidRDefault="007D636E" w:rsidP="0049080E">
            <w:pPr>
              <w:pStyle w:val="Tablebullet2"/>
              <w:numPr>
                <w:ilvl w:val="0"/>
                <w:numId w:val="0"/>
              </w:numPr>
            </w:pPr>
            <w:r>
              <w:t>1</w:t>
            </w:r>
          </w:p>
        </w:tc>
      </w:tr>
      <w:tr w:rsidR="007D636E" w14:paraId="1224A919" w14:textId="77777777" w:rsidTr="007D636E">
        <w:tc>
          <w:tcPr>
            <w:tcW w:w="1418" w:type="dxa"/>
          </w:tcPr>
          <w:p w14:paraId="11F5942C" w14:textId="24030F78" w:rsidR="007D636E" w:rsidRDefault="007D636E" w:rsidP="00E94CA4">
            <w:pPr>
              <w:pStyle w:val="Tabletext"/>
            </w:pPr>
            <w:r>
              <w:t>Reserve packages</w:t>
            </w:r>
          </w:p>
        </w:tc>
        <w:tc>
          <w:tcPr>
            <w:tcW w:w="2546" w:type="dxa"/>
          </w:tcPr>
          <w:p w14:paraId="1542104A" w14:textId="696D64F1" w:rsidR="007D636E" w:rsidRDefault="007D636E" w:rsidP="00E94CA4">
            <w:pPr>
              <w:pStyle w:val="Tabletext"/>
            </w:pPr>
            <w:r>
              <w:t>TBC</w:t>
            </w:r>
          </w:p>
        </w:tc>
        <w:tc>
          <w:tcPr>
            <w:tcW w:w="1990" w:type="dxa"/>
          </w:tcPr>
          <w:p w14:paraId="2277921E" w14:textId="2D929F32" w:rsidR="007D636E" w:rsidRDefault="007D636E" w:rsidP="0049080E">
            <w:pPr>
              <w:pStyle w:val="Tablebullet2"/>
              <w:numPr>
                <w:ilvl w:val="0"/>
                <w:numId w:val="0"/>
              </w:numPr>
            </w:pPr>
            <w:r>
              <w:t>10</w:t>
            </w:r>
          </w:p>
        </w:tc>
        <w:tc>
          <w:tcPr>
            <w:tcW w:w="1985" w:type="dxa"/>
          </w:tcPr>
          <w:p w14:paraId="602D5B51" w14:textId="1A821AE6" w:rsidR="007D636E" w:rsidRDefault="007D636E" w:rsidP="0049080E">
            <w:pPr>
              <w:pStyle w:val="Tablebullet1"/>
              <w:numPr>
                <w:ilvl w:val="0"/>
                <w:numId w:val="0"/>
              </w:numPr>
              <w:ind w:left="227" w:hanging="227"/>
            </w:pPr>
            <w:r>
              <w:t>10</w:t>
            </w:r>
          </w:p>
        </w:tc>
        <w:tc>
          <w:tcPr>
            <w:tcW w:w="2126" w:type="dxa"/>
          </w:tcPr>
          <w:p w14:paraId="47152B23" w14:textId="0C4E9F95" w:rsidR="007D636E" w:rsidRDefault="007D636E" w:rsidP="0049080E">
            <w:pPr>
              <w:pStyle w:val="Tablebullet2"/>
              <w:numPr>
                <w:ilvl w:val="0"/>
                <w:numId w:val="0"/>
              </w:numPr>
            </w:pPr>
            <w:r>
              <w:t>3</w:t>
            </w:r>
          </w:p>
        </w:tc>
      </w:tr>
      <w:tr w:rsidR="007D636E" w14:paraId="03F9926D" w14:textId="77777777" w:rsidTr="007D636E">
        <w:tc>
          <w:tcPr>
            <w:tcW w:w="1418" w:type="dxa"/>
          </w:tcPr>
          <w:p w14:paraId="580C78A3" w14:textId="570BEBE9" w:rsidR="007D636E" w:rsidRDefault="007D636E" w:rsidP="0049080E">
            <w:pPr>
              <w:pStyle w:val="Tablecolhead"/>
            </w:pPr>
            <w:r>
              <w:t>Total</w:t>
            </w:r>
          </w:p>
        </w:tc>
        <w:tc>
          <w:tcPr>
            <w:tcW w:w="2546" w:type="dxa"/>
          </w:tcPr>
          <w:p w14:paraId="717CF169" w14:textId="6897325B" w:rsidR="007D636E" w:rsidRDefault="007D636E" w:rsidP="00E94CA4">
            <w:pPr>
              <w:pStyle w:val="Tabletext"/>
            </w:pPr>
          </w:p>
        </w:tc>
        <w:tc>
          <w:tcPr>
            <w:tcW w:w="1990" w:type="dxa"/>
          </w:tcPr>
          <w:p w14:paraId="61462E12" w14:textId="5036A650" w:rsidR="007D636E" w:rsidRDefault="007D636E" w:rsidP="0049080E">
            <w:pPr>
              <w:pStyle w:val="Tablebullet2"/>
              <w:numPr>
                <w:ilvl w:val="0"/>
                <w:numId w:val="0"/>
              </w:numPr>
            </w:pPr>
            <w:r>
              <w:t>100</w:t>
            </w:r>
          </w:p>
        </w:tc>
        <w:tc>
          <w:tcPr>
            <w:tcW w:w="1985" w:type="dxa"/>
          </w:tcPr>
          <w:p w14:paraId="5C625C27" w14:textId="7A485054" w:rsidR="007D636E" w:rsidRDefault="007D636E" w:rsidP="0049080E">
            <w:pPr>
              <w:pStyle w:val="Tablebullet1"/>
              <w:numPr>
                <w:ilvl w:val="0"/>
                <w:numId w:val="0"/>
              </w:numPr>
              <w:ind w:left="227" w:hanging="227"/>
            </w:pPr>
            <w:r>
              <w:t>100</w:t>
            </w:r>
          </w:p>
        </w:tc>
        <w:tc>
          <w:tcPr>
            <w:tcW w:w="2126" w:type="dxa"/>
          </w:tcPr>
          <w:p w14:paraId="4476286C" w14:textId="56BC84EF" w:rsidR="007D636E" w:rsidRDefault="007D636E" w:rsidP="0049080E">
            <w:pPr>
              <w:pStyle w:val="Tablebullet2"/>
              <w:numPr>
                <w:ilvl w:val="0"/>
                <w:numId w:val="0"/>
              </w:numPr>
            </w:pPr>
            <w:r>
              <w:t>33</w:t>
            </w:r>
          </w:p>
        </w:tc>
      </w:tr>
    </w:tbl>
    <w:p w14:paraId="23A98390" w14:textId="77777777" w:rsidR="00AD243A" w:rsidRPr="00EB0636" w:rsidRDefault="00AD243A" w:rsidP="00AD243A">
      <w:pPr>
        <w:pStyle w:val="Heading1"/>
        <w:spacing w:line="276" w:lineRule="auto"/>
        <w:rPr>
          <w:rFonts w:eastAsia="Arial"/>
          <w:color w:val="000000" w:themeColor="text1"/>
          <w:sz w:val="21"/>
          <w:szCs w:val="21"/>
        </w:rPr>
      </w:pPr>
      <w:bookmarkStart w:id="28" w:name="_Toc111195412"/>
      <w:bookmarkStart w:id="29" w:name="_Toc119413905"/>
      <w:bookmarkStart w:id="30" w:name="_Toc123723352"/>
      <w:bookmarkStart w:id="31" w:name="_Toc124847209"/>
      <w:r w:rsidRPr="00EB0636">
        <w:t>Key Activities</w:t>
      </w:r>
      <w:bookmarkEnd w:id="28"/>
      <w:bookmarkEnd w:id="29"/>
      <w:bookmarkEnd w:id="30"/>
      <w:bookmarkEnd w:id="31"/>
    </w:p>
    <w:p w14:paraId="3928E6E2" w14:textId="77777777" w:rsidR="00AD243A" w:rsidRPr="00AD243A" w:rsidRDefault="00AD243A" w:rsidP="00AD243A">
      <w:pPr>
        <w:pStyle w:val="DHHSbody"/>
        <w:rPr>
          <w:rFonts w:ascii="Arial" w:hAnsi="Arial" w:cs="Arial"/>
        </w:rPr>
      </w:pPr>
      <w:r w:rsidRPr="00AD243A">
        <w:rPr>
          <w:rFonts w:ascii="Arial" w:hAnsi="Arial" w:cs="Arial"/>
        </w:rPr>
        <w:t>The three key activities under the HFRP program are Intensive Service</w:t>
      </w:r>
      <w:r w:rsidRPr="00AD243A" w:rsidDel="006F31BC">
        <w:rPr>
          <w:rFonts w:ascii="Arial" w:hAnsi="Arial" w:cs="Arial"/>
        </w:rPr>
        <w:t xml:space="preserve"> </w:t>
      </w:r>
      <w:r w:rsidRPr="00AD243A">
        <w:rPr>
          <w:rFonts w:ascii="Arial" w:hAnsi="Arial" w:cs="Arial"/>
        </w:rPr>
        <w:t>Packages, Establishment Costs and Housing Establishment Fund (HEF).</w:t>
      </w:r>
    </w:p>
    <w:p w14:paraId="712E2F16" w14:textId="7606523A" w:rsidR="00AD243A" w:rsidRPr="00EB0636" w:rsidRDefault="00AD243A" w:rsidP="00AD243A">
      <w:pPr>
        <w:pStyle w:val="Heading2"/>
        <w:spacing w:before="0" w:line="270" w:lineRule="atLeast"/>
        <w:rPr>
          <w:color w:val="000000" w:themeColor="text1"/>
          <w:sz w:val="21"/>
          <w:szCs w:val="21"/>
        </w:rPr>
      </w:pPr>
      <w:bookmarkStart w:id="32" w:name="_Toc119413906"/>
      <w:bookmarkStart w:id="33" w:name="_Toc123723353"/>
      <w:bookmarkStart w:id="34" w:name="_Toc124847210"/>
      <w:r w:rsidRPr="00EB0636">
        <w:t xml:space="preserve">Activity 1: </w:t>
      </w:r>
      <w:bookmarkStart w:id="35" w:name="_Toc111195414"/>
      <w:r w:rsidR="007D636E">
        <w:t>i</w:t>
      </w:r>
      <w:r w:rsidRPr="00EB0636">
        <w:t xml:space="preserve">ntensive </w:t>
      </w:r>
      <w:r w:rsidR="007D636E">
        <w:t>s</w:t>
      </w:r>
      <w:r w:rsidRPr="00EB0636">
        <w:t>ervice</w:t>
      </w:r>
      <w:r w:rsidRPr="00EB0636" w:rsidDel="006F31BC">
        <w:t xml:space="preserve"> </w:t>
      </w:r>
      <w:r w:rsidR="007D636E">
        <w:t>p</w:t>
      </w:r>
      <w:r w:rsidRPr="00EB0636">
        <w:t>ackages</w:t>
      </w:r>
      <w:bookmarkEnd w:id="32"/>
      <w:bookmarkEnd w:id="33"/>
      <w:bookmarkEnd w:id="34"/>
      <w:bookmarkEnd w:id="35"/>
    </w:p>
    <w:p w14:paraId="13D147AC" w14:textId="6B8D6817" w:rsidR="00AD243A" w:rsidRPr="00AD243A" w:rsidRDefault="00AD243A" w:rsidP="00AD243A">
      <w:pPr>
        <w:spacing w:before="120"/>
        <w:rPr>
          <w:rFonts w:cs="Arial"/>
          <w:b/>
          <w:iCs/>
          <w:szCs w:val="21"/>
        </w:rPr>
      </w:pPr>
      <w:r w:rsidRPr="00AD243A">
        <w:rPr>
          <w:rFonts w:cs="Arial"/>
          <w:b/>
          <w:iCs/>
          <w:szCs w:val="21"/>
        </w:rPr>
        <w:t>Intensive service</w:t>
      </w:r>
      <w:r w:rsidRPr="00AD243A" w:rsidDel="00E11D44">
        <w:rPr>
          <w:rFonts w:cs="Arial"/>
          <w:b/>
          <w:iCs/>
          <w:szCs w:val="21"/>
        </w:rPr>
        <w:t xml:space="preserve"> </w:t>
      </w:r>
      <w:r w:rsidRPr="00AD243A">
        <w:rPr>
          <w:rFonts w:cs="Arial"/>
          <w:b/>
          <w:iCs/>
          <w:szCs w:val="21"/>
        </w:rPr>
        <w:t>package</w:t>
      </w:r>
      <w:r w:rsidRPr="00AD243A">
        <w:rPr>
          <w:rFonts w:cs="Arial"/>
          <w:b/>
          <w:bCs/>
          <w:szCs w:val="21"/>
        </w:rPr>
        <w:t>: 1 December 2022 – 30 November 2023</w:t>
      </w:r>
    </w:p>
    <w:p w14:paraId="5EB73B85" w14:textId="23FE56A8" w:rsidR="00AD243A" w:rsidRPr="00AD243A" w:rsidRDefault="00AD243A" w:rsidP="00AD243A">
      <w:pPr>
        <w:pStyle w:val="DHHSbody"/>
        <w:rPr>
          <w:rFonts w:ascii="Arial" w:hAnsi="Arial" w:cs="Arial"/>
        </w:rPr>
      </w:pPr>
      <w:r w:rsidRPr="00AD243A">
        <w:rPr>
          <w:rFonts w:ascii="Arial" w:hAnsi="Arial" w:cs="Arial"/>
        </w:rPr>
        <w:t xml:space="preserve">Up to 100 households will receive intensive support from a </w:t>
      </w:r>
      <w:r w:rsidR="000B0506">
        <w:rPr>
          <w:rFonts w:ascii="Arial" w:hAnsi="Arial" w:cs="Arial"/>
        </w:rPr>
        <w:t>service provider</w:t>
      </w:r>
      <w:r w:rsidRPr="00AD243A">
        <w:rPr>
          <w:rFonts w:ascii="Arial" w:hAnsi="Arial" w:cs="Arial"/>
        </w:rPr>
        <w:t xml:space="preserve"> support team. This includes practical, personalised, and targeted assistance to address the multiple and complex needs the client/household may have.</w:t>
      </w:r>
    </w:p>
    <w:p w14:paraId="36733356" w14:textId="4D2C268A" w:rsidR="00AD243A" w:rsidRPr="00AD243A" w:rsidRDefault="00AD243A" w:rsidP="00AD243A">
      <w:pPr>
        <w:pStyle w:val="DHHSbody"/>
        <w:rPr>
          <w:rFonts w:ascii="Arial" w:hAnsi="Arial" w:cs="Arial"/>
        </w:rPr>
      </w:pPr>
      <w:r w:rsidRPr="00AD243A">
        <w:rPr>
          <w:rFonts w:ascii="Arial" w:hAnsi="Arial" w:cs="Arial"/>
        </w:rPr>
        <w:t xml:space="preserve">Package costs will be paid to </w:t>
      </w:r>
      <w:r w:rsidR="000B0506">
        <w:rPr>
          <w:rFonts w:ascii="Arial" w:hAnsi="Arial" w:cs="Arial"/>
        </w:rPr>
        <w:t>service provider</w:t>
      </w:r>
      <w:r w:rsidRPr="00AD243A">
        <w:rPr>
          <w:rFonts w:ascii="Arial" w:hAnsi="Arial" w:cs="Arial"/>
        </w:rPr>
        <w:t>s commencing in January 2023. This funding is not subject to indexation.</w:t>
      </w:r>
    </w:p>
    <w:p w14:paraId="7C8531CC" w14:textId="77777777" w:rsidR="00AD243A" w:rsidRPr="00AD243A" w:rsidRDefault="00AD243A" w:rsidP="00AD243A">
      <w:pPr>
        <w:pStyle w:val="DHHSbody"/>
        <w:rPr>
          <w:rFonts w:ascii="Arial" w:hAnsi="Arial" w:cs="Arial"/>
        </w:rPr>
      </w:pPr>
      <w:r w:rsidRPr="00AD243A">
        <w:rPr>
          <w:rFonts w:ascii="Arial" w:hAnsi="Arial" w:cs="Arial"/>
        </w:rPr>
        <w:t>The activity code is 94842.</w:t>
      </w:r>
    </w:p>
    <w:p w14:paraId="1CD44ADC" w14:textId="77777777" w:rsidR="00AD243A" w:rsidRPr="00660A75" w:rsidRDefault="00AD243A" w:rsidP="00AD243A">
      <w:pPr>
        <w:pStyle w:val="Heading3"/>
      </w:pPr>
      <w:bookmarkStart w:id="36" w:name="_Toc119413907"/>
      <w:bookmarkStart w:id="37" w:name="_Toc123723354"/>
      <w:r w:rsidRPr="00EB0636">
        <w:t>Service response</w:t>
      </w:r>
      <w:bookmarkEnd w:id="36"/>
      <w:bookmarkEnd w:id="37"/>
    </w:p>
    <w:p w14:paraId="17489531" w14:textId="7AF6B98E" w:rsidR="00AD243A" w:rsidRPr="00AD243A" w:rsidRDefault="00AD243A" w:rsidP="00AD243A">
      <w:pPr>
        <w:pStyle w:val="DHHSbody"/>
        <w:rPr>
          <w:rFonts w:ascii="Arial" w:hAnsi="Arial" w:cs="Arial"/>
          <w:szCs w:val="21"/>
        </w:rPr>
      </w:pPr>
      <w:r w:rsidRPr="00AD243A">
        <w:rPr>
          <w:rFonts w:ascii="Arial" w:hAnsi="Arial" w:cs="Arial"/>
          <w:szCs w:val="21"/>
        </w:rPr>
        <w:t xml:space="preserve">Service delivery is led by a Housing </w:t>
      </w:r>
      <w:r w:rsidR="000B0506">
        <w:rPr>
          <w:rFonts w:ascii="Arial" w:hAnsi="Arial" w:cs="Arial"/>
          <w:szCs w:val="21"/>
        </w:rPr>
        <w:t>service provider</w:t>
      </w:r>
      <w:r w:rsidRPr="00AD243A">
        <w:rPr>
          <w:rFonts w:ascii="Arial" w:hAnsi="Arial" w:cs="Arial"/>
          <w:szCs w:val="21"/>
        </w:rPr>
        <w:t>. Each client receives 12 months of intensive support.</w:t>
      </w:r>
    </w:p>
    <w:p w14:paraId="56904647" w14:textId="77777777" w:rsidR="00AD243A" w:rsidRPr="00AD243A" w:rsidRDefault="00AD243A" w:rsidP="00AD243A">
      <w:pPr>
        <w:pStyle w:val="DHHSbody"/>
        <w:rPr>
          <w:rFonts w:ascii="Arial" w:hAnsi="Arial" w:cs="Arial"/>
          <w:szCs w:val="21"/>
        </w:rPr>
      </w:pPr>
      <w:bookmarkStart w:id="38" w:name="_Hlk67475073"/>
      <w:r w:rsidRPr="00AD243A">
        <w:rPr>
          <w:rFonts w:ascii="Arial" w:hAnsi="Arial" w:cs="Arial"/>
          <w:szCs w:val="21"/>
        </w:rPr>
        <w:t xml:space="preserve">Supports are funded to: </w:t>
      </w:r>
    </w:p>
    <w:p w14:paraId="77E4E496" w14:textId="5A954D47" w:rsidR="00AD243A" w:rsidRPr="00AD243A" w:rsidRDefault="00F44C10" w:rsidP="00AD243A">
      <w:pPr>
        <w:pStyle w:val="Bullet1"/>
      </w:pPr>
      <w:r>
        <w:lastRenderedPageBreak/>
        <w:t>r</w:t>
      </w:r>
      <w:r w:rsidR="00AD243A" w:rsidRPr="00AD243A">
        <w:t>espond to the client’s individual needs and risks across a range of health and wellbeing needs</w:t>
      </w:r>
    </w:p>
    <w:p w14:paraId="232243AF" w14:textId="6BA198CC" w:rsidR="00AD243A" w:rsidRPr="00AD243A" w:rsidRDefault="00F44C10" w:rsidP="00AD243A">
      <w:pPr>
        <w:pStyle w:val="Bullet1"/>
      </w:pPr>
      <w:r>
        <w:t>w</w:t>
      </w:r>
      <w:r w:rsidR="00AD243A" w:rsidRPr="00AD243A">
        <w:t>ork collaboratively with existing services supporting the client, complementing conventional interventions, and supporting client to navigate service systems</w:t>
      </w:r>
    </w:p>
    <w:p w14:paraId="748B4758" w14:textId="25C2F2A4" w:rsidR="00AD243A" w:rsidRPr="00AD243A" w:rsidRDefault="00F44C10" w:rsidP="00AD243A">
      <w:pPr>
        <w:pStyle w:val="Bullet1"/>
      </w:pPr>
      <w:r>
        <w:t>a</w:t>
      </w:r>
      <w:r w:rsidR="00AD243A" w:rsidRPr="00AD243A">
        <w:t>ssist households to establish and maintain pathways to long-term housing and personal stability with active support.</w:t>
      </w:r>
    </w:p>
    <w:bookmarkEnd w:id="38"/>
    <w:p w14:paraId="1E3CF2B5" w14:textId="46AEA08B" w:rsidR="00AD243A" w:rsidRPr="00AD243A" w:rsidRDefault="00AD243A" w:rsidP="00EA2424">
      <w:pPr>
        <w:pStyle w:val="Body"/>
        <w:spacing w:before="120"/>
        <w:rPr>
          <w:rFonts w:cs="Arial"/>
        </w:rPr>
      </w:pPr>
      <w:r w:rsidRPr="00AD243A">
        <w:rPr>
          <w:rFonts w:cs="Arial"/>
        </w:rPr>
        <w:t xml:space="preserve">Service </w:t>
      </w:r>
      <w:r w:rsidR="000B0506">
        <w:rPr>
          <w:rFonts w:cs="Arial"/>
        </w:rPr>
        <w:t>p</w:t>
      </w:r>
      <w:r w:rsidRPr="00AD243A">
        <w:rPr>
          <w:rFonts w:cs="Arial"/>
        </w:rPr>
        <w:t>roviders should ensure staff in these roles are provided training to deliver culturally safe support that is reflective of the diversity of their communities, including Aboriginal and Torres Strait Islander people and people from migrant and refugee backgrounds.</w:t>
      </w:r>
    </w:p>
    <w:p w14:paraId="2337C76C" w14:textId="66D67D09" w:rsidR="00AD243A" w:rsidRPr="005E77A5" w:rsidRDefault="00AD243A" w:rsidP="00AD243A">
      <w:pPr>
        <w:pStyle w:val="Heading2"/>
      </w:pPr>
      <w:bookmarkStart w:id="39" w:name="_Toc111195415"/>
      <w:bookmarkStart w:id="40" w:name="_Toc119413908"/>
      <w:bookmarkStart w:id="41" w:name="_Toc123723355"/>
      <w:bookmarkStart w:id="42" w:name="_Toc124847211"/>
      <w:r>
        <w:t xml:space="preserve">Activity 2: </w:t>
      </w:r>
      <w:bookmarkEnd w:id="39"/>
      <w:r w:rsidR="007D636E">
        <w:t>e</w:t>
      </w:r>
      <w:r>
        <w:t xml:space="preserve">stablishment </w:t>
      </w:r>
      <w:r w:rsidR="007D636E">
        <w:t>c</w:t>
      </w:r>
      <w:r>
        <w:t>osts</w:t>
      </w:r>
      <w:bookmarkEnd w:id="40"/>
      <w:bookmarkEnd w:id="41"/>
      <w:bookmarkEnd w:id="42"/>
    </w:p>
    <w:p w14:paraId="2DEA4085" w14:textId="77777777" w:rsidR="00AD243A" w:rsidRPr="00AD243A" w:rsidRDefault="00AD243A" w:rsidP="00AD243A">
      <w:pPr>
        <w:pStyle w:val="DHHSbody"/>
        <w:rPr>
          <w:rFonts w:ascii="Arial" w:hAnsi="Arial" w:cs="Arial"/>
          <w:bCs/>
          <w:szCs w:val="21"/>
        </w:rPr>
      </w:pPr>
      <w:r w:rsidRPr="00AD243A">
        <w:rPr>
          <w:rFonts w:ascii="Arial" w:hAnsi="Arial" w:cs="Arial"/>
          <w:b/>
          <w:bCs/>
          <w:szCs w:val="21"/>
        </w:rPr>
        <w:t>Establishment costs: 1 December 2022 – 30 November 2023</w:t>
      </w:r>
    </w:p>
    <w:p w14:paraId="0EB9F055" w14:textId="77777777" w:rsidR="00AD243A" w:rsidRPr="00572385" w:rsidRDefault="00AD243A" w:rsidP="00AD243A">
      <w:pPr>
        <w:pStyle w:val="Heading3"/>
        <w:spacing w:line="270" w:lineRule="atLeast"/>
      </w:pPr>
      <w:bookmarkStart w:id="43" w:name="_Toc119413909"/>
      <w:bookmarkStart w:id="44" w:name="_Toc123723356"/>
      <w:r w:rsidRPr="00572385">
        <w:t>Tenancy</w:t>
      </w:r>
      <w:r>
        <w:t xml:space="preserve"> e</w:t>
      </w:r>
      <w:r w:rsidRPr="00572385">
        <w:t>stablishment</w:t>
      </w:r>
      <w:bookmarkEnd w:id="43"/>
      <w:bookmarkEnd w:id="44"/>
    </w:p>
    <w:p w14:paraId="0E45A155" w14:textId="77777777" w:rsidR="00AD243A" w:rsidRPr="0099564E" w:rsidRDefault="00AD243A" w:rsidP="00AD243A">
      <w:pPr>
        <w:pStyle w:val="DHHSbody"/>
        <w:rPr>
          <w:rFonts w:ascii="Arial" w:hAnsi="Arial" w:cs="Arial"/>
        </w:rPr>
      </w:pPr>
      <w:r w:rsidRPr="0099564E">
        <w:rPr>
          <w:rFonts w:ascii="Arial" w:hAnsi="Arial" w:cs="Arial"/>
        </w:rPr>
        <w:t>Up to 100 households are eligible for a once-off establishment fund of an average of $4,400 per client funded to Housing Support Providers to cover tenancy establishment costs.</w:t>
      </w:r>
    </w:p>
    <w:p w14:paraId="204AF30D" w14:textId="77777777" w:rsidR="00AD243A" w:rsidRPr="0099564E" w:rsidRDefault="00AD243A" w:rsidP="00AD243A">
      <w:pPr>
        <w:pStyle w:val="DHHSbody"/>
        <w:rPr>
          <w:rFonts w:ascii="Arial" w:hAnsi="Arial" w:cs="Arial"/>
        </w:rPr>
      </w:pPr>
      <w:r w:rsidRPr="0099564E">
        <w:rPr>
          <w:rFonts w:ascii="Arial" w:hAnsi="Arial" w:cs="Arial"/>
        </w:rPr>
        <w:t>Establishment costs will be paid in even monthly payments, commencing January 2023</w:t>
      </w:r>
      <w:r w:rsidRPr="0099564E">
        <w:rPr>
          <w:rFonts w:ascii="Arial" w:eastAsia="Arial" w:hAnsi="Arial" w:cs="Arial"/>
          <w:color w:val="000000" w:themeColor="text1"/>
          <w:szCs w:val="21"/>
        </w:rPr>
        <w:t>. This funding is not subject to indexation.</w:t>
      </w:r>
    </w:p>
    <w:p w14:paraId="765B03E6" w14:textId="77777777" w:rsidR="00AD243A" w:rsidRPr="0099564E" w:rsidRDefault="00AD243A" w:rsidP="00AD243A">
      <w:pPr>
        <w:pStyle w:val="DHHSbody"/>
        <w:rPr>
          <w:rFonts w:ascii="Arial" w:hAnsi="Arial" w:cs="Arial"/>
        </w:rPr>
      </w:pPr>
      <w:r w:rsidRPr="0099564E">
        <w:rPr>
          <w:rFonts w:ascii="Arial" w:hAnsi="Arial" w:cs="Arial"/>
        </w:rPr>
        <w:t>The activity code is 94844.</w:t>
      </w:r>
    </w:p>
    <w:p w14:paraId="61BBC5DC" w14:textId="4185297E" w:rsidR="00AD243A" w:rsidRPr="0099564E" w:rsidRDefault="00AD243A" w:rsidP="00AD243A">
      <w:pPr>
        <w:pStyle w:val="DHHSbody"/>
        <w:rPr>
          <w:rFonts w:ascii="Arial" w:eastAsia="Arial" w:hAnsi="Arial" w:cs="Arial"/>
          <w:color w:val="000000" w:themeColor="text1"/>
          <w:szCs w:val="21"/>
        </w:rPr>
      </w:pPr>
      <w:r w:rsidRPr="0099564E">
        <w:rPr>
          <w:rFonts w:ascii="Arial" w:hAnsi="Arial" w:cs="Arial"/>
        </w:rPr>
        <w:t>Establishment funds may be used to purchase household items to establish the client in their home.</w:t>
      </w:r>
      <w:r w:rsidRPr="0099564E" w:rsidDel="00ED7527">
        <w:rPr>
          <w:rFonts w:ascii="Arial" w:hAnsi="Arial" w:cs="Arial"/>
        </w:rPr>
        <w:t xml:space="preserve"> </w:t>
      </w:r>
      <w:r w:rsidRPr="0099564E">
        <w:rPr>
          <w:rFonts w:ascii="Arial" w:hAnsi="Arial" w:cs="Arial"/>
        </w:rPr>
        <w:t>Homes Victoria</w:t>
      </w:r>
      <w:r w:rsidRPr="0099564E" w:rsidDel="00D76CA1">
        <w:rPr>
          <w:rFonts w:ascii="Arial" w:hAnsi="Arial" w:cs="Arial"/>
        </w:rPr>
        <w:t xml:space="preserve"> </w:t>
      </w:r>
      <w:r w:rsidRPr="0099564E">
        <w:rPr>
          <w:rFonts w:ascii="Arial" w:hAnsi="Arial" w:cs="Arial"/>
        </w:rPr>
        <w:t xml:space="preserve">recognises that some clients may require more funding and others less to establish their tenancies depending on the size of their household. </w:t>
      </w:r>
      <w:r w:rsidRPr="0099564E">
        <w:rPr>
          <w:rFonts w:ascii="Arial" w:eastAsia="Arial" w:hAnsi="Arial" w:cs="Arial"/>
          <w:color w:val="000000" w:themeColor="text1"/>
        </w:rPr>
        <w:t xml:space="preserve">Service </w:t>
      </w:r>
      <w:r w:rsidR="000B0506">
        <w:rPr>
          <w:rFonts w:ascii="Arial" w:eastAsia="Arial" w:hAnsi="Arial" w:cs="Arial"/>
          <w:color w:val="000000" w:themeColor="text1"/>
        </w:rPr>
        <w:t>p</w:t>
      </w:r>
      <w:r w:rsidRPr="0099564E">
        <w:rPr>
          <w:rFonts w:ascii="Arial" w:eastAsia="Arial" w:hAnsi="Arial" w:cs="Arial"/>
          <w:color w:val="000000" w:themeColor="text1"/>
        </w:rPr>
        <w:t>roviders can flexibly manage the needs of the households within the funding envelope allocated to their service, using the average allocation value as a guide. For example, a large household may require $8,500 for Establishment costs, whereas another household</w:t>
      </w:r>
      <w:r w:rsidRPr="0099564E" w:rsidDel="009E3BF0">
        <w:rPr>
          <w:rFonts w:ascii="Arial" w:eastAsia="Arial" w:hAnsi="Arial" w:cs="Arial"/>
          <w:color w:val="000000" w:themeColor="text1"/>
        </w:rPr>
        <w:t xml:space="preserve"> </w:t>
      </w:r>
      <w:r w:rsidRPr="0099564E">
        <w:rPr>
          <w:rFonts w:ascii="Arial" w:eastAsia="Arial" w:hAnsi="Arial" w:cs="Arial"/>
          <w:color w:val="000000" w:themeColor="text1"/>
        </w:rPr>
        <w:t>may only require $600.</w:t>
      </w:r>
    </w:p>
    <w:p w14:paraId="7BA282E7" w14:textId="77777777" w:rsidR="00AD243A" w:rsidRPr="0099564E" w:rsidRDefault="00AD243A" w:rsidP="00AD243A">
      <w:pPr>
        <w:pStyle w:val="DHHSbody"/>
        <w:rPr>
          <w:rFonts w:ascii="Arial" w:hAnsi="Arial" w:cs="Arial"/>
        </w:rPr>
      </w:pPr>
      <w:r w:rsidRPr="0099564E">
        <w:rPr>
          <w:rFonts w:ascii="Arial" w:hAnsi="Arial" w:cs="Arial"/>
        </w:rPr>
        <w:t xml:space="preserve">The list below provides a guide to standard tenancy establishment items. Other funding sources such as family violence packages, NDIS funding and Private Rental Assistance Program (PRAP) funding should be accessed to meet the client’s needs. </w:t>
      </w:r>
    </w:p>
    <w:p w14:paraId="2484CD08" w14:textId="77777777" w:rsidR="00AD243A" w:rsidRDefault="00AD243A" w:rsidP="00AD243A">
      <w:pPr>
        <w:pStyle w:val="Heading4"/>
      </w:pPr>
      <w:bookmarkStart w:id="45" w:name="_Hlk103089501"/>
      <w:r w:rsidRPr="003E4F44">
        <w:t>S</w:t>
      </w:r>
      <w:r>
        <w:t>tandard</w:t>
      </w:r>
      <w:r w:rsidRPr="003E4F44">
        <w:t xml:space="preserve"> </w:t>
      </w:r>
      <w:r>
        <w:t>items</w:t>
      </w:r>
    </w:p>
    <w:p w14:paraId="7AA95F12" w14:textId="737DD15C" w:rsidR="00EA2424" w:rsidRPr="00EA2424" w:rsidRDefault="00EA2424" w:rsidP="00EA2424">
      <w:pPr>
        <w:pStyle w:val="Body"/>
      </w:pPr>
      <w:r>
        <w:t>Standard items include:</w:t>
      </w:r>
    </w:p>
    <w:p w14:paraId="15BA8227" w14:textId="2F521DF8" w:rsidR="00AD243A" w:rsidRPr="003E4F44" w:rsidRDefault="00174652" w:rsidP="0099564E">
      <w:pPr>
        <w:pStyle w:val="Bullet1"/>
      </w:pPr>
      <w:r>
        <w:t>r</w:t>
      </w:r>
      <w:r w:rsidR="00AD243A" w:rsidRPr="003E4F44">
        <w:t>efrigerator</w:t>
      </w:r>
    </w:p>
    <w:p w14:paraId="2F1FC844" w14:textId="4EBE8BE4" w:rsidR="00AD243A" w:rsidRPr="003E4F44" w:rsidRDefault="00174652" w:rsidP="0099564E">
      <w:pPr>
        <w:pStyle w:val="Bullet1"/>
      </w:pPr>
      <w:r>
        <w:t>b</w:t>
      </w:r>
      <w:r w:rsidR="00AD243A" w:rsidRPr="003E4F44">
        <w:t>eds and mattresses</w:t>
      </w:r>
      <w:r w:rsidR="00AD243A" w:rsidRPr="0078365A">
        <w:t xml:space="preserve"> to be determined by property type and available facilities</w:t>
      </w:r>
    </w:p>
    <w:p w14:paraId="7152B816" w14:textId="294C9CF8" w:rsidR="00AD243A" w:rsidRPr="003E4F44" w:rsidRDefault="00174652" w:rsidP="0099564E">
      <w:pPr>
        <w:pStyle w:val="Bullet1"/>
      </w:pPr>
      <w:r>
        <w:t>w</w:t>
      </w:r>
      <w:r w:rsidR="00AD243A" w:rsidRPr="003E4F44">
        <w:t>ashing machine</w:t>
      </w:r>
      <w:r w:rsidR="00AD243A" w:rsidRPr="0078365A">
        <w:t xml:space="preserve"> to be determined by property type and available facilities</w:t>
      </w:r>
    </w:p>
    <w:p w14:paraId="0D6D069A" w14:textId="47B0460D" w:rsidR="00AD243A" w:rsidRPr="003E4F44" w:rsidRDefault="00174652" w:rsidP="0099564E">
      <w:pPr>
        <w:pStyle w:val="Bullet1"/>
      </w:pPr>
      <w:r>
        <w:t>w</w:t>
      </w:r>
      <w:r w:rsidR="00AD243A" w:rsidRPr="003E4F44">
        <w:t>ardrobes (if not built in)</w:t>
      </w:r>
    </w:p>
    <w:p w14:paraId="2AA2F6EC" w14:textId="4764090E" w:rsidR="00AD243A" w:rsidRPr="003E4F44" w:rsidRDefault="00174652" w:rsidP="0099564E">
      <w:pPr>
        <w:pStyle w:val="Bullet1"/>
      </w:pPr>
      <w:r>
        <w:t>m</w:t>
      </w:r>
      <w:r w:rsidR="00AD243A" w:rsidRPr="003E4F44">
        <w:t>icrowave oven</w:t>
      </w:r>
    </w:p>
    <w:p w14:paraId="48E77F52" w14:textId="47B185A6" w:rsidR="00AD243A" w:rsidRPr="003E4F44" w:rsidRDefault="00174652" w:rsidP="0099564E">
      <w:pPr>
        <w:pStyle w:val="Bullet1"/>
      </w:pPr>
      <w:r>
        <w:t>c</w:t>
      </w:r>
      <w:r w:rsidR="00AD243A" w:rsidRPr="003E4F44">
        <w:t>hest of drawers for each bedroom (optional)</w:t>
      </w:r>
    </w:p>
    <w:p w14:paraId="740C407B" w14:textId="24856CAB" w:rsidR="00AD243A" w:rsidRPr="003E4F44" w:rsidRDefault="00174652" w:rsidP="0099564E">
      <w:pPr>
        <w:pStyle w:val="Bullet1"/>
      </w:pPr>
      <w:r>
        <w:t>l</w:t>
      </w:r>
      <w:r w:rsidR="00AD243A" w:rsidRPr="003E4F44">
        <w:t>ounge suite</w:t>
      </w:r>
    </w:p>
    <w:p w14:paraId="1512AAC5" w14:textId="6E1E4FC1" w:rsidR="00AD243A" w:rsidRPr="003E4F44" w:rsidRDefault="00174652" w:rsidP="0099564E">
      <w:pPr>
        <w:pStyle w:val="Bullet1"/>
      </w:pPr>
      <w:r>
        <w:t>s</w:t>
      </w:r>
      <w:r w:rsidR="00AD243A" w:rsidRPr="003E4F44">
        <w:t xml:space="preserve">mall household items </w:t>
      </w:r>
      <w:r w:rsidR="00AD243A" w:rsidRPr="197868E8">
        <w:t>for</w:t>
      </w:r>
      <w:r w:rsidR="00AD243A" w:rsidRPr="003E4F44">
        <w:t xml:space="preserve"> example, an appropriate amount of crockery, cutlery, cooking, and cleaning utensils</w:t>
      </w:r>
    </w:p>
    <w:p w14:paraId="082DF341" w14:textId="75366950" w:rsidR="00AD243A" w:rsidRPr="003E4F44" w:rsidRDefault="00174652" w:rsidP="0099564E">
      <w:pPr>
        <w:pStyle w:val="Bullet1"/>
      </w:pPr>
      <w:r>
        <w:t>d</w:t>
      </w:r>
      <w:r w:rsidR="00AD243A" w:rsidRPr="003E4F44">
        <w:t>ining table and chairs</w:t>
      </w:r>
    </w:p>
    <w:p w14:paraId="65D9B41E" w14:textId="32E7FD2C" w:rsidR="00AD243A" w:rsidRPr="003E4F44" w:rsidRDefault="00174652" w:rsidP="0099564E">
      <w:pPr>
        <w:pStyle w:val="Bullet1"/>
      </w:pPr>
      <w:r>
        <w:t>v</w:t>
      </w:r>
      <w:r w:rsidR="00AD243A" w:rsidRPr="003E4F44">
        <w:t>acuum cleaner where a property is carpeted</w:t>
      </w:r>
    </w:p>
    <w:p w14:paraId="6BDFC2E1" w14:textId="544D49B2" w:rsidR="00AD243A" w:rsidRPr="003E4F44" w:rsidRDefault="00174652" w:rsidP="0099564E">
      <w:pPr>
        <w:pStyle w:val="Bullet1"/>
      </w:pPr>
      <w:r>
        <w:t>l</w:t>
      </w:r>
      <w:r w:rsidR="00AD243A" w:rsidRPr="003E4F44">
        <w:t>awn mower and tools for gardening where property grounds require maintenance</w:t>
      </w:r>
    </w:p>
    <w:p w14:paraId="024425BB" w14:textId="0D96FE2B" w:rsidR="00AD243A" w:rsidRPr="003E4F44" w:rsidRDefault="00174652" w:rsidP="0099564E">
      <w:pPr>
        <w:pStyle w:val="Bullet1"/>
      </w:pPr>
      <w:r>
        <w:t>l</w:t>
      </w:r>
      <w:r w:rsidR="00AD243A" w:rsidRPr="197868E8">
        <w:t>inen and appropriate bedding</w:t>
      </w:r>
    </w:p>
    <w:bookmarkEnd w:id="45"/>
    <w:p w14:paraId="0B68314E" w14:textId="77777777" w:rsidR="00AD243A" w:rsidRPr="0099564E" w:rsidRDefault="00AD243A" w:rsidP="00EA2424">
      <w:pPr>
        <w:pStyle w:val="DHHSbody"/>
        <w:spacing w:before="120"/>
        <w:rPr>
          <w:rFonts w:ascii="Arial" w:hAnsi="Arial" w:cs="Arial"/>
          <w:szCs w:val="21"/>
        </w:rPr>
      </w:pPr>
      <w:r w:rsidRPr="0099564E">
        <w:rPr>
          <w:rFonts w:ascii="Arial" w:hAnsi="Arial" w:cs="Arial"/>
          <w:szCs w:val="21"/>
        </w:rPr>
        <w:t>The client will own the household items once purchased and delivered to the client.</w:t>
      </w:r>
    </w:p>
    <w:p w14:paraId="5479E000" w14:textId="77777777" w:rsidR="008A3D59" w:rsidRDefault="008A3D59">
      <w:pPr>
        <w:spacing w:after="0" w:line="240" w:lineRule="auto"/>
        <w:rPr>
          <w:rFonts w:eastAsia="Times" w:cs="Arial"/>
          <w:szCs w:val="21"/>
        </w:rPr>
      </w:pPr>
      <w:r>
        <w:rPr>
          <w:rFonts w:eastAsia="Times" w:cs="Arial"/>
          <w:szCs w:val="21"/>
        </w:rPr>
        <w:br w:type="page"/>
      </w:r>
    </w:p>
    <w:p w14:paraId="373843EC" w14:textId="442B8429" w:rsidR="00AD243A" w:rsidRPr="0099564E" w:rsidRDefault="00AD243A" w:rsidP="00AD243A">
      <w:pPr>
        <w:spacing w:line="270" w:lineRule="atLeast"/>
        <w:rPr>
          <w:rFonts w:eastAsia="Times" w:cs="Arial"/>
          <w:szCs w:val="21"/>
        </w:rPr>
      </w:pPr>
      <w:r w:rsidRPr="0099564E">
        <w:rPr>
          <w:rFonts w:eastAsia="Times" w:cs="Arial"/>
          <w:szCs w:val="21"/>
        </w:rPr>
        <w:lastRenderedPageBreak/>
        <w:t xml:space="preserve">Flexible brokerage cannot be used for: </w:t>
      </w:r>
    </w:p>
    <w:p w14:paraId="04928341" w14:textId="39DD30FD" w:rsidR="00AD243A" w:rsidRPr="001A364E" w:rsidRDefault="00AD243A" w:rsidP="0099564E">
      <w:pPr>
        <w:pStyle w:val="Bullet1"/>
      </w:pPr>
      <w:r>
        <w:t>staff-related activities reasonably expected to be undertaken. This includes program administration, service delivery and professional development associated with and carried out by any staff</w:t>
      </w:r>
    </w:p>
    <w:p w14:paraId="03C20698" w14:textId="75AD3F6F" w:rsidR="00AD243A" w:rsidRPr="001A364E" w:rsidRDefault="00AD243A" w:rsidP="0099564E">
      <w:pPr>
        <w:pStyle w:val="Bullet1"/>
        <w:rPr>
          <w:szCs w:val="21"/>
        </w:rPr>
      </w:pPr>
      <w:r>
        <w:t>support services that are already available to the household through other funding sources such as NDIS</w:t>
      </w:r>
    </w:p>
    <w:p w14:paraId="4583AE9D" w14:textId="77777777" w:rsidR="00AD243A" w:rsidRPr="001A364E" w:rsidRDefault="00AD243A" w:rsidP="0099564E">
      <w:pPr>
        <w:pStyle w:val="Bullet1"/>
        <w:rPr>
          <w:szCs w:val="21"/>
        </w:rPr>
      </w:pPr>
      <w:r>
        <w:t>illegal purchases - products or services.</w:t>
      </w:r>
    </w:p>
    <w:p w14:paraId="67CE9C1E" w14:textId="77777777" w:rsidR="00AD243A" w:rsidRPr="00572385" w:rsidRDefault="00AD243A" w:rsidP="00AD243A">
      <w:pPr>
        <w:pStyle w:val="Heading3"/>
      </w:pPr>
      <w:bookmarkStart w:id="46" w:name="_Toc119413910"/>
      <w:bookmarkStart w:id="47" w:name="_Toc123723357"/>
      <w:r w:rsidRPr="00572385">
        <w:t>Acquittal</w:t>
      </w:r>
      <w:bookmarkEnd w:id="46"/>
      <w:bookmarkEnd w:id="47"/>
    </w:p>
    <w:p w14:paraId="7C4817FE" w14:textId="1CB6BB6C" w:rsidR="00AD243A" w:rsidRPr="0099564E" w:rsidRDefault="00AD243A" w:rsidP="00AD243A">
      <w:pPr>
        <w:pStyle w:val="DHHSbody"/>
        <w:rPr>
          <w:rFonts w:ascii="Arial" w:hAnsi="Arial" w:cs="Arial"/>
        </w:rPr>
      </w:pPr>
      <w:r w:rsidRPr="0099564E">
        <w:rPr>
          <w:rFonts w:ascii="Arial" w:hAnsi="Arial" w:cs="Arial"/>
        </w:rPr>
        <w:t xml:space="preserve">All forms of funding delivered via flexible brokerage are subject to acquittal. Housing Service </w:t>
      </w:r>
      <w:r w:rsidR="000B0506">
        <w:rPr>
          <w:rFonts w:ascii="Arial" w:hAnsi="Arial" w:cs="Arial"/>
        </w:rPr>
        <w:t>p</w:t>
      </w:r>
      <w:r w:rsidRPr="0099564E">
        <w:rPr>
          <w:rFonts w:ascii="Arial" w:hAnsi="Arial" w:cs="Arial"/>
        </w:rPr>
        <w:t xml:space="preserve">roviders will be required to record flexible brokerage expenditure in the Client Management System (SHIP/SRS/SAMS2) and will be required to submit </w:t>
      </w:r>
      <w:r w:rsidR="00AC69A5">
        <w:rPr>
          <w:rFonts w:ascii="Arial" w:hAnsi="Arial" w:cs="Arial"/>
        </w:rPr>
        <w:t>six</w:t>
      </w:r>
      <w:r w:rsidRPr="0099564E">
        <w:rPr>
          <w:rFonts w:ascii="Arial" w:hAnsi="Arial" w:cs="Arial"/>
        </w:rPr>
        <w:t>-monthly payment reports to Homes Victoria as outlined in the flexible brokerage activity descriptor</w:t>
      </w:r>
      <w:r w:rsidR="00C64BC7">
        <w:rPr>
          <w:rFonts w:ascii="Arial" w:hAnsi="Arial" w:cs="Arial"/>
        </w:rPr>
        <w:t xml:space="preserve"> </w:t>
      </w:r>
      <w:r w:rsidR="00C64BC7" w:rsidRPr="00B62C7B">
        <w:rPr>
          <w:rFonts w:ascii="Arial" w:hAnsi="Arial" w:cs="Arial"/>
        </w:rPr>
        <w:t>(Activity 94844 as per standard homelessness reporting).</w:t>
      </w:r>
    </w:p>
    <w:p w14:paraId="74CD5718" w14:textId="77777777" w:rsidR="00AD243A" w:rsidRPr="00971450" w:rsidRDefault="00AD243A" w:rsidP="00AD243A">
      <w:pPr>
        <w:pStyle w:val="Heading2"/>
      </w:pPr>
      <w:bookmarkStart w:id="48" w:name="_Toc111195416"/>
      <w:bookmarkStart w:id="49" w:name="_Toc119413911"/>
      <w:bookmarkStart w:id="50" w:name="_Toc123723358"/>
      <w:bookmarkStart w:id="51" w:name="_Toc124847212"/>
      <w:r w:rsidRPr="00971450">
        <w:t xml:space="preserve">Activity </w:t>
      </w:r>
      <w:r>
        <w:t>3</w:t>
      </w:r>
      <w:r w:rsidRPr="00971450">
        <w:t xml:space="preserve">: Housing </w:t>
      </w:r>
      <w:bookmarkEnd w:id="48"/>
      <w:r>
        <w:t>Establishment Fund (HEF)</w:t>
      </w:r>
      <w:bookmarkEnd w:id="49"/>
      <w:bookmarkEnd w:id="50"/>
      <w:bookmarkEnd w:id="51"/>
    </w:p>
    <w:p w14:paraId="04931C3F" w14:textId="77777777" w:rsidR="00AD243A" w:rsidRPr="0099564E" w:rsidRDefault="00AD243A" w:rsidP="00AD243A">
      <w:pPr>
        <w:pStyle w:val="DHHSbody"/>
        <w:rPr>
          <w:rFonts w:ascii="Arial" w:hAnsi="Arial" w:cs="Arial"/>
          <w:b/>
          <w:bCs/>
          <w:szCs w:val="21"/>
        </w:rPr>
      </w:pPr>
      <w:r w:rsidRPr="0099564E">
        <w:rPr>
          <w:rFonts w:ascii="Arial" w:hAnsi="Arial" w:cs="Arial"/>
          <w:b/>
          <w:bCs/>
          <w:szCs w:val="21"/>
        </w:rPr>
        <w:t>Housing Establishment Fund: 1 December 2022 – 30 November 2023</w:t>
      </w:r>
    </w:p>
    <w:p w14:paraId="1AAF5F5A" w14:textId="3DACC4FF" w:rsidR="00AD243A" w:rsidRPr="0099564E" w:rsidRDefault="00AD243A" w:rsidP="0099564E">
      <w:pPr>
        <w:pStyle w:val="DHHSbody"/>
        <w:rPr>
          <w:rFonts w:ascii="Arial" w:hAnsi="Arial" w:cs="Arial"/>
        </w:rPr>
      </w:pPr>
      <w:r w:rsidRPr="0099564E">
        <w:rPr>
          <w:rFonts w:ascii="Arial" w:hAnsi="Arial" w:cs="Arial"/>
        </w:rPr>
        <w:t>HEF for the purpose of the HFR program has been extended to secure medium-to long-term accommodation. This activity is to provide housing and tenancy support for up to 33 households within the existing cohort of at least 100 households that will receive intensive support packages.</w:t>
      </w:r>
    </w:p>
    <w:p w14:paraId="54E9B797" w14:textId="77777777" w:rsidR="00AD243A" w:rsidRPr="0099564E" w:rsidRDefault="00AD243A" w:rsidP="0099564E">
      <w:pPr>
        <w:pStyle w:val="DHHSbody"/>
        <w:rPr>
          <w:rFonts w:ascii="Arial" w:hAnsi="Arial" w:cs="Arial"/>
        </w:rPr>
      </w:pPr>
      <w:r w:rsidRPr="0099564E">
        <w:rPr>
          <w:rFonts w:ascii="Arial" w:hAnsi="Arial" w:cs="Arial"/>
        </w:rPr>
        <w:t>This funding is paid in an upfront lump sum and is not subject to indexation.</w:t>
      </w:r>
    </w:p>
    <w:p w14:paraId="25350907" w14:textId="77777777" w:rsidR="00AD243A" w:rsidRPr="0099564E" w:rsidRDefault="00AD243A" w:rsidP="00AD243A">
      <w:pPr>
        <w:pStyle w:val="DHHSbody"/>
        <w:rPr>
          <w:rFonts w:ascii="Arial" w:hAnsi="Arial" w:cs="Arial"/>
        </w:rPr>
      </w:pPr>
      <w:r w:rsidRPr="0099564E">
        <w:rPr>
          <w:rFonts w:ascii="Arial" w:hAnsi="Arial" w:cs="Arial"/>
        </w:rPr>
        <w:t>The activity code is 94843.</w:t>
      </w:r>
    </w:p>
    <w:p w14:paraId="7EA81DF7" w14:textId="77777777" w:rsidR="00AD243A" w:rsidRPr="00971450" w:rsidRDefault="00AD243A" w:rsidP="00AD243A">
      <w:pPr>
        <w:pStyle w:val="Heading3"/>
      </w:pPr>
      <w:bookmarkStart w:id="52" w:name="_Toc119413912"/>
      <w:bookmarkStart w:id="53" w:name="_Toc123723359"/>
      <w:r>
        <w:t>Rent</w:t>
      </w:r>
      <w:r w:rsidRPr="00971450">
        <w:t xml:space="preserve"> paid in advance</w:t>
      </w:r>
      <w:bookmarkEnd w:id="52"/>
      <w:bookmarkEnd w:id="53"/>
    </w:p>
    <w:p w14:paraId="1292976D" w14:textId="0E94DDCF" w:rsidR="00AD243A" w:rsidRPr="0099564E" w:rsidRDefault="00AD243A" w:rsidP="0099564E">
      <w:pPr>
        <w:pStyle w:val="DHHSbody"/>
        <w:rPr>
          <w:rFonts w:ascii="Arial" w:hAnsi="Arial" w:cs="Arial"/>
        </w:rPr>
      </w:pPr>
      <w:r w:rsidRPr="0099564E">
        <w:rPr>
          <w:rFonts w:ascii="Arial" w:hAnsi="Arial" w:cs="Arial"/>
        </w:rPr>
        <w:t>Homes Victoria will assist providers to secure head</w:t>
      </w:r>
      <w:r w:rsidR="005B1157">
        <w:rPr>
          <w:rFonts w:ascii="Arial" w:hAnsi="Arial" w:cs="Arial"/>
        </w:rPr>
        <w:t xml:space="preserve"> </w:t>
      </w:r>
      <w:r w:rsidRPr="0099564E">
        <w:rPr>
          <w:rFonts w:ascii="Arial" w:hAnsi="Arial" w:cs="Arial"/>
        </w:rPr>
        <w:t xml:space="preserve">leased properties by funding </w:t>
      </w:r>
      <w:r w:rsidRPr="0099564E">
        <w:rPr>
          <w:rFonts w:ascii="Arial" w:hAnsi="Arial" w:cs="Arial"/>
          <w:i/>
          <w:iCs/>
        </w:rPr>
        <w:t>up</w:t>
      </w:r>
      <w:r w:rsidRPr="0099564E">
        <w:rPr>
          <w:rFonts w:ascii="Arial" w:hAnsi="Arial" w:cs="Arial"/>
          <w:i/>
        </w:rPr>
        <w:t xml:space="preserve"> to </w:t>
      </w:r>
      <w:r w:rsidRPr="0099564E">
        <w:rPr>
          <w:rFonts w:ascii="Arial" w:hAnsi="Arial" w:cs="Arial"/>
        </w:rPr>
        <w:t>12-months' rent in advance. Funding is limited to the actual cost of rent as reflected in the leasing agreements. This allows unexhausted funds to be redirected to other households who have been allocated intensive support packages.</w:t>
      </w:r>
    </w:p>
    <w:p w14:paraId="1CC7EC78" w14:textId="77777777" w:rsidR="00AD243A" w:rsidRPr="0099564E" w:rsidRDefault="00AD243A" w:rsidP="0099564E">
      <w:pPr>
        <w:pStyle w:val="DHHSbody"/>
        <w:rPr>
          <w:rFonts w:ascii="Arial" w:hAnsi="Arial" w:cs="Arial"/>
        </w:rPr>
      </w:pPr>
      <w:r w:rsidRPr="0099564E">
        <w:rPr>
          <w:rFonts w:ascii="Arial" w:hAnsi="Arial" w:cs="Arial"/>
        </w:rPr>
        <w:t>When paying rent in advance to a landlord or real estate agent, housing providers will need to submit a copy of the successful lease. The lease must show the advance payment terms for the properties and confirm which clients will be supported in the property. The property can only be used to house HFRP clients.</w:t>
      </w:r>
    </w:p>
    <w:p w14:paraId="3CC77017" w14:textId="77777777" w:rsidR="00AD243A" w:rsidRPr="0099564E" w:rsidRDefault="00AD243A" w:rsidP="0099564E">
      <w:pPr>
        <w:pStyle w:val="DHHSbody"/>
        <w:rPr>
          <w:rFonts w:ascii="Arial" w:hAnsi="Arial" w:cs="Arial"/>
        </w:rPr>
      </w:pPr>
      <w:r w:rsidRPr="0099564E">
        <w:rPr>
          <w:rFonts w:ascii="Arial" w:hAnsi="Arial" w:cs="Arial"/>
        </w:rPr>
        <w:t>Properties secured in this manner are subject to the same allowances for early termination, vacancy, and funding recoupment as those procured with rent paid on a month-to-month basis.</w:t>
      </w:r>
    </w:p>
    <w:p w14:paraId="4A23FA8C" w14:textId="77777777" w:rsidR="00AD243A" w:rsidRPr="00971450" w:rsidRDefault="00AD243A" w:rsidP="00AD243A">
      <w:pPr>
        <w:pStyle w:val="Heading3"/>
      </w:pPr>
      <w:bookmarkStart w:id="54" w:name="_Toc119413916"/>
      <w:bookmarkStart w:id="55" w:name="_Toc123723360"/>
      <w:r w:rsidRPr="00971450">
        <w:t>Tenancy management</w:t>
      </w:r>
      <w:bookmarkEnd w:id="54"/>
      <w:bookmarkEnd w:id="55"/>
    </w:p>
    <w:p w14:paraId="614F9EAE" w14:textId="77777777" w:rsidR="00AD243A" w:rsidRPr="0099564E" w:rsidRDefault="00AD243A" w:rsidP="0099564E">
      <w:pPr>
        <w:pStyle w:val="DHHSbody"/>
        <w:rPr>
          <w:rFonts w:ascii="Arial" w:hAnsi="Arial" w:cs="Arial"/>
        </w:rPr>
      </w:pPr>
      <w:r w:rsidRPr="0099564E">
        <w:rPr>
          <w:rFonts w:ascii="Arial" w:hAnsi="Arial" w:cs="Arial"/>
        </w:rPr>
        <w:t>Service providers are responsible for delivering tenancy management in accordance with the existing regulatory and policy requirements including, but not limited to, the following:</w:t>
      </w:r>
    </w:p>
    <w:p w14:paraId="46876089" w14:textId="5A101380" w:rsidR="00AD243A" w:rsidRPr="00460334" w:rsidRDefault="00B62C7B" w:rsidP="0099564E">
      <w:pPr>
        <w:pStyle w:val="Bullet1"/>
        <w:rPr>
          <w:lang w:eastAsia="en-AU"/>
        </w:rPr>
      </w:pPr>
      <w:r>
        <w:rPr>
          <w:lang w:eastAsia="en-AU"/>
        </w:rPr>
        <w:t>s</w:t>
      </w:r>
      <w:r w:rsidR="00AD243A" w:rsidRPr="00460334">
        <w:rPr>
          <w:lang w:eastAsia="en-AU"/>
        </w:rPr>
        <w:t xml:space="preserve">ervice </w:t>
      </w:r>
      <w:r w:rsidR="000B0506">
        <w:rPr>
          <w:lang w:eastAsia="en-AU"/>
        </w:rPr>
        <w:t>p</w:t>
      </w:r>
      <w:r w:rsidR="00AD243A" w:rsidRPr="00460334">
        <w:rPr>
          <w:lang w:eastAsia="en-AU"/>
        </w:rPr>
        <w:t xml:space="preserve">roviders enter a sub-lease with the adult </w:t>
      </w:r>
      <w:r w:rsidR="00AD243A">
        <w:rPr>
          <w:lang w:eastAsia="en-AU"/>
        </w:rPr>
        <w:t>household</w:t>
      </w:r>
      <w:r w:rsidR="00AD243A" w:rsidRPr="00460334">
        <w:rPr>
          <w:lang w:eastAsia="en-AU"/>
        </w:rPr>
        <w:t xml:space="preserve"> member/s and determine and manage (receive) the maximum rent payable by the </w:t>
      </w:r>
      <w:r w:rsidR="00AD243A">
        <w:rPr>
          <w:lang w:eastAsia="en-AU"/>
        </w:rPr>
        <w:t>client</w:t>
      </w:r>
      <w:r w:rsidR="00AD243A" w:rsidRPr="00460334">
        <w:rPr>
          <w:lang w:eastAsia="en-AU"/>
        </w:rPr>
        <w:t xml:space="preserve"> in accordance with the Maximum Rent Formula</w:t>
      </w:r>
    </w:p>
    <w:p w14:paraId="528F541D" w14:textId="77777777" w:rsidR="00AD243A" w:rsidRPr="00460334" w:rsidRDefault="00AD243A" w:rsidP="0099564E">
      <w:pPr>
        <w:pStyle w:val="Bullet1"/>
        <w:rPr>
          <w:lang w:eastAsia="en-AU"/>
        </w:rPr>
      </w:pPr>
      <w:r w:rsidRPr="00460334">
        <w:rPr>
          <w:lang w:eastAsia="en-AU"/>
        </w:rPr>
        <w:t>determining and managing eligibility, allocation, and termination of housing assistance</w:t>
      </w:r>
    </w:p>
    <w:p w14:paraId="5F9ACF66" w14:textId="77777777" w:rsidR="00AD243A" w:rsidRPr="00460334" w:rsidRDefault="00AD243A" w:rsidP="0099564E">
      <w:pPr>
        <w:pStyle w:val="Bullet1"/>
        <w:rPr>
          <w:lang w:eastAsia="en-AU"/>
        </w:rPr>
      </w:pPr>
      <w:r w:rsidRPr="00460334">
        <w:rPr>
          <w:lang w:eastAsia="en-AU"/>
        </w:rPr>
        <w:t>negotiation of tenancy agreements</w:t>
      </w:r>
    </w:p>
    <w:p w14:paraId="5113675A" w14:textId="77777777" w:rsidR="00AD243A" w:rsidRPr="00460334" w:rsidRDefault="00AD243A" w:rsidP="0099564E">
      <w:pPr>
        <w:pStyle w:val="Bullet1"/>
        <w:rPr>
          <w:lang w:eastAsia="en-AU"/>
        </w:rPr>
      </w:pPr>
      <w:r w:rsidRPr="00460334">
        <w:rPr>
          <w:lang w:eastAsia="en-AU"/>
        </w:rPr>
        <w:t>monitoring of occupancy arrangements and tenancies</w:t>
      </w:r>
    </w:p>
    <w:p w14:paraId="7070C5BA" w14:textId="77777777" w:rsidR="00AD243A" w:rsidRPr="00460334" w:rsidRDefault="00AD243A" w:rsidP="0099564E">
      <w:pPr>
        <w:pStyle w:val="Bullet1"/>
        <w:rPr>
          <w:lang w:eastAsia="en-AU"/>
        </w:rPr>
      </w:pPr>
      <w:r w:rsidRPr="00460334">
        <w:rPr>
          <w:lang w:eastAsia="en-AU"/>
        </w:rPr>
        <w:t>collection of rent</w:t>
      </w:r>
    </w:p>
    <w:p w14:paraId="315E6F33" w14:textId="194CE600" w:rsidR="00AD243A" w:rsidRPr="00460334" w:rsidRDefault="00AD243A" w:rsidP="0099564E">
      <w:pPr>
        <w:pStyle w:val="Bullet1"/>
        <w:rPr>
          <w:lang w:eastAsia="en-AU"/>
        </w:rPr>
      </w:pPr>
      <w:r w:rsidRPr="00460334">
        <w:rPr>
          <w:lang w:eastAsia="en-AU"/>
        </w:rPr>
        <w:lastRenderedPageBreak/>
        <w:t xml:space="preserve">proactively managing neighbour issues, including community engagement activities where appropriate (for example, if the </w:t>
      </w:r>
      <w:r w:rsidR="000B0506">
        <w:rPr>
          <w:lang w:eastAsia="en-AU"/>
        </w:rPr>
        <w:t>service provider</w:t>
      </w:r>
      <w:r w:rsidRPr="00460334">
        <w:rPr>
          <w:lang w:eastAsia="en-AU"/>
        </w:rPr>
        <w:t xml:space="preserve"> is managing several dwellings within the one building)</w:t>
      </w:r>
    </w:p>
    <w:p w14:paraId="0EDCD078" w14:textId="2AF8E5D1" w:rsidR="00AD243A" w:rsidRPr="00460334" w:rsidRDefault="00AD243A" w:rsidP="0099564E">
      <w:pPr>
        <w:pStyle w:val="Bullet1"/>
        <w:rPr>
          <w:spacing w:val="3"/>
          <w:lang w:eastAsia="en-AU"/>
        </w:rPr>
      </w:pPr>
      <w:r w:rsidRPr="00460334">
        <w:rPr>
          <w:spacing w:val="3"/>
          <w:lang w:eastAsia="en-AU"/>
        </w:rPr>
        <w:t xml:space="preserve">setting and meeting relevant housing service standards in line with the </w:t>
      </w:r>
      <w:hyperlink r:id="rId21">
        <w:r w:rsidRPr="276116BB">
          <w:rPr>
            <w:rStyle w:val="Hyperlink"/>
            <w:rFonts w:cs="Arial"/>
            <w:i/>
            <w:iCs/>
            <w:lang w:eastAsia="en-AU"/>
          </w:rPr>
          <w:t>Residential Tenancies Amendment Act 2018</w:t>
        </w:r>
      </w:hyperlink>
      <w:r>
        <w:rPr>
          <w:rStyle w:val="Hyperlink"/>
          <w:rFonts w:cs="Arial"/>
          <w:lang w:eastAsia="en-AU"/>
        </w:rPr>
        <w:t xml:space="preserve"> </w:t>
      </w:r>
      <w:r>
        <w:rPr>
          <w:spacing w:val="3"/>
          <w:lang w:eastAsia="en-AU"/>
        </w:rPr>
        <w:t>&lt;</w:t>
      </w:r>
      <w:r w:rsidRPr="009F6C73">
        <w:rPr>
          <w:spacing w:val="3"/>
          <w:lang w:eastAsia="en-AU"/>
        </w:rPr>
        <w:t>https://www.legislation.vic.gov.au/as-made/acts/residential-tenancies-amendment-act-2018</w:t>
      </w:r>
      <w:r>
        <w:rPr>
          <w:spacing w:val="3"/>
          <w:lang w:eastAsia="en-AU"/>
        </w:rPr>
        <w:t>&gt;</w:t>
      </w:r>
    </w:p>
    <w:p w14:paraId="4836565F" w14:textId="29954CCF" w:rsidR="00AD243A" w:rsidRPr="00460334" w:rsidRDefault="00AD243A" w:rsidP="0099564E">
      <w:pPr>
        <w:pStyle w:val="Bullet1"/>
        <w:rPr>
          <w:spacing w:val="3"/>
          <w:lang w:eastAsia="en-AU"/>
        </w:rPr>
      </w:pPr>
      <w:r w:rsidRPr="00460334">
        <w:rPr>
          <w:spacing w:val="3"/>
          <w:lang w:eastAsia="en-AU"/>
        </w:rPr>
        <w:t>manage and address complaints and appeals relating to the provision of housing services</w:t>
      </w:r>
    </w:p>
    <w:p w14:paraId="679C5EFD" w14:textId="5FB0586B" w:rsidR="00AD243A" w:rsidRPr="00460334" w:rsidRDefault="00AD243A" w:rsidP="0099564E">
      <w:pPr>
        <w:pStyle w:val="Bullet1"/>
        <w:rPr>
          <w:spacing w:val="3"/>
          <w:lang w:eastAsia="en-AU"/>
        </w:rPr>
      </w:pPr>
      <w:r w:rsidRPr="00460334">
        <w:rPr>
          <w:spacing w:val="3"/>
          <w:lang w:eastAsia="en-AU"/>
        </w:rPr>
        <w:t xml:space="preserve">maintain </w:t>
      </w:r>
      <w:r>
        <w:rPr>
          <w:spacing w:val="3"/>
          <w:lang w:eastAsia="en-AU"/>
        </w:rPr>
        <w:t>client</w:t>
      </w:r>
      <w:r w:rsidRPr="00460334">
        <w:rPr>
          <w:spacing w:val="3"/>
          <w:lang w:eastAsia="en-AU"/>
        </w:rPr>
        <w:t xml:space="preserve"> satisfaction with the overall quality of housing assistance</w:t>
      </w:r>
    </w:p>
    <w:p w14:paraId="74F50000" w14:textId="77777777" w:rsidR="00AD243A" w:rsidRPr="0099564E" w:rsidRDefault="00AD243A" w:rsidP="00174EED">
      <w:pPr>
        <w:pStyle w:val="DHHSbody"/>
        <w:spacing w:before="120"/>
        <w:rPr>
          <w:rFonts w:ascii="Arial" w:hAnsi="Arial" w:cs="Arial"/>
        </w:rPr>
      </w:pPr>
      <w:r w:rsidRPr="0099564E">
        <w:rPr>
          <w:rFonts w:ascii="Arial" w:hAnsi="Arial" w:cs="Arial"/>
        </w:rPr>
        <w:t xml:space="preserve">A full description of the department’s policy requirements can be found </w:t>
      </w:r>
      <w:hyperlink r:id="rId22">
        <w:r w:rsidRPr="0099564E">
          <w:rPr>
            <w:rStyle w:val="Hyperlink"/>
            <w:rFonts w:ascii="Arial" w:hAnsi="Arial" w:cs="Arial"/>
          </w:rPr>
          <w:t xml:space="preserve">in section 4 of the </w:t>
        </w:r>
        <w:r w:rsidRPr="0099564E">
          <w:rPr>
            <w:rStyle w:val="Hyperlink"/>
            <w:rFonts w:ascii="Arial" w:hAnsi="Arial" w:cs="Arial"/>
            <w:i/>
            <w:iCs/>
          </w:rPr>
          <w:t>Homelessness Services Guidelines and Conditions of Funding</w:t>
        </w:r>
      </w:hyperlink>
      <w:r w:rsidRPr="0099564E">
        <w:rPr>
          <w:rFonts w:ascii="Arial" w:hAnsi="Arial" w:cs="Arial"/>
        </w:rPr>
        <w:t xml:space="preserve"> &lt;https://www.vic.gov.au/new-guidelines-funded-homelessness-service-providers-related-covid-19&gt;.</w:t>
      </w:r>
    </w:p>
    <w:p w14:paraId="153666D5" w14:textId="77777777" w:rsidR="00EE339D" w:rsidRDefault="00EE339D">
      <w:pPr>
        <w:spacing w:after="0" w:line="240" w:lineRule="auto"/>
        <w:rPr>
          <w:rFonts w:eastAsia="MS Gothic" w:cs="Arial"/>
          <w:bCs/>
          <w:color w:val="201547"/>
          <w:kern w:val="32"/>
          <w:sz w:val="44"/>
          <w:szCs w:val="44"/>
        </w:rPr>
      </w:pPr>
      <w:bookmarkStart w:id="56" w:name="_Toc123723361"/>
      <w:r>
        <w:br w:type="page"/>
      </w:r>
    </w:p>
    <w:p w14:paraId="760DF602" w14:textId="56F1CC45" w:rsidR="00AD243A" w:rsidRDefault="00AD243A" w:rsidP="00B055B3">
      <w:pPr>
        <w:pStyle w:val="Heading1"/>
      </w:pPr>
      <w:bookmarkStart w:id="57" w:name="_Toc124847213"/>
      <w:r>
        <w:lastRenderedPageBreak/>
        <w:t xml:space="preserve">Housing and </w:t>
      </w:r>
      <w:r w:rsidR="005464E9">
        <w:t>H</w:t>
      </w:r>
      <w:r>
        <w:t xml:space="preserve">omelessness </w:t>
      </w:r>
      <w:r w:rsidR="005464E9">
        <w:t>S</w:t>
      </w:r>
      <w:r>
        <w:t xml:space="preserve">ervices </w:t>
      </w:r>
      <w:r w:rsidR="007D636E">
        <w:t>u</w:t>
      </w:r>
      <w:r>
        <w:t>plift for organisations affected by floods</w:t>
      </w:r>
      <w:bookmarkEnd w:id="56"/>
      <w:bookmarkEnd w:id="57"/>
    </w:p>
    <w:p w14:paraId="12AB5143" w14:textId="3633743C" w:rsidR="00614031" w:rsidRPr="00087AD0" w:rsidRDefault="00614031" w:rsidP="00087AD0">
      <w:pPr>
        <w:pStyle w:val="Body"/>
        <w:rPr>
          <w:rStyle w:val="normaltextrun"/>
        </w:rPr>
      </w:pPr>
      <w:r>
        <w:t>$667,000 has been allocated to community housing providers, homelessness services and ACCO/Aboriginal services to financially support their homelessness and housing efforts in response to a surge in demand during the flood emergency. This funding is to ensure agencies that have supported the community and renters with housing needs outside of the scope of current support packages or business-as-usual activities are not adversely affected.</w:t>
      </w:r>
    </w:p>
    <w:p w14:paraId="33AF646A" w14:textId="77777777" w:rsidR="00730F48" w:rsidRPr="00730F48" w:rsidRDefault="00730F48" w:rsidP="00B055B3">
      <w:pPr>
        <w:pStyle w:val="Heading2"/>
      </w:pPr>
      <w:bookmarkStart w:id="58" w:name="_Toc124847214"/>
      <w:r w:rsidRPr="00730F48">
        <w:t>Eligibility</w:t>
      </w:r>
      <w:bookmarkEnd w:id="58"/>
    </w:p>
    <w:p w14:paraId="38ACAE06" w14:textId="77777777" w:rsidR="00934826" w:rsidRPr="00D234FB" w:rsidRDefault="00934826" w:rsidP="00934826">
      <w:pPr>
        <w:pStyle w:val="Body"/>
      </w:pPr>
      <w:bookmarkStart w:id="59" w:name="_Toc123723362"/>
      <w:r>
        <w:t>Organisations eligible to apply for surge capacity funding include flood-affected community housing providers, homelessness agencies and ACCOs/Aboriginal organisations that require/d organisational uplift from October 2022.</w:t>
      </w:r>
    </w:p>
    <w:p w14:paraId="725FB884" w14:textId="77777777" w:rsidR="00AD243A" w:rsidRDefault="00AD243A" w:rsidP="00B055B3">
      <w:pPr>
        <w:pStyle w:val="Heading2"/>
      </w:pPr>
      <w:bookmarkStart w:id="60" w:name="_Toc124847215"/>
      <w:r>
        <w:t>Scope</w:t>
      </w:r>
      <w:bookmarkEnd w:id="59"/>
      <w:bookmarkEnd w:id="60"/>
    </w:p>
    <w:p w14:paraId="5D368ACD" w14:textId="47D47DB8" w:rsidR="00AD243A" w:rsidRPr="0099564E" w:rsidRDefault="00AD243A" w:rsidP="0099564E">
      <w:pPr>
        <w:pStyle w:val="DHHSbody"/>
        <w:rPr>
          <w:rFonts w:ascii="Arial" w:hAnsi="Arial" w:cs="Arial"/>
        </w:rPr>
      </w:pPr>
      <w:r w:rsidRPr="0099564E">
        <w:rPr>
          <w:rStyle w:val="normaltextrun"/>
          <w:rFonts w:ascii="Arial" w:hAnsi="Arial" w:cs="Arial"/>
        </w:rPr>
        <w:t>Impacted agencies may apply for out-of-pocket business expenses that:</w:t>
      </w:r>
    </w:p>
    <w:p w14:paraId="3854703A" w14:textId="0158D734" w:rsidR="003B63E4" w:rsidRDefault="00C52917" w:rsidP="003B63E4">
      <w:pPr>
        <w:pStyle w:val="Body"/>
        <w:numPr>
          <w:ilvl w:val="0"/>
          <w:numId w:val="22"/>
        </w:numPr>
      </w:pPr>
      <w:r>
        <w:t>c</w:t>
      </w:r>
      <w:r w:rsidR="003B63E4">
        <w:t>annot be recovered by PHAP payments, such as relocation costs</w:t>
      </w:r>
    </w:p>
    <w:p w14:paraId="1A622E8C" w14:textId="46E879B7" w:rsidR="003B63E4" w:rsidRDefault="00C52917" w:rsidP="003B63E4">
      <w:pPr>
        <w:pStyle w:val="Body"/>
        <w:numPr>
          <w:ilvl w:val="0"/>
          <w:numId w:val="22"/>
        </w:numPr>
      </w:pPr>
      <w:r>
        <w:t>s</w:t>
      </w:r>
      <w:r w:rsidR="003B63E4">
        <w:t>upported renters or the community and are not the principal responsibility of other agencies, such as Centrelink, NDIS and other social support services</w:t>
      </w:r>
    </w:p>
    <w:p w14:paraId="43A083A8" w14:textId="0A506F91" w:rsidR="003B63E4" w:rsidRDefault="00C52917" w:rsidP="003B63E4">
      <w:pPr>
        <w:pStyle w:val="Body"/>
        <w:numPr>
          <w:ilvl w:val="0"/>
          <w:numId w:val="22"/>
        </w:numPr>
      </w:pPr>
      <w:r>
        <w:t>h</w:t>
      </w:r>
      <w:r w:rsidR="003B63E4">
        <w:t>ave been incurred as a result of supporting individuals, families or the community during the response and recovery phase of the flood event, for example, staff overtime costs, however standard salary costs should not be claimed</w:t>
      </w:r>
    </w:p>
    <w:p w14:paraId="7FE792DA" w14:textId="5CF79E60" w:rsidR="003B63E4" w:rsidRDefault="00C52917" w:rsidP="003B63E4">
      <w:pPr>
        <w:pStyle w:val="Body"/>
        <w:numPr>
          <w:ilvl w:val="0"/>
          <w:numId w:val="22"/>
        </w:numPr>
      </w:pPr>
      <w:r>
        <w:t>a</w:t>
      </w:r>
      <w:r w:rsidR="003B63E4">
        <w:t xml:space="preserve">re not covered by insurance, including inspection and minor remediation of uninsured </w:t>
      </w:r>
      <w:r w:rsidR="003B63E4" w:rsidRPr="00D9591E">
        <w:t>properties (to a limit of $5,000) per</w:t>
      </w:r>
      <w:r w:rsidR="003B63E4">
        <w:t xml:space="preserve"> property</w:t>
      </w:r>
    </w:p>
    <w:p w14:paraId="71F9B8B1" w14:textId="321F7476" w:rsidR="003B63E4" w:rsidRDefault="00C52917" w:rsidP="003B63E4">
      <w:pPr>
        <w:pStyle w:val="Body"/>
        <w:numPr>
          <w:ilvl w:val="0"/>
          <w:numId w:val="22"/>
        </w:numPr>
      </w:pPr>
      <w:r>
        <w:t>a</w:t>
      </w:r>
      <w:r w:rsidR="003B63E4">
        <w:t>re essential to the continuing provision of support throughout flood recovery, such as new business equipment/resources</w:t>
      </w:r>
    </w:p>
    <w:p w14:paraId="142F561D" w14:textId="18F9D924" w:rsidR="003B63E4" w:rsidRDefault="00C52917" w:rsidP="003B63E4">
      <w:pPr>
        <w:pStyle w:val="Body"/>
        <w:numPr>
          <w:ilvl w:val="0"/>
          <w:numId w:val="22"/>
        </w:numPr>
      </w:pPr>
      <w:r>
        <w:t>a</w:t>
      </w:r>
      <w:r w:rsidR="003B63E4">
        <w:t>re not covered by current support packages</w:t>
      </w:r>
    </w:p>
    <w:p w14:paraId="72558D04" w14:textId="77777777" w:rsidR="00451CA9" w:rsidRPr="00E86C04" w:rsidRDefault="00451CA9" w:rsidP="00B055B3">
      <w:pPr>
        <w:pStyle w:val="Heading2"/>
      </w:pPr>
      <w:bookmarkStart w:id="61" w:name="_Toc124847216"/>
      <w:r w:rsidRPr="00E86C04">
        <w:t>Process</w:t>
      </w:r>
      <w:bookmarkEnd w:id="61"/>
    </w:p>
    <w:p w14:paraId="570FD0DB" w14:textId="77777777" w:rsidR="00451CA9" w:rsidRPr="004A3834" w:rsidRDefault="00451CA9" w:rsidP="00451CA9">
      <w:pPr>
        <w:pStyle w:val="DHHSbody"/>
        <w:rPr>
          <w:rFonts w:ascii="Arial" w:hAnsi="Arial" w:cs="Arial"/>
        </w:rPr>
      </w:pPr>
      <w:r w:rsidRPr="004A3834">
        <w:rPr>
          <w:rFonts w:ascii="Arial" w:hAnsi="Arial" w:cs="Arial"/>
        </w:rPr>
        <w:t>To apply for these funds, please:</w:t>
      </w:r>
    </w:p>
    <w:p w14:paraId="14CC4BE3" w14:textId="0D74256C" w:rsidR="00451CA9" w:rsidRDefault="00451CA9" w:rsidP="00451CA9">
      <w:pPr>
        <w:pStyle w:val="Bullet1"/>
        <w:numPr>
          <w:ilvl w:val="0"/>
          <w:numId w:val="19"/>
        </w:numPr>
      </w:pPr>
      <w:r>
        <w:t xml:space="preserve">Complete the reimbursement claim details table, including detailed line items for each claim </w:t>
      </w:r>
      <w:r w:rsidRPr="00427DB3">
        <w:t>(</w:t>
      </w:r>
      <w:r>
        <w:t>see examples in the table).</w:t>
      </w:r>
      <w:r w:rsidR="00E86C04">
        <w:t xml:space="preserve"> The claim form </w:t>
      </w:r>
      <w:r w:rsidR="004040DF" w:rsidRPr="0099564E">
        <w:rPr>
          <w:rFonts w:cs="Arial"/>
        </w:rPr>
        <w:t>can be found</w:t>
      </w:r>
      <w:r w:rsidR="004A2345">
        <w:rPr>
          <w:rFonts w:cs="Arial"/>
        </w:rPr>
        <w:t xml:space="preserve"> at</w:t>
      </w:r>
      <w:r w:rsidR="00F91EA4">
        <w:rPr>
          <w:rFonts w:cs="Arial"/>
        </w:rPr>
        <w:t xml:space="preserve"> </w:t>
      </w:r>
      <w:hyperlink r:id="rId23" w:history="1">
        <w:r w:rsidR="00F91EA4" w:rsidRPr="00B3051A">
          <w:rPr>
            <w:rStyle w:val="Hyperlink"/>
            <w:sz w:val="20"/>
          </w:rPr>
          <w:t>https://providers.dffh.vic.gov.au/homelessness-flood-recovery-program</w:t>
        </w:r>
      </w:hyperlink>
      <w:r w:rsidR="0021441A" w:rsidRPr="00382FE2">
        <w:rPr>
          <w:sz w:val="20"/>
        </w:rPr>
        <w:t>.</w:t>
      </w:r>
    </w:p>
    <w:p w14:paraId="7C87ED45" w14:textId="1E88B181" w:rsidR="00451CA9" w:rsidRDefault="00385473" w:rsidP="00E31FE7">
      <w:pPr>
        <w:pStyle w:val="Body"/>
        <w:numPr>
          <w:ilvl w:val="0"/>
          <w:numId w:val="19"/>
        </w:numPr>
      </w:pPr>
      <w:r>
        <w:t>Send the completed form,</w:t>
      </w:r>
      <w:r w:rsidDel="70B58E64">
        <w:t xml:space="preserve"> </w:t>
      </w:r>
      <w:r>
        <w:t xml:space="preserve">scanned copies of vendor invoices and other evidence as required to substantiate claim to </w:t>
      </w:r>
      <w:hyperlink r:id="rId24" w:tooltip="mailto:HHS@homes.vic.gov.au" w:history="1">
        <w:r w:rsidRPr="162C74B4">
          <w:rPr>
            <w:rStyle w:val="Hyperlink"/>
            <w:rFonts w:cs="Segoe UI"/>
            <w:bdr w:val="none" w:sz="0" w:space="0" w:color="auto" w:frame="1"/>
            <w:shd w:val="clear" w:color="auto" w:fill="FFFFFF"/>
          </w:rPr>
          <w:t>HHS@homes.vic.gov.au</w:t>
        </w:r>
      </w:hyperlink>
    </w:p>
    <w:p w14:paraId="05A67DE9" w14:textId="5E7AE5D7" w:rsidR="00451CA9" w:rsidRPr="00427DB3" w:rsidRDefault="00451CA9" w:rsidP="00451CA9">
      <w:pPr>
        <w:pStyle w:val="Bullet1"/>
        <w:numPr>
          <w:ilvl w:val="0"/>
          <w:numId w:val="19"/>
        </w:numPr>
      </w:pPr>
      <w:r>
        <w:t>Wait for approval before issuing an invoice to Homes Victoria.</w:t>
      </w:r>
    </w:p>
    <w:p w14:paraId="37572FB9" w14:textId="2E3B58FC" w:rsidR="00451CA9" w:rsidRPr="009F4CD1" w:rsidRDefault="00451CA9" w:rsidP="009F4CD1">
      <w:pPr>
        <w:pStyle w:val="DHHSbody"/>
        <w:spacing w:before="120"/>
        <w:rPr>
          <w:rFonts w:cs="Segoe UI"/>
          <w:color w:val="004C97"/>
          <w:szCs w:val="21"/>
          <w:u w:val="dotted"/>
          <w:bdr w:val="none" w:sz="0" w:space="0" w:color="auto" w:frame="1"/>
          <w:shd w:val="clear" w:color="auto" w:fill="FFFFFF"/>
        </w:rPr>
      </w:pPr>
      <w:r w:rsidRPr="004A3834">
        <w:rPr>
          <w:rFonts w:ascii="Arial" w:hAnsi="Arial" w:cs="Arial"/>
        </w:rPr>
        <w:t xml:space="preserve">For any questions regarding this fund, please email </w:t>
      </w:r>
      <w:hyperlink r:id="rId25" w:tooltip="mailto:HHS@homes.vic.gov.au" w:history="1">
        <w:r w:rsidRPr="005F693B">
          <w:rPr>
            <w:rStyle w:val="Hyperlink"/>
            <w:rFonts w:ascii="Arial" w:hAnsi="Arial" w:cs="Arial"/>
            <w:szCs w:val="21"/>
            <w:bdr w:val="none" w:sz="0" w:space="0" w:color="auto" w:frame="1"/>
            <w:shd w:val="clear" w:color="auto" w:fill="FFFFFF"/>
          </w:rPr>
          <w:t>HHS@homes.vic.gov.au</w:t>
        </w:r>
      </w:hyperlink>
    </w:p>
    <w:p w14:paraId="08815534" w14:textId="77777777" w:rsidR="00EE339D" w:rsidRDefault="00EE339D">
      <w:pPr>
        <w:spacing w:after="0" w:line="240" w:lineRule="auto"/>
        <w:rPr>
          <w:rFonts w:eastAsia="MS Gothic" w:cs="Arial"/>
          <w:bCs/>
          <w:color w:val="201547"/>
          <w:kern w:val="32"/>
          <w:sz w:val="44"/>
          <w:szCs w:val="44"/>
        </w:rPr>
      </w:pPr>
      <w:bookmarkStart w:id="62" w:name="_Toc123723363"/>
      <w:r>
        <w:br w:type="page"/>
      </w:r>
    </w:p>
    <w:p w14:paraId="562F4225" w14:textId="6313C534" w:rsidR="00005A69" w:rsidRPr="007753BD" w:rsidRDefault="00005A69" w:rsidP="00005A69">
      <w:pPr>
        <w:pStyle w:val="Heading1"/>
      </w:pPr>
      <w:bookmarkStart w:id="63" w:name="_Toc124847217"/>
      <w:r w:rsidRPr="007C230F">
        <w:lastRenderedPageBreak/>
        <w:t>Identification and</w:t>
      </w:r>
      <w:r w:rsidRPr="007C230F">
        <w:rPr>
          <w:color w:val="auto"/>
        </w:rPr>
        <w:t xml:space="preserve"> </w:t>
      </w:r>
      <w:r w:rsidRPr="007753BD">
        <w:t>securing of properties</w:t>
      </w:r>
      <w:bookmarkEnd w:id="62"/>
      <w:bookmarkEnd w:id="63"/>
    </w:p>
    <w:p w14:paraId="6E0975AE" w14:textId="00B4999B" w:rsidR="00005A69" w:rsidRPr="00005A69" w:rsidRDefault="00005A69" w:rsidP="00005A69">
      <w:pPr>
        <w:pStyle w:val="DHHSbody"/>
        <w:rPr>
          <w:rFonts w:ascii="Arial" w:hAnsi="Arial" w:cs="Arial"/>
        </w:rPr>
      </w:pPr>
      <w:r w:rsidRPr="00005A69">
        <w:rPr>
          <w:rFonts w:ascii="Arial" w:hAnsi="Arial" w:cs="Arial"/>
        </w:rPr>
        <w:t>HFRP is predominantly funded as a client</w:t>
      </w:r>
      <w:r w:rsidR="007D636E">
        <w:rPr>
          <w:rFonts w:ascii="Arial" w:hAnsi="Arial" w:cs="Arial"/>
        </w:rPr>
        <w:t>-</w:t>
      </w:r>
      <w:r w:rsidRPr="00005A69">
        <w:rPr>
          <w:rFonts w:ascii="Arial" w:hAnsi="Arial" w:cs="Arial"/>
        </w:rPr>
        <w:t xml:space="preserve">support program. Two types of housing stock are being used in this </w:t>
      </w:r>
      <w:r w:rsidR="007D636E">
        <w:rPr>
          <w:rFonts w:ascii="Arial" w:hAnsi="Arial" w:cs="Arial"/>
        </w:rPr>
        <w:t>p</w:t>
      </w:r>
      <w:r w:rsidRPr="00005A69">
        <w:rPr>
          <w:rFonts w:ascii="Arial" w:hAnsi="Arial" w:cs="Arial"/>
        </w:rPr>
        <w:t>rogram:</w:t>
      </w:r>
    </w:p>
    <w:p w14:paraId="7BF49828" w14:textId="1EF25579" w:rsidR="00005A69" w:rsidRPr="00005A69" w:rsidRDefault="00174EED" w:rsidP="00005A69">
      <w:pPr>
        <w:pStyle w:val="Bullet1"/>
      </w:pPr>
      <w:r>
        <w:t>p</w:t>
      </w:r>
      <w:r w:rsidR="00005A69" w:rsidRPr="00005A69">
        <w:t xml:space="preserve">rivately head leased or </w:t>
      </w:r>
      <w:r w:rsidR="000B0506">
        <w:t>service provider</w:t>
      </w:r>
      <w:r w:rsidR="00005A69" w:rsidRPr="00005A69">
        <w:t xml:space="preserve">-owned properties with tenancy and property management services delivered by the </w:t>
      </w:r>
      <w:r w:rsidR="000B0506">
        <w:t>service provider</w:t>
      </w:r>
      <w:r w:rsidR="00005A69" w:rsidRPr="00005A69">
        <w:t xml:space="preserve">. </w:t>
      </w:r>
    </w:p>
    <w:p w14:paraId="1148E495" w14:textId="1DD88072" w:rsidR="00005A69" w:rsidRPr="00005A69" w:rsidRDefault="00174EED" w:rsidP="00005A69">
      <w:pPr>
        <w:pStyle w:val="Bullet1"/>
      </w:pPr>
      <w:r>
        <w:t>p</w:t>
      </w:r>
      <w:r w:rsidR="00005A69" w:rsidRPr="00005A69">
        <w:t xml:space="preserve">ublic and </w:t>
      </w:r>
      <w:r>
        <w:t>c</w:t>
      </w:r>
      <w:r w:rsidR="00005A69" w:rsidRPr="00005A69">
        <w:t xml:space="preserve">ommunity </w:t>
      </w:r>
      <w:r>
        <w:t>h</w:t>
      </w:r>
      <w:r w:rsidR="00005A69" w:rsidRPr="00005A69">
        <w:t>ousing properties that will be offered to clients in accordance with the VHR order of prioritisation.</w:t>
      </w:r>
      <w:r w:rsidR="00005A69" w:rsidRPr="00005A69" w:rsidDel="003D31CF">
        <w:t xml:space="preserve"> </w:t>
      </w:r>
      <w:r w:rsidR="00005A69" w:rsidRPr="00005A69">
        <w:t xml:space="preserve">Service </w:t>
      </w:r>
      <w:r w:rsidR="000B0506">
        <w:t>p</w:t>
      </w:r>
      <w:r w:rsidR="00005A69" w:rsidRPr="00005A69">
        <w:t xml:space="preserve">roviders will need to work closely with </w:t>
      </w:r>
      <w:r w:rsidR="007D636E">
        <w:t>a</w:t>
      </w:r>
      <w:r w:rsidR="00005A69" w:rsidRPr="00005A69">
        <w:t xml:space="preserve">rea </w:t>
      </w:r>
      <w:r w:rsidR="007D636E">
        <w:t>m</w:t>
      </w:r>
      <w:r w:rsidR="00005A69" w:rsidRPr="00005A69">
        <w:t>anagers to jointly manage the tenancy during the funded period.</w:t>
      </w:r>
    </w:p>
    <w:p w14:paraId="3475E5A5" w14:textId="15C45B53" w:rsidR="00005A69" w:rsidRPr="00005A69" w:rsidRDefault="00005A69" w:rsidP="00174EED">
      <w:pPr>
        <w:pStyle w:val="DHHSbody"/>
        <w:spacing w:before="120"/>
        <w:rPr>
          <w:rFonts w:ascii="Arial" w:hAnsi="Arial" w:cs="Arial"/>
        </w:rPr>
      </w:pPr>
      <w:r w:rsidRPr="00005A69">
        <w:rPr>
          <w:rFonts w:ascii="Arial" w:hAnsi="Arial" w:cs="Arial"/>
        </w:rPr>
        <w:t>Properties supported by the HFR program should meet the Victorian Housing Register’s standards for appropriate residence sized based on the number of occupants and gender distribution of dependants within a household. A quick reference guide for housing providers can be seen in the reasonable offers section of the guide.</w:t>
      </w:r>
    </w:p>
    <w:p w14:paraId="29F7C9A7" w14:textId="77777777" w:rsidR="00005A69" w:rsidRPr="007753BD" w:rsidRDefault="00005A69" w:rsidP="00005A69">
      <w:pPr>
        <w:pStyle w:val="Heading2"/>
      </w:pPr>
      <w:bookmarkStart w:id="64" w:name="_Toc111195419"/>
      <w:bookmarkStart w:id="65" w:name="_Toc119413919"/>
      <w:bookmarkStart w:id="66" w:name="_Toc123723364"/>
      <w:bookmarkStart w:id="67" w:name="_Toc124847218"/>
      <w:r w:rsidRPr="007753BD">
        <w:t xml:space="preserve">Head </w:t>
      </w:r>
      <w:r>
        <w:t>l</w:t>
      </w:r>
      <w:r w:rsidRPr="007753BD">
        <w:t xml:space="preserve">eased </w:t>
      </w:r>
      <w:r>
        <w:t>p</w:t>
      </w:r>
      <w:r w:rsidRPr="007753BD">
        <w:t>roperties</w:t>
      </w:r>
      <w:bookmarkEnd w:id="64"/>
      <w:bookmarkEnd w:id="65"/>
      <w:bookmarkEnd w:id="66"/>
      <w:bookmarkEnd w:id="67"/>
    </w:p>
    <w:p w14:paraId="21FFD5ED" w14:textId="6680AC56" w:rsidR="00005A69" w:rsidRPr="00005A69" w:rsidRDefault="00005A69" w:rsidP="00005A69">
      <w:pPr>
        <w:pStyle w:val="DHHSbody"/>
        <w:rPr>
          <w:rFonts w:ascii="Arial" w:hAnsi="Arial" w:cs="Arial"/>
          <w:szCs w:val="21"/>
        </w:rPr>
      </w:pPr>
      <w:r w:rsidRPr="00005A69">
        <w:rPr>
          <w:rFonts w:ascii="Arial" w:hAnsi="Arial" w:cs="Arial"/>
          <w:szCs w:val="21"/>
        </w:rPr>
        <w:t xml:space="preserve">Head leased properties refers to private rental properties that are head leased by the </w:t>
      </w:r>
      <w:r w:rsidR="000B0506">
        <w:rPr>
          <w:rFonts w:ascii="Arial" w:hAnsi="Arial" w:cs="Arial"/>
          <w:szCs w:val="21"/>
        </w:rPr>
        <w:t>service provider</w:t>
      </w:r>
      <w:r w:rsidRPr="00005A69">
        <w:rPr>
          <w:rFonts w:ascii="Arial" w:hAnsi="Arial" w:cs="Arial"/>
          <w:szCs w:val="21"/>
        </w:rPr>
        <w:t>.</w:t>
      </w:r>
    </w:p>
    <w:p w14:paraId="6EBE98CC" w14:textId="77777777" w:rsidR="00005A69" w:rsidRPr="00005A69" w:rsidRDefault="00005A69" w:rsidP="00005A69">
      <w:pPr>
        <w:pStyle w:val="DHHSbody"/>
        <w:rPr>
          <w:rFonts w:ascii="Arial" w:hAnsi="Arial" w:cs="Arial"/>
        </w:rPr>
      </w:pPr>
      <w:r w:rsidRPr="00005A69">
        <w:rPr>
          <w:rFonts w:ascii="Arial" w:hAnsi="Arial" w:cs="Arial"/>
        </w:rPr>
        <w:t>Head leasing is used as a rapid housing solution while clients await long term social housing or, where appropriate, enables clients to take over the lease at the end of the program.</w:t>
      </w:r>
    </w:p>
    <w:p w14:paraId="20F8B0B0" w14:textId="4CDACE81" w:rsidR="00005A69" w:rsidRPr="00005A69" w:rsidRDefault="00005A69" w:rsidP="00005A69">
      <w:pPr>
        <w:pStyle w:val="DHHSbody"/>
        <w:rPr>
          <w:rFonts w:ascii="Arial" w:hAnsi="Arial" w:cs="Arial"/>
          <w:szCs w:val="21"/>
        </w:rPr>
      </w:pPr>
      <w:r w:rsidRPr="00005A69">
        <w:rPr>
          <w:rFonts w:ascii="Arial" w:hAnsi="Arial" w:cs="Arial"/>
          <w:szCs w:val="21"/>
        </w:rPr>
        <w:t xml:space="preserve">Leased properties must comply with standards as outlined in the </w:t>
      </w:r>
      <w:r w:rsidRPr="00005A69">
        <w:rPr>
          <w:rFonts w:ascii="Arial" w:hAnsi="Arial" w:cs="Arial"/>
          <w:i/>
          <w:iCs/>
          <w:szCs w:val="21"/>
        </w:rPr>
        <w:t>Residential Tenancies Amendment Act 2018</w:t>
      </w:r>
      <w:r w:rsidR="000B0506">
        <w:rPr>
          <w:rFonts w:ascii="Arial" w:hAnsi="Arial" w:cs="Arial"/>
          <w:i/>
          <w:iCs/>
          <w:szCs w:val="21"/>
        </w:rPr>
        <w:t>.</w:t>
      </w:r>
      <w:r w:rsidRPr="00005A69">
        <w:rPr>
          <w:rFonts w:ascii="Arial" w:hAnsi="Arial" w:cs="Arial"/>
          <w:szCs w:val="21"/>
        </w:rPr>
        <w:t xml:space="preserve"> Service </w:t>
      </w:r>
      <w:r w:rsidR="000B0506">
        <w:rPr>
          <w:rFonts w:ascii="Arial" w:hAnsi="Arial" w:cs="Arial"/>
          <w:szCs w:val="21"/>
        </w:rPr>
        <w:t>p</w:t>
      </w:r>
      <w:r w:rsidRPr="00005A69">
        <w:rPr>
          <w:rFonts w:ascii="Arial" w:hAnsi="Arial" w:cs="Arial"/>
          <w:szCs w:val="21"/>
        </w:rPr>
        <w:t>roviders are required to undertake asset management services on leased properties.</w:t>
      </w:r>
    </w:p>
    <w:p w14:paraId="7F9F1D09" w14:textId="47AA9F61" w:rsidR="00005A69" w:rsidRPr="00005A69" w:rsidRDefault="00005A69" w:rsidP="00005A69">
      <w:pPr>
        <w:pStyle w:val="DHHSbody"/>
        <w:rPr>
          <w:rFonts w:ascii="Arial" w:eastAsia="Verdana" w:hAnsi="Arial" w:cs="Arial"/>
        </w:rPr>
      </w:pPr>
      <w:r w:rsidRPr="00005A69">
        <w:rPr>
          <w:rFonts w:ascii="Arial" w:hAnsi="Arial" w:cs="Arial"/>
        </w:rPr>
        <w:t xml:space="preserve">The </w:t>
      </w:r>
      <w:r w:rsidR="000B0506">
        <w:rPr>
          <w:rFonts w:ascii="Arial" w:hAnsi="Arial" w:cs="Arial"/>
        </w:rPr>
        <w:t>service provider</w:t>
      </w:r>
      <w:r w:rsidRPr="00005A69">
        <w:rPr>
          <w:rFonts w:ascii="Arial" w:hAnsi="Arial" w:cs="Arial"/>
        </w:rPr>
        <w:t xml:space="preserve"> will be responsible for any additional asset damage that is not fair wear and tear (for example, renter damage).</w:t>
      </w:r>
    </w:p>
    <w:p w14:paraId="60DF9770" w14:textId="1F65A3F7" w:rsidR="00B97D69" w:rsidRDefault="00005A69" w:rsidP="00B97D69">
      <w:pPr>
        <w:pStyle w:val="DHHSbody"/>
        <w:rPr>
          <w:rFonts w:ascii="Arial" w:hAnsi="Arial" w:cs="Arial"/>
        </w:rPr>
      </w:pPr>
      <w:r w:rsidRPr="00005A69">
        <w:rPr>
          <w:rFonts w:ascii="Arial" w:hAnsi="Arial" w:cs="Arial"/>
        </w:rPr>
        <w:t xml:space="preserve">A full description of the asset management regulatory and policy requirements can be found at </w:t>
      </w:r>
      <w:hyperlink r:id="rId26" w:history="1">
        <w:r w:rsidR="000B0506" w:rsidRPr="00526ACC">
          <w:rPr>
            <w:rStyle w:val="Hyperlink"/>
            <w:rFonts w:ascii="Arial" w:hAnsi="Arial" w:cs="Arial"/>
          </w:rPr>
          <w:t>http://www.housingregistrar.vic.gov.au/How-we-regulate/Guidelines-for-agencies</w:t>
        </w:r>
      </w:hyperlink>
    </w:p>
    <w:p w14:paraId="1629DEF4" w14:textId="6019BFB3" w:rsidR="00005A69" w:rsidRPr="00261862" w:rsidRDefault="00005A69" w:rsidP="00005A69">
      <w:pPr>
        <w:pStyle w:val="DHHSbody"/>
      </w:pPr>
      <w:r w:rsidRPr="00005A69">
        <w:rPr>
          <w:rFonts w:ascii="Arial" w:hAnsi="Arial" w:cs="Arial"/>
        </w:rPr>
        <w:t xml:space="preserve">Service </w:t>
      </w:r>
      <w:r w:rsidR="000B0506">
        <w:rPr>
          <w:rFonts w:ascii="Arial" w:hAnsi="Arial" w:cs="Arial"/>
        </w:rPr>
        <w:t>p</w:t>
      </w:r>
      <w:r w:rsidRPr="00005A69">
        <w:rPr>
          <w:rFonts w:ascii="Arial" w:hAnsi="Arial" w:cs="Arial"/>
        </w:rPr>
        <w:t xml:space="preserve">roviders </w:t>
      </w:r>
      <w:r w:rsidR="00B97D69">
        <w:rPr>
          <w:rFonts w:ascii="Arial" w:hAnsi="Arial" w:cs="Arial"/>
        </w:rPr>
        <w:t>must</w:t>
      </w:r>
      <w:r w:rsidRPr="00005A69">
        <w:rPr>
          <w:rFonts w:ascii="Arial" w:hAnsi="Arial" w:cs="Arial"/>
        </w:rPr>
        <w:t xml:space="preserve"> provide Homes Victoria with details of each head leased property so it can be uploaded into Housing integration information Platform (HiiP) and assigned a Property Identification Number (PIN). A copy of the rental agreement must be provided that is signed by the </w:t>
      </w:r>
      <w:r w:rsidR="000B0506">
        <w:rPr>
          <w:rFonts w:ascii="Arial" w:hAnsi="Arial" w:cs="Arial"/>
        </w:rPr>
        <w:t>service provider</w:t>
      </w:r>
      <w:r w:rsidRPr="00005A69">
        <w:rPr>
          <w:rFonts w:ascii="Arial" w:hAnsi="Arial" w:cs="Arial"/>
        </w:rPr>
        <w:t xml:space="preserve"> and the real estate agent/landlord or in the case of a </w:t>
      </w:r>
      <w:r w:rsidR="000B0506">
        <w:rPr>
          <w:rFonts w:ascii="Arial" w:hAnsi="Arial" w:cs="Arial"/>
        </w:rPr>
        <w:t>service</w:t>
      </w:r>
      <w:r w:rsidR="008E74D1">
        <w:rPr>
          <w:rFonts w:ascii="Arial" w:hAnsi="Arial" w:cs="Arial"/>
        </w:rPr>
        <w:t>-</w:t>
      </w:r>
      <w:r w:rsidR="000B0506">
        <w:rPr>
          <w:rFonts w:ascii="Arial" w:hAnsi="Arial" w:cs="Arial"/>
        </w:rPr>
        <w:t>provider</w:t>
      </w:r>
      <w:r w:rsidR="008E74D1">
        <w:rPr>
          <w:rFonts w:ascii="Arial" w:hAnsi="Arial" w:cs="Arial"/>
        </w:rPr>
        <w:t>-</w:t>
      </w:r>
      <w:r w:rsidRPr="00005A69">
        <w:rPr>
          <w:rFonts w:ascii="Arial" w:hAnsi="Arial" w:cs="Arial"/>
        </w:rPr>
        <w:t xml:space="preserve">owned property a signed rental agreement between the </w:t>
      </w:r>
      <w:r w:rsidR="000B0506">
        <w:rPr>
          <w:rFonts w:ascii="Arial" w:hAnsi="Arial" w:cs="Arial"/>
        </w:rPr>
        <w:t>service provider</w:t>
      </w:r>
      <w:r w:rsidRPr="00005A69">
        <w:rPr>
          <w:rFonts w:ascii="Arial" w:hAnsi="Arial" w:cs="Arial"/>
        </w:rPr>
        <w:t xml:space="preserve"> and the client and sent via email to</w:t>
      </w:r>
      <w:r>
        <w:t xml:space="preserve"> </w:t>
      </w:r>
      <w:hyperlink r:id="rId27" w:tooltip="mailto:HHS@homes.vic.gov.au" w:history="1">
        <w:r w:rsidRPr="00005A69">
          <w:rPr>
            <w:rStyle w:val="Hyperlink"/>
            <w:rFonts w:ascii="Arial" w:hAnsi="Arial" w:cs="Arial"/>
            <w:color w:val="0563C1"/>
          </w:rPr>
          <w:t>HHS@homes.vic.gov.au</w:t>
        </w:r>
      </w:hyperlink>
      <w:r>
        <w:fldChar w:fldCharType="begin"/>
      </w:r>
      <w:r>
        <w:instrText xml:space="preserve"> HYPERLINK "mailto:email to homelessnesstohome@homes.vic.gov.au.</w:instrText>
      </w:r>
    </w:p>
    <w:p w14:paraId="5F5AF3B5" w14:textId="77777777" w:rsidR="00005A69" w:rsidRPr="007A7FC2" w:rsidRDefault="00005A69" w:rsidP="00005A69">
      <w:pPr>
        <w:pStyle w:val="DHHSbody"/>
        <w:rPr>
          <w:rStyle w:val="Hyperlink"/>
          <w:rFonts w:eastAsia="Arial" w:cs="Arial"/>
        </w:rPr>
      </w:pPr>
      <w:r>
        <w:instrText xml:space="preserve">" </w:instrText>
      </w:r>
      <w:r>
        <w:fldChar w:fldCharType="separate"/>
      </w:r>
    </w:p>
    <w:p w14:paraId="3F444204" w14:textId="77777777" w:rsidR="00005A69" w:rsidRPr="001D3EFF" w:rsidRDefault="00005A69" w:rsidP="00005A69">
      <w:pPr>
        <w:pStyle w:val="Heading2"/>
      </w:pPr>
      <w:r>
        <w:rPr>
          <w:b w:val="0"/>
        </w:rPr>
        <w:fldChar w:fldCharType="end"/>
      </w:r>
      <w:bookmarkStart w:id="68" w:name="_Toc111195421"/>
      <w:bookmarkStart w:id="69" w:name="_Toc119413921"/>
      <w:bookmarkStart w:id="70" w:name="_Toc123723365"/>
      <w:bookmarkStart w:id="71" w:name="_Toc124847219"/>
      <w:r w:rsidRPr="007753BD">
        <w:t>Public housing properties</w:t>
      </w:r>
      <w:bookmarkEnd w:id="68"/>
      <w:bookmarkEnd w:id="69"/>
      <w:bookmarkEnd w:id="70"/>
      <w:bookmarkEnd w:id="71"/>
    </w:p>
    <w:p w14:paraId="38A5766F" w14:textId="319AC992" w:rsidR="00005A69" w:rsidRPr="00005A69" w:rsidRDefault="00005A69" w:rsidP="00005A69">
      <w:pPr>
        <w:pStyle w:val="DHHSbody"/>
        <w:rPr>
          <w:rFonts w:ascii="Arial" w:eastAsia="Times New Roman" w:hAnsi="Arial" w:cs="Arial"/>
          <w:lang w:eastAsia="en-AU"/>
        </w:rPr>
      </w:pPr>
      <w:r w:rsidRPr="00005A69">
        <w:rPr>
          <w:rFonts w:ascii="Arial" w:hAnsi="Arial" w:cs="Arial"/>
          <w:lang w:eastAsia="en-AU"/>
        </w:rPr>
        <w:t>Public housing may be offered to clients at the commencement of the program or throughout their tenancy.</w:t>
      </w:r>
    </w:p>
    <w:p w14:paraId="3EBD5824" w14:textId="5701F41A" w:rsidR="00005A69" w:rsidRPr="00005A69" w:rsidRDefault="00005A69" w:rsidP="00005A69">
      <w:pPr>
        <w:pStyle w:val="DHHSbody"/>
        <w:rPr>
          <w:rFonts w:ascii="Arial" w:hAnsi="Arial" w:cs="Arial"/>
        </w:rPr>
      </w:pPr>
      <w:r w:rsidRPr="00005A69">
        <w:rPr>
          <w:rFonts w:ascii="Arial" w:hAnsi="Arial" w:cs="Arial"/>
        </w:rPr>
        <w:t>The</w:t>
      </w:r>
      <w:r w:rsidRPr="00005A69">
        <w:rPr>
          <w:rFonts w:ascii="Arial" w:eastAsia="Arial" w:hAnsi="Arial" w:cs="Arial"/>
        </w:rPr>
        <w:t xml:space="preserve"> </w:t>
      </w:r>
      <w:r w:rsidR="000B0506">
        <w:rPr>
          <w:rFonts w:ascii="Arial" w:eastAsia="Arial" w:hAnsi="Arial" w:cs="Arial"/>
        </w:rPr>
        <w:t>service provider</w:t>
      </w:r>
      <w:r w:rsidRPr="00005A69">
        <w:rPr>
          <w:rFonts w:ascii="Arial" w:eastAsia="Arial" w:hAnsi="Arial" w:cs="Arial"/>
        </w:rPr>
        <w:t xml:space="preserve"> is expected to work collaboratively with local area housing staff to support clients to manage their tenancies successfully.</w:t>
      </w:r>
    </w:p>
    <w:p w14:paraId="7D4C712E" w14:textId="77777777" w:rsidR="008F3A63" w:rsidRPr="008F3A63" w:rsidRDefault="008F3A63" w:rsidP="008F3A63">
      <w:pPr>
        <w:pStyle w:val="DHHSbody"/>
        <w:rPr>
          <w:rFonts w:ascii="Arial" w:hAnsi="Arial" w:cs="Arial"/>
        </w:rPr>
      </w:pPr>
      <w:r w:rsidRPr="008F3A63">
        <w:rPr>
          <w:rFonts w:ascii="Arial" w:hAnsi="Arial" w:cs="Arial"/>
        </w:rPr>
        <w:t>Clients may be allocated a public housing property with an extra bedroom if there is a lack of available properties. The client however should not be disadvantaged through the allocation of a larger property.</w:t>
      </w:r>
    </w:p>
    <w:p w14:paraId="2A28CF24" w14:textId="77777777" w:rsidR="008F3A63" w:rsidRPr="00144E03" w:rsidRDefault="008F3A63" w:rsidP="008F3A63">
      <w:pPr>
        <w:pStyle w:val="Heading1"/>
      </w:pPr>
      <w:bookmarkStart w:id="72" w:name="_Toc111195422"/>
      <w:bookmarkStart w:id="73" w:name="_Toc119413922"/>
      <w:bookmarkStart w:id="74" w:name="_Toc123723366"/>
      <w:bookmarkStart w:id="75" w:name="_Toc124847220"/>
      <w:r>
        <w:lastRenderedPageBreak/>
        <w:t>Financial assistance in establishing and maintaining a HFRP tenancy</w:t>
      </w:r>
      <w:bookmarkEnd w:id="72"/>
      <w:bookmarkEnd w:id="73"/>
      <w:bookmarkEnd w:id="74"/>
      <w:bookmarkEnd w:id="75"/>
    </w:p>
    <w:p w14:paraId="7A9F67F3" w14:textId="77777777" w:rsidR="008F3A63" w:rsidRPr="00144E03" w:rsidRDefault="008F3A63" w:rsidP="008F3A63">
      <w:pPr>
        <w:pStyle w:val="Heading2"/>
        <w:rPr>
          <w:rFonts w:eastAsia="MS Gothic"/>
        </w:rPr>
      </w:pPr>
      <w:bookmarkStart w:id="76" w:name="_Toc111195423"/>
      <w:bookmarkStart w:id="77" w:name="_Toc119413923"/>
      <w:bookmarkStart w:id="78" w:name="_Toc123723367"/>
      <w:bookmarkStart w:id="79" w:name="_Toc124847221"/>
      <w:r w:rsidRPr="00144E03">
        <w:rPr>
          <w:rFonts w:eastAsia="MS Gothic"/>
        </w:rPr>
        <w:t>Housing Establishment Funding</w:t>
      </w:r>
      <w:bookmarkEnd w:id="76"/>
      <w:r>
        <w:rPr>
          <w:rFonts w:eastAsia="MS Gothic"/>
        </w:rPr>
        <w:t xml:space="preserve"> related to emergency accommodation</w:t>
      </w:r>
      <w:bookmarkEnd w:id="77"/>
      <w:bookmarkEnd w:id="78"/>
      <w:bookmarkEnd w:id="79"/>
    </w:p>
    <w:p w14:paraId="5063C73E" w14:textId="77777777" w:rsidR="008F3A63" w:rsidRPr="008F3A63" w:rsidRDefault="008F3A63" w:rsidP="008F3A63">
      <w:pPr>
        <w:pStyle w:val="DHHSbody"/>
        <w:rPr>
          <w:rFonts w:ascii="Arial" w:hAnsi="Arial" w:cs="Arial"/>
          <w:highlight w:val="yellow"/>
        </w:rPr>
      </w:pPr>
      <w:r w:rsidRPr="008F3A63">
        <w:rPr>
          <w:rFonts w:ascii="Arial" w:hAnsi="Arial" w:cs="Arial"/>
        </w:rPr>
        <w:t>Housing Establishment Funding (HEF) will support families with a confirmed service package allocation to remain in emergency accommodation until a suitable property is procured. The cost of the emergency accommodation</w:t>
      </w:r>
      <w:r w:rsidRPr="008F3A63" w:rsidDel="0042196E">
        <w:rPr>
          <w:rFonts w:ascii="Arial" w:hAnsi="Arial" w:cs="Arial"/>
        </w:rPr>
        <w:t xml:space="preserve"> </w:t>
      </w:r>
      <w:r w:rsidRPr="008F3A63">
        <w:rPr>
          <w:rFonts w:ascii="Arial" w:hAnsi="Arial" w:cs="Arial"/>
        </w:rPr>
        <w:t>will be covered by ERV and not HFRP.</w:t>
      </w:r>
    </w:p>
    <w:p w14:paraId="1EDF7A01" w14:textId="77777777" w:rsidR="008F3A63" w:rsidRPr="00144E03" w:rsidRDefault="008F3A63" w:rsidP="008F3A63">
      <w:pPr>
        <w:pStyle w:val="Heading2"/>
        <w:rPr>
          <w:rFonts w:eastAsia="MS Gothic"/>
        </w:rPr>
      </w:pPr>
      <w:bookmarkStart w:id="80" w:name="_Toc111195424"/>
      <w:bookmarkStart w:id="81" w:name="_Toc119413925"/>
      <w:bookmarkStart w:id="82" w:name="_Toc123723368"/>
      <w:bookmarkStart w:id="83" w:name="_Toc124847222"/>
      <w:r w:rsidRPr="00144E03">
        <w:t xml:space="preserve">Rental assistance for </w:t>
      </w:r>
      <w:r>
        <w:t>h</w:t>
      </w:r>
      <w:r w:rsidRPr="00144E03">
        <w:t xml:space="preserve">ead </w:t>
      </w:r>
      <w:r>
        <w:t>l</w:t>
      </w:r>
      <w:r w:rsidRPr="00144E03">
        <w:t>eased properties</w:t>
      </w:r>
      <w:bookmarkEnd w:id="80"/>
      <w:bookmarkEnd w:id="81"/>
      <w:bookmarkEnd w:id="82"/>
      <w:bookmarkEnd w:id="83"/>
    </w:p>
    <w:p w14:paraId="7E584217" w14:textId="0DE3281E" w:rsidR="008F3A63" w:rsidRPr="008F3A63" w:rsidRDefault="008F3A63" w:rsidP="008F3A63">
      <w:pPr>
        <w:pStyle w:val="DHHSbody"/>
        <w:rPr>
          <w:rFonts w:ascii="Arial" w:hAnsi="Arial" w:cs="Arial"/>
        </w:rPr>
      </w:pPr>
      <w:r w:rsidRPr="008F3A63">
        <w:rPr>
          <w:rFonts w:ascii="Arial" w:hAnsi="Arial" w:cs="Arial"/>
        </w:rPr>
        <w:t xml:space="preserve">For clients seeking assistance in payment of rental arrears to sustain their </w:t>
      </w:r>
      <w:r w:rsidR="007D636E">
        <w:rPr>
          <w:rFonts w:ascii="Arial" w:hAnsi="Arial" w:cs="Arial"/>
        </w:rPr>
        <w:t>h</w:t>
      </w:r>
      <w:r w:rsidRPr="008F3A63">
        <w:rPr>
          <w:rFonts w:ascii="Arial" w:hAnsi="Arial" w:cs="Arial"/>
        </w:rPr>
        <w:t xml:space="preserve">ead </w:t>
      </w:r>
      <w:r w:rsidR="007D636E">
        <w:rPr>
          <w:rFonts w:ascii="Arial" w:hAnsi="Arial" w:cs="Arial"/>
        </w:rPr>
        <w:t>l</w:t>
      </w:r>
      <w:r w:rsidRPr="008F3A63">
        <w:rPr>
          <w:rFonts w:ascii="Arial" w:hAnsi="Arial" w:cs="Arial"/>
        </w:rPr>
        <w:t>ease tenancy, Private Rental Assistance Package (PRAP) funding can be accessed. It is expected that clients will share the responsibility of repaying their debts by contributing to the repayment.</w:t>
      </w:r>
    </w:p>
    <w:p w14:paraId="37A8D2B4" w14:textId="77777777" w:rsidR="000513A1" w:rsidRDefault="008F3A63" w:rsidP="008F3A63">
      <w:pPr>
        <w:pStyle w:val="DHHSbody"/>
        <w:rPr>
          <w:rFonts w:cs="Arial"/>
        </w:rPr>
      </w:pPr>
      <w:r w:rsidRPr="008F3A63">
        <w:rPr>
          <w:rFonts w:ascii="Arial" w:hAnsi="Arial" w:cs="Arial"/>
        </w:rPr>
        <w:t>Further information on PRAP can be found here:</w:t>
      </w:r>
      <w:r w:rsidRPr="1B4C640B">
        <w:rPr>
          <w:rFonts w:cs="Arial"/>
        </w:rPr>
        <w:t xml:space="preserve"> </w:t>
      </w:r>
      <w:hyperlink r:id="rId28" w:history="1">
        <w:r w:rsidR="000513A1" w:rsidRPr="000513A1">
          <w:rPr>
            <w:rStyle w:val="Hyperlink"/>
            <w:rFonts w:ascii="Arial" w:hAnsi="Arial" w:cs="Arial"/>
          </w:rPr>
          <w:t>Private rental assistance program guidelines (dffh.vic.gov.au)</w:t>
        </w:r>
      </w:hyperlink>
      <w:r w:rsidR="000513A1" w:rsidRPr="000513A1">
        <w:rPr>
          <w:rFonts w:ascii="Arial" w:hAnsi="Arial" w:cs="Arial"/>
        </w:rPr>
        <w:t xml:space="preserve"> &lt;</w:t>
      </w:r>
      <w:hyperlink r:id="rId29" w:history="1">
        <w:r w:rsidR="000513A1" w:rsidRPr="000513A1">
          <w:rPr>
            <w:rStyle w:val="Hyperlink"/>
            <w:rFonts w:ascii="Arial" w:hAnsi="Arial" w:cs="Arial"/>
          </w:rPr>
          <w:t>https://fac.dffh.vic.gov.au/private-rental-assistance-program-guidelines</w:t>
        </w:r>
      </w:hyperlink>
      <w:r w:rsidR="000513A1" w:rsidRPr="000513A1">
        <w:rPr>
          <w:rFonts w:ascii="Arial" w:hAnsi="Arial" w:cs="Arial"/>
        </w:rPr>
        <w:t>&gt;</w:t>
      </w:r>
    </w:p>
    <w:p w14:paraId="79868D48" w14:textId="0CA161FF" w:rsidR="008F3A63" w:rsidRPr="008F3A63" w:rsidRDefault="008F3A63" w:rsidP="008F3A63">
      <w:pPr>
        <w:pStyle w:val="DHHSbody"/>
        <w:rPr>
          <w:rFonts w:ascii="Arial" w:hAnsi="Arial" w:cs="Arial"/>
        </w:rPr>
      </w:pPr>
      <w:r w:rsidRPr="008F3A63">
        <w:rPr>
          <w:rFonts w:ascii="Arial" w:hAnsi="Arial" w:cs="Arial"/>
        </w:rPr>
        <w:t>Standard HEF (Housing Establishment Fund)</w:t>
      </w:r>
      <w:r w:rsidRPr="008F3A63" w:rsidDel="002E4B09">
        <w:rPr>
          <w:rFonts w:ascii="Arial" w:hAnsi="Arial" w:cs="Arial"/>
        </w:rPr>
        <w:t xml:space="preserve"> </w:t>
      </w:r>
      <w:r w:rsidRPr="008F3A63">
        <w:rPr>
          <w:rFonts w:ascii="Arial" w:hAnsi="Arial" w:cs="Arial"/>
        </w:rPr>
        <w:t>is jointly funded by the Victorian and Commonwealth governments under the National Affordable Housing Agreement</w:t>
      </w:r>
      <w:r w:rsidRPr="008F3A63" w:rsidDel="002E4B09">
        <w:rPr>
          <w:rFonts w:ascii="Arial" w:hAnsi="Arial" w:cs="Arial"/>
        </w:rPr>
        <w:t xml:space="preserve"> and</w:t>
      </w:r>
      <w:r w:rsidRPr="008F3A63">
        <w:rPr>
          <w:rFonts w:ascii="Arial" w:hAnsi="Arial" w:cs="Arial"/>
        </w:rPr>
        <w:t xml:space="preserve"> cannot be used for </w:t>
      </w:r>
      <w:r w:rsidR="007D636E">
        <w:rPr>
          <w:rFonts w:ascii="Arial" w:hAnsi="Arial" w:cs="Arial"/>
        </w:rPr>
        <w:t>h</w:t>
      </w:r>
      <w:r w:rsidRPr="008F3A63">
        <w:rPr>
          <w:rFonts w:ascii="Arial" w:hAnsi="Arial" w:cs="Arial"/>
        </w:rPr>
        <w:t xml:space="preserve">ead </w:t>
      </w:r>
      <w:r w:rsidR="007D636E">
        <w:rPr>
          <w:rFonts w:ascii="Arial" w:hAnsi="Arial" w:cs="Arial"/>
        </w:rPr>
        <w:t>l</w:t>
      </w:r>
      <w:r w:rsidRPr="008F3A63">
        <w:rPr>
          <w:rFonts w:ascii="Arial" w:hAnsi="Arial" w:cs="Arial"/>
        </w:rPr>
        <w:t xml:space="preserve">eased </w:t>
      </w:r>
      <w:r w:rsidR="00B85753">
        <w:rPr>
          <w:rFonts w:ascii="Arial" w:hAnsi="Arial" w:cs="Arial"/>
        </w:rPr>
        <w:t>p</w:t>
      </w:r>
      <w:r w:rsidRPr="008F3A63">
        <w:rPr>
          <w:rFonts w:ascii="Arial" w:hAnsi="Arial" w:cs="Arial"/>
        </w:rPr>
        <w:t xml:space="preserve">roperties. However, Activity 3: Housing Establishment Fund that has been funded at $49,000 per package as part of HFRP can be used to secure medium to long term housing. </w:t>
      </w:r>
    </w:p>
    <w:p w14:paraId="39E6FAE4" w14:textId="77777777" w:rsidR="008F3A63" w:rsidRPr="0007036E" w:rsidRDefault="008F3A63" w:rsidP="008F3A63">
      <w:pPr>
        <w:pStyle w:val="Heading2"/>
        <w:rPr>
          <w:rFonts w:eastAsia="Arial"/>
        </w:rPr>
      </w:pPr>
      <w:bookmarkStart w:id="84" w:name="_Toc111195427"/>
      <w:bookmarkStart w:id="85" w:name="_Toc119413928"/>
      <w:bookmarkStart w:id="86" w:name="_Toc123723369"/>
      <w:bookmarkStart w:id="87" w:name="_Toc124847223"/>
      <w:r w:rsidRPr="0007036E">
        <w:rPr>
          <w:rFonts w:eastAsia="Arial"/>
        </w:rPr>
        <w:t>Maintaining tenancies and rental arrears</w:t>
      </w:r>
      <w:bookmarkEnd w:id="84"/>
      <w:bookmarkEnd w:id="85"/>
      <w:bookmarkEnd w:id="86"/>
      <w:bookmarkEnd w:id="87"/>
    </w:p>
    <w:p w14:paraId="6D33E0DB" w14:textId="54C268FD" w:rsidR="008F3A63" w:rsidRPr="008F3A63" w:rsidRDefault="008F3A63" w:rsidP="008F3A63">
      <w:pPr>
        <w:pStyle w:val="DHHSbody"/>
        <w:rPr>
          <w:rFonts w:ascii="Arial" w:hAnsi="Arial" w:cs="Arial"/>
        </w:rPr>
      </w:pPr>
      <w:r w:rsidRPr="008F3A63">
        <w:rPr>
          <w:rFonts w:ascii="Arial" w:hAnsi="Arial" w:cs="Arial"/>
        </w:rPr>
        <w:t xml:space="preserve">Support </w:t>
      </w:r>
      <w:r w:rsidR="007D636E">
        <w:rPr>
          <w:rFonts w:ascii="Arial" w:hAnsi="Arial" w:cs="Arial"/>
        </w:rPr>
        <w:t>w</w:t>
      </w:r>
      <w:r w:rsidRPr="008F3A63">
        <w:rPr>
          <w:rFonts w:ascii="Arial" w:hAnsi="Arial" w:cs="Arial"/>
        </w:rPr>
        <w:t>orkers should be aware that some clients may exhibit behaviours of concern in their transition to their homes and use discretion in the use of tenancy breaches, particularly during the transition period of a new tenancy.</w:t>
      </w:r>
    </w:p>
    <w:p w14:paraId="7A461E34" w14:textId="7CE18905" w:rsidR="008F3A63" w:rsidRPr="008F3A63" w:rsidRDefault="008F3A63" w:rsidP="008F3A63">
      <w:pPr>
        <w:pStyle w:val="DHHSbody"/>
        <w:rPr>
          <w:rFonts w:ascii="Arial" w:hAnsi="Arial" w:cs="Arial"/>
        </w:rPr>
      </w:pPr>
      <w:r w:rsidRPr="008F3A63">
        <w:rPr>
          <w:rFonts w:ascii="Arial" w:hAnsi="Arial" w:cs="Arial"/>
        </w:rPr>
        <w:t xml:space="preserve">In the event of rental arrears, </w:t>
      </w:r>
      <w:r w:rsidR="007D636E">
        <w:rPr>
          <w:rFonts w:ascii="Arial" w:hAnsi="Arial" w:cs="Arial"/>
        </w:rPr>
        <w:t>s</w:t>
      </w:r>
      <w:r w:rsidRPr="008F3A63">
        <w:rPr>
          <w:rFonts w:ascii="Arial" w:hAnsi="Arial" w:cs="Arial"/>
        </w:rPr>
        <w:t xml:space="preserve">upport </w:t>
      </w:r>
      <w:r w:rsidR="007D636E">
        <w:rPr>
          <w:rFonts w:ascii="Arial" w:hAnsi="Arial" w:cs="Arial"/>
        </w:rPr>
        <w:t>w</w:t>
      </w:r>
      <w:r w:rsidRPr="008F3A63">
        <w:rPr>
          <w:rFonts w:ascii="Arial" w:hAnsi="Arial" w:cs="Arial"/>
        </w:rPr>
        <w:t>orkers should work closely with clients to ensure that a repayment plan is put into place as soon as possible to minimise financial burden.</w:t>
      </w:r>
    </w:p>
    <w:p w14:paraId="6F01996A" w14:textId="77777777" w:rsidR="008F3A63" w:rsidRPr="00144E03" w:rsidRDefault="008F3A63" w:rsidP="008F3A63">
      <w:pPr>
        <w:pStyle w:val="Heading2"/>
        <w:rPr>
          <w:rFonts w:eastAsia="Arial"/>
        </w:rPr>
      </w:pPr>
      <w:bookmarkStart w:id="88" w:name="_Toc111195428"/>
      <w:bookmarkStart w:id="89" w:name="_Toc119413929"/>
      <w:bookmarkStart w:id="90" w:name="_Toc123723370"/>
      <w:bookmarkStart w:id="91" w:name="_Toc124847224"/>
      <w:r w:rsidRPr="0A306EB3">
        <w:rPr>
          <w:rFonts w:eastAsia="Arial"/>
        </w:rPr>
        <w:t>Housing service engagement</w:t>
      </w:r>
      <w:bookmarkEnd w:id="88"/>
      <w:bookmarkEnd w:id="89"/>
      <w:bookmarkEnd w:id="90"/>
      <w:bookmarkEnd w:id="91"/>
    </w:p>
    <w:p w14:paraId="2B676056" w14:textId="5D8E19A8" w:rsidR="008F3A63" w:rsidRPr="008F3A63" w:rsidRDefault="008F3A63" w:rsidP="008F3A63">
      <w:pPr>
        <w:pStyle w:val="DHHSbody"/>
        <w:rPr>
          <w:rFonts w:ascii="Arial" w:hAnsi="Arial" w:cs="Arial"/>
        </w:rPr>
      </w:pPr>
      <w:r w:rsidRPr="008F3A63">
        <w:rPr>
          <w:rFonts w:ascii="Arial" w:hAnsi="Arial" w:cs="Arial"/>
        </w:rPr>
        <w:t xml:space="preserve">Engagement may fluctuate throughout the support period. A level of flexibility may be required to ensure every opportunity is provided for clients to engage safely and successfully. Where a tenancy is at risk, the </w:t>
      </w:r>
      <w:r w:rsidR="007D636E">
        <w:rPr>
          <w:rFonts w:ascii="Arial" w:hAnsi="Arial" w:cs="Arial"/>
        </w:rPr>
        <w:t>s</w:t>
      </w:r>
      <w:r w:rsidRPr="008F3A63">
        <w:rPr>
          <w:rFonts w:ascii="Arial" w:hAnsi="Arial" w:cs="Arial"/>
        </w:rPr>
        <w:t xml:space="preserve">upport </w:t>
      </w:r>
      <w:r w:rsidR="007D636E">
        <w:rPr>
          <w:rFonts w:ascii="Arial" w:hAnsi="Arial" w:cs="Arial"/>
        </w:rPr>
        <w:t>w</w:t>
      </w:r>
      <w:r w:rsidRPr="008F3A63">
        <w:rPr>
          <w:rFonts w:ascii="Arial" w:hAnsi="Arial" w:cs="Arial"/>
        </w:rPr>
        <w:t>orker is expected to undertake assertive outreach.</w:t>
      </w:r>
    </w:p>
    <w:p w14:paraId="37E77B37" w14:textId="77777777" w:rsidR="008F3A63" w:rsidRPr="00144E03" w:rsidRDefault="008F3A63" w:rsidP="008F3A63">
      <w:pPr>
        <w:pStyle w:val="Heading1"/>
      </w:pPr>
      <w:bookmarkStart w:id="92" w:name="_Toc119413930"/>
      <w:bookmarkStart w:id="93" w:name="_Toc123723371"/>
      <w:bookmarkStart w:id="94" w:name="_Toc124847225"/>
      <w:bookmarkStart w:id="95" w:name="_Toc111195429"/>
      <w:r>
        <w:t>Disengagement</w:t>
      </w:r>
      <w:bookmarkEnd w:id="92"/>
      <w:bookmarkEnd w:id="93"/>
      <w:bookmarkEnd w:id="94"/>
      <w:r>
        <w:t xml:space="preserve"> </w:t>
      </w:r>
      <w:bookmarkEnd w:id="95"/>
    </w:p>
    <w:p w14:paraId="466EBAC2" w14:textId="77777777" w:rsidR="008F3A63" w:rsidRPr="008F3A63" w:rsidRDefault="008F3A63" w:rsidP="008F3A63">
      <w:pPr>
        <w:pStyle w:val="DHHSbody"/>
        <w:rPr>
          <w:rFonts w:ascii="Arial" w:hAnsi="Arial" w:cs="Arial"/>
        </w:rPr>
      </w:pPr>
      <w:r w:rsidRPr="008F3A63">
        <w:rPr>
          <w:rFonts w:ascii="Arial" w:hAnsi="Arial" w:cs="Arial"/>
        </w:rPr>
        <w:t xml:space="preserve">Clients may disengage from housing and/or support services throughout their time in the program. Where a client has chosen not to accept support or housing or has been uncontactable for a continuous period of eight weeks, the support period may be ended in consultation with Homes Victoria. </w:t>
      </w:r>
    </w:p>
    <w:p w14:paraId="20FF6CC9" w14:textId="3C10E3B9" w:rsidR="008F3A63" w:rsidRPr="008F3A63" w:rsidRDefault="008F3A63" w:rsidP="008F3A63">
      <w:pPr>
        <w:pStyle w:val="DHHSbody"/>
        <w:rPr>
          <w:rFonts w:ascii="Arial" w:hAnsi="Arial" w:cs="Arial"/>
        </w:rPr>
      </w:pPr>
      <w:r w:rsidRPr="008F3A63">
        <w:rPr>
          <w:rFonts w:ascii="Arial" w:hAnsi="Arial" w:cs="Arial"/>
        </w:rPr>
        <w:t xml:space="preserve">Where a household/client has disengaged, </w:t>
      </w:r>
      <w:r w:rsidR="000B0506">
        <w:rPr>
          <w:rFonts w:ascii="Arial" w:hAnsi="Arial" w:cs="Arial"/>
        </w:rPr>
        <w:t>service provider</w:t>
      </w:r>
      <w:r w:rsidRPr="008F3A63">
        <w:rPr>
          <w:rFonts w:ascii="Arial" w:hAnsi="Arial" w:cs="Arial"/>
        </w:rPr>
        <w:t>s must notify agencies and support organisations connected with the client that the HFRP supports have been withdrawn due to disengagement.</w:t>
      </w:r>
    </w:p>
    <w:p w14:paraId="01FD195D" w14:textId="78CD0745" w:rsidR="008F3A63" w:rsidRPr="008F3A63" w:rsidRDefault="008F3A63" w:rsidP="008F3A63">
      <w:pPr>
        <w:pStyle w:val="DHHSbody"/>
        <w:rPr>
          <w:rFonts w:ascii="Arial" w:hAnsi="Arial" w:cs="Arial"/>
        </w:rPr>
      </w:pPr>
      <w:r w:rsidRPr="008F3A63">
        <w:rPr>
          <w:rFonts w:ascii="Arial" w:hAnsi="Arial" w:cs="Arial"/>
        </w:rPr>
        <w:t xml:space="preserve">Once a client/household has been confirmed as disengaged, </w:t>
      </w:r>
      <w:r w:rsidR="000B0506">
        <w:rPr>
          <w:rFonts w:ascii="Arial" w:hAnsi="Arial" w:cs="Arial"/>
        </w:rPr>
        <w:t>service provider</w:t>
      </w:r>
      <w:r w:rsidRPr="008F3A63">
        <w:rPr>
          <w:rFonts w:ascii="Arial" w:hAnsi="Arial" w:cs="Arial"/>
        </w:rPr>
        <w:t xml:space="preserve">s may choose to allocate any remaining funds from that household’s packages (support, establishment costs, and </w:t>
      </w:r>
      <w:r w:rsidRPr="008F3A63">
        <w:rPr>
          <w:rFonts w:ascii="Arial" w:hAnsi="Arial" w:cs="Arial"/>
        </w:rPr>
        <w:lastRenderedPageBreak/>
        <w:t xml:space="preserve">HEF) to another household. Service </w:t>
      </w:r>
      <w:r w:rsidR="000B0506">
        <w:rPr>
          <w:rFonts w:ascii="Arial" w:hAnsi="Arial" w:cs="Arial"/>
        </w:rPr>
        <w:t>p</w:t>
      </w:r>
      <w:r w:rsidRPr="008F3A63">
        <w:rPr>
          <w:rFonts w:ascii="Arial" w:hAnsi="Arial" w:cs="Arial"/>
        </w:rPr>
        <w:t>roviders must deliver these supports within the remaining funding allocation.</w:t>
      </w:r>
    </w:p>
    <w:p w14:paraId="65C2BD0E" w14:textId="77777777" w:rsidR="008F3A63" w:rsidRPr="00144E03" w:rsidRDefault="008F3A63" w:rsidP="008F3A63">
      <w:pPr>
        <w:pStyle w:val="Heading2"/>
      </w:pPr>
      <w:bookmarkStart w:id="96" w:name="_Toc119413931"/>
      <w:bookmarkStart w:id="97" w:name="_Toc123723372"/>
      <w:bookmarkStart w:id="98" w:name="_Toc124847226"/>
      <w:r>
        <w:t>Disengagement at the request of the household</w:t>
      </w:r>
      <w:bookmarkEnd w:id="96"/>
      <w:bookmarkEnd w:id="97"/>
      <w:bookmarkEnd w:id="98"/>
    </w:p>
    <w:p w14:paraId="7ADBABBC" w14:textId="58D24C20" w:rsidR="008F3A63" w:rsidRPr="008F3A63" w:rsidRDefault="008F3A63" w:rsidP="008F3A63">
      <w:pPr>
        <w:pStyle w:val="DHHSbody"/>
        <w:rPr>
          <w:rFonts w:ascii="Arial" w:hAnsi="Arial" w:cs="Arial"/>
        </w:rPr>
      </w:pPr>
      <w:r w:rsidRPr="008F3A63">
        <w:rPr>
          <w:rFonts w:ascii="Arial" w:hAnsi="Arial" w:cs="Arial"/>
        </w:rPr>
        <w:t xml:space="preserve">Participation in the HFR program is voluntary and clients may choose to disengage from the program as their circumstances change. When this occurs, </w:t>
      </w:r>
      <w:r w:rsidR="000B0506">
        <w:rPr>
          <w:rFonts w:ascii="Arial" w:hAnsi="Arial" w:cs="Arial"/>
        </w:rPr>
        <w:t>service provider</w:t>
      </w:r>
      <w:r w:rsidRPr="008F3A63">
        <w:rPr>
          <w:rFonts w:ascii="Arial" w:hAnsi="Arial" w:cs="Arial"/>
        </w:rPr>
        <w:t>s must confirm that a client understands:</w:t>
      </w:r>
    </w:p>
    <w:p w14:paraId="5858407C" w14:textId="77777777" w:rsidR="008F3A63" w:rsidRPr="0007036E" w:rsidRDefault="008F3A63" w:rsidP="008F3A63">
      <w:pPr>
        <w:pStyle w:val="Bullet1"/>
      </w:pPr>
      <w:r>
        <w:t>the full scope of supports HFRP can provide, including the benefits in addition to intensive support, and</w:t>
      </w:r>
    </w:p>
    <w:p w14:paraId="4CAEB22F" w14:textId="77777777" w:rsidR="008F3A63" w:rsidRPr="0007036E" w:rsidRDefault="008F3A63" w:rsidP="008F3A63">
      <w:pPr>
        <w:pStyle w:val="Bullet1"/>
      </w:pPr>
      <w:r>
        <w:t xml:space="preserve">that the service package can be reallocated to another client at the provider’s discretion. </w:t>
      </w:r>
    </w:p>
    <w:p w14:paraId="64F68672" w14:textId="2E64BAFA" w:rsidR="008F3A63" w:rsidRPr="008F3A63" w:rsidRDefault="008F3A63" w:rsidP="009A1789">
      <w:pPr>
        <w:pStyle w:val="DHHSbody"/>
        <w:spacing w:before="120"/>
        <w:rPr>
          <w:rFonts w:ascii="Arial" w:hAnsi="Arial" w:cs="Arial"/>
        </w:rPr>
      </w:pPr>
      <w:r w:rsidRPr="008F3A63">
        <w:rPr>
          <w:rFonts w:ascii="Arial" w:hAnsi="Arial" w:cs="Arial"/>
        </w:rPr>
        <w:t xml:space="preserve">Where a client relocates to another state, the service package can be closed. Where a client has found their own private rental property or transitioned into a </w:t>
      </w:r>
      <w:r w:rsidR="007D636E">
        <w:rPr>
          <w:rFonts w:ascii="Arial" w:hAnsi="Arial" w:cs="Arial"/>
        </w:rPr>
        <w:t>p</w:t>
      </w:r>
      <w:r w:rsidRPr="008F3A63">
        <w:rPr>
          <w:rFonts w:ascii="Arial" w:hAnsi="Arial" w:cs="Arial"/>
        </w:rPr>
        <w:t xml:space="preserve">ublic </w:t>
      </w:r>
      <w:r w:rsidR="007D636E">
        <w:rPr>
          <w:rFonts w:ascii="Arial" w:hAnsi="Arial" w:cs="Arial"/>
        </w:rPr>
        <w:t>h</w:t>
      </w:r>
      <w:r w:rsidRPr="008F3A63">
        <w:rPr>
          <w:rFonts w:ascii="Arial" w:hAnsi="Arial" w:cs="Arial"/>
        </w:rPr>
        <w:t>ousing property, the client will be given the option to continue their support package.</w:t>
      </w:r>
    </w:p>
    <w:p w14:paraId="6090A74B" w14:textId="2D4338F1" w:rsidR="008F3A63" w:rsidRPr="008F3A63" w:rsidRDefault="008F3A63" w:rsidP="008F3A63">
      <w:pPr>
        <w:pStyle w:val="DHHSbody"/>
        <w:rPr>
          <w:rFonts w:ascii="Arial" w:hAnsi="Arial" w:cs="Arial"/>
        </w:rPr>
      </w:pPr>
      <w:r w:rsidRPr="008F3A63">
        <w:rPr>
          <w:rFonts w:ascii="Arial" w:hAnsi="Arial" w:cs="Arial"/>
        </w:rPr>
        <w:t xml:space="preserve">Where a client has abandoned their property, support should continue. If it safe to do so, the </w:t>
      </w:r>
      <w:r w:rsidR="007D636E">
        <w:rPr>
          <w:rFonts w:ascii="Arial" w:hAnsi="Arial" w:cs="Arial"/>
        </w:rPr>
        <w:t>s</w:t>
      </w:r>
      <w:r w:rsidRPr="008F3A63">
        <w:rPr>
          <w:rFonts w:ascii="Arial" w:hAnsi="Arial" w:cs="Arial"/>
        </w:rPr>
        <w:t xml:space="preserve">upport </w:t>
      </w:r>
      <w:r w:rsidR="007D636E">
        <w:rPr>
          <w:rFonts w:ascii="Arial" w:hAnsi="Arial" w:cs="Arial"/>
        </w:rPr>
        <w:t>w</w:t>
      </w:r>
      <w:r w:rsidRPr="008F3A63">
        <w:rPr>
          <w:rFonts w:ascii="Arial" w:hAnsi="Arial" w:cs="Arial"/>
        </w:rPr>
        <w:t xml:space="preserve">orker should work with the client to determine why the client has left the property. Service </w:t>
      </w:r>
      <w:r w:rsidR="000B0506">
        <w:rPr>
          <w:rFonts w:ascii="Arial" w:hAnsi="Arial" w:cs="Arial"/>
        </w:rPr>
        <w:t>p</w:t>
      </w:r>
      <w:r w:rsidRPr="008F3A63">
        <w:rPr>
          <w:rFonts w:ascii="Arial" w:hAnsi="Arial" w:cs="Arial"/>
        </w:rPr>
        <w:t>roviders should support the client to secure alternative accommodation.</w:t>
      </w:r>
    </w:p>
    <w:p w14:paraId="286EC6F5" w14:textId="77777777" w:rsidR="008F3A63" w:rsidRPr="008F3A63" w:rsidRDefault="008F3A63" w:rsidP="008F3A63">
      <w:pPr>
        <w:pStyle w:val="DHHSbody"/>
        <w:rPr>
          <w:rFonts w:ascii="Arial" w:hAnsi="Arial" w:cs="Arial"/>
        </w:rPr>
      </w:pPr>
      <w:r w:rsidRPr="008F3A63">
        <w:rPr>
          <w:rFonts w:ascii="Arial" w:hAnsi="Arial" w:cs="Arial"/>
        </w:rPr>
        <w:t>Where the household wants to remain in the property but disengages from support, the Residential Tenancies Act 1997 laws apply to the tenancy.</w:t>
      </w:r>
    </w:p>
    <w:p w14:paraId="3CD36F42" w14:textId="77777777" w:rsidR="008F3A63" w:rsidRPr="007C6EA2" w:rsidRDefault="008F3A63" w:rsidP="008F3A63">
      <w:pPr>
        <w:pStyle w:val="Heading1"/>
      </w:pPr>
      <w:bookmarkStart w:id="99" w:name="_Toc111195444"/>
      <w:bookmarkStart w:id="100" w:name="_Toc119413942"/>
      <w:bookmarkStart w:id="101" w:name="_Toc123723373"/>
      <w:bookmarkStart w:id="102" w:name="_Toc124847227"/>
      <w:r w:rsidRPr="007C6EA2">
        <w:t>Incident Reporting</w:t>
      </w:r>
      <w:bookmarkEnd w:id="99"/>
      <w:bookmarkEnd w:id="100"/>
      <w:bookmarkEnd w:id="101"/>
      <w:bookmarkEnd w:id="102"/>
    </w:p>
    <w:p w14:paraId="1660110B" w14:textId="1DD47132" w:rsidR="008F3A63" w:rsidRPr="008F3A63" w:rsidRDefault="008F3A63" w:rsidP="008F3A63">
      <w:pPr>
        <w:spacing w:line="270" w:lineRule="exact"/>
        <w:textAlignment w:val="baseline"/>
        <w:rPr>
          <w:rFonts w:eastAsia="Times" w:cs="Arial"/>
        </w:rPr>
      </w:pPr>
      <w:r w:rsidRPr="008F3A63">
        <w:rPr>
          <w:rFonts w:eastAsia="Times" w:cs="Arial"/>
        </w:rPr>
        <w:t xml:space="preserve">Identification, response, reporting and management of incidents is the sole responsibility of the </w:t>
      </w:r>
      <w:r w:rsidR="000B0506">
        <w:rPr>
          <w:rFonts w:eastAsia="Times" w:cs="Arial"/>
        </w:rPr>
        <w:t>service provider</w:t>
      </w:r>
      <w:r w:rsidRPr="008F3A63">
        <w:rPr>
          <w:rFonts w:eastAsia="Times" w:cs="Arial"/>
        </w:rPr>
        <w:t>.</w:t>
      </w:r>
    </w:p>
    <w:p w14:paraId="7E7A9335" w14:textId="74699899" w:rsidR="008F3A63" w:rsidRPr="008F3A63" w:rsidRDefault="008F3A63" w:rsidP="008F3A63">
      <w:pPr>
        <w:pStyle w:val="DHHSbody"/>
        <w:rPr>
          <w:rFonts w:ascii="Arial" w:hAnsi="Arial" w:cs="Arial"/>
        </w:rPr>
      </w:pPr>
      <w:r w:rsidRPr="008F3A63">
        <w:rPr>
          <w:rFonts w:ascii="Arial" w:hAnsi="Arial" w:cs="Arial"/>
        </w:rPr>
        <w:t xml:space="preserve">Reporting of all incidents involving clients supported through the HFR program, including serious and major incidents, damage, or complaints within head leased properties </w:t>
      </w:r>
      <w:r w:rsidRPr="008F3A63">
        <w:rPr>
          <w:rFonts w:ascii="Arial" w:hAnsi="Arial" w:cs="Arial"/>
          <w:b/>
          <w:bCs/>
        </w:rPr>
        <w:t xml:space="preserve">is the responsibility of the </w:t>
      </w:r>
      <w:r w:rsidR="000B0506">
        <w:rPr>
          <w:rFonts w:ascii="Arial" w:hAnsi="Arial" w:cs="Arial"/>
          <w:b/>
          <w:bCs/>
        </w:rPr>
        <w:t>service provider</w:t>
      </w:r>
      <w:r w:rsidRPr="008F3A63">
        <w:rPr>
          <w:rFonts w:ascii="Arial" w:hAnsi="Arial" w:cs="Arial"/>
        </w:rPr>
        <w:t xml:space="preserve">. Where incidents occur within Public Housing, it is expected that the </w:t>
      </w:r>
      <w:r w:rsidR="000B0506">
        <w:rPr>
          <w:rFonts w:ascii="Arial" w:hAnsi="Arial" w:cs="Arial"/>
        </w:rPr>
        <w:t>service provider</w:t>
      </w:r>
      <w:r w:rsidRPr="008F3A63">
        <w:rPr>
          <w:rFonts w:ascii="Arial" w:hAnsi="Arial" w:cs="Arial"/>
        </w:rPr>
        <w:t xml:space="preserve"> notify the local housing office manager and work closely with them. </w:t>
      </w:r>
    </w:p>
    <w:p w14:paraId="3F6E4BA5" w14:textId="119159CE" w:rsidR="008F3A63" w:rsidRDefault="008F3A63" w:rsidP="008F3A63">
      <w:pPr>
        <w:spacing w:line="270" w:lineRule="exact"/>
        <w:textAlignment w:val="baseline"/>
        <w:rPr>
          <w:rFonts w:ascii="Verdana" w:eastAsiaTheme="minorEastAsia" w:hAnsi="Verdana" w:cs="Arial"/>
          <w:szCs w:val="21"/>
        </w:rPr>
      </w:pPr>
      <w:r w:rsidRPr="008F3A63">
        <w:rPr>
          <w:rStyle w:val="DHHSbodyChar"/>
          <w:rFonts w:ascii="Arial" w:hAnsi="Arial" w:cs="Arial"/>
        </w:rPr>
        <w:t xml:space="preserve">Any incidents involving clients supported through the HFR program, including serious incidents and deaths, must be logged via the Client Incident Management System (CIMS) or the Victorian Health Incident Management System (VHIMS). Serious incidents or deaths that occur outside business hours should be reported by the </w:t>
      </w:r>
      <w:r w:rsidR="000B0506">
        <w:rPr>
          <w:rStyle w:val="DHHSbodyChar"/>
          <w:rFonts w:ascii="Arial" w:hAnsi="Arial" w:cs="Arial"/>
        </w:rPr>
        <w:t>service provider</w:t>
      </w:r>
      <w:r w:rsidRPr="008F3A63">
        <w:rPr>
          <w:rStyle w:val="DHHSbodyChar"/>
          <w:rFonts w:ascii="Arial" w:hAnsi="Arial" w:cs="Arial"/>
        </w:rPr>
        <w:t xml:space="preserve"> via email to</w:t>
      </w:r>
      <w:r w:rsidRPr="5D85C245">
        <w:rPr>
          <w:rFonts w:ascii="Verdana" w:hAnsi="Verdana" w:cs="Arial"/>
          <w:szCs w:val="21"/>
        </w:rPr>
        <w:t xml:space="preserve"> </w:t>
      </w:r>
      <w:hyperlink r:id="rId30" w:tooltip="mailto:HHS@homes.vic.gov.au" w:history="1">
        <w:r w:rsidRPr="008F3A63">
          <w:rPr>
            <w:rStyle w:val="Hyperlink"/>
            <w:rFonts w:eastAsia="MS Gothic" w:cs="Arial"/>
            <w:color w:val="0563C1"/>
            <w:szCs w:val="21"/>
          </w:rPr>
          <w:t>HHS@homes.vic.gov.au</w:t>
        </w:r>
      </w:hyperlink>
      <w:r w:rsidRPr="00553D22">
        <w:rPr>
          <w:rFonts w:ascii="Verdana" w:hAnsi="Verdana" w:cs="Arial"/>
          <w:szCs w:val="21"/>
        </w:rPr>
        <w:t xml:space="preserve"> </w:t>
      </w:r>
      <w:r w:rsidRPr="008F3A63">
        <w:rPr>
          <w:rStyle w:val="DHHSbodyChar"/>
          <w:rFonts w:ascii="Arial" w:hAnsi="Arial"/>
        </w:rPr>
        <w:t>with information on the circumstances and all potential risks.</w:t>
      </w:r>
    </w:p>
    <w:p w14:paraId="6A275D55" w14:textId="4B14EE56" w:rsidR="00227946" w:rsidRPr="00227946" w:rsidRDefault="00227946" w:rsidP="00227946">
      <w:pPr>
        <w:pStyle w:val="Heading2"/>
      </w:pPr>
      <w:bookmarkStart w:id="103" w:name="_Toc124847228"/>
      <w:r w:rsidRPr="00227946">
        <w:rPr>
          <w:rStyle w:val="normaltextrun"/>
          <w:rFonts w:eastAsia="MS Gothic"/>
        </w:rPr>
        <w:t>Reporting incidents and complaints</w:t>
      </w:r>
      <w:bookmarkEnd w:id="103"/>
    </w:p>
    <w:p w14:paraId="03346B90" w14:textId="1585D4C4" w:rsidR="00227946" w:rsidRPr="00227946" w:rsidRDefault="00227946" w:rsidP="00227946">
      <w:pPr>
        <w:pStyle w:val="Heading3"/>
      </w:pPr>
      <w:r w:rsidRPr="00227946">
        <w:rPr>
          <w:rStyle w:val="normaltextrun"/>
        </w:rPr>
        <w:t xml:space="preserve">Low to </w:t>
      </w:r>
      <w:r w:rsidR="007D636E">
        <w:rPr>
          <w:rStyle w:val="normaltextrun"/>
        </w:rPr>
        <w:t>m</w:t>
      </w:r>
      <w:r w:rsidRPr="00227946">
        <w:rPr>
          <w:rStyle w:val="normaltextrun"/>
        </w:rPr>
        <w:t xml:space="preserve">inor </w:t>
      </w:r>
      <w:r w:rsidR="00081564">
        <w:rPr>
          <w:rStyle w:val="normaltextrun"/>
        </w:rPr>
        <w:t>i</w:t>
      </w:r>
      <w:r w:rsidRPr="00227946">
        <w:rPr>
          <w:rStyle w:val="normaltextrun"/>
        </w:rPr>
        <w:t>ncidents</w:t>
      </w:r>
    </w:p>
    <w:p w14:paraId="4259507C" w14:textId="62729964" w:rsidR="00227946" w:rsidRPr="00227946" w:rsidRDefault="00227946" w:rsidP="00227946">
      <w:pPr>
        <w:pStyle w:val="DHHSbody"/>
        <w:rPr>
          <w:rStyle w:val="normaltextrun"/>
          <w:rFonts w:ascii="Arial" w:hAnsi="Arial" w:cs="Arial"/>
        </w:rPr>
      </w:pPr>
      <w:r w:rsidRPr="00227946">
        <w:rPr>
          <w:rStyle w:val="normaltextrun"/>
          <w:rFonts w:ascii="Arial" w:hAnsi="Arial" w:cs="Arial"/>
        </w:rPr>
        <w:t>These incidents do not require notification to Homes Victoria. These incidents relate to minor to moderate behavio</w:t>
      </w:r>
      <w:r w:rsidR="007D636E">
        <w:rPr>
          <w:rStyle w:val="normaltextrun"/>
          <w:rFonts w:ascii="Arial" w:hAnsi="Arial" w:cs="Arial"/>
        </w:rPr>
        <w:t>u</w:t>
      </w:r>
      <w:r w:rsidRPr="00227946">
        <w:rPr>
          <w:rStyle w:val="normaltextrun"/>
          <w:rFonts w:ascii="Arial" w:hAnsi="Arial" w:cs="Arial"/>
        </w:rPr>
        <w:t>rs of concern towards tenant(s), employee(s), client(s), contractors(s) or visitor(s) and property. Costs to resolve these incidents should not be greater than $500 and no police or emergency services called.</w:t>
      </w:r>
    </w:p>
    <w:p w14:paraId="5A1D451E" w14:textId="30B17FD5" w:rsidR="00227946" w:rsidRPr="00227946" w:rsidRDefault="00227946" w:rsidP="00227946">
      <w:pPr>
        <w:pStyle w:val="DHHSbody"/>
        <w:rPr>
          <w:rFonts w:ascii="Arial" w:hAnsi="Arial" w:cs="Arial"/>
        </w:rPr>
      </w:pPr>
      <w:r>
        <w:rPr>
          <w:rStyle w:val="normaltextrun"/>
          <w:rFonts w:ascii="Arial" w:hAnsi="Arial" w:cs="Arial"/>
        </w:rPr>
        <w:t>Low to minor incidents</w:t>
      </w:r>
      <w:r w:rsidRPr="00227946">
        <w:rPr>
          <w:rStyle w:val="normaltextrun"/>
          <w:rFonts w:ascii="Arial" w:hAnsi="Arial" w:cs="Arial"/>
        </w:rPr>
        <w:t xml:space="preserve"> include:</w:t>
      </w:r>
    </w:p>
    <w:p w14:paraId="165BE713" w14:textId="1355412D" w:rsidR="00227946" w:rsidRPr="00227946" w:rsidRDefault="009A1789" w:rsidP="00227946">
      <w:pPr>
        <w:pStyle w:val="Bullet1"/>
      </w:pPr>
      <w:r>
        <w:rPr>
          <w:rStyle w:val="normaltextrun"/>
        </w:rPr>
        <w:t>n</w:t>
      </w:r>
      <w:r w:rsidR="00227946" w:rsidRPr="00227946">
        <w:rPr>
          <w:rStyle w:val="normaltextrun"/>
        </w:rPr>
        <w:t>ot taking bins out/putting them back</w:t>
      </w:r>
    </w:p>
    <w:p w14:paraId="5EBC7139" w14:textId="72D85BD9" w:rsidR="00227946" w:rsidRPr="00227946" w:rsidRDefault="009A1789" w:rsidP="00227946">
      <w:pPr>
        <w:pStyle w:val="Bullet1"/>
      </w:pPr>
      <w:r>
        <w:rPr>
          <w:rStyle w:val="normaltextrun"/>
        </w:rPr>
        <w:t>s</w:t>
      </w:r>
      <w:r w:rsidR="00227946" w:rsidRPr="00227946">
        <w:rPr>
          <w:rStyle w:val="normaltextrun"/>
        </w:rPr>
        <w:t>pitting in common areas</w:t>
      </w:r>
    </w:p>
    <w:p w14:paraId="7E508489" w14:textId="044ABE4D" w:rsidR="00227946" w:rsidRPr="00227946" w:rsidRDefault="009A1789" w:rsidP="00227946">
      <w:pPr>
        <w:pStyle w:val="Bullet1"/>
      </w:pPr>
      <w:r>
        <w:rPr>
          <w:rStyle w:val="normaltextrun"/>
        </w:rPr>
        <w:t>s</w:t>
      </w:r>
      <w:r w:rsidR="00227946" w:rsidRPr="00227946">
        <w:rPr>
          <w:rStyle w:val="normaltextrun"/>
        </w:rPr>
        <w:t>pilling food or drink in common area</w:t>
      </w:r>
    </w:p>
    <w:p w14:paraId="71F988C8" w14:textId="586B816B" w:rsidR="00227946" w:rsidRPr="00227946" w:rsidRDefault="009A1789" w:rsidP="00227946">
      <w:pPr>
        <w:pStyle w:val="Bullet1"/>
      </w:pPr>
      <w:r>
        <w:rPr>
          <w:rStyle w:val="normaltextrun"/>
        </w:rPr>
        <w:t>l</w:t>
      </w:r>
      <w:r w:rsidR="00227946" w:rsidRPr="00227946">
        <w:rPr>
          <w:rStyle w:val="normaltextrun"/>
        </w:rPr>
        <w:t>eaving common areas unsecured</w:t>
      </w:r>
    </w:p>
    <w:p w14:paraId="0D015B2B" w14:textId="4822376D" w:rsidR="00227946" w:rsidRPr="00227946" w:rsidRDefault="009A1789" w:rsidP="00227946">
      <w:pPr>
        <w:pStyle w:val="Bullet1"/>
      </w:pPr>
      <w:r>
        <w:rPr>
          <w:rStyle w:val="normaltextrun"/>
        </w:rPr>
        <w:lastRenderedPageBreak/>
        <w:t>n</w:t>
      </w:r>
      <w:r w:rsidR="00227946" w:rsidRPr="00227946">
        <w:rPr>
          <w:rStyle w:val="normaltextrun"/>
        </w:rPr>
        <w:t>oise complaints</w:t>
      </w:r>
    </w:p>
    <w:p w14:paraId="08133380" w14:textId="39494F6D" w:rsidR="00227946" w:rsidRPr="00227946" w:rsidRDefault="009A1789" w:rsidP="00227946">
      <w:pPr>
        <w:pStyle w:val="Bullet1"/>
      </w:pPr>
      <w:r>
        <w:rPr>
          <w:rStyle w:val="normaltextrun"/>
        </w:rPr>
        <w:t>m</w:t>
      </w:r>
      <w:r w:rsidR="00227946" w:rsidRPr="00227946">
        <w:rPr>
          <w:rStyle w:val="normaltextrun"/>
        </w:rPr>
        <w:t>isuse of balcony</w:t>
      </w:r>
    </w:p>
    <w:p w14:paraId="63AB75C9" w14:textId="55FDE410" w:rsidR="00227946" w:rsidRPr="00227946" w:rsidRDefault="009A1789" w:rsidP="00227946">
      <w:pPr>
        <w:pStyle w:val="Bullet1"/>
      </w:pPr>
      <w:r>
        <w:rPr>
          <w:rStyle w:val="normaltextrun"/>
        </w:rPr>
        <w:t>o</w:t>
      </w:r>
      <w:r w:rsidR="00227946" w:rsidRPr="00227946">
        <w:rPr>
          <w:rStyle w:val="normaltextrun"/>
        </w:rPr>
        <w:t>dour coming from apartment</w:t>
      </w:r>
    </w:p>
    <w:p w14:paraId="43D29A61" w14:textId="4750A156" w:rsidR="00227946" w:rsidRPr="00227946" w:rsidRDefault="009A1789" w:rsidP="00227946">
      <w:pPr>
        <w:pStyle w:val="Bullet1"/>
      </w:pPr>
      <w:r>
        <w:rPr>
          <w:rStyle w:val="normaltextrun"/>
        </w:rPr>
        <w:t>l</w:t>
      </w:r>
      <w:r w:rsidR="00227946" w:rsidRPr="00227946">
        <w:rPr>
          <w:rStyle w:val="normaltextrun"/>
        </w:rPr>
        <w:t>ittering or dumping rubbish in common areas</w:t>
      </w:r>
    </w:p>
    <w:p w14:paraId="01794678" w14:textId="5402B8A5" w:rsidR="00227946" w:rsidRPr="00227946" w:rsidRDefault="009A1789" w:rsidP="00227946">
      <w:pPr>
        <w:pStyle w:val="Bullet1"/>
      </w:pPr>
      <w:r>
        <w:rPr>
          <w:rStyle w:val="normaltextrun"/>
        </w:rPr>
        <w:t>p</w:t>
      </w:r>
      <w:r w:rsidR="00227946" w:rsidRPr="00227946">
        <w:rPr>
          <w:rStyle w:val="normaltextrun"/>
        </w:rPr>
        <w:t>ets toileting in common areas or causing property damage</w:t>
      </w:r>
    </w:p>
    <w:p w14:paraId="24912B28" w14:textId="4BC8C763" w:rsidR="00227946" w:rsidRPr="00227946" w:rsidRDefault="009A1789" w:rsidP="00227946">
      <w:pPr>
        <w:pStyle w:val="Bullet1"/>
      </w:pPr>
      <w:r>
        <w:rPr>
          <w:rStyle w:val="normaltextrun"/>
        </w:rPr>
        <w:t>c</w:t>
      </w:r>
      <w:r w:rsidR="00227946" w:rsidRPr="00227946">
        <w:rPr>
          <w:rStyle w:val="normaltextrun"/>
        </w:rPr>
        <w:t>lients inviting friends who engage in anti-social behaviours</w:t>
      </w:r>
    </w:p>
    <w:p w14:paraId="703174E5" w14:textId="46EE498C" w:rsidR="00227946" w:rsidRPr="00227946" w:rsidRDefault="009A1789" w:rsidP="00227946">
      <w:pPr>
        <w:pStyle w:val="Bullet1"/>
      </w:pPr>
      <w:r>
        <w:rPr>
          <w:rStyle w:val="normaltextrun"/>
        </w:rPr>
        <w:t>n</w:t>
      </w:r>
      <w:r w:rsidR="00227946" w:rsidRPr="00227946">
        <w:rPr>
          <w:rStyle w:val="normaltextrun"/>
        </w:rPr>
        <w:t>ot abiding by any COVID-19 safety measures</w:t>
      </w:r>
    </w:p>
    <w:p w14:paraId="345E78F4" w14:textId="613235A7" w:rsidR="00227946" w:rsidRPr="00227946" w:rsidRDefault="008A03F4" w:rsidP="00227946">
      <w:pPr>
        <w:pStyle w:val="Bullet1"/>
      </w:pPr>
      <w:r>
        <w:rPr>
          <w:rStyle w:val="normaltextrun"/>
        </w:rPr>
        <w:t>d</w:t>
      </w:r>
      <w:r w:rsidR="00227946" w:rsidRPr="00227946">
        <w:rPr>
          <w:rStyle w:val="normaltextrun"/>
        </w:rPr>
        <w:t>rug/alcohol use in common areas</w:t>
      </w:r>
    </w:p>
    <w:p w14:paraId="2752FF56" w14:textId="07B73B79" w:rsidR="00227946" w:rsidRPr="00227946" w:rsidRDefault="008A03F4" w:rsidP="00227946">
      <w:pPr>
        <w:pStyle w:val="Bullet1"/>
      </w:pPr>
      <w:r>
        <w:rPr>
          <w:rStyle w:val="normaltextrun"/>
        </w:rPr>
        <w:t>f</w:t>
      </w:r>
      <w:r w:rsidR="00227946" w:rsidRPr="00227946">
        <w:rPr>
          <w:rStyle w:val="normaltextrun"/>
        </w:rPr>
        <w:t>riends sleeping rough in common areas</w:t>
      </w:r>
    </w:p>
    <w:p w14:paraId="280DEF0B" w14:textId="577C2BB2" w:rsidR="00227946" w:rsidRPr="008A03F4" w:rsidRDefault="008A03F4" w:rsidP="008A03F4">
      <w:pPr>
        <w:pStyle w:val="Bullet1"/>
      </w:pPr>
      <w:r>
        <w:rPr>
          <w:rStyle w:val="normaltextrun"/>
        </w:rPr>
        <w:t>m</w:t>
      </w:r>
      <w:r w:rsidR="00227946" w:rsidRPr="00227946">
        <w:rPr>
          <w:rStyle w:val="normaltextrun"/>
        </w:rPr>
        <w:t>inor damage to property – costs to repair under $500</w:t>
      </w:r>
      <w:r>
        <w:rPr>
          <w:rStyle w:val="normaltextrun"/>
        </w:rPr>
        <w:t>.</w:t>
      </w:r>
    </w:p>
    <w:p w14:paraId="3998377D" w14:textId="404B277E" w:rsidR="00227946" w:rsidRPr="00227946" w:rsidRDefault="00227946" w:rsidP="00227946">
      <w:pPr>
        <w:pStyle w:val="Heading3"/>
        <w:rPr>
          <w:rStyle w:val="normaltextrun"/>
        </w:rPr>
      </w:pPr>
      <w:r w:rsidRPr="00227946">
        <w:rPr>
          <w:rStyle w:val="normaltextrun"/>
        </w:rPr>
        <w:t>Moderate incidents</w:t>
      </w:r>
    </w:p>
    <w:p w14:paraId="1F957C9F" w14:textId="049BC923" w:rsidR="00227946" w:rsidRDefault="00227946" w:rsidP="00227946">
      <w:pPr>
        <w:pStyle w:val="DHHSbody"/>
        <w:rPr>
          <w:rStyle w:val="normaltextrun"/>
          <w:rFonts w:ascii="Arial" w:hAnsi="Arial" w:cs="Arial"/>
          <w:sz w:val="20"/>
          <w:lang w:val="en-US"/>
        </w:rPr>
      </w:pPr>
      <w:r w:rsidRPr="00227946">
        <w:rPr>
          <w:rStyle w:val="normaltextrun"/>
          <w:rFonts w:ascii="Arial" w:hAnsi="Arial" w:cs="Arial"/>
          <w:sz w:val="20"/>
          <w:lang w:val="en-US"/>
        </w:rPr>
        <w:t xml:space="preserve">These incidents require notification to Homes Victoria. These incidents relate to behaviors of concern towards tenant(s), employee(s), client(s), contractors(s) or visitor(s) and property. Costs to resolve these incidents may </w:t>
      </w:r>
      <w:r w:rsidR="007D636E">
        <w:rPr>
          <w:rStyle w:val="normaltextrun"/>
          <w:rFonts w:ascii="Arial" w:hAnsi="Arial" w:cs="Arial"/>
          <w:sz w:val="20"/>
          <w:lang w:val="en-US"/>
        </w:rPr>
        <w:t>be</w:t>
      </w:r>
      <w:r w:rsidRPr="00227946">
        <w:rPr>
          <w:rStyle w:val="normaltextrun"/>
          <w:rFonts w:ascii="Arial" w:hAnsi="Arial" w:cs="Arial"/>
          <w:sz w:val="20"/>
          <w:lang w:val="en-US"/>
        </w:rPr>
        <w:t xml:space="preserve"> between $500 and $2000 and police or emergency services may have been called.</w:t>
      </w:r>
    </w:p>
    <w:p w14:paraId="17B32AE6" w14:textId="2880780C" w:rsidR="00227946" w:rsidRPr="00227946" w:rsidRDefault="00227946" w:rsidP="00227946">
      <w:pPr>
        <w:pStyle w:val="DHHSbody"/>
        <w:rPr>
          <w:rFonts w:ascii="Arial" w:hAnsi="Arial" w:cs="Arial"/>
        </w:rPr>
      </w:pPr>
      <w:r>
        <w:rPr>
          <w:rStyle w:val="normaltextrun"/>
          <w:rFonts w:ascii="Arial" w:hAnsi="Arial" w:cs="Arial"/>
          <w:sz w:val="20"/>
          <w:lang w:val="en-US"/>
        </w:rPr>
        <w:t>Moderate incidents include:</w:t>
      </w:r>
    </w:p>
    <w:p w14:paraId="44DA9ACE" w14:textId="4985418D" w:rsidR="00227946" w:rsidRPr="00227946" w:rsidRDefault="008A03F4" w:rsidP="00227946">
      <w:pPr>
        <w:pStyle w:val="Bullet1"/>
        <w:rPr>
          <w:rStyle w:val="normaltextrun"/>
        </w:rPr>
      </w:pPr>
      <w:r>
        <w:rPr>
          <w:rStyle w:val="normaltextrun"/>
        </w:rPr>
        <w:t>h</w:t>
      </w:r>
      <w:r w:rsidR="00227946" w:rsidRPr="00227946">
        <w:rPr>
          <w:rStyle w:val="normaltextrun"/>
        </w:rPr>
        <w:t>oarding behaviours</w:t>
      </w:r>
    </w:p>
    <w:p w14:paraId="1171AFC6" w14:textId="19B40198" w:rsidR="00227946" w:rsidRPr="00227946" w:rsidRDefault="008A03F4" w:rsidP="00227946">
      <w:pPr>
        <w:pStyle w:val="Bullet1"/>
        <w:rPr>
          <w:rStyle w:val="normaltextrun"/>
        </w:rPr>
      </w:pPr>
      <w:r>
        <w:rPr>
          <w:rStyle w:val="normaltextrun"/>
        </w:rPr>
        <w:t>i</w:t>
      </w:r>
      <w:r w:rsidR="00227946" w:rsidRPr="00227946">
        <w:rPr>
          <w:rStyle w:val="normaltextrun"/>
        </w:rPr>
        <w:t>nviting people to live in the apartment who are not on the lease</w:t>
      </w:r>
    </w:p>
    <w:p w14:paraId="5170F7B9" w14:textId="0D60D787" w:rsidR="00227946" w:rsidRPr="00227946" w:rsidRDefault="008A03F4" w:rsidP="00227946">
      <w:pPr>
        <w:pStyle w:val="Bullet1"/>
        <w:rPr>
          <w:rStyle w:val="normaltextrun"/>
        </w:rPr>
      </w:pPr>
      <w:r>
        <w:rPr>
          <w:rStyle w:val="normaltextrun"/>
        </w:rPr>
        <w:t>p</w:t>
      </w:r>
      <w:r w:rsidR="00227946" w:rsidRPr="00227946">
        <w:rPr>
          <w:rStyle w:val="normaltextrun"/>
        </w:rPr>
        <w:t>ets attacking others</w:t>
      </w:r>
    </w:p>
    <w:p w14:paraId="75DC6845" w14:textId="44F7E4EA" w:rsidR="00227946" w:rsidRPr="00227946" w:rsidRDefault="008A03F4" w:rsidP="00227946">
      <w:pPr>
        <w:pStyle w:val="Bullet1"/>
        <w:rPr>
          <w:rStyle w:val="normaltextrun"/>
        </w:rPr>
      </w:pPr>
      <w:r>
        <w:rPr>
          <w:rStyle w:val="normaltextrun"/>
        </w:rPr>
        <w:t>c</w:t>
      </w:r>
      <w:r w:rsidR="00227946" w:rsidRPr="00227946">
        <w:rPr>
          <w:rStyle w:val="normaltextrun"/>
        </w:rPr>
        <w:t>riminal offence – theft of mail/belongings/food boxes/packages</w:t>
      </w:r>
    </w:p>
    <w:p w14:paraId="239906C5" w14:textId="6047057B" w:rsidR="00227946" w:rsidRPr="00227946" w:rsidRDefault="008A03F4" w:rsidP="00227946">
      <w:pPr>
        <w:pStyle w:val="Bullet1"/>
        <w:rPr>
          <w:rStyle w:val="normaltextrun"/>
        </w:rPr>
      </w:pPr>
      <w:r>
        <w:rPr>
          <w:rStyle w:val="normaltextrun"/>
        </w:rPr>
        <w:t>r</w:t>
      </w:r>
      <w:r w:rsidR="00227946" w:rsidRPr="00227946">
        <w:rPr>
          <w:rStyle w:val="normaltextrun"/>
        </w:rPr>
        <w:t>epeated challenging behaviour</w:t>
      </w:r>
    </w:p>
    <w:p w14:paraId="26ADC8CE" w14:textId="280ED60C" w:rsidR="00227946" w:rsidRPr="008A03F4" w:rsidRDefault="008A03F4" w:rsidP="008A03F4">
      <w:pPr>
        <w:pStyle w:val="Bullet1"/>
      </w:pPr>
      <w:r>
        <w:rPr>
          <w:rStyle w:val="normaltextrun"/>
        </w:rPr>
        <w:t>m</w:t>
      </w:r>
      <w:r w:rsidR="00227946" w:rsidRPr="00227946">
        <w:rPr>
          <w:rStyle w:val="normaltextrun"/>
        </w:rPr>
        <w:t>oderate property damage – costs to repair between $500 and $2000</w:t>
      </w:r>
      <w:r>
        <w:rPr>
          <w:rStyle w:val="normaltextrun"/>
        </w:rPr>
        <w:t>.</w:t>
      </w:r>
    </w:p>
    <w:p w14:paraId="73FD4DA4" w14:textId="1A36C5EB" w:rsidR="00227946" w:rsidRPr="00227946" w:rsidRDefault="00227946" w:rsidP="00227946">
      <w:pPr>
        <w:pStyle w:val="Heading3"/>
        <w:rPr>
          <w:rStyle w:val="normaltextrun"/>
        </w:rPr>
      </w:pPr>
      <w:r w:rsidRPr="00227946">
        <w:rPr>
          <w:rStyle w:val="normaltextrun"/>
        </w:rPr>
        <w:t xml:space="preserve">High to </w:t>
      </w:r>
      <w:r w:rsidR="007D636E">
        <w:rPr>
          <w:rStyle w:val="normaltextrun"/>
        </w:rPr>
        <w:t>e</w:t>
      </w:r>
      <w:r w:rsidRPr="00227946">
        <w:rPr>
          <w:rStyle w:val="normaltextrun"/>
        </w:rPr>
        <w:t xml:space="preserve">xtreme </w:t>
      </w:r>
      <w:r w:rsidR="00081564">
        <w:rPr>
          <w:rStyle w:val="normaltextrun"/>
        </w:rPr>
        <w:t>i</w:t>
      </w:r>
      <w:r w:rsidRPr="00227946">
        <w:rPr>
          <w:rStyle w:val="normaltextrun"/>
        </w:rPr>
        <w:t>ncidents</w:t>
      </w:r>
    </w:p>
    <w:p w14:paraId="57987F5E" w14:textId="19DC3E73" w:rsidR="00227946" w:rsidRDefault="00227946" w:rsidP="00227946">
      <w:pPr>
        <w:pStyle w:val="paragraph"/>
        <w:spacing w:before="0" w:beforeAutospacing="0" w:after="0" w:afterAutospacing="0"/>
        <w:textAlignment w:val="baseline"/>
        <w:rPr>
          <w:rStyle w:val="normaltextrun"/>
          <w:rFonts w:ascii="Arial" w:eastAsia="Times" w:hAnsi="Arial" w:cs="Arial"/>
          <w:sz w:val="20"/>
          <w:szCs w:val="20"/>
          <w:lang w:eastAsia="en-US"/>
        </w:rPr>
      </w:pPr>
      <w:r w:rsidRPr="00227946">
        <w:rPr>
          <w:rStyle w:val="normaltextrun"/>
          <w:rFonts w:ascii="Arial" w:eastAsia="Times" w:hAnsi="Arial" w:cs="Arial"/>
          <w:sz w:val="20"/>
          <w:szCs w:val="20"/>
          <w:lang w:eastAsia="en-US"/>
        </w:rPr>
        <w:t>These incidents require notification to Homes Victoria. These incidents relate to serious behaviors of concern towards tenant(s), employee(s), client(s), contractors(s) or visitor(s) and property. Costs to resolve these incidents may be greater than $2000 and police or emergency services may have been called.</w:t>
      </w:r>
    </w:p>
    <w:p w14:paraId="11E4D805" w14:textId="73ED5711" w:rsidR="00227946" w:rsidRDefault="00227946" w:rsidP="00227946">
      <w:pPr>
        <w:pStyle w:val="paragraph"/>
        <w:spacing w:before="0" w:beforeAutospacing="0" w:after="0" w:afterAutospacing="0"/>
        <w:textAlignment w:val="baseline"/>
        <w:rPr>
          <w:rStyle w:val="normaltextrun"/>
          <w:rFonts w:ascii="Arial" w:eastAsia="Times" w:hAnsi="Arial" w:cs="Arial"/>
          <w:sz w:val="20"/>
          <w:szCs w:val="20"/>
          <w:lang w:eastAsia="en-US"/>
        </w:rPr>
      </w:pPr>
    </w:p>
    <w:p w14:paraId="733218B0" w14:textId="75EE45EF" w:rsidR="00227946" w:rsidRPr="00227946" w:rsidRDefault="00227946" w:rsidP="008A03F4">
      <w:pPr>
        <w:pStyle w:val="paragraph"/>
        <w:spacing w:before="0" w:beforeAutospacing="0" w:after="120" w:afterAutospacing="0"/>
        <w:textAlignment w:val="baseline"/>
        <w:rPr>
          <w:rStyle w:val="normaltextrun"/>
          <w:rFonts w:ascii="Arial" w:eastAsia="Times" w:hAnsi="Arial" w:cs="Arial"/>
          <w:lang w:eastAsia="en-US"/>
        </w:rPr>
      </w:pPr>
      <w:r>
        <w:rPr>
          <w:rStyle w:val="normaltextrun"/>
          <w:rFonts w:ascii="Arial" w:eastAsia="Times" w:hAnsi="Arial" w:cs="Arial"/>
          <w:sz w:val="20"/>
          <w:szCs w:val="20"/>
          <w:lang w:eastAsia="en-US"/>
        </w:rPr>
        <w:t>High to extreme incidents include:</w:t>
      </w:r>
    </w:p>
    <w:p w14:paraId="105B1D7B" w14:textId="28FD4042" w:rsidR="00227946" w:rsidRPr="00227946" w:rsidRDefault="008A03F4" w:rsidP="00227946">
      <w:pPr>
        <w:pStyle w:val="Bullet1"/>
        <w:rPr>
          <w:rStyle w:val="normaltextrun"/>
        </w:rPr>
      </w:pPr>
      <w:r>
        <w:rPr>
          <w:rStyle w:val="normaltextrun"/>
        </w:rPr>
        <w:t>r</w:t>
      </w:r>
      <w:r w:rsidR="00227946" w:rsidRPr="00227946">
        <w:rPr>
          <w:rStyle w:val="normaltextrun"/>
        </w:rPr>
        <w:t>epeated reports of the low to moderate incidents listed above more than 3 times</w:t>
      </w:r>
    </w:p>
    <w:p w14:paraId="1286B37B" w14:textId="38F313D7" w:rsidR="00227946" w:rsidRPr="00227946" w:rsidRDefault="008A03F4" w:rsidP="00227946">
      <w:pPr>
        <w:pStyle w:val="Bullet1"/>
        <w:rPr>
          <w:rStyle w:val="normaltextrun"/>
        </w:rPr>
      </w:pPr>
      <w:r>
        <w:rPr>
          <w:rStyle w:val="normaltextrun"/>
        </w:rPr>
        <w:t>t</w:t>
      </w:r>
      <w:r w:rsidR="00227946" w:rsidRPr="00227946">
        <w:rPr>
          <w:rStyle w:val="normaltextrun"/>
        </w:rPr>
        <w:t>hreatening others with a weapon</w:t>
      </w:r>
    </w:p>
    <w:p w14:paraId="54A02736" w14:textId="03FCED55" w:rsidR="00227946" w:rsidRPr="00227946" w:rsidRDefault="008A03F4" w:rsidP="00227946">
      <w:pPr>
        <w:pStyle w:val="Bullet1"/>
        <w:rPr>
          <w:rStyle w:val="normaltextrun"/>
        </w:rPr>
      </w:pPr>
      <w:r>
        <w:rPr>
          <w:rStyle w:val="normaltextrun"/>
        </w:rPr>
        <w:t>o</w:t>
      </w:r>
      <w:r w:rsidR="00227946" w:rsidRPr="00227946">
        <w:rPr>
          <w:rStyle w:val="normaltextrun"/>
        </w:rPr>
        <w:t>ffering/selling drugs</w:t>
      </w:r>
    </w:p>
    <w:p w14:paraId="3000C298" w14:textId="6839C8BB" w:rsidR="00227946" w:rsidRDefault="008A03F4" w:rsidP="00227946">
      <w:pPr>
        <w:pStyle w:val="Bullet1"/>
        <w:rPr>
          <w:rStyle w:val="normaltextrun"/>
        </w:rPr>
      </w:pPr>
      <w:r>
        <w:rPr>
          <w:rStyle w:val="normaltextrun"/>
        </w:rPr>
        <w:t>p</w:t>
      </w:r>
      <w:r w:rsidR="00227946" w:rsidRPr="00227946">
        <w:rPr>
          <w:rStyle w:val="normaltextrun"/>
        </w:rPr>
        <w:t>hysical violence</w:t>
      </w:r>
    </w:p>
    <w:p w14:paraId="2639D8C2" w14:textId="42B8AADB" w:rsidR="00227946" w:rsidRDefault="008A03F4" w:rsidP="00227946">
      <w:pPr>
        <w:pStyle w:val="Bullet1"/>
        <w:rPr>
          <w:rStyle w:val="normaltextrun"/>
        </w:rPr>
      </w:pPr>
      <w:r>
        <w:rPr>
          <w:rStyle w:val="normaltextrun"/>
        </w:rPr>
        <w:t>f</w:t>
      </w:r>
      <w:r w:rsidR="00227946" w:rsidRPr="00227946">
        <w:rPr>
          <w:rStyle w:val="normaltextrun"/>
        </w:rPr>
        <w:t>amily violence</w:t>
      </w:r>
    </w:p>
    <w:p w14:paraId="72921CA5" w14:textId="5232A11A" w:rsidR="00227946" w:rsidRDefault="008A03F4" w:rsidP="00227946">
      <w:pPr>
        <w:pStyle w:val="Bullet1"/>
        <w:rPr>
          <w:rStyle w:val="normaltextrun"/>
        </w:rPr>
      </w:pPr>
      <w:r>
        <w:rPr>
          <w:rStyle w:val="normaltextrun"/>
        </w:rPr>
        <w:t>r</w:t>
      </w:r>
      <w:r w:rsidR="00227946" w:rsidRPr="00227946">
        <w:rPr>
          <w:rStyle w:val="normaltextrun"/>
        </w:rPr>
        <w:t>isk of self-harm or harm to others </w:t>
      </w:r>
    </w:p>
    <w:p w14:paraId="7B0C4893" w14:textId="3363F5E4" w:rsidR="00227946" w:rsidRPr="008A03F4" w:rsidRDefault="008A03F4" w:rsidP="008A03F4">
      <w:pPr>
        <w:pStyle w:val="Bullet1"/>
      </w:pPr>
      <w:r>
        <w:rPr>
          <w:rStyle w:val="normaltextrun"/>
        </w:rPr>
        <w:t>m</w:t>
      </w:r>
      <w:r w:rsidR="00227946" w:rsidRPr="00227946">
        <w:rPr>
          <w:rStyle w:val="normaltextrun"/>
        </w:rPr>
        <w:t>ajor property damage – costs to repair over $2000</w:t>
      </w:r>
      <w:r>
        <w:rPr>
          <w:rStyle w:val="normaltextrun"/>
        </w:rPr>
        <w:t>.</w:t>
      </w:r>
    </w:p>
    <w:p w14:paraId="0964F63C" w14:textId="461DA9EA" w:rsidR="00586E2B" w:rsidRPr="00586E2B" w:rsidRDefault="00000000" w:rsidP="008A03F4">
      <w:pPr>
        <w:spacing w:before="120" w:line="270" w:lineRule="exact"/>
        <w:rPr>
          <w:rFonts w:cs="Arial"/>
          <w:szCs w:val="21"/>
        </w:rPr>
      </w:pPr>
      <w:hyperlink r:id="rId31" w:history="1">
        <w:r w:rsidR="00586E2B" w:rsidRPr="00586E2B">
          <w:rPr>
            <w:rStyle w:val="Hyperlink"/>
            <w:rFonts w:cs="Arial"/>
            <w:szCs w:val="21"/>
          </w:rPr>
          <w:t>The CIMS Incident Management Guide</w:t>
        </w:r>
      </w:hyperlink>
      <w:r w:rsidR="00586E2B" w:rsidRPr="00586E2B">
        <w:rPr>
          <w:rFonts w:cs="Arial"/>
          <w:szCs w:val="21"/>
        </w:rPr>
        <w:t xml:space="preserve"> can be viewed at &lt;</w:t>
      </w:r>
      <w:r w:rsidR="00586E2B" w:rsidRPr="00586E2B">
        <w:rPr>
          <w:rStyle w:val="Hyperlink"/>
        </w:rPr>
        <w:t>https://providers.dffh.vic.gov.au/client-incident-management-guide-cims-word</w:t>
      </w:r>
      <w:r w:rsidR="00586E2B" w:rsidRPr="00586E2B">
        <w:rPr>
          <w:rFonts w:cs="Arial"/>
          <w:szCs w:val="21"/>
        </w:rPr>
        <w:t>&gt;.</w:t>
      </w:r>
      <w:r w:rsidR="00586E2B" w:rsidRPr="00586E2B" w:rsidDel="002D5025">
        <w:rPr>
          <w:rFonts w:cs="Arial"/>
        </w:rPr>
        <w:t xml:space="preserve"> </w:t>
      </w:r>
    </w:p>
    <w:p w14:paraId="0147126C" w14:textId="77777777" w:rsidR="00586E2B" w:rsidRPr="00586E2B" w:rsidRDefault="00000000" w:rsidP="00586E2B">
      <w:pPr>
        <w:spacing w:line="270" w:lineRule="exact"/>
        <w:rPr>
          <w:rFonts w:cs="Arial"/>
          <w:szCs w:val="21"/>
        </w:rPr>
      </w:pPr>
      <w:hyperlink r:id="rId32" w:history="1">
        <w:r w:rsidR="00586E2B" w:rsidRPr="00586E2B">
          <w:rPr>
            <w:rStyle w:val="Hyperlink"/>
            <w:rFonts w:cs="Arial"/>
            <w:szCs w:val="21"/>
          </w:rPr>
          <w:t>More information on VHIMS</w:t>
        </w:r>
      </w:hyperlink>
      <w:r w:rsidR="00586E2B" w:rsidRPr="00586E2B">
        <w:rPr>
          <w:rFonts w:cs="Arial"/>
          <w:szCs w:val="21"/>
        </w:rPr>
        <w:t xml:space="preserve"> can be found at &lt;</w:t>
      </w:r>
      <w:hyperlink r:id="rId33">
        <w:r w:rsidR="00586E2B" w:rsidRPr="00586E2B">
          <w:rPr>
            <w:rStyle w:val="Hyperlink"/>
            <w:rFonts w:cs="Arial"/>
            <w:szCs w:val="21"/>
          </w:rPr>
          <w:t>https://vahi.vic.gov.au/ourwork/safety-and-surveillance-reporting</w:t>
        </w:r>
      </w:hyperlink>
      <w:r w:rsidR="00586E2B" w:rsidRPr="00586E2B">
        <w:rPr>
          <w:rFonts w:cs="Arial"/>
          <w:szCs w:val="21"/>
        </w:rPr>
        <w:t>&gt;.</w:t>
      </w:r>
    </w:p>
    <w:p w14:paraId="415632C5" w14:textId="0D939004" w:rsidR="00586E2B" w:rsidRPr="00586E2B" w:rsidRDefault="00586E2B" w:rsidP="00586E2B">
      <w:pPr>
        <w:spacing w:line="270" w:lineRule="exact"/>
        <w:textAlignment w:val="baseline"/>
        <w:rPr>
          <w:rStyle w:val="DHHSbodyChar"/>
          <w:rFonts w:ascii="Arial" w:hAnsi="Arial"/>
        </w:rPr>
      </w:pPr>
      <w:r w:rsidRPr="00586E2B">
        <w:rPr>
          <w:rStyle w:val="DHHSbodyChar"/>
          <w:rFonts w:ascii="Arial" w:hAnsi="Arial" w:cs="Arial"/>
        </w:rPr>
        <w:t xml:space="preserve">Service </w:t>
      </w:r>
      <w:r w:rsidR="000B0506">
        <w:rPr>
          <w:rStyle w:val="DHHSbodyChar"/>
          <w:rFonts w:ascii="Arial" w:hAnsi="Arial" w:cs="Arial"/>
        </w:rPr>
        <w:t>p</w:t>
      </w:r>
      <w:r w:rsidRPr="00586E2B">
        <w:rPr>
          <w:rStyle w:val="DHHSbodyChar"/>
          <w:rFonts w:ascii="Arial" w:hAnsi="Arial" w:cs="Arial"/>
        </w:rPr>
        <w:t>roviders must advise Homes Victoria of any incident logged through the CIMS or VHIMS within 24 hours of submission by sending a copy of the incident report via email to</w:t>
      </w:r>
      <w:r w:rsidRPr="5D85C245">
        <w:rPr>
          <w:rFonts w:ascii="Verdana" w:hAnsi="Verdana" w:cs="Arial"/>
          <w:szCs w:val="21"/>
        </w:rPr>
        <w:t xml:space="preserve"> </w:t>
      </w:r>
      <w:hyperlink r:id="rId34" w:tooltip="mailto:HHS@homes.vic.gov.au" w:history="1">
        <w:r w:rsidRPr="00586E2B">
          <w:rPr>
            <w:rStyle w:val="Hyperlink"/>
            <w:rFonts w:eastAsia="MS Gothic" w:cs="Arial"/>
            <w:color w:val="0563C1"/>
            <w:szCs w:val="21"/>
          </w:rPr>
          <w:t>HHS@homes.vic.gov.au</w:t>
        </w:r>
      </w:hyperlink>
      <w:r w:rsidRPr="5D85C245">
        <w:rPr>
          <w:rFonts w:ascii="Verdana" w:hAnsi="Verdana" w:cs="Arial"/>
          <w:szCs w:val="21"/>
        </w:rPr>
        <w:t xml:space="preserve"> </w:t>
      </w:r>
      <w:r w:rsidRPr="00586E2B">
        <w:rPr>
          <w:rStyle w:val="DHHSbodyChar"/>
          <w:rFonts w:ascii="Arial" w:hAnsi="Arial"/>
        </w:rPr>
        <w:t xml:space="preserve">with the subject line </w:t>
      </w:r>
      <w:r w:rsidR="00A0669E">
        <w:rPr>
          <w:rStyle w:val="DHHSbodyChar"/>
          <w:rFonts w:ascii="Arial" w:hAnsi="Arial"/>
        </w:rPr>
        <w:t>‘</w:t>
      </w:r>
      <w:r w:rsidRPr="00586E2B">
        <w:rPr>
          <w:rStyle w:val="DHHSbodyChar"/>
          <w:rFonts w:ascii="Arial" w:hAnsi="Arial"/>
        </w:rPr>
        <w:t>Notification of Incident - HFRP - DD/MM/YYYY</w:t>
      </w:r>
      <w:r w:rsidR="00A0669E">
        <w:rPr>
          <w:rStyle w:val="DHHSbodyChar"/>
          <w:rFonts w:ascii="Arial" w:hAnsi="Arial"/>
        </w:rPr>
        <w:t>’</w:t>
      </w:r>
      <w:r w:rsidRPr="00586E2B">
        <w:rPr>
          <w:rStyle w:val="DHHSbodyChar"/>
          <w:rFonts w:ascii="Arial" w:hAnsi="Arial"/>
        </w:rPr>
        <w:t>.</w:t>
      </w:r>
    </w:p>
    <w:p w14:paraId="22E694CC" w14:textId="388B7026" w:rsidR="00586E2B" w:rsidRPr="00586E2B" w:rsidRDefault="00586E2B" w:rsidP="00586E2B">
      <w:pPr>
        <w:spacing w:line="270" w:lineRule="exact"/>
        <w:textAlignment w:val="baseline"/>
        <w:rPr>
          <w:rStyle w:val="DHHSbodyChar"/>
          <w:rFonts w:ascii="Arial" w:hAnsi="Arial"/>
        </w:rPr>
      </w:pPr>
      <w:r w:rsidRPr="00586E2B">
        <w:rPr>
          <w:rStyle w:val="DHHSbodyChar"/>
          <w:rFonts w:ascii="Arial" w:hAnsi="Arial"/>
        </w:rPr>
        <w:lastRenderedPageBreak/>
        <w:t xml:space="preserve">At its sole discretion, Homes Victoria may elect to lead a response to a Major Impact incident, as defined in the Client Incident Management Guide 2020. If this occurs, the </w:t>
      </w:r>
      <w:r w:rsidR="000B0506">
        <w:rPr>
          <w:rStyle w:val="DHHSbodyChar"/>
          <w:rFonts w:ascii="Arial" w:hAnsi="Arial"/>
        </w:rPr>
        <w:t>service provider</w:t>
      </w:r>
      <w:r w:rsidRPr="00586E2B">
        <w:rPr>
          <w:rStyle w:val="DHHSbodyChar"/>
          <w:rFonts w:ascii="Arial" w:hAnsi="Arial"/>
        </w:rPr>
        <w:t xml:space="preserve"> will be advised of this transfer of responsibility in writing.</w:t>
      </w:r>
    </w:p>
    <w:p w14:paraId="02E718CD" w14:textId="64F03125" w:rsidR="00586E2B" w:rsidRPr="004601A2" w:rsidRDefault="00586E2B" w:rsidP="00586E2B">
      <w:pPr>
        <w:spacing w:line="270" w:lineRule="exact"/>
        <w:textAlignment w:val="baseline"/>
        <w:rPr>
          <w:rFonts w:ascii="Verdana" w:hAnsi="Verdana" w:cs="Arial"/>
          <w:szCs w:val="21"/>
        </w:rPr>
      </w:pPr>
      <w:r w:rsidRPr="00586E2B">
        <w:rPr>
          <w:rStyle w:val="DHHSbodyChar"/>
          <w:rFonts w:ascii="Arial" w:hAnsi="Arial"/>
        </w:rPr>
        <w:t xml:space="preserve">Service </w:t>
      </w:r>
      <w:r w:rsidR="000B0506">
        <w:rPr>
          <w:rStyle w:val="DHHSbodyChar"/>
          <w:rFonts w:ascii="Arial" w:hAnsi="Arial"/>
        </w:rPr>
        <w:t>p</w:t>
      </w:r>
      <w:r w:rsidRPr="00586E2B">
        <w:rPr>
          <w:rStyle w:val="DHHSbodyChar"/>
          <w:rFonts w:ascii="Arial" w:hAnsi="Arial"/>
        </w:rPr>
        <w:t>roviders are strongly encouraged to promote and offer opportunities for client engagement with Fire Services Victoria community fire safety initiatives to mitigate the risk of preventable fire incidents in HFRP-supported residences. Information on this initiative can be requested via email to</w:t>
      </w:r>
      <w:r>
        <w:rPr>
          <w:rFonts w:ascii="Verdana" w:hAnsi="Verdana" w:cs="Arial"/>
          <w:szCs w:val="21"/>
        </w:rPr>
        <w:t xml:space="preserve"> </w:t>
      </w:r>
      <w:hyperlink r:id="rId35" w:tooltip="mailto:HHS@homes.vic.gov.au" w:history="1">
        <w:r w:rsidRPr="00586E2B">
          <w:rPr>
            <w:rStyle w:val="Hyperlink"/>
            <w:rFonts w:eastAsia="MS Gothic" w:cs="Arial"/>
            <w:color w:val="0563C1"/>
            <w:szCs w:val="21"/>
          </w:rPr>
          <w:t>HHS@homes.vic.gov.au</w:t>
        </w:r>
      </w:hyperlink>
    </w:p>
    <w:p w14:paraId="34ADA86B" w14:textId="59494F6A" w:rsidR="00586E2B" w:rsidRDefault="00586E2B" w:rsidP="00586E2B">
      <w:pPr>
        <w:pStyle w:val="Heading1"/>
      </w:pPr>
      <w:bookmarkStart w:id="104" w:name="_Toc123723374"/>
      <w:bookmarkStart w:id="105" w:name="_Toc124847229"/>
      <w:r w:rsidRPr="007C6EA2">
        <w:t>Governance</w:t>
      </w:r>
      <w:bookmarkEnd w:id="104"/>
      <w:r w:rsidR="00215A48">
        <w:t xml:space="preserve"> Framework</w:t>
      </w:r>
      <w:bookmarkEnd w:id="105"/>
    </w:p>
    <w:p w14:paraId="253A54D2" w14:textId="77777777" w:rsidR="00586E2B" w:rsidRPr="007D636E" w:rsidRDefault="00586E2B" w:rsidP="00586E2B">
      <w:pPr>
        <w:pStyle w:val="DHHSbody"/>
        <w:rPr>
          <w:rStyle w:val="DHHSbodyChar"/>
          <w:rFonts w:ascii="Arial" w:hAnsi="Arial"/>
        </w:rPr>
      </w:pPr>
      <w:r w:rsidRPr="007D636E">
        <w:rPr>
          <w:rStyle w:val="DHHSbodyChar"/>
          <w:rFonts w:ascii="Arial" w:hAnsi="Arial"/>
        </w:rPr>
        <w:t>The Governance Framework is currently under development.</w:t>
      </w:r>
    </w:p>
    <w:p w14:paraId="49D4C0A0" w14:textId="7FF6ACDE" w:rsidR="00586E2B" w:rsidRPr="007C6EA2" w:rsidRDefault="00586E2B" w:rsidP="00586E2B">
      <w:pPr>
        <w:pStyle w:val="Heading1"/>
      </w:pPr>
      <w:bookmarkStart w:id="106" w:name="_Toc111195447"/>
      <w:bookmarkStart w:id="107" w:name="_Toc119413944"/>
      <w:bookmarkStart w:id="108" w:name="_Toc123723376"/>
      <w:bookmarkStart w:id="109" w:name="_Toc124847230"/>
      <w:r w:rsidRPr="007C6EA2">
        <w:t xml:space="preserve">Performance </w:t>
      </w:r>
      <w:r w:rsidR="007D636E">
        <w:t>m</w:t>
      </w:r>
      <w:r w:rsidRPr="007C6EA2">
        <w:t xml:space="preserve">onitoring and </w:t>
      </w:r>
      <w:r w:rsidR="007D636E">
        <w:t>r</w:t>
      </w:r>
      <w:r w:rsidRPr="007C6EA2">
        <w:t>eporting</w:t>
      </w:r>
      <w:bookmarkEnd w:id="106"/>
      <w:bookmarkEnd w:id="107"/>
      <w:bookmarkEnd w:id="108"/>
      <w:bookmarkEnd w:id="109"/>
    </w:p>
    <w:p w14:paraId="01EE86C8" w14:textId="44D104F1" w:rsidR="00586E2B" w:rsidRPr="007C6EA2" w:rsidRDefault="00586E2B" w:rsidP="00586E2B">
      <w:pPr>
        <w:pStyle w:val="Heading2"/>
      </w:pPr>
      <w:bookmarkStart w:id="110" w:name="_Toc88218412"/>
      <w:bookmarkStart w:id="111" w:name="_Toc88218883"/>
      <w:bookmarkStart w:id="112" w:name="_Toc111195450"/>
      <w:bookmarkStart w:id="113" w:name="_Toc119413947"/>
      <w:bookmarkStart w:id="114" w:name="_Toc123723377"/>
      <w:bookmarkStart w:id="115" w:name="_Toc124847231"/>
      <w:r w:rsidRPr="007C6EA2">
        <w:t xml:space="preserve">Key </w:t>
      </w:r>
      <w:r w:rsidR="007D636E">
        <w:t>f</w:t>
      </w:r>
      <w:r w:rsidRPr="007C6EA2">
        <w:t>eatures</w:t>
      </w:r>
      <w:bookmarkEnd w:id="110"/>
      <w:bookmarkEnd w:id="111"/>
      <w:bookmarkEnd w:id="112"/>
      <w:bookmarkEnd w:id="113"/>
      <w:bookmarkEnd w:id="114"/>
      <w:bookmarkEnd w:id="115"/>
    </w:p>
    <w:p w14:paraId="36B5532A" w14:textId="3ABF92F2" w:rsidR="00586E2B" w:rsidRPr="00586E2B" w:rsidRDefault="00586E2B" w:rsidP="00586E2B">
      <w:pPr>
        <w:pStyle w:val="DHHSbody"/>
        <w:rPr>
          <w:rFonts w:ascii="Arial" w:hAnsi="Arial" w:cs="Arial"/>
        </w:rPr>
      </w:pPr>
      <w:r w:rsidRPr="00586E2B">
        <w:rPr>
          <w:rFonts w:ascii="Arial" w:hAnsi="Arial" w:cs="Arial"/>
        </w:rPr>
        <w:t xml:space="preserve">The </w:t>
      </w:r>
      <w:r w:rsidR="007D636E">
        <w:rPr>
          <w:rFonts w:ascii="Arial" w:hAnsi="Arial" w:cs="Arial"/>
        </w:rPr>
        <w:t>p</w:t>
      </w:r>
      <w:r w:rsidRPr="00586E2B">
        <w:rPr>
          <w:rFonts w:ascii="Arial" w:hAnsi="Arial" w:cs="Arial"/>
        </w:rPr>
        <w:t xml:space="preserve">rogram </w:t>
      </w:r>
      <w:r w:rsidR="007D636E">
        <w:rPr>
          <w:rFonts w:ascii="Arial" w:hAnsi="Arial" w:cs="Arial"/>
        </w:rPr>
        <w:t>m</w:t>
      </w:r>
      <w:r w:rsidRPr="00586E2B">
        <w:rPr>
          <w:rFonts w:ascii="Arial" w:hAnsi="Arial" w:cs="Arial"/>
        </w:rPr>
        <w:t xml:space="preserve">onitoring and </w:t>
      </w:r>
      <w:r w:rsidR="007D636E">
        <w:rPr>
          <w:rFonts w:ascii="Arial" w:hAnsi="Arial" w:cs="Arial"/>
        </w:rPr>
        <w:t>r</w:t>
      </w:r>
      <w:r w:rsidRPr="00586E2B">
        <w:rPr>
          <w:rFonts w:ascii="Arial" w:hAnsi="Arial" w:cs="Arial"/>
        </w:rPr>
        <w:t xml:space="preserve">eporting </w:t>
      </w:r>
      <w:r w:rsidR="007D636E">
        <w:rPr>
          <w:rFonts w:ascii="Arial" w:hAnsi="Arial" w:cs="Arial"/>
        </w:rPr>
        <w:t>f</w:t>
      </w:r>
      <w:r w:rsidRPr="00586E2B">
        <w:rPr>
          <w:rFonts w:ascii="Arial" w:hAnsi="Arial" w:cs="Arial"/>
        </w:rPr>
        <w:t>ramework has the following key features:</w:t>
      </w:r>
    </w:p>
    <w:p w14:paraId="6544480D" w14:textId="51305A6B" w:rsidR="00586E2B" w:rsidRPr="006A0113" w:rsidRDefault="008A03F4" w:rsidP="00586E2B">
      <w:pPr>
        <w:pStyle w:val="Bullet1"/>
        <w:rPr>
          <w:rFonts w:cs="Arial"/>
          <w:szCs w:val="21"/>
        </w:rPr>
      </w:pPr>
      <w:r>
        <w:t>r</w:t>
      </w:r>
      <w:r w:rsidR="00586E2B">
        <w:t xml:space="preserve">eporting the </w:t>
      </w:r>
      <w:r w:rsidR="00586E2B" w:rsidRPr="00C8076E">
        <w:rPr>
          <w:bCs/>
        </w:rPr>
        <w:t>progress and performance of the HFR Program</w:t>
      </w:r>
      <w:r w:rsidR="00586E2B">
        <w:t xml:space="preserve"> which involves documenting how well the program objectives have been met</w:t>
      </w:r>
    </w:p>
    <w:p w14:paraId="078D0ABF" w14:textId="60348A01" w:rsidR="00586E2B" w:rsidRPr="006A0113" w:rsidRDefault="00D16382" w:rsidP="00586E2B">
      <w:pPr>
        <w:pStyle w:val="Bullet1"/>
      </w:pPr>
      <w:r>
        <w:t>e</w:t>
      </w:r>
      <w:r w:rsidR="00586E2B">
        <w:t>nsuring data quality checks are in place to provide an accurate picture of the program’s performance.</w:t>
      </w:r>
    </w:p>
    <w:p w14:paraId="48E1E3B4" w14:textId="1EB77FFC" w:rsidR="00586E2B" w:rsidRPr="006A0113" w:rsidRDefault="00D16382" w:rsidP="00586E2B">
      <w:pPr>
        <w:pStyle w:val="Bullet1"/>
        <w:rPr>
          <w:szCs w:val="21"/>
        </w:rPr>
      </w:pPr>
      <w:r>
        <w:t>w</w:t>
      </w:r>
      <w:r w:rsidR="00586E2B">
        <w:t>hen performance measurements are not met, acting on opportunities to improve to ensure continuous improvement.</w:t>
      </w:r>
    </w:p>
    <w:p w14:paraId="1CE95193" w14:textId="77777777" w:rsidR="00586E2B" w:rsidRPr="006A0113" w:rsidRDefault="00586E2B" w:rsidP="00586E2B">
      <w:pPr>
        <w:pStyle w:val="Heading3"/>
        <w:rPr>
          <w:rFonts w:eastAsia="Arial" w:cs="Arial"/>
          <w:b/>
          <w:color w:val="000000" w:themeColor="text1"/>
          <w:szCs w:val="21"/>
          <w:u w:val="single"/>
        </w:rPr>
      </w:pPr>
      <w:bookmarkStart w:id="116" w:name="_Toc123723378"/>
      <w:r w:rsidRPr="00ED1807">
        <w:rPr>
          <w:rFonts w:eastAsia="Arial" w:cs="Arial"/>
          <w:b/>
          <w:color w:val="000000" w:themeColor="text1"/>
          <w:szCs w:val="21"/>
        </w:rPr>
        <w:t>Privacy</w:t>
      </w:r>
      <w:r w:rsidRPr="006A0113">
        <w:rPr>
          <w:rFonts w:eastAsia="Arial" w:cs="Arial"/>
          <w:b/>
          <w:color w:val="000000" w:themeColor="text1"/>
          <w:szCs w:val="21"/>
        </w:rPr>
        <w:t xml:space="preserve"> and security considerations</w:t>
      </w:r>
      <w:bookmarkEnd w:id="116"/>
    </w:p>
    <w:p w14:paraId="3DEB3E6F" w14:textId="3855E2D6" w:rsidR="00586E2B" w:rsidRPr="00F2107D" w:rsidRDefault="00586E2B" w:rsidP="00F2107D">
      <w:pPr>
        <w:pStyle w:val="Bullet1"/>
      </w:pPr>
      <w:r w:rsidRPr="00F2107D">
        <w:t xml:space="preserve">Service </w:t>
      </w:r>
      <w:r w:rsidR="000B0506">
        <w:t>p</w:t>
      </w:r>
      <w:r w:rsidRPr="00F2107D">
        <w:t xml:space="preserve">roviders need to provide an opt-out collection notice to each adult household member, in such a manner to ensure there is a reasonable understanding that HFRP client data will be disclosed to Homes Victoria and associated agencies. </w:t>
      </w:r>
    </w:p>
    <w:p w14:paraId="04C6ED7D" w14:textId="4093234B" w:rsidR="00586E2B" w:rsidRPr="00F2107D" w:rsidRDefault="00586E2B" w:rsidP="00F2107D">
      <w:pPr>
        <w:pStyle w:val="Bullet1"/>
      </w:pPr>
      <w:r w:rsidRPr="00F2107D">
        <w:t>Please ensure client data is only stored on organisational devices (computers), network servers and cloud drives.</w:t>
      </w:r>
    </w:p>
    <w:p w14:paraId="5E917A9F" w14:textId="77777777" w:rsidR="00586E2B" w:rsidRPr="00F2107D" w:rsidRDefault="00586E2B" w:rsidP="00F2107D">
      <w:pPr>
        <w:pStyle w:val="Bullet1"/>
      </w:pPr>
      <w:r w:rsidRPr="00F2107D">
        <w:t>No client data should be on any personal device or cloud service.</w:t>
      </w:r>
    </w:p>
    <w:p w14:paraId="28E4699B" w14:textId="77777777" w:rsidR="00D16382" w:rsidRDefault="00586E2B" w:rsidP="00D16382">
      <w:pPr>
        <w:pStyle w:val="Bullet1"/>
      </w:pPr>
      <w:r w:rsidRPr="00F2107D">
        <w:t>All access to client data must be password protected at some level (this can be to the device, the file, or the server/cloud drive).</w:t>
      </w:r>
    </w:p>
    <w:p w14:paraId="58C9D182" w14:textId="77777777" w:rsidR="00D16382" w:rsidRDefault="00586E2B" w:rsidP="00D16382">
      <w:pPr>
        <w:pStyle w:val="Bullet1"/>
      </w:pPr>
      <w:r w:rsidRPr="00D16382">
        <w:t xml:space="preserve">While it is understood that some data sharing will be required between </w:t>
      </w:r>
      <w:r w:rsidR="000B0506" w:rsidRPr="00D16382">
        <w:t>service provider</w:t>
      </w:r>
      <w:r w:rsidRPr="00D16382">
        <w:t>s, this must always be secure through authenticated means. Private Teams channels have been established by the HFRP Homes Vic team for reporting purposes.</w:t>
      </w:r>
    </w:p>
    <w:p w14:paraId="3D83C725" w14:textId="55AC9480" w:rsidR="00586E2B" w:rsidRPr="00D16382" w:rsidRDefault="00586E2B" w:rsidP="00D16382">
      <w:pPr>
        <w:pStyle w:val="Bullet1"/>
      </w:pPr>
      <w:r w:rsidRPr="00D16382">
        <w:t>No shared files may have a URL link that does not require authentication.</w:t>
      </w:r>
    </w:p>
    <w:p w14:paraId="037BABB7" w14:textId="41444309" w:rsidR="00586E2B" w:rsidRPr="004B7DB9" w:rsidRDefault="005D6C26" w:rsidP="00586E2B">
      <w:pPr>
        <w:pStyle w:val="Heading2"/>
        <w:rPr>
          <w:rFonts w:eastAsia="Arial"/>
        </w:rPr>
      </w:pPr>
      <w:bookmarkStart w:id="117" w:name="_Toc119413948"/>
      <w:bookmarkStart w:id="118" w:name="_Toc123723379"/>
      <w:bookmarkStart w:id="119" w:name="_Toc124847232"/>
      <w:r>
        <w:t>Data r</w:t>
      </w:r>
      <w:r w:rsidR="00586E2B" w:rsidRPr="004B7DB9">
        <w:t>eporting</w:t>
      </w:r>
      <w:bookmarkEnd w:id="117"/>
      <w:bookmarkEnd w:id="118"/>
      <w:bookmarkEnd w:id="119"/>
    </w:p>
    <w:p w14:paraId="0A07E214" w14:textId="0843C93F" w:rsidR="00586E2B" w:rsidRPr="00F2107D" w:rsidRDefault="00586E2B" w:rsidP="00F2107D">
      <w:pPr>
        <w:pStyle w:val="DHHSbody"/>
        <w:rPr>
          <w:rFonts w:ascii="Arial" w:hAnsi="Arial" w:cs="Arial"/>
        </w:rPr>
      </w:pPr>
      <w:r w:rsidRPr="00F2107D">
        <w:rPr>
          <w:rFonts w:ascii="Arial" w:hAnsi="Arial" w:cs="Arial"/>
        </w:rPr>
        <w:t xml:space="preserve">Data will continue to be collected from </w:t>
      </w:r>
      <w:r w:rsidR="000B0506">
        <w:rPr>
          <w:rFonts w:ascii="Arial" w:hAnsi="Arial" w:cs="Arial"/>
        </w:rPr>
        <w:t>service provider</w:t>
      </w:r>
      <w:r w:rsidRPr="00F2107D">
        <w:rPr>
          <w:rFonts w:ascii="Arial" w:hAnsi="Arial" w:cs="Arial"/>
        </w:rPr>
        <w:t>s on activity-based targets through existing centralised mechanisms including Service Delivery Tracking (SDT) to provide key evidence of program implementation and outcomes to households and the sector more broadly. Data will be reported by funded agencies, as per specifications in their service agreement.</w:t>
      </w:r>
    </w:p>
    <w:p w14:paraId="14E8DFF9" w14:textId="3C691775" w:rsidR="00586E2B" w:rsidRPr="00F2107D" w:rsidRDefault="00586E2B" w:rsidP="00F2107D">
      <w:pPr>
        <w:pStyle w:val="DHHSbody"/>
        <w:rPr>
          <w:rFonts w:ascii="Arial" w:hAnsi="Arial" w:cs="Arial"/>
          <w:b/>
          <w:bCs/>
        </w:rPr>
      </w:pPr>
      <w:bookmarkStart w:id="120" w:name="_Toc56612603"/>
      <w:bookmarkStart w:id="121" w:name="_Toc57111854"/>
      <w:bookmarkStart w:id="122" w:name="_Toc57819635"/>
      <w:r w:rsidRPr="00F2107D">
        <w:rPr>
          <w:rFonts w:ascii="Arial" w:hAnsi="Arial" w:cs="Arial"/>
        </w:rPr>
        <w:t xml:space="preserve">Service </w:t>
      </w:r>
      <w:r w:rsidR="000B0506">
        <w:rPr>
          <w:rFonts w:ascii="Arial" w:hAnsi="Arial" w:cs="Arial"/>
        </w:rPr>
        <w:t>p</w:t>
      </w:r>
      <w:r w:rsidRPr="00F2107D">
        <w:rPr>
          <w:rFonts w:ascii="Arial" w:hAnsi="Arial" w:cs="Arial"/>
        </w:rPr>
        <w:t>roviders will report program monitoring data according to the requirements, platforms, and cycles in their service agreements.</w:t>
      </w:r>
    </w:p>
    <w:p w14:paraId="44E51685" w14:textId="2615E862" w:rsidR="00586E2B" w:rsidRPr="00F2107D" w:rsidRDefault="00586E2B" w:rsidP="00F2107D">
      <w:pPr>
        <w:pStyle w:val="DHHSbody"/>
        <w:rPr>
          <w:rFonts w:ascii="Arial" w:hAnsi="Arial" w:cs="Arial"/>
        </w:rPr>
      </w:pPr>
      <w:r w:rsidRPr="00F2107D">
        <w:rPr>
          <w:rFonts w:ascii="Arial" w:hAnsi="Arial" w:cs="Arial"/>
        </w:rPr>
        <w:lastRenderedPageBreak/>
        <w:t xml:space="preserve">Service </w:t>
      </w:r>
      <w:r w:rsidR="000B0506">
        <w:rPr>
          <w:rFonts w:ascii="Arial" w:hAnsi="Arial" w:cs="Arial"/>
        </w:rPr>
        <w:t>p</w:t>
      </w:r>
      <w:r w:rsidRPr="00F2107D">
        <w:rPr>
          <w:rFonts w:ascii="Arial" w:hAnsi="Arial" w:cs="Arial"/>
        </w:rPr>
        <w:t xml:space="preserve">roviders must also complete and submit two </w:t>
      </w:r>
      <w:r w:rsidR="00D83C3F" w:rsidRPr="00D83C3F">
        <w:rPr>
          <w:rFonts w:ascii="Arial" w:hAnsi="Arial" w:cs="Arial"/>
        </w:rPr>
        <w:t>Six-monthly funding reconciliation report</w:t>
      </w:r>
      <w:r w:rsidR="00D83C3F" w:rsidRPr="00F2107D">
        <w:rPr>
          <w:rFonts w:ascii="Arial" w:hAnsi="Arial" w:cs="Arial"/>
        </w:rPr>
        <w:t xml:space="preserve"> </w:t>
      </w:r>
      <w:r w:rsidRPr="00F2107D">
        <w:rPr>
          <w:rFonts w:ascii="Arial" w:hAnsi="Arial" w:cs="Arial"/>
        </w:rPr>
        <w:t>– a Microsoft Excel Spreadsheet template</w:t>
      </w:r>
      <w:r w:rsidR="007D636E" w:rsidRPr="00F2107D">
        <w:rPr>
          <w:rFonts w:ascii="Arial" w:hAnsi="Arial" w:cs="Arial"/>
        </w:rPr>
        <w:t xml:space="preserve"> – </w:t>
      </w:r>
      <w:r w:rsidRPr="00F2107D">
        <w:rPr>
          <w:rFonts w:ascii="Arial" w:hAnsi="Arial" w:cs="Arial"/>
        </w:rPr>
        <w:t xml:space="preserve">during the term of this program. Instructions on how to populate the </w:t>
      </w:r>
      <w:r w:rsidR="00D83C3F" w:rsidRPr="00D83C3F">
        <w:rPr>
          <w:rFonts w:ascii="Arial" w:hAnsi="Arial" w:cs="Arial"/>
        </w:rPr>
        <w:t>Six-monthly funding reconciliation report</w:t>
      </w:r>
      <w:r w:rsidR="00D83C3F" w:rsidRPr="00F2107D">
        <w:rPr>
          <w:rFonts w:ascii="Arial" w:hAnsi="Arial" w:cs="Arial"/>
        </w:rPr>
        <w:t xml:space="preserve"> </w:t>
      </w:r>
      <w:r w:rsidRPr="00F2107D">
        <w:rPr>
          <w:rFonts w:ascii="Arial" w:hAnsi="Arial" w:cs="Arial"/>
        </w:rPr>
        <w:t xml:space="preserve">are provided in the template. Refer to Appendix 1 – HFRP Payment Mechanism and </w:t>
      </w:r>
      <w:r w:rsidR="00D83C3F" w:rsidRPr="00D83C3F">
        <w:rPr>
          <w:rFonts w:ascii="Arial" w:hAnsi="Arial" w:cs="Arial"/>
        </w:rPr>
        <w:t>Six-monthly funding reconciliation report</w:t>
      </w:r>
      <w:r w:rsidR="00D83C3F">
        <w:rPr>
          <w:rFonts w:ascii="Arial" w:hAnsi="Arial" w:cs="Arial"/>
        </w:rPr>
        <w:t>ing</w:t>
      </w:r>
      <w:r w:rsidR="00D83C3F" w:rsidRPr="00F2107D">
        <w:rPr>
          <w:rFonts w:ascii="Arial" w:hAnsi="Arial" w:cs="Arial"/>
        </w:rPr>
        <w:t xml:space="preserve"> </w:t>
      </w:r>
      <w:r w:rsidRPr="00F2107D">
        <w:rPr>
          <w:rFonts w:ascii="Arial" w:hAnsi="Arial" w:cs="Arial"/>
        </w:rPr>
        <w:t>for more information.</w:t>
      </w:r>
    </w:p>
    <w:p w14:paraId="239DB599" w14:textId="08FE497E" w:rsidR="00586E2B" w:rsidRPr="005B45DA" w:rsidRDefault="00586E2B" w:rsidP="00586E2B">
      <w:pPr>
        <w:pStyle w:val="Heading1"/>
      </w:pPr>
      <w:bookmarkStart w:id="123" w:name="_Toc123723382"/>
      <w:bookmarkStart w:id="124" w:name="_Toc124847233"/>
      <w:r>
        <w:t xml:space="preserve">Additional </w:t>
      </w:r>
      <w:r w:rsidR="007D636E">
        <w:t>p</w:t>
      </w:r>
      <w:r>
        <w:t xml:space="preserve">rogram </w:t>
      </w:r>
      <w:r w:rsidR="007D636E">
        <w:t>r</w:t>
      </w:r>
      <w:r>
        <w:t xml:space="preserve">eporting </w:t>
      </w:r>
      <w:r w:rsidR="007D636E">
        <w:t>r</w:t>
      </w:r>
      <w:r>
        <w:t>equirements</w:t>
      </w:r>
      <w:bookmarkEnd w:id="123"/>
      <w:bookmarkEnd w:id="124"/>
    </w:p>
    <w:p w14:paraId="6EB8891F" w14:textId="77777777" w:rsidR="00CB5FCB" w:rsidRPr="00CB5FCB" w:rsidRDefault="00586E2B" w:rsidP="00CB5FCB">
      <w:pPr>
        <w:pStyle w:val="DHHSbody"/>
        <w:rPr>
          <w:rFonts w:ascii="Arial" w:hAnsi="Arial" w:cs="Arial"/>
        </w:rPr>
      </w:pPr>
      <w:r w:rsidRPr="00CB5FCB">
        <w:rPr>
          <w:rFonts w:ascii="Arial" w:hAnsi="Arial" w:cs="Arial"/>
        </w:rPr>
        <w:t>The program’s monitoring and reporting framework includes</w:t>
      </w:r>
      <w:r w:rsidR="00CB5FCB" w:rsidRPr="00CB5FCB">
        <w:rPr>
          <w:rFonts w:ascii="Arial" w:hAnsi="Arial" w:cs="Arial"/>
        </w:rPr>
        <w:t xml:space="preserve"> </w:t>
      </w:r>
      <w:r w:rsidRPr="00CB5FCB">
        <w:rPr>
          <w:rFonts w:ascii="Arial" w:hAnsi="Arial" w:cs="Arial"/>
        </w:rPr>
        <w:t>Homelessness Data Collection (HDC) reporting</w:t>
      </w:r>
      <w:r w:rsidR="00CB5FCB" w:rsidRPr="00CB5FCB">
        <w:rPr>
          <w:rFonts w:ascii="Arial" w:hAnsi="Arial" w:cs="Arial"/>
        </w:rPr>
        <w:t xml:space="preserve">. </w:t>
      </w:r>
      <w:r w:rsidRPr="00CB5FCB">
        <w:rPr>
          <w:rFonts w:ascii="Arial" w:hAnsi="Arial" w:cs="Arial"/>
        </w:rPr>
        <w:t>Further instructions and program specific advice will be provided at a later date.</w:t>
      </w:r>
    </w:p>
    <w:p w14:paraId="25281D92" w14:textId="67958913" w:rsidR="00586E2B" w:rsidRPr="00CB5FCB" w:rsidRDefault="00586E2B" w:rsidP="00CB5FCB">
      <w:pPr>
        <w:pStyle w:val="DHHSbody"/>
        <w:rPr>
          <w:rFonts w:ascii="Arial" w:hAnsi="Arial" w:cs="Arial"/>
        </w:rPr>
      </w:pPr>
      <w:r w:rsidRPr="00CB5FCB">
        <w:rPr>
          <w:rFonts w:ascii="Arial" w:hAnsi="Arial" w:cs="Arial"/>
        </w:rPr>
        <w:t xml:space="preserve">The Department of Families, Fairness and Housing (DFFH) is responsible for several performance measures outlined in Budget Paper 3. The ‘Total social housing dwellings acquired during the year’ measure is relevant to the program. Service </w:t>
      </w:r>
      <w:r w:rsidR="000B0506" w:rsidRPr="00CB5FCB">
        <w:rPr>
          <w:rFonts w:ascii="Arial" w:hAnsi="Arial" w:cs="Arial"/>
        </w:rPr>
        <w:t>p</w:t>
      </w:r>
      <w:r w:rsidRPr="00CB5FCB">
        <w:rPr>
          <w:rFonts w:ascii="Arial" w:hAnsi="Arial" w:cs="Arial"/>
        </w:rPr>
        <w:t xml:space="preserve">roviders will need to provide Homes Victoria with details of each head leased property so it can be uploaded into the Housing integration information Platform (HiiP). This includes a copy of the lease that has been signed between the </w:t>
      </w:r>
      <w:r w:rsidR="000B0506" w:rsidRPr="00CB5FCB">
        <w:rPr>
          <w:rFonts w:ascii="Arial" w:hAnsi="Arial" w:cs="Arial"/>
        </w:rPr>
        <w:t>service provider</w:t>
      </w:r>
      <w:r w:rsidRPr="00CB5FCB">
        <w:rPr>
          <w:rFonts w:ascii="Arial" w:hAnsi="Arial" w:cs="Arial"/>
        </w:rPr>
        <w:t xml:space="preserve"> and the real estate agent/landlord. These electronic copies should be provided to the HFRP team as soon as they are received.</w:t>
      </w:r>
    </w:p>
    <w:p w14:paraId="0F0340CF" w14:textId="77777777" w:rsidR="00586E2B" w:rsidRPr="00544AED" w:rsidRDefault="00586E2B" w:rsidP="00586E2B">
      <w:pPr>
        <w:pStyle w:val="Heading2"/>
        <w:rPr>
          <w:rStyle w:val="Heading2Char"/>
        </w:rPr>
      </w:pPr>
      <w:bookmarkStart w:id="125" w:name="_Toc56612607"/>
      <w:bookmarkStart w:id="126" w:name="_Toc57111858"/>
      <w:bookmarkStart w:id="127" w:name="_Toc57819639"/>
      <w:bookmarkStart w:id="128" w:name="_Toc111195451"/>
      <w:bookmarkStart w:id="129" w:name="_Toc119413951"/>
      <w:bookmarkStart w:id="130" w:name="_Toc123723383"/>
      <w:bookmarkStart w:id="131" w:name="_Toc124847234"/>
      <w:bookmarkEnd w:id="120"/>
      <w:bookmarkEnd w:id="121"/>
      <w:bookmarkEnd w:id="122"/>
      <w:r w:rsidRPr="00544AED">
        <w:rPr>
          <w:rStyle w:val="Heading2Char"/>
          <w:b/>
        </w:rPr>
        <w:t>Activity-based targets</w:t>
      </w:r>
      <w:bookmarkEnd w:id="125"/>
      <w:bookmarkEnd w:id="126"/>
      <w:bookmarkEnd w:id="127"/>
      <w:bookmarkEnd w:id="128"/>
      <w:bookmarkEnd w:id="129"/>
      <w:bookmarkEnd w:id="130"/>
      <w:bookmarkEnd w:id="131"/>
    </w:p>
    <w:p w14:paraId="0ADA05B7" w14:textId="7ED32583" w:rsidR="00586E2B" w:rsidRPr="00F2107D" w:rsidRDefault="00586E2B" w:rsidP="00F2107D">
      <w:pPr>
        <w:pStyle w:val="DHHSbody"/>
        <w:rPr>
          <w:rFonts w:ascii="Arial" w:hAnsi="Arial" w:cs="Arial"/>
        </w:rPr>
      </w:pPr>
      <w:r w:rsidRPr="00F2107D">
        <w:rPr>
          <w:rFonts w:ascii="Arial" w:hAnsi="Arial" w:cs="Arial"/>
        </w:rPr>
        <w:t xml:space="preserve">The </w:t>
      </w:r>
      <w:r w:rsidR="000B0506">
        <w:rPr>
          <w:rFonts w:ascii="Arial" w:hAnsi="Arial" w:cs="Arial"/>
        </w:rPr>
        <w:t>service provider</w:t>
      </w:r>
      <w:r w:rsidRPr="00F2107D">
        <w:rPr>
          <w:rFonts w:ascii="Arial" w:hAnsi="Arial" w:cs="Arial"/>
        </w:rPr>
        <w:t>s must acquit against three activity-based targets as established in the variation to their Service Agreement.</w:t>
      </w:r>
    </w:p>
    <w:p w14:paraId="691A0004" w14:textId="60243A8F" w:rsidR="00586E2B" w:rsidRPr="00F2107D" w:rsidRDefault="00586E2B" w:rsidP="00586E2B">
      <w:pPr>
        <w:pStyle w:val="DHHSbody"/>
        <w:rPr>
          <w:rFonts w:ascii="Arial" w:hAnsi="Arial" w:cs="Arial"/>
        </w:rPr>
      </w:pPr>
      <w:r w:rsidRPr="00F2107D">
        <w:rPr>
          <w:rFonts w:ascii="Arial" w:hAnsi="Arial" w:cs="Arial"/>
        </w:rPr>
        <w:t xml:space="preserve">Service </w:t>
      </w:r>
      <w:r w:rsidR="000B0506">
        <w:rPr>
          <w:rFonts w:ascii="Arial" w:hAnsi="Arial" w:cs="Arial"/>
        </w:rPr>
        <w:t>p</w:t>
      </w:r>
      <w:r w:rsidRPr="00F2107D">
        <w:rPr>
          <w:rFonts w:ascii="Arial" w:hAnsi="Arial" w:cs="Arial"/>
        </w:rPr>
        <w:t>rovider are to acquit against:</w:t>
      </w:r>
    </w:p>
    <w:p w14:paraId="257F7EAF" w14:textId="18FC2FB2" w:rsidR="00586E2B" w:rsidRPr="00D63E53" w:rsidRDefault="000C24FA" w:rsidP="00F2107D">
      <w:pPr>
        <w:pStyle w:val="Bullet1"/>
      </w:pPr>
      <w:r>
        <w:t>i</w:t>
      </w:r>
      <w:r w:rsidR="00586E2B">
        <w:t>ntensive c</w:t>
      </w:r>
      <w:r w:rsidR="00586E2B" w:rsidRPr="00D63E53">
        <w:t>lient support (activity 94842)</w:t>
      </w:r>
      <w:r w:rsidR="00586E2B">
        <w:t>; and</w:t>
      </w:r>
    </w:p>
    <w:p w14:paraId="272BC243" w14:textId="2F98CF23" w:rsidR="00586E2B" w:rsidRPr="00D63E53" w:rsidRDefault="000C24FA" w:rsidP="00F2107D">
      <w:pPr>
        <w:pStyle w:val="Bullet1"/>
      </w:pPr>
      <w:r>
        <w:t>e</w:t>
      </w:r>
      <w:r w:rsidR="00586E2B">
        <w:t>stablishment costs</w:t>
      </w:r>
      <w:r w:rsidR="00586E2B" w:rsidRPr="00D63E53">
        <w:t xml:space="preserve"> (activity </w:t>
      </w:r>
      <w:r w:rsidR="00586E2B">
        <w:t>94844</w:t>
      </w:r>
      <w:r w:rsidR="00586E2B" w:rsidRPr="00D63E53">
        <w:t>); and</w:t>
      </w:r>
    </w:p>
    <w:p w14:paraId="54C85124" w14:textId="77777777" w:rsidR="00586E2B" w:rsidRPr="00D63E53" w:rsidRDefault="00586E2B" w:rsidP="00F2107D">
      <w:pPr>
        <w:pStyle w:val="Bullet1"/>
      </w:pPr>
      <w:r>
        <w:t>Housing Establishment Fund (HEF)</w:t>
      </w:r>
      <w:r w:rsidRPr="00D63E53">
        <w:t xml:space="preserve"> (activity</w:t>
      </w:r>
      <w:r>
        <w:t xml:space="preserve"> 94843</w:t>
      </w:r>
      <w:r w:rsidRPr="00D63E53">
        <w:t>).</w:t>
      </w:r>
    </w:p>
    <w:p w14:paraId="6371436E" w14:textId="57BAFCF2" w:rsidR="007D636E" w:rsidRDefault="00586E2B" w:rsidP="000C24FA">
      <w:pPr>
        <w:pStyle w:val="DHHSbody"/>
        <w:spacing w:before="120"/>
        <w:rPr>
          <w:rFonts w:ascii="Arial" w:hAnsi="Arial" w:cs="Arial"/>
        </w:rPr>
      </w:pPr>
      <w:r w:rsidRPr="00F2107D">
        <w:rPr>
          <w:rFonts w:ascii="Arial" w:hAnsi="Arial" w:cs="Arial"/>
        </w:rPr>
        <w:t xml:space="preserve">Service </w:t>
      </w:r>
      <w:r w:rsidR="000B0506">
        <w:rPr>
          <w:rFonts w:ascii="Arial" w:hAnsi="Arial" w:cs="Arial"/>
        </w:rPr>
        <w:t>p</w:t>
      </w:r>
      <w:r w:rsidRPr="00F2107D">
        <w:rPr>
          <w:rFonts w:ascii="Arial" w:hAnsi="Arial" w:cs="Arial"/>
        </w:rPr>
        <w:t xml:space="preserve">roviders must follow the target requirements as stated in the service agreement, activity descriptors and program guidelines. These targets form the service delivery objectives for the </w:t>
      </w:r>
      <w:r w:rsidR="000B0506">
        <w:rPr>
          <w:rFonts w:ascii="Arial" w:hAnsi="Arial" w:cs="Arial"/>
        </w:rPr>
        <w:t>service provider</w:t>
      </w:r>
      <w:r w:rsidRPr="00F2107D">
        <w:rPr>
          <w:rFonts w:ascii="Arial" w:hAnsi="Arial" w:cs="Arial"/>
        </w:rPr>
        <w:t>s, which must be met for a successfully delivery of the Program.</w:t>
      </w:r>
    </w:p>
    <w:p w14:paraId="3B86ADCD" w14:textId="77777777" w:rsidR="007D636E" w:rsidRDefault="007D636E">
      <w:pPr>
        <w:spacing w:after="0" w:line="240" w:lineRule="auto"/>
        <w:rPr>
          <w:rFonts w:eastAsia="Times" w:cs="Arial"/>
        </w:rPr>
      </w:pPr>
      <w:r>
        <w:rPr>
          <w:rFonts w:cs="Arial"/>
        </w:rPr>
        <w:br w:type="page"/>
      </w:r>
    </w:p>
    <w:p w14:paraId="1E899654" w14:textId="52937485" w:rsidR="00DC3282" w:rsidRPr="00544AED" w:rsidRDefault="00DC3282" w:rsidP="00DC3282">
      <w:pPr>
        <w:pStyle w:val="Heading1"/>
      </w:pPr>
      <w:bookmarkStart w:id="132" w:name="_Toc119413954"/>
      <w:bookmarkStart w:id="133" w:name="_Toc123723384"/>
      <w:bookmarkStart w:id="134" w:name="_Toc124847235"/>
      <w:r w:rsidRPr="00544AED">
        <w:lastRenderedPageBreak/>
        <w:t xml:space="preserve">Appendix 1 – </w:t>
      </w:r>
      <w:bookmarkStart w:id="135" w:name="_Toc111195454"/>
      <w:r>
        <w:t>HFRP</w:t>
      </w:r>
      <w:r w:rsidRPr="00544AED">
        <w:t xml:space="preserve"> </w:t>
      </w:r>
      <w:r w:rsidR="009C5AAA">
        <w:t>p</w:t>
      </w:r>
      <w:r w:rsidRPr="00544AED">
        <w:t xml:space="preserve">ayment </w:t>
      </w:r>
      <w:r w:rsidR="009C5AAA">
        <w:t>m</w:t>
      </w:r>
      <w:r w:rsidRPr="00544AED">
        <w:t xml:space="preserve">echanism and </w:t>
      </w:r>
      <w:r w:rsidR="009C5AAA">
        <w:t>s</w:t>
      </w:r>
      <w:r w:rsidRPr="00544AED">
        <w:t>ix-</w:t>
      </w:r>
      <w:r w:rsidR="009C5AAA">
        <w:t>m</w:t>
      </w:r>
      <w:r w:rsidRPr="00544AED">
        <w:t xml:space="preserve">onthly </w:t>
      </w:r>
      <w:r w:rsidR="00D83C3F">
        <w:t xml:space="preserve">funding </w:t>
      </w:r>
      <w:r w:rsidR="009C5AAA">
        <w:t>r</w:t>
      </w:r>
      <w:r w:rsidRPr="00544AED">
        <w:t xml:space="preserve">econciliation </w:t>
      </w:r>
      <w:r w:rsidR="009C5AAA">
        <w:t>r</w:t>
      </w:r>
      <w:r w:rsidRPr="00544AED">
        <w:t>eporting</w:t>
      </w:r>
      <w:bookmarkEnd w:id="132"/>
      <w:bookmarkEnd w:id="133"/>
      <w:bookmarkEnd w:id="134"/>
      <w:bookmarkEnd w:id="135"/>
    </w:p>
    <w:p w14:paraId="1F58E2E5" w14:textId="77777777" w:rsidR="00DC3282" w:rsidRPr="00DC3282" w:rsidRDefault="00DC3282" w:rsidP="00DC3282">
      <w:pPr>
        <w:spacing w:line="270" w:lineRule="atLeast"/>
        <w:rPr>
          <w:rFonts w:eastAsia="Arial" w:cs="Arial"/>
          <w:color w:val="242424"/>
          <w:szCs w:val="21"/>
        </w:rPr>
      </w:pPr>
      <w:r w:rsidRPr="00DC3282">
        <w:rPr>
          <w:rFonts w:eastAsia="Arial" w:cs="Arial"/>
          <w:color w:val="242424"/>
          <w:szCs w:val="21"/>
        </w:rPr>
        <w:t xml:space="preserve">The funding model for the HFRP is aligned with the standard DFFH funding model using existing Activity Descriptions 94842, 94843 and 94844, in conjunction with the total number of targets per annum. </w:t>
      </w:r>
    </w:p>
    <w:p w14:paraId="30051E85" w14:textId="2241A9AD" w:rsidR="00DC3282" w:rsidRPr="00957D53" w:rsidRDefault="00DC3282" w:rsidP="00957D53">
      <w:pPr>
        <w:pStyle w:val="DHHSbody"/>
        <w:rPr>
          <w:rFonts w:ascii="Arial" w:hAnsi="Arial" w:cs="Arial"/>
        </w:rPr>
      </w:pPr>
      <w:r w:rsidRPr="00957D53">
        <w:rPr>
          <w:rFonts w:ascii="Arial" w:hAnsi="Arial" w:cs="Arial"/>
        </w:rPr>
        <w:t xml:space="preserve">For HFRP </w:t>
      </w:r>
      <w:r w:rsidR="000B0506">
        <w:rPr>
          <w:rFonts w:ascii="Arial" w:hAnsi="Arial" w:cs="Arial"/>
        </w:rPr>
        <w:t>service provider</w:t>
      </w:r>
      <w:r w:rsidRPr="00957D53">
        <w:rPr>
          <w:rFonts w:ascii="Arial" w:hAnsi="Arial" w:cs="Arial"/>
        </w:rPr>
        <w:t>s:</w:t>
      </w:r>
    </w:p>
    <w:p w14:paraId="4F70980D" w14:textId="194358F4" w:rsidR="00DC3282" w:rsidRPr="00957D53" w:rsidRDefault="00DC3282" w:rsidP="00957D53">
      <w:pPr>
        <w:pStyle w:val="Bullet1"/>
      </w:pPr>
      <w:r w:rsidRPr="00957D53">
        <w:t xml:space="preserve">Activity 94842 (Homelessness Client Support) funds intensive support provided by the HFRP </w:t>
      </w:r>
      <w:r w:rsidR="009C5AAA">
        <w:t>s</w:t>
      </w:r>
      <w:r w:rsidRPr="00957D53">
        <w:t xml:space="preserve">upport </w:t>
      </w:r>
      <w:r w:rsidR="009C5AAA">
        <w:t>w</w:t>
      </w:r>
      <w:r w:rsidRPr="00957D53">
        <w:t>orker.</w:t>
      </w:r>
    </w:p>
    <w:p w14:paraId="2D860C5B" w14:textId="77777777" w:rsidR="00DC3282" w:rsidRPr="00957D53" w:rsidRDefault="00DC3282" w:rsidP="00957D53">
      <w:pPr>
        <w:pStyle w:val="Bullet1"/>
      </w:pPr>
      <w:r w:rsidRPr="00957D53">
        <w:t>Activity 94843 (Homelessness Housing and Tenancy Administration) funds support and approved property services including:</w:t>
      </w:r>
    </w:p>
    <w:p w14:paraId="0A94CC8A" w14:textId="23A6D48C" w:rsidR="00DC3282" w:rsidRPr="000B2117" w:rsidRDefault="00D32167" w:rsidP="000B2117">
      <w:pPr>
        <w:pStyle w:val="Bullet2"/>
      </w:pPr>
      <w:r w:rsidRPr="000B2117">
        <w:t>n</w:t>
      </w:r>
      <w:r w:rsidR="00DC3282" w:rsidRPr="000B2117">
        <w:t xml:space="preserve">et </w:t>
      </w:r>
      <w:r w:rsidRPr="000B2117">
        <w:t>r</w:t>
      </w:r>
      <w:r w:rsidR="00DC3282" w:rsidRPr="000B2117">
        <w:t>ent</w:t>
      </w:r>
    </w:p>
    <w:p w14:paraId="09777692" w14:textId="4CBB471E" w:rsidR="00DC3282" w:rsidRPr="000B2117" w:rsidRDefault="00D32167" w:rsidP="000B2117">
      <w:pPr>
        <w:pStyle w:val="Bullet2"/>
      </w:pPr>
      <w:r w:rsidRPr="000B2117">
        <w:t>b</w:t>
      </w:r>
      <w:r w:rsidR="00DC3282" w:rsidRPr="000B2117">
        <w:t>ond</w:t>
      </w:r>
    </w:p>
    <w:p w14:paraId="470C6780" w14:textId="41B7897B" w:rsidR="00DC3282" w:rsidRPr="000B2117" w:rsidRDefault="00D32167" w:rsidP="000B2117">
      <w:pPr>
        <w:pStyle w:val="Bullet2"/>
      </w:pPr>
      <w:r w:rsidRPr="000B2117">
        <w:t>t</w:t>
      </w:r>
      <w:r w:rsidR="00DC3282" w:rsidRPr="000B2117">
        <w:t xml:space="preserve">enancy </w:t>
      </w:r>
      <w:r w:rsidRPr="000B2117">
        <w:t>m</w:t>
      </w:r>
      <w:r w:rsidR="00DC3282" w:rsidRPr="000B2117">
        <w:t xml:space="preserve">anagement </w:t>
      </w:r>
      <w:r w:rsidRPr="000B2117">
        <w:t>s</w:t>
      </w:r>
      <w:r w:rsidR="00DC3282" w:rsidRPr="000B2117">
        <w:t>ervices</w:t>
      </w:r>
    </w:p>
    <w:p w14:paraId="41EB76A3" w14:textId="02BC05F7" w:rsidR="00DC3282" w:rsidRPr="000B2117" w:rsidRDefault="00D32167" w:rsidP="000B2117">
      <w:pPr>
        <w:pStyle w:val="Bullet2"/>
      </w:pPr>
      <w:r w:rsidRPr="000B2117">
        <w:t>r</w:t>
      </w:r>
      <w:r w:rsidR="00DC3282" w:rsidRPr="000B2117">
        <w:t xml:space="preserve">ental </w:t>
      </w:r>
      <w:r w:rsidRPr="000B2117">
        <w:t>b</w:t>
      </w:r>
      <w:r w:rsidR="00DC3282" w:rsidRPr="000B2117">
        <w:t xml:space="preserve">roker </w:t>
      </w:r>
      <w:r w:rsidRPr="000B2117">
        <w:t>s</w:t>
      </w:r>
      <w:r w:rsidR="00DC3282" w:rsidRPr="000B2117">
        <w:t>ervices</w:t>
      </w:r>
    </w:p>
    <w:p w14:paraId="01331C97" w14:textId="7632A0B9" w:rsidR="00DC3282" w:rsidRPr="00957D53" w:rsidRDefault="00DC3282" w:rsidP="00957D53">
      <w:pPr>
        <w:pStyle w:val="Bullet1"/>
      </w:pPr>
      <w:r w:rsidRPr="00957D53">
        <w:t>Activity 94844 (</w:t>
      </w:r>
      <w:r w:rsidR="00D32167">
        <w:t>f</w:t>
      </w:r>
      <w:r w:rsidRPr="00957D53">
        <w:t xml:space="preserve">lexible </w:t>
      </w:r>
      <w:r w:rsidR="00D32167">
        <w:t>f</w:t>
      </w:r>
      <w:r w:rsidRPr="00957D53">
        <w:t xml:space="preserve">unding) funds </w:t>
      </w:r>
      <w:r w:rsidR="00D32167">
        <w:t>t</w:t>
      </w:r>
      <w:r w:rsidRPr="00957D53">
        <w:t xml:space="preserve">enancy </w:t>
      </w:r>
      <w:r w:rsidR="00D32167">
        <w:t>e</w:t>
      </w:r>
      <w:r w:rsidRPr="00957D53">
        <w:t>stablishment.</w:t>
      </w:r>
    </w:p>
    <w:p w14:paraId="20DC8A60" w14:textId="408CD8CF" w:rsidR="00DC3282" w:rsidRPr="00957D53" w:rsidRDefault="00DC3282" w:rsidP="00D32167">
      <w:pPr>
        <w:pStyle w:val="DHHSbody"/>
        <w:spacing w:before="120"/>
        <w:rPr>
          <w:rFonts w:ascii="Arial" w:hAnsi="Arial" w:cs="Arial"/>
        </w:rPr>
      </w:pPr>
      <w:r w:rsidRPr="00957D53">
        <w:rPr>
          <w:rFonts w:ascii="Arial" w:hAnsi="Arial" w:cs="Arial"/>
        </w:rPr>
        <w:t xml:space="preserve">The process results in monthly payments through the SAMS2 payment system. This approach allows </w:t>
      </w:r>
      <w:r w:rsidR="000B0506">
        <w:rPr>
          <w:rFonts w:ascii="Arial" w:hAnsi="Arial" w:cs="Arial"/>
        </w:rPr>
        <w:t>service provider</w:t>
      </w:r>
      <w:r w:rsidRPr="00957D53">
        <w:rPr>
          <w:rFonts w:ascii="Arial" w:hAnsi="Arial" w:cs="Arial"/>
        </w:rPr>
        <w:t xml:space="preserve">s to fulfil </w:t>
      </w:r>
      <w:r w:rsidR="00D32167">
        <w:rPr>
          <w:rFonts w:ascii="Arial" w:hAnsi="Arial" w:cs="Arial"/>
        </w:rPr>
        <w:t>s</w:t>
      </w:r>
      <w:r w:rsidRPr="00957D53">
        <w:rPr>
          <w:rFonts w:ascii="Arial" w:hAnsi="Arial" w:cs="Arial"/>
        </w:rPr>
        <w:t xml:space="preserve">ervice </w:t>
      </w:r>
      <w:r w:rsidR="00D32167">
        <w:rPr>
          <w:rFonts w:ascii="Arial" w:hAnsi="Arial" w:cs="Arial"/>
        </w:rPr>
        <w:t>a</w:t>
      </w:r>
      <w:r w:rsidRPr="00957D53">
        <w:rPr>
          <w:rFonts w:ascii="Arial" w:hAnsi="Arial" w:cs="Arial"/>
        </w:rPr>
        <w:t>greement contractual arrangements flexibly, resulting in agile service delivery to meet client demand and manage human resources appropriately.</w:t>
      </w:r>
    </w:p>
    <w:p w14:paraId="47B53D39" w14:textId="58843ED5" w:rsidR="00DC3282" w:rsidRPr="00135053" w:rsidRDefault="00DC3282" w:rsidP="00DC3282">
      <w:pPr>
        <w:spacing w:line="270" w:lineRule="atLeast"/>
        <w:rPr>
          <w:rFonts w:ascii="Verdana" w:eastAsia="Arial" w:hAnsi="Verdana" w:cs="Arial"/>
          <w:szCs w:val="21"/>
        </w:rPr>
      </w:pPr>
      <w:r w:rsidRPr="007D636E">
        <w:rPr>
          <w:rFonts w:eastAsia="Arial" w:cs="Arial"/>
        </w:rPr>
        <w:t xml:space="preserve">Organisations can view a history of all the variations made to their </w:t>
      </w:r>
      <w:r w:rsidR="00D32167">
        <w:rPr>
          <w:rFonts w:eastAsia="Arial" w:cs="Arial"/>
        </w:rPr>
        <w:t>s</w:t>
      </w:r>
      <w:r w:rsidRPr="007D636E">
        <w:rPr>
          <w:rFonts w:eastAsia="Arial" w:cs="Arial"/>
        </w:rPr>
        <w:t xml:space="preserve">ervice </w:t>
      </w:r>
      <w:r w:rsidR="00D32167">
        <w:rPr>
          <w:rFonts w:eastAsia="Arial" w:cs="Arial"/>
        </w:rPr>
        <w:t>a</w:t>
      </w:r>
      <w:r w:rsidRPr="007D636E">
        <w:rPr>
          <w:rFonts w:eastAsia="Arial" w:cs="Arial"/>
        </w:rPr>
        <w:t>greement on the</w:t>
      </w:r>
      <w:r w:rsidRPr="007D636E">
        <w:rPr>
          <w:rFonts w:eastAsia="Times" w:cs="Arial"/>
        </w:rPr>
        <w:t xml:space="preserve"> </w:t>
      </w:r>
      <w:hyperlink r:id="rId36">
        <w:r w:rsidRPr="00957D53">
          <w:rPr>
            <w:rStyle w:val="Hyperlink"/>
            <w:rFonts w:eastAsia="Segoe UI" w:cs="Arial"/>
            <w:szCs w:val="21"/>
          </w:rPr>
          <w:t>Service Agreement Module of My Agency</w:t>
        </w:r>
      </w:hyperlink>
      <w:r w:rsidRPr="00957D53">
        <w:rPr>
          <w:rFonts w:eastAsia="Segoe UI" w:cs="Arial"/>
          <w:szCs w:val="21"/>
        </w:rPr>
        <w:t xml:space="preserve"> &lt;</w:t>
      </w:r>
      <w:hyperlink r:id="rId37">
        <w:r w:rsidRPr="00957D53">
          <w:rPr>
            <w:rStyle w:val="Hyperlink"/>
            <w:rFonts w:eastAsia="Segoe UI" w:cs="Arial"/>
            <w:szCs w:val="21"/>
          </w:rPr>
          <w:t>https://fac.dhhs.vic.gov.au/my-agency&gt;.</w:t>
        </w:r>
      </w:hyperlink>
    </w:p>
    <w:p w14:paraId="6706157A" w14:textId="6BE138B0" w:rsidR="00957D53" w:rsidRPr="00957D53" w:rsidRDefault="00957D53" w:rsidP="00DC3282">
      <w:pPr>
        <w:spacing w:line="270" w:lineRule="atLeast"/>
        <w:rPr>
          <w:b/>
        </w:rPr>
      </w:pPr>
      <w:r w:rsidRPr="00957D53">
        <w:rPr>
          <w:b/>
        </w:rPr>
        <w:t xml:space="preserve">Table 2: </w:t>
      </w:r>
      <w:r w:rsidR="00DC3282" w:rsidRPr="00957D53">
        <w:rPr>
          <w:b/>
        </w:rPr>
        <w:t>Standard DFFH Payment schedule</w:t>
      </w:r>
    </w:p>
    <w:tbl>
      <w:tblPr>
        <w:tblStyle w:val="TableGrid"/>
        <w:tblW w:w="10313" w:type="dxa"/>
        <w:tblInd w:w="-5" w:type="dxa"/>
        <w:tblBorders>
          <w:top w:val="single" w:sz="4" w:space="0" w:color="032833"/>
          <w:left w:val="single" w:sz="4" w:space="0" w:color="032833"/>
          <w:bottom w:val="single" w:sz="4" w:space="0" w:color="032833"/>
          <w:right w:val="single" w:sz="4" w:space="0" w:color="032833"/>
          <w:insideH w:val="single" w:sz="4" w:space="0" w:color="032833"/>
          <w:insideV w:val="single" w:sz="4" w:space="0" w:color="032833"/>
        </w:tblBorders>
        <w:tblLayout w:type="fixed"/>
        <w:tblLook w:val="06A0" w:firstRow="1" w:lastRow="0" w:firstColumn="1" w:lastColumn="0" w:noHBand="1" w:noVBand="1"/>
      </w:tblPr>
      <w:tblGrid>
        <w:gridCol w:w="1658"/>
        <w:gridCol w:w="8655"/>
      </w:tblGrid>
      <w:tr w:rsidR="00957D53" w:rsidRPr="00957D53" w14:paraId="19BD807D" w14:textId="77777777" w:rsidTr="00957D53">
        <w:tc>
          <w:tcPr>
            <w:tcW w:w="1658" w:type="dxa"/>
            <w:shd w:val="clear" w:color="auto" w:fill="auto"/>
            <w:vAlign w:val="center"/>
          </w:tcPr>
          <w:p w14:paraId="3C785C9E" w14:textId="77777777" w:rsidR="00DC3282" w:rsidRPr="00957D53" w:rsidRDefault="00DC3282" w:rsidP="00957D53">
            <w:pPr>
              <w:pStyle w:val="DHHStabletext"/>
            </w:pPr>
            <w:r w:rsidRPr="00957D53">
              <w:t>First Tuesday of each month</w:t>
            </w:r>
          </w:p>
        </w:tc>
        <w:tc>
          <w:tcPr>
            <w:tcW w:w="8655" w:type="dxa"/>
            <w:shd w:val="clear" w:color="auto" w:fill="auto"/>
            <w:vAlign w:val="center"/>
          </w:tcPr>
          <w:p w14:paraId="7085F0B0" w14:textId="77777777" w:rsidR="00DC3282" w:rsidRPr="00957D53" w:rsidRDefault="00DC3282" w:rsidP="00957D53">
            <w:pPr>
              <w:pStyle w:val="DHHStabletext"/>
              <w:rPr>
                <w:b/>
                <w:bCs/>
              </w:rPr>
            </w:pPr>
            <w:r w:rsidRPr="00957D53">
              <w:rPr>
                <w:b/>
                <w:bCs/>
              </w:rPr>
              <w:t>Monthly payments</w:t>
            </w:r>
          </w:p>
          <w:p w14:paraId="5D6F813A" w14:textId="77777777" w:rsidR="00DC3282" w:rsidRPr="00957D53" w:rsidRDefault="00DC3282" w:rsidP="00957D53">
            <w:pPr>
              <w:pStyle w:val="DHHStabletext"/>
            </w:pPr>
            <w:r w:rsidRPr="00957D53">
              <w:t>Regular monthly payment is made.</w:t>
            </w:r>
          </w:p>
        </w:tc>
      </w:tr>
      <w:tr w:rsidR="00DC3282" w:rsidRPr="00C62293" w14:paraId="2078D3F4" w14:textId="77777777" w:rsidTr="00CA3704">
        <w:tc>
          <w:tcPr>
            <w:tcW w:w="1658" w:type="dxa"/>
            <w:vAlign w:val="center"/>
          </w:tcPr>
          <w:p w14:paraId="15F6FCE6" w14:textId="77777777" w:rsidR="00DC3282" w:rsidRPr="00C62293" w:rsidRDefault="00DC3282" w:rsidP="00957D53">
            <w:pPr>
              <w:pStyle w:val="DHHStabletext"/>
              <w:rPr>
                <w:rFonts w:eastAsia="Segoe UI"/>
              </w:rPr>
            </w:pPr>
            <w:r w:rsidRPr="00C62293">
              <w:rPr>
                <w:rFonts w:eastAsia="Segoe UI"/>
              </w:rPr>
              <w:t>1st of each month</w:t>
            </w:r>
          </w:p>
        </w:tc>
        <w:tc>
          <w:tcPr>
            <w:tcW w:w="8655" w:type="dxa"/>
            <w:vAlign w:val="center"/>
          </w:tcPr>
          <w:p w14:paraId="3F50D3F4" w14:textId="77777777" w:rsidR="00DC3282" w:rsidRPr="00957D53" w:rsidRDefault="00DC3282" w:rsidP="00957D53">
            <w:pPr>
              <w:pStyle w:val="DHHStabletext"/>
              <w:rPr>
                <w:rFonts w:eastAsia="Segoe UI"/>
                <w:b/>
                <w:bCs/>
              </w:rPr>
            </w:pPr>
            <w:r w:rsidRPr="00957D53">
              <w:rPr>
                <w:rFonts w:eastAsia="Segoe UI"/>
                <w:b/>
                <w:bCs/>
              </w:rPr>
              <w:t>Monthly variations open</w:t>
            </w:r>
          </w:p>
          <w:p w14:paraId="1AE00DA9" w14:textId="77777777" w:rsidR="00DC3282" w:rsidRPr="00C62293" w:rsidRDefault="00DC3282" w:rsidP="00957D53">
            <w:pPr>
              <w:pStyle w:val="DHHStabletext"/>
              <w:rPr>
                <w:rFonts w:eastAsia="Segoe UI"/>
              </w:rPr>
            </w:pPr>
            <w:r w:rsidRPr="00C62293">
              <w:rPr>
                <w:rFonts w:eastAsia="Segoe UI"/>
              </w:rPr>
              <w:t>Changes that have been negotiated with an organisation are entered into the Service Agreement Management System (SAMS2). Organisations can view and check changes when finance approval is completed by the department. Variations are not normally made in June or July and a shorter window is available in December due to the Equal Renumeration Order processing.</w:t>
            </w:r>
          </w:p>
        </w:tc>
      </w:tr>
      <w:tr w:rsidR="00DC3282" w:rsidRPr="00C62293" w14:paraId="6DAD6561" w14:textId="77777777" w:rsidTr="00CA3704">
        <w:tc>
          <w:tcPr>
            <w:tcW w:w="1658" w:type="dxa"/>
            <w:vAlign w:val="center"/>
          </w:tcPr>
          <w:p w14:paraId="5667FD06" w14:textId="77777777" w:rsidR="00DC3282" w:rsidRPr="00C62293" w:rsidRDefault="00DC3282" w:rsidP="00957D53">
            <w:pPr>
              <w:pStyle w:val="DHHStabletext"/>
            </w:pPr>
            <w:r w:rsidRPr="00C62293">
              <w:t>18th of each month</w:t>
            </w:r>
          </w:p>
        </w:tc>
        <w:tc>
          <w:tcPr>
            <w:tcW w:w="8655" w:type="dxa"/>
            <w:vAlign w:val="center"/>
          </w:tcPr>
          <w:p w14:paraId="6E62B0A9" w14:textId="77777777" w:rsidR="00DC3282" w:rsidRPr="00957D53" w:rsidRDefault="00DC3282" w:rsidP="00957D53">
            <w:pPr>
              <w:pStyle w:val="DHHStabletext"/>
              <w:rPr>
                <w:b/>
                <w:bCs/>
              </w:rPr>
            </w:pPr>
            <w:r w:rsidRPr="00957D53">
              <w:rPr>
                <w:b/>
                <w:bCs/>
              </w:rPr>
              <w:t>Monthly variations published</w:t>
            </w:r>
          </w:p>
          <w:p w14:paraId="5B20294C" w14:textId="77777777" w:rsidR="00DC3282" w:rsidRPr="00C62293" w:rsidRDefault="00DC3282" w:rsidP="00957D53">
            <w:pPr>
              <w:pStyle w:val="DHHStabletext"/>
            </w:pPr>
            <w:r w:rsidRPr="00C62293">
              <w:t xml:space="preserve">Organisations can view proposed changes on </w:t>
            </w:r>
            <w:hyperlink r:id="rId38">
              <w:r w:rsidRPr="00957D53">
                <w:rPr>
                  <w:rStyle w:val="Hyperlink"/>
                  <w:rFonts w:cs="Arial"/>
                  <w:sz w:val="21"/>
                  <w:szCs w:val="21"/>
                </w:rPr>
                <w:t>My Agency</w:t>
              </w:r>
            </w:hyperlink>
            <w:r w:rsidRPr="00957D53">
              <w:rPr>
                <w:rFonts w:cs="Arial"/>
                <w:sz w:val="21"/>
                <w:szCs w:val="21"/>
              </w:rPr>
              <w:t xml:space="preserve"> </w:t>
            </w:r>
            <w:r w:rsidRPr="00957D53">
              <w:rPr>
                <w:rFonts w:eastAsia="Segoe UI" w:cs="Arial"/>
                <w:sz w:val="21"/>
                <w:szCs w:val="21"/>
              </w:rPr>
              <w:t>&lt;</w:t>
            </w:r>
            <w:hyperlink r:id="rId39">
              <w:r w:rsidRPr="00957D53">
                <w:rPr>
                  <w:rStyle w:val="Hyperlink"/>
                  <w:rFonts w:eastAsia="Segoe UI" w:cs="Arial"/>
                  <w:sz w:val="21"/>
                  <w:szCs w:val="21"/>
                </w:rPr>
                <w:t>https://fac.dhhs.vic.gov.au/my-agency&gt;.</w:t>
              </w:r>
            </w:hyperlink>
            <w:r w:rsidRPr="00C62293">
              <w:t xml:space="preserve"> Email advice is sent to department and organisation signatories to undertake final check of changes.</w:t>
            </w:r>
          </w:p>
          <w:p w14:paraId="7BDD23A5" w14:textId="77777777" w:rsidR="00DC3282" w:rsidRPr="00C62293" w:rsidRDefault="00DC3282" w:rsidP="00957D53">
            <w:pPr>
              <w:pStyle w:val="DHHStabletext"/>
            </w:pPr>
            <w:r w:rsidRPr="00C62293">
              <w:t>If the 18th of the month falls on a weekend, variations will be published on the next business day. The organisation should contact their service plan leads it there is something they do not understand or agree to in the proposed variation.</w:t>
            </w:r>
          </w:p>
        </w:tc>
      </w:tr>
      <w:tr w:rsidR="00DC3282" w:rsidRPr="00C62293" w14:paraId="06CE8646" w14:textId="77777777" w:rsidTr="00CA3704">
        <w:tc>
          <w:tcPr>
            <w:tcW w:w="1658" w:type="dxa"/>
            <w:vAlign w:val="center"/>
          </w:tcPr>
          <w:p w14:paraId="30171E92" w14:textId="77777777" w:rsidR="00DC3282" w:rsidRPr="00C62293" w:rsidRDefault="00DC3282" w:rsidP="00957D53">
            <w:pPr>
              <w:pStyle w:val="DHHStabletext"/>
            </w:pPr>
            <w:r w:rsidRPr="00C62293">
              <w:t>23rd of each month</w:t>
            </w:r>
          </w:p>
        </w:tc>
        <w:tc>
          <w:tcPr>
            <w:tcW w:w="8655" w:type="dxa"/>
            <w:vAlign w:val="center"/>
          </w:tcPr>
          <w:p w14:paraId="01FC82E9" w14:textId="77777777" w:rsidR="00DC3282" w:rsidRPr="00957D53" w:rsidRDefault="00DC3282" w:rsidP="00957D53">
            <w:pPr>
              <w:pStyle w:val="DHHStabletext"/>
              <w:rPr>
                <w:b/>
                <w:bCs/>
              </w:rPr>
            </w:pPr>
            <w:r w:rsidRPr="00957D53">
              <w:rPr>
                <w:b/>
                <w:bCs/>
              </w:rPr>
              <w:t>Monthly variation becomes effective</w:t>
            </w:r>
          </w:p>
          <w:p w14:paraId="4F36DD24" w14:textId="221EFC51" w:rsidR="00DC3282" w:rsidRPr="00C62293" w:rsidRDefault="00DC3282" w:rsidP="00957D53">
            <w:pPr>
              <w:pStyle w:val="DHHStabletext"/>
            </w:pPr>
            <w:r w:rsidRPr="00C62293">
              <w:t>Variation</w:t>
            </w:r>
            <w:r w:rsidR="00FF61AB">
              <w:t>s</w:t>
            </w:r>
            <w:r w:rsidRPr="00C62293">
              <w:t xml:space="preserve"> become effective once they have been approved by the departments’ signatory. Where funding increases are backdated, any applicable funding arrears payments are processed.</w:t>
            </w:r>
          </w:p>
        </w:tc>
      </w:tr>
    </w:tbl>
    <w:p w14:paraId="31102217" w14:textId="77777777" w:rsidR="00DC3282" w:rsidRDefault="00DC3282" w:rsidP="00DC3282">
      <w:pPr>
        <w:rPr>
          <w:rFonts w:ascii="Verdana" w:eastAsia="Segoe UI" w:hAnsi="Verdana" w:cs="Arial"/>
          <w:b/>
          <w:color w:val="242424"/>
          <w:szCs w:val="21"/>
        </w:rPr>
      </w:pPr>
      <w:bookmarkStart w:id="136" w:name="_Hlk61945408"/>
      <w:r>
        <w:rPr>
          <w:rFonts w:ascii="Verdana" w:eastAsia="Segoe UI" w:hAnsi="Verdana" w:cs="Arial"/>
          <w:b/>
          <w:color w:val="242424"/>
          <w:szCs w:val="21"/>
        </w:rPr>
        <w:br w:type="page"/>
      </w:r>
    </w:p>
    <w:p w14:paraId="52F89329" w14:textId="22F9C7A2" w:rsidR="00DC3282" w:rsidRPr="00135053" w:rsidRDefault="00DC3282" w:rsidP="00957D53">
      <w:pPr>
        <w:pStyle w:val="Heading2"/>
        <w:rPr>
          <w:rFonts w:eastAsia="Segoe UI"/>
        </w:rPr>
      </w:pPr>
      <w:bookmarkStart w:id="137" w:name="_Toc124847236"/>
      <w:r w:rsidRPr="00135053">
        <w:rPr>
          <w:rFonts w:eastAsia="Segoe UI"/>
        </w:rPr>
        <w:lastRenderedPageBreak/>
        <w:t>Six-</w:t>
      </w:r>
      <w:r w:rsidR="00D83C3F">
        <w:rPr>
          <w:rFonts w:eastAsia="Segoe UI"/>
        </w:rPr>
        <w:t>m</w:t>
      </w:r>
      <w:r w:rsidRPr="00135053">
        <w:rPr>
          <w:rFonts w:eastAsia="Segoe UI"/>
        </w:rPr>
        <w:t xml:space="preserve">onthly </w:t>
      </w:r>
      <w:r w:rsidR="00ED763F">
        <w:rPr>
          <w:rFonts w:eastAsia="Segoe UI"/>
        </w:rPr>
        <w:t>r</w:t>
      </w:r>
      <w:r w:rsidRPr="00135053">
        <w:rPr>
          <w:rFonts w:eastAsia="Segoe UI"/>
        </w:rPr>
        <w:t xml:space="preserve">econciliation </w:t>
      </w:r>
      <w:r w:rsidR="00D83C3F">
        <w:rPr>
          <w:rFonts w:eastAsia="Segoe UI"/>
        </w:rPr>
        <w:t xml:space="preserve">funding </w:t>
      </w:r>
      <w:r w:rsidR="00ED763F">
        <w:rPr>
          <w:rFonts w:eastAsia="Segoe UI"/>
        </w:rPr>
        <w:t>r</w:t>
      </w:r>
      <w:r w:rsidRPr="00135053">
        <w:rPr>
          <w:rFonts w:eastAsia="Segoe UI"/>
        </w:rPr>
        <w:t>eporting requirements</w:t>
      </w:r>
      <w:bookmarkEnd w:id="137"/>
      <w:r w:rsidRPr="00135053">
        <w:rPr>
          <w:rFonts w:eastAsia="Segoe UI"/>
        </w:rPr>
        <w:t xml:space="preserve"> </w:t>
      </w:r>
    </w:p>
    <w:p w14:paraId="25327EB0" w14:textId="2BDCB72A" w:rsidR="00DC3282" w:rsidRPr="00957D53" w:rsidRDefault="00DC3282" w:rsidP="00957D53">
      <w:pPr>
        <w:pStyle w:val="DHHSbody"/>
        <w:rPr>
          <w:rFonts w:ascii="Arial" w:hAnsi="Arial" w:cs="Arial"/>
        </w:rPr>
      </w:pPr>
      <w:r w:rsidRPr="00957D53">
        <w:rPr>
          <w:rFonts w:ascii="Arial" w:hAnsi="Arial" w:cs="Arial"/>
        </w:rPr>
        <w:t xml:space="preserve">Service </w:t>
      </w:r>
      <w:r w:rsidR="000B0506">
        <w:rPr>
          <w:rFonts w:ascii="Arial" w:hAnsi="Arial" w:cs="Arial"/>
        </w:rPr>
        <w:t>p</w:t>
      </w:r>
      <w:r w:rsidRPr="00957D53">
        <w:rPr>
          <w:rFonts w:ascii="Arial" w:hAnsi="Arial" w:cs="Arial"/>
        </w:rPr>
        <w:t xml:space="preserve">roviders will be required to submit six-monthly acquittals on all HFRP-funded Activity Descriptors. </w:t>
      </w:r>
    </w:p>
    <w:p w14:paraId="1D32E3E8" w14:textId="1B05E3B7" w:rsidR="00DC3282" w:rsidRPr="00957D53" w:rsidRDefault="00DC3282" w:rsidP="00957D53">
      <w:pPr>
        <w:pStyle w:val="DHHSbody"/>
        <w:rPr>
          <w:rFonts w:ascii="Arial" w:hAnsi="Arial" w:cs="Arial"/>
        </w:rPr>
      </w:pPr>
      <w:r w:rsidRPr="00957D53">
        <w:rPr>
          <w:rFonts w:ascii="Arial" w:hAnsi="Arial" w:cs="Arial"/>
        </w:rPr>
        <w:t xml:space="preserve">This template will be shared with </w:t>
      </w:r>
      <w:r w:rsidR="000B0506">
        <w:rPr>
          <w:rFonts w:ascii="Arial" w:hAnsi="Arial" w:cs="Arial"/>
        </w:rPr>
        <w:t>service provider</w:t>
      </w:r>
      <w:r w:rsidRPr="00957D53">
        <w:rPr>
          <w:rFonts w:ascii="Arial" w:hAnsi="Arial" w:cs="Arial"/>
        </w:rPr>
        <w:t xml:space="preserve">s and is being used to ensure consistency in reporting, noting that these reports will not inform funding allocation. Reporting period and due date information will be circulated </w:t>
      </w:r>
      <w:r w:rsidR="00466C20">
        <w:rPr>
          <w:rFonts w:ascii="Arial" w:hAnsi="Arial" w:cs="Arial"/>
        </w:rPr>
        <w:t>with</w:t>
      </w:r>
      <w:r w:rsidRPr="00957D53">
        <w:rPr>
          <w:rFonts w:ascii="Arial" w:hAnsi="Arial" w:cs="Arial"/>
        </w:rPr>
        <w:t xml:space="preserve"> this template.</w:t>
      </w:r>
    </w:p>
    <w:p w14:paraId="445DF713" w14:textId="4BFDAD22" w:rsidR="00DC3282" w:rsidRDefault="00DC3282" w:rsidP="00957D53">
      <w:pPr>
        <w:pStyle w:val="DHHSbody"/>
        <w:rPr>
          <w:rFonts w:ascii="Arial" w:hAnsi="Arial" w:cs="Arial"/>
        </w:rPr>
      </w:pPr>
      <w:r w:rsidRPr="00957D53">
        <w:rPr>
          <w:rFonts w:ascii="Arial" w:hAnsi="Arial" w:cs="Arial"/>
        </w:rPr>
        <w:t>Reports should be submitted via the HFRP SDE unless otherwise advised by the department.</w:t>
      </w:r>
    </w:p>
    <w:p w14:paraId="23DD8D2D" w14:textId="6D0F224F" w:rsidR="00894684" w:rsidRPr="00957D53" w:rsidRDefault="00894684" w:rsidP="00894684">
      <w:pPr>
        <w:pStyle w:val="Heading3"/>
      </w:pPr>
      <w:r>
        <w:t>Reporting periods</w:t>
      </w:r>
    </w:p>
    <w:p w14:paraId="01D3EC71" w14:textId="77777777" w:rsidR="0016216C" w:rsidRPr="0016216C" w:rsidRDefault="0016216C" w:rsidP="0016216C">
      <w:pPr>
        <w:pStyle w:val="Bullet1"/>
        <w:rPr>
          <w:rFonts w:eastAsia="Arial" w:cs="Arial"/>
        </w:rPr>
      </w:pPr>
      <w:r>
        <w:t xml:space="preserve">Bi-Annual Report 1 (1 December 2022 – 30 June 2023): </w:t>
      </w:r>
      <w:r>
        <w:rPr>
          <w:rFonts w:cs="Arial"/>
        </w:rPr>
        <w:t>report due 15 July 2023</w:t>
      </w:r>
    </w:p>
    <w:p w14:paraId="7682DB1D" w14:textId="53685880" w:rsidR="0016216C" w:rsidRPr="0016216C" w:rsidRDefault="0016216C" w:rsidP="0016216C">
      <w:pPr>
        <w:pStyle w:val="Bullet1"/>
        <w:rPr>
          <w:rFonts w:eastAsia="Arial" w:cs="Arial"/>
        </w:rPr>
      </w:pPr>
      <w:r>
        <w:t>Bi-Annual Report 2 (</w:t>
      </w:r>
      <w:r w:rsidRPr="0016216C">
        <w:rPr>
          <w:rFonts w:cs="Arial"/>
        </w:rPr>
        <w:t>1 July 2023 to 30 November 2023): report due 15 December 2023</w:t>
      </w:r>
    </w:p>
    <w:p w14:paraId="63576866" w14:textId="0C85AD55" w:rsidR="00F044FE" w:rsidRPr="00F044FE" w:rsidRDefault="00F044FE" w:rsidP="00F044FE">
      <w:pPr>
        <w:spacing w:after="0" w:line="240" w:lineRule="auto"/>
        <w:rPr>
          <w:rFonts w:eastAsia="Times" w:cs="Arial"/>
        </w:rPr>
      </w:pPr>
      <w:r>
        <w:rPr>
          <w:rFonts w:cs="Arial"/>
        </w:rPr>
        <w:br w:type="page"/>
      </w:r>
    </w:p>
    <w:p w14:paraId="7AEAEB44" w14:textId="36CBEED4" w:rsidR="00F044FE" w:rsidRPr="00544AED" w:rsidRDefault="00F044FE" w:rsidP="00F044FE">
      <w:pPr>
        <w:pStyle w:val="Heading1"/>
      </w:pPr>
      <w:bookmarkStart w:id="138" w:name="_Toc111195455"/>
      <w:bookmarkStart w:id="139" w:name="_Toc119413955"/>
      <w:bookmarkStart w:id="140" w:name="_Toc123723385"/>
      <w:bookmarkStart w:id="141" w:name="_Toc124847237"/>
      <w:bookmarkEnd w:id="136"/>
      <w:r w:rsidRPr="00544AED">
        <w:lastRenderedPageBreak/>
        <w:t xml:space="preserve">Appendix </w:t>
      </w:r>
      <w:r>
        <w:t>2</w:t>
      </w:r>
      <w:r w:rsidRPr="00544AED">
        <w:t xml:space="preserve"> – </w:t>
      </w:r>
      <w:r w:rsidR="00ED763F">
        <w:t>m</w:t>
      </w:r>
      <w:r w:rsidRPr="00544AED">
        <w:t>easuring program performance through activity-based targets</w:t>
      </w:r>
      <w:bookmarkEnd w:id="138"/>
      <w:bookmarkEnd w:id="139"/>
      <w:bookmarkEnd w:id="140"/>
      <w:bookmarkEnd w:id="141"/>
    </w:p>
    <w:p w14:paraId="215082B8" w14:textId="37804FC2" w:rsidR="00F044FE" w:rsidRPr="00F044FE" w:rsidRDefault="00F044FE" w:rsidP="00F044FE">
      <w:pPr>
        <w:pStyle w:val="DHHSbody"/>
        <w:rPr>
          <w:rFonts w:ascii="Arial" w:hAnsi="Arial" w:cs="Arial"/>
        </w:rPr>
      </w:pPr>
      <w:bookmarkStart w:id="142" w:name="_Toc415497428"/>
      <w:r w:rsidRPr="00F044FE">
        <w:rPr>
          <w:rFonts w:ascii="Arial" w:hAnsi="Arial" w:cs="Arial"/>
        </w:rPr>
        <w:t>Homes Victoria will</w:t>
      </w:r>
      <w:r w:rsidRPr="00F044FE">
        <w:rPr>
          <w:rFonts w:ascii="Arial" w:hAnsi="Arial" w:cs="Arial"/>
          <w:szCs w:val="21"/>
        </w:rPr>
        <w:t xml:space="preserve"> </w:t>
      </w:r>
      <w:r w:rsidRPr="00F044FE">
        <w:rPr>
          <w:rFonts w:ascii="Arial" w:hAnsi="Arial" w:cs="Arial"/>
        </w:rPr>
        <w:t>monitor</w:t>
      </w:r>
      <w:r w:rsidRPr="00F044FE">
        <w:rPr>
          <w:rFonts w:ascii="Arial" w:hAnsi="Arial" w:cs="Arial"/>
          <w:szCs w:val="21"/>
        </w:rPr>
        <w:t xml:space="preserve"> </w:t>
      </w:r>
      <w:r w:rsidRPr="00F044FE">
        <w:rPr>
          <w:rFonts w:ascii="Arial" w:hAnsi="Arial" w:cs="Arial"/>
        </w:rPr>
        <w:t>HFRP</w:t>
      </w:r>
      <w:r w:rsidRPr="00F044FE">
        <w:rPr>
          <w:rFonts w:ascii="Arial" w:hAnsi="Arial" w:cs="Arial"/>
          <w:szCs w:val="21"/>
        </w:rPr>
        <w:t xml:space="preserve"> </w:t>
      </w:r>
      <w:r w:rsidR="000B0506">
        <w:rPr>
          <w:rFonts w:ascii="Arial" w:hAnsi="Arial" w:cs="Arial"/>
        </w:rPr>
        <w:t>service provider</w:t>
      </w:r>
      <w:r w:rsidRPr="00F044FE">
        <w:rPr>
          <w:rFonts w:ascii="Arial" w:hAnsi="Arial" w:cs="Arial"/>
        </w:rPr>
        <w:t>s</w:t>
      </w:r>
      <w:r w:rsidRPr="00F044FE">
        <w:rPr>
          <w:rFonts w:ascii="Arial" w:hAnsi="Arial" w:cs="Arial"/>
          <w:szCs w:val="21"/>
        </w:rPr>
        <w:t xml:space="preserve">’ </w:t>
      </w:r>
      <w:r w:rsidRPr="00F044FE">
        <w:rPr>
          <w:rFonts w:ascii="Arial" w:hAnsi="Arial" w:cs="Arial"/>
        </w:rPr>
        <w:t>performance</w:t>
      </w:r>
      <w:r w:rsidRPr="00F044FE">
        <w:rPr>
          <w:rFonts w:ascii="Arial" w:hAnsi="Arial" w:cs="Arial"/>
          <w:szCs w:val="21"/>
        </w:rPr>
        <w:t xml:space="preserve"> </w:t>
      </w:r>
      <w:r w:rsidRPr="00F044FE">
        <w:rPr>
          <w:rFonts w:ascii="Arial" w:hAnsi="Arial" w:cs="Arial"/>
        </w:rPr>
        <w:t>based</w:t>
      </w:r>
      <w:r w:rsidRPr="00F044FE">
        <w:rPr>
          <w:rFonts w:ascii="Arial" w:hAnsi="Arial" w:cs="Arial"/>
          <w:szCs w:val="21"/>
        </w:rPr>
        <w:t xml:space="preserve"> </w:t>
      </w:r>
      <w:r w:rsidRPr="00F044FE">
        <w:rPr>
          <w:rFonts w:ascii="Arial" w:hAnsi="Arial" w:cs="Arial"/>
        </w:rPr>
        <w:t>on</w:t>
      </w:r>
      <w:r w:rsidRPr="00F044FE">
        <w:rPr>
          <w:rFonts w:ascii="Arial" w:hAnsi="Arial" w:cs="Arial"/>
          <w:szCs w:val="21"/>
        </w:rPr>
        <w:t xml:space="preserve"> </w:t>
      </w:r>
      <w:r w:rsidRPr="00F044FE">
        <w:rPr>
          <w:rFonts w:ascii="Arial" w:hAnsi="Arial" w:cs="Arial"/>
        </w:rPr>
        <w:t>DFFH’s</w:t>
      </w:r>
      <w:r w:rsidRPr="00F044FE">
        <w:rPr>
          <w:rFonts w:ascii="Arial" w:hAnsi="Arial" w:cs="Arial"/>
          <w:szCs w:val="21"/>
        </w:rPr>
        <w:t xml:space="preserve"> </w:t>
      </w:r>
      <w:r w:rsidRPr="00F044FE">
        <w:rPr>
          <w:rFonts w:ascii="Arial" w:hAnsi="Arial" w:cs="Arial"/>
        </w:rPr>
        <w:t>Agency</w:t>
      </w:r>
      <w:r w:rsidRPr="00F044FE">
        <w:rPr>
          <w:rFonts w:ascii="Arial" w:hAnsi="Arial" w:cs="Arial"/>
          <w:szCs w:val="21"/>
        </w:rPr>
        <w:t xml:space="preserve"> </w:t>
      </w:r>
      <w:r w:rsidRPr="00F044FE">
        <w:rPr>
          <w:rFonts w:ascii="Arial" w:hAnsi="Arial" w:cs="Arial"/>
        </w:rPr>
        <w:t>Monitoring</w:t>
      </w:r>
      <w:r w:rsidRPr="00F044FE">
        <w:rPr>
          <w:rFonts w:ascii="Arial" w:hAnsi="Arial" w:cs="Arial"/>
          <w:szCs w:val="21"/>
        </w:rPr>
        <w:t xml:space="preserve"> </w:t>
      </w:r>
      <w:r w:rsidRPr="00F044FE">
        <w:rPr>
          <w:rFonts w:ascii="Arial" w:hAnsi="Arial" w:cs="Arial"/>
        </w:rPr>
        <w:t>Framework</w:t>
      </w:r>
      <w:r w:rsidRPr="00F044FE">
        <w:rPr>
          <w:rStyle w:val="FootnoteReference"/>
          <w:rFonts w:ascii="Arial" w:hAnsi="Arial" w:cs="Arial"/>
        </w:rPr>
        <w:footnoteReference w:id="2"/>
      </w:r>
      <w:r w:rsidRPr="00F044FE">
        <w:rPr>
          <w:rFonts w:ascii="Arial" w:hAnsi="Arial" w:cs="Arial"/>
          <w:szCs w:val="21"/>
        </w:rPr>
        <w:t xml:space="preserve">. </w:t>
      </w:r>
    </w:p>
    <w:p w14:paraId="02754CE9" w14:textId="3C8E385E" w:rsidR="00F044FE" w:rsidRPr="00F044FE" w:rsidRDefault="00F044FE" w:rsidP="00F044FE">
      <w:pPr>
        <w:pStyle w:val="Body"/>
        <w:rPr>
          <w:b/>
          <w:bCs/>
        </w:rPr>
      </w:pPr>
      <w:bookmarkStart w:id="143" w:name="_Toc56612610"/>
      <w:bookmarkStart w:id="144" w:name="_Toc57111861"/>
      <w:bookmarkStart w:id="145" w:name="_Toc57819642"/>
      <w:bookmarkEnd w:id="142"/>
      <w:r w:rsidRPr="00544AED">
        <w:rPr>
          <w:b/>
          <w:bCs/>
        </w:rPr>
        <w:t xml:space="preserve">How is the </w:t>
      </w:r>
      <w:r>
        <w:rPr>
          <w:b/>
          <w:bCs/>
        </w:rPr>
        <w:t>HFR</w:t>
      </w:r>
      <w:r w:rsidRPr="00544AED">
        <w:rPr>
          <w:b/>
          <w:bCs/>
        </w:rPr>
        <w:t xml:space="preserve"> </w:t>
      </w:r>
      <w:r>
        <w:rPr>
          <w:b/>
          <w:bCs/>
        </w:rPr>
        <w:t>P</w:t>
      </w:r>
      <w:r w:rsidRPr="00544AED">
        <w:rPr>
          <w:b/>
          <w:bCs/>
        </w:rPr>
        <w:t>rogram performance measured?</w:t>
      </w:r>
      <w:bookmarkEnd w:id="143"/>
      <w:bookmarkEnd w:id="144"/>
      <w:bookmarkEnd w:id="145"/>
      <w:r w:rsidRPr="00544AED">
        <w:rPr>
          <w:b/>
          <w:bCs/>
        </w:rPr>
        <w:t xml:space="preserve"> </w:t>
      </w:r>
    </w:p>
    <w:p w14:paraId="0E05E526" w14:textId="5C257229" w:rsidR="00F044FE" w:rsidRPr="00F044FE" w:rsidRDefault="00F044FE" w:rsidP="00F044FE">
      <w:pPr>
        <w:pStyle w:val="DHHSbody"/>
        <w:rPr>
          <w:rFonts w:ascii="Arial" w:hAnsi="Arial" w:cs="Arial"/>
        </w:rPr>
      </w:pPr>
      <w:r w:rsidRPr="00F044FE">
        <w:rPr>
          <w:rFonts w:ascii="Arial" w:hAnsi="Arial" w:cs="Arial"/>
        </w:rPr>
        <w:t xml:space="preserve">The </w:t>
      </w:r>
      <w:r w:rsidR="00ED763F">
        <w:rPr>
          <w:rFonts w:ascii="Arial" w:hAnsi="Arial" w:cs="Arial"/>
        </w:rPr>
        <w:t>s</w:t>
      </w:r>
      <w:r w:rsidRPr="00F044FE">
        <w:rPr>
          <w:rFonts w:ascii="Arial" w:hAnsi="Arial" w:cs="Arial"/>
        </w:rPr>
        <w:t xml:space="preserve">ervice </w:t>
      </w:r>
      <w:r w:rsidR="00ED763F">
        <w:rPr>
          <w:rFonts w:ascii="Arial" w:hAnsi="Arial" w:cs="Arial"/>
        </w:rPr>
        <w:t>a</w:t>
      </w:r>
      <w:r w:rsidRPr="00F044FE">
        <w:rPr>
          <w:rFonts w:ascii="Arial" w:hAnsi="Arial" w:cs="Arial"/>
        </w:rPr>
        <w:t xml:space="preserve">greement between HFRP </w:t>
      </w:r>
      <w:r w:rsidR="000B0506">
        <w:rPr>
          <w:rFonts w:ascii="Arial" w:hAnsi="Arial" w:cs="Arial"/>
        </w:rPr>
        <w:t>service provider</w:t>
      </w:r>
      <w:r w:rsidRPr="00F044FE">
        <w:rPr>
          <w:rFonts w:ascii="Arial" w:hAnsi="Arial" w:cs="Arial"/>
        </w:rPr>
        <w:t>s and Homes Victoria incorporates activity-based targets for each expected performance measure used for the program’s monitoring. Below is a summary table with the performance measures, target and data source and access for each funded HFRP activity.</w:t>
      </w:r>
    </w:p>
    <w:p w14:paraId="13349157" w14:textId="0B8528DF" w:rsidR="00F044FE" w:rsidRPr="00F044FE" w:rsidRDefault="00F044FE" w:rsidP="00F044FE">
      <w:pPr>
        <w:spacing w:line="270" w:lineRule="atLeast"/>
        <w:rPr>
          <w:b/>
        </w:rPr>
      </w:pPr>
      <w:r w:rsidRPr="00F044FE">
        <w:rPr>
          <w:b/>
        </w:rPr>
        <w:t xml:space="preserve">Table </w:t>
      </w:r>
      <w:r>
        <w:rPr>
          <w:b/>
        </w:rPr>
        <w:t>3</w:t>
      </w:r>
      <w:r w:rsidRPr="00F044FE">
        <w:rPr>
          <w:b/>
        </w:rPr>
        <w:t>: measuring HFRP’s performance via activity-based targets</w:t>
      </w:r>
    </w:p>
    <w:tbl>
      <w:tblPr>
        <w:tblStyle w:val="TableGrid"/>
        <w:tblW w:w="10358" w:type="dxa"/>
        <w:tblInd w:w="-5" w:type="dxa"/>
        <w:tblBorders>
          <w:top w:val="single" w:sz="4" w:space="0" w:color="032833"/>
          <w:left w:val="single" w:sz="4" w:space="0" w:color="032833"/>
          <w:bottom w:val="single" w:sz="4" w:space="0" w:color="032833"/>
          <w:right w:val="single" w:sz="4" w:space="0" w:color="032833"/>
          <w:insideH w:val="single" w:sz="4" w:space="0" w:color="032833"/>
          <w:insideV w:val="single" w:sz="4" w:space="0" w:color="032833"/>
        </w:tblBorders>
        <w:tblLook w:val="06A0" w:firstRow="1" w:lastRow="0" w:firstColumn="1" w:lastColumn="0" w:noHBand="1" w:noVBand="1"/>
      </w:tblPr>
      <w:tblGrid>
        <w:gridCol w:w="1260"/>
        <w:gridCol w:w="1770"/>
        <w:gridCol w:w="2098"/>
        <w:gridCol w:w="2190"/>
        <w:gridCol w:w="1658"/>
        <w:gridCol w:w="1382"/>
      </w:tblGrid>
      <w:tr w:rsidR="00F044FE" w:rsidRPr="00F044FE" w14:paraId="79962462" w14:textId="77777777" w:rsidTr="00F044FE">
        <w:trPr>
          <w:trHeight w:val="231"/>
        </w:trPr>
        <w:tc>
          <w:tcPr>
            <w:tcW w:w="1260" w:type="dxa"/>
            <w:shd w:val="clear" w:color="auto" w:fill="auto"/>
          </w:tcPr>
          <w:p w14:paraId="62B8625D" w14:textId="77777777" w:rsidR="00F044FE" w:rsidRPr="00F044FE" w:rsidRDefault="00F044FE" w:rsidP="00F044FE">
            <w:pPr>
              <w:pStyle w:val="DHHStablecolhead"/>
            </w:pPr>
            <w:r w:rsidRPr="00F044FE">
              <w:rPr>
                <w:color w:val="auto"/>
              </w:rPr>
              <w:t>Activity number</w:t>
            </w:r>
          </w:p>
        </w:tc>
        <w:tc>
          <w:tcPr>
            <w:tcW w:w="1770" w:type="dxa"/>
            <w:shd w:val="clear" w:color="auto" w:fill="auto"/>
          </w:tcPr>
          <w:p w14:paraId="56A2669F" w14:textId="77777777" w:rsidR="00F044FE" w:rsidRPr="00F044FE" w:rsidRDefault="00F044FE" w:rsidP="00CA3704">
            <w:pPr>
              <w:pStyle w:val="DHHStablecolhead"/>
              <w:rPr>
                <w:color w:val="auto"/>
              </w:rPr>
            </w:pPr>
            <w:r w:rsidRPr="00F044FE">
              <w:rPr>
                <w:color w:val="auto"/>
              </w:rPr>
              <w:t>Activity name</w:t>
            </w:r>
          </w:p>
        </w:tc>
        <w:tc>
          <w:tcPr>
            <w:tcW w:w="2098" w:type="dxa"/>
            <w:shd w:val="clear" w:color="auto" w:fill="auto"/>
          </w:tcPr>
          <w:p w14:paraId="2F47BDA0" w14:textId="77777777" w:rsidR="00F044FE" w:rsidRPr="00F044FE" w:rsidRDefault="00F044FE" w:rsidP="00CA3704">
            <w:pPr>
              <w:pStyle w:val="DHHStablecolhead"/>
              <w:rPr>
                <w:color w:val="auto"/>
              </w:rPr>
            </w:pPr>
            <w:r w:rsidRPr="00F044FE">
              <w:rPr>
                <w:color w:val="auto"/>
              </w:rPr>
              <w:t>Performance measure</w:t>
            </w:r>
          </w:p>
        </w:tc>
        <w:tc>
          <w:tcPr>
            <w:tcW w:w="2190" w:type="dxa"/>
            <w:shd w:val="clear" w:color="auto" w:fill="auto"/>
          </w:tcPr>
          <w:p w14:paraId="6E42711F" w14:textId="77777777" w:rsidR="00F044FE" w:rsidRPr="00F044FE" w:rsidRDefault="00F044FE" w:rsidP="00CA3704">
            <w:pPr>
              <w:pStyle w:val="DHHStablecolhead"/>
              <w:rPr>
                <w:color w:val="auto"/>
              </w:rPr>
            </w:pPr>
            <w:r w:rsidRPr="00F044FE">
              <w:rPr>
                <w:color w:val="auto"/>
              </w:rPr>
              <w:t>Target</w:t>
            </w:r>
          </w:p>
        </w:tc>
        <w:tc>
          <w:tcPr>
            <w:tcW w:w="1658" w:type="dxa"/>
            <w:shd w:val="clear" w:color="auto" w:fill="auto"/>
          </w:tcPr>
          <w:p w14:paraId="05FAB5D7" w14:textId="77777777" w:rsidR="00F044FE" w:rsidRPr="00F044FE" w:rsidRDefault="00F044FE" w:rsidP="00CA3704">
            <w:pPr>
              <w:pStyle w:val="DHHStablecolhead"/>
              <w:rPr>
                <w:color w:val="auto"/>
              </w:rPr>
            </w:pPr>
            <w:r w:rsidRPr="00F044FE">
              <w:rPr>
                <w:color w:val="auto"/>
              </w:rPr>
              <w:t>Data source</w:t>
            </w:r>
          </w:p>
        </w:tc>
        <w:tc>
          <w:tcPr>
            <w:tcW w:w="1382" w:type="dxa"/>
            <w:shd w:val="clear" w:color="auto" w:fill="auto"/>
          </w:tcPr>
          <w:p w14:paraId="7E1EAB14" w14:textId="77777777" w:rsidR="00F044FE" w:rsidRPr="00F044FE" w:rsidRDefault="00F044FE" w:rsidP="00CA3704">
            <w:pPr>
              <w:pStyle w:val="DHHStablecolhead"/>
              <w:rPr>
                <w:color w:val="auto"/>
              </w:rPr>
            </w:pPr>
            <w:r w:rsidRPr="00F044FE">
              <w:rPr>
                <w:color w:val="auto"/>
              </w:rPr>
              <w:t>Data access</w:t>
            </w:r>
          </w:p>
        </w:tc>
      </w:tr>
      <w:tr w:rsidR="00F044FE" w:rsidRPr="00F044FE" w14:paraId="030DD565" w14:textId="77777777" w:rsidTr="00F044FE">
        <w:trPr>
          <w:trHeight w:val="610"/>
        </w:trPr>
        <w:tc>
          <w:tcPr>
            <w:tcW w:w="1260" w:type="dxa"/>
            <w:shd w:val="clear" w:color="auto" w:fill="auto"/>
          </w:tcPr>
          <w:p w14:paraId="0FFEC934" w14:textId="77777777" w:rsidR="00F044FE" w:rsidRPr="00F044FE" w:rsidRDefault="00F044FE" w:rsidP="00F044FE">
            <w:pPr>
              <w:pStyle w:val="DHHStabletext"/>
            </w:pPr>
            <w:r w:rsidRPr="00F044FE">
              <w:t>94842</w:t>
            </w:r>
          </w:p>
        </w:tc>
        <w:tc>
          <w:tcPr>
            <w:tcW w:w="1770" w:type="dxa"/>
            <w:shd w:val="clear" w:color="auto" w:fill="auto"/>
          </w:tcPr>
          <w:p w14:paraId="3C797E46" w14:textId="77777777" w:rsidR="00F044FE" w:rsidRPr="00F044FE" w:rsidRDefault="00F044FE" w:rsidP="00F044FE">
            <w:pPr>
              <w:pStyle w:val="DHHStabletext"/>
            </w:pPr>
            <w:r w:rsidRPr="00F044FE">
              <w:t>Homelessness client support</w:t>
            </w:r>
          </w:p>
        </w:tc>
        <w:tc>
          <w:tcPr>
            <w:tcW w:w="2098" w:type="dxa"/>
            <w:shd w:val="clear" w:color="auto" w:fill="auto"/>
          </w:tcPr>
          <w:p w14:paraId="1BEE079E" w14:textId="77777777" w:rsidR="00F044FE" w:rsidRPr="00F044FE" w:rsidRDefault="00F044FE" w:rsidP="00F044FE">
            <w:pPr>
              <w:pStyle w:val="DHHStabletext"/>
            </w:pPr>
            <w:r w:rsidRPr="00F044FE">
              <w:t>Number of clients supported</w:t>
            </w:r>
          </w:p>
        </w:tc>
        <w:tc>
          <w:tcPr>
            <w:tcW w:w="2190" w:type="dxa"/>
            <w:shd w:val="clear" w:color="auto" w:fill="auto"/>
          </w:tcPr>
          <w:p w14:paraId="15A6F71E" w14:textId="77777777" w:rsidR="00F044FE" w:rsidRPr="00F044FE" w:rsidRDefault="00F044FE" w:rsidP="00F044FE">
            <w:pPr>
              <w:pStyle w:val="DHHStabletext"/>
            </w:pPr>
            <w:r w:rsidRPr="00F044FE">
              <w:t>Number of clients as stated in the Service Agreement (non-cumulative)</w:t>
            </w:r>
          </w:p>
        </w:tc>
        <w:tc>
          <w:tcPr>
            <w:tcW w:w="1658" w:type="dxa"/>
            <w:shd w:val="clear" w:color="auto" w:fill="auto"/>
          </w:tcPr>
          <w:p w14:paraId="4162EEA6" w14:textId="77777777" w:rsidR="00F044FE" w:rsidRPr="00F044FE" w:rsidRDefault="00F044FE" w:rsidP="00F044FE">
            <w:pPr>
              <w:pStyle w:val="DHHStabletext"/>
            </w:pPr>
            <w:r w:rsidRPr="00F044FE">
              <w:t>Homelessness Data Collection</w:t>
            </w:r>
          </w:p>
        </w:tc>
        <w:tc>
          <w:tcPr>
            <w:tcW w:w="1382" w:type="dxa"/>
            <w:shd w:val="clear" w:color="auto" w:fill="auto"/>
          </w:tcPr>
          <w:p w14:paraId="0B6A2B5A" w14:textId="77777777" w:rsidR="00F044FE" w:rsidRPr="00F044FE" w:rsidRDefault="00F044FE" w:rsidP="00F044FE">
            <w:pPr>
              <w:pStyle w:val="DHHStabletext"/>
            </w:pPr>
            <w:r w:rsidRPr="00F044FE">
              <w:t>SHIP</w:t>
            </w:r>
          </w:p>
        </w:tc>
      </w:tr>
      <w:tr w:rsidR="00F044FE" w:rsidRPr="00F044FE" w14:paraId="47F816EA" w14:textId="77777777" w:rsidTr="00F044FE">
        <w:trPr>
          <w:trHeight w:val="610"/>
        </w:trPr>
        <w:tc>
          <w:tcPr>
            <w:tcW w:w="1260" w:type="dxa"/>
            <w:shd w:val="clear" w:color="auto" w:fill="auto"/>
          </w:tcPr>
          <w:p w14:paraId="44C031EC" w14:textId="77777777" w:rsidR="00F044FE" w:rsidRPr="00F044FE" w:rsidRDefault="00F044FE" w:rsidP="00F044FE">
            <w:pPr>
              <w:pStyle w:val="Tabletext"/>
            </w:pPr>
            <w:r w:rsidRPr="00F044FE">
              <w:t>94842</w:t>
            </w:r>
          </w:p>
        </w:tc>
        <w:tc>
          <w:tcPr>
            <w:tcW w:w="1770" w:type="dxa"/>
            <w:shd w:val="clear" w:color="auto" w:fill="auto"/>
          </w:tcPr>
          <w:p w14:paraId="1C48075A" w14:textId="77777777" w:rsidR="00F044FE" w:rsidRPr="00F044FE" w:rsidRDefault="00F044FE" w:rsidP="00F044FE">
            <w:pPr>
              <w:pStyle w:val="Tabletext"/>
            </w:pPr>
            <w:r w:rsidRPr="00F044FE">
              <w:t>Homelessness client support</w:t>
            </w:r>
          </w:p>
        </w:tc>
        <w:tc>
          <w:tcPr>
            <w:tcW w:w="2098" w:type="dxa"/>
            <w:shd w:val="clear" w:color="auto" w:fill="auto"/>
          </w:tcPr>
          <w:p w14:paraId="124EBF4C" w14:textId="77777777" w:rsidR="00F044FE" w:rsidRPr="00F044FE" w:rsidRDefault="00F044FE" w:rsidP="00F044FE">
            <w:pPr>
              <w:pStyle w:val="Tabletext"/>
            </w:pPr>
            <w:r w:rsidRPr="00F044FE">
              <w:t>Proportion of services provided or referred</w:t>
            </w:r>
          </w:p>
        </w:tc>
        <w:tc>
          <w:tcPr>
            <w:tcW w:w="2190" w:type="dxa"/>
            <w:shd w:val="clear" w:color="auto" w:fill="auto"/>
          </w:tcPr>
          <w:p w14:paraId="720D718A" w14:textId="77777777" w:rsidR="00F044FE" w:rsidRPr="00F044FE" w:rsidRDefault="00F044FE" w:rsidP="00F044FE">
            <w:pPr>
              <w:pStyle w:val="Tabletext"/>
            </w:pPr>
            <w:r w:rsidRPr="00F044FE">
              <w:t>70 per cent (non-cumulative)</w:t>
            </w:r>
          </w:p>
        </w:tc>
        <w:tc>
          <w:tcPr>
            <w:tcW w:w="1658" w:type="dxa"/>
            <w:shd w:val="clear" w:color="auto" w:fill="auto"/>
          </w:tcPr>
          <w:p w14:paraId="08C9BE69" w14:textId="7B9E5616" w:rsidR="00F044FE" w:rsidRPr="00F044FE" w:rsidRDefault="00F044FE" w:rsidP="00F044FE">
            <w:pPr>
              <w:pStyle w:val="Tabletext"/>
            </w:pPr>
            <w:r w:rsidRPr="00F044FE">
              <w:t xml:space="preserve">Six-monthly </w:t>
            </w:r>
            <w:r w:rsidR="00D83C3F">
              <w:t>funding r</w:t>
            </w:r>
            <w:r w:rsidRPr="00F044FE">
              <w:t>econciliation report</w:t>
            </w:r>
          </w:p>
        </w:tc>
        <w:tc>
          <w:tcPr>
            <w:tcW w:w="1382" w:type="dxa"/>
            <w:shd w:val="clear" w:color="auto" w:fill="auto"/>
          </w:tcPr>
          <w:p w14:paraId="3E9A7E9D" w14:textId="77777777" w:rsidR="00F044FE" w:rsidRPr="00F044FE" w:rsidRDefault="00F044FE" w:rsidP="00F044FE">
            <w:pPr>
              <w:pStyle w:val="Tabletext"/>
            </w:pPr>
            <w:r w:rsidRPr="00F044FE">
              <w:t>Secure MS Teams channel</w:t>
            </w:r>
          </w:p>
        </w:tc>
      </w:tr>
      <w:tr w:rsidR="00F044FE" w:rsidRPr="00F044FE" w14:paraId="313FB42A" w14:textId="77777777" w:rsidTr="00F044FE">
        <w:trPr>
          <w:trHeight w:val="610"/>
        </w:trPr>
        <w:tc>
          <w:tcPr>
            <w:tcW w:w="1260" w:type="dxa"/>
            <w:shd w:val="clear" w:color="auto" w:fill="auto"/>
          </w:tcPr>
          <w:p w14:paraId="1393EC99" w14:textId="77777777" w:rsidR="00F044FE" w:rsidRPr="00F044FE" w:rsidRDefault="00F044FE" w:rsidP="00F044FE">
            <w:pPr>
              <w:pStyle w:val="Tabletext"/>
            </w:pPr>
            <w:r w:rsidRPr="00F044FE">
              <w:t>94843</w:t>
            </w:r>
          </w:p>
        </w:tc>
        <w:tc>
          <w:tcPr>
            <w:tcW w:w="1770" w:type="dxa"/>
            <w:shd w:val="clear" w:color="auto" w:fill="auto"/>
          </w:tcPr>
          <w:p w14:paraId="2CE8580A" w14:textId="77777777" w:rsidR="00F044FE" w:rsidRPr="00F044FE" w:rsidRDefault="00F044FE" w:rsidP="00F044FE">
            <w:pPr>
              <w:pStyle w:val="Tabletext"/>
            </w:pPr>
            <w:r w:rsidRPr="00F044FE">
              <w:t>Homelessness housing and tenancy administration</w:t>
            </w:r>
          </w:p>
        </w:tc>
        <w:tc>
          <w:tcPr>
            <w:tcW w:w="2098" w:type="dxa"/>
            <w:shd w:val="clear" w:color="auto" w:fill="auto"/>
          </w:tcPr>
          <w:p w14:paraId="688642C9" w14:textId="77777777" w:rsidR="00F044FE" w:rsidRPr="00F044FE" w:rsidRDefault="00F044FE" w:rsidP="00F044FE">
            <w:pPr>
              <w:pStyle w:val="Tabletext"/>
            </w:pPr>
            <w:r w:rsidRPr="00F044FE">
              <w:t>Number of tenancies</w:t>
            </w:r>
          </w:p>
        </w:tc>
        <w:tc>
          <w:tcPr>
            <w:tcW w:w="2190" w:type="dxa"/>
            <w:shd w:val="clear" w:color="auto" w:fill="auto"/>
          </w:tcPr>
          <w:p w14:paraId="01BCF9FB" w14:textId="77777777" w:rsidR="00F044FE" w:rsidRPr="00F044FE" w:rsidRDefault="00F044FE" w:rsidP="00F044FE">
            <w:pPr>
              <w:pStyle w:val="Tabletext"/>
            </w:pPr>
            <w:r w:rsidRPr="00F044FE">
              <w:t xml:space="preserve">The performance measure target is provided in the Service Agreement. (non-cumulative) </w:t>
            </w:r>
          </w:p>
        </w:tc>
        <w:tc>
          <w:tcPr>
            <w:tcW w:w="1658" w:type="dxa"/>
            <w:shd w:val="clear" w:color="auto" w:fill="auto"/>
          </w:tcPr>
          <w:p w14:paraId="49CEC74F" w14:textId="77777777" w:rsidR="00F044FE" w:rsidRPr="00F044FE" w:rsidRDefault="00F044FE" w:rsidP="00F044FE">
            <w:pPr>
              <w:pStyle w:val="Tabletext"/>
            </w:pPr>
            <w:r w:rsidRPr="00F044FE">
              <w:t xml:space="preserve">Service delivery tracking system (SDT) </w:t>
            </w:r>
          </w:p>
        </w:tc>
        <w:tc>
          <w:tcPr>
            <w:tcW w:w="1382" w:type="dxa"/>
            <w:shd w:val="clear" w:color="auto" w:fill="auto"/>
          </w:tcPr>
          <w:p w14:paraId="1CC0F33A" w14:textId="77777777" w:rsidR="00F044FE" w:rsidRPr="00F044FE" w:rsidRDefault="00F044FE" w:rsidP="00F044FE">
            <w:pPr>
              <w:pStyle w:val="Tabletext"/>
            </w:pPr>
            <w:r w:rsidRPr="00F044FE">
              <w:t>SDT</w:t>
            </w:r>
          </w:p>
        </w:tc>
      </w:tr>
      <w:tr w:rsidR="00F044FE" w:rsidRPr="00F044FE" w14:paraId="50B0F5D4" w14:textId="77777777" w:rsidTr="00F044FE">
        <w:trPr>
          <w:trHeight w:val="610"/>
        </w:trPr>
        <w:tc>
          <w:tcPr>
            <w:tcW w:w="1260" w:type="dxa"/>
            <w:shd w:val="clear" w:color="auto" w:fill="auto"/>
          </w:tcPr>
          <w:p w14:paraId="73EF7CA8" w14:textId="77777777" w:rsidR="00F044FE" w:rsidRPr="00F044FE" w:rsidRDefault="00F044FE" w:rsidP="00F044FE">
            <w:pPr>
              <w:pStyle w:val="Tabletext"/>
            </w:pPr>
            <w:r w:rsidRPr="00F044FE">
              <w:t>94844</w:t>
            </w:r>
          </w:p>
        </w:tc>
        <w:tc>
          <w:tcPr>
            <w:tcW w:w="1770" w:type="dxa"/>
            <w:shd w:val="clear" w:color="auto" w:fill="auto"/>
          </w:tcPr>
          <w:p w14:paraId="458E2B39" w14:textId="77777777" w:rsidR="00F044FE" w:rsidRPr="00F044FE" w:rsidRDefault="00F044FE" w:rsidP="00F044FE">
            <w:pPr>
              <w:pStyle w:val="Tabletext"/>
            </w:pPr>
            <w:r w:rsidRPr="00F044FE">
              <w:t>Homelessness flexible funding</w:t>
            </w:r>
          </w:p>
        </w:tc>
        <w:tc>
          <w:tcPr>
            <w:tcW w:w="2098" w:type="dxa"/>
            <w:shd w:val="clear" w:color="auto" w:fill="auto"/>
          </w:tcPr>
          <w:p w14:paraId="7A1CFCA6" w14:textId="77777777" w:rsidR="00F044FE" w:rsidRPr="00F044FE" w:rsidRDefault="00F044FE" w:rsidP="00F044FE">
            <w:pPr>
              <w:pStyle w:val="Tabletext"/>
            </w:pPr>
            <w:r w:rsidRPr="00F044FE">
              <w:t>Number of households assisted</w:t>
            </w:r>
          </w:p>
        </w:tc>
        <w:tc>
          <w:tcPr>
            <w:tcW w:w="2190" w:type="dxa"/>
            <w:shd w:val="clear" w:color="auto" w:fill="auto"/>
          </w:tcPr>
          <w:p w14:paraId="45156F6E" w14:textId="1283B255" w:rsidR="00F044FE" w:rsidRPr="00F044FE" w:rsidRDefault="00F044FE" w:rsidP="00F044FE">
            <w:pPr>
              <w:pStyle w:val="Tabletext"/>
            </w:pPr>
            <w:r w:rsidRPr="00F044FE">
              <w:t xml:space="preserve">The performance measure target is provided in the </w:t>
            </w:r>
            <w:r w:rsidR="00A22431">
              <w:t>s</w:t>
            </w:r>
            <w:r w:rsidRPr="00F044FE">
              <w:t xml:space="preserve">ervice </w:t>
            </w:r>
            <w:r w:rsidR="00A22431">
              <w:t>a</w:t>
            </w:r>
            <w:r w:rsidRPr="00F044FE">
              <w:t>greement. (cumulative) Number of households assisted as stated in the Service Agreement (cumulative)</w:t>
            </w:r>
          </w:p>
        </w:tc>
        <w:tc>
          <w:tcPr>
            <w:tcW w:w="1658" w:type="dxa"/>
            <w:shd w:val="clear" w:color="auto" w:fill="auto"/>
          </w:tcPr>
          <w:p w14:paraId="6260A401" w14:textId="26B553D4" w:rsidR="00F044FE" w:rsidRPr="00F044FE" w:rsidRDefault="00F044FE" w:rsidP="00F044FE">
            <w:pPr>
              <w:pStyle w:val="Tabletext"/>
            </w:pPr>
            <w:r w:rsidRPr="00F044FE">
              <w:t>Six-</w:t>
            </w:r>
            <w:r w:rsidR="00D83C3F">
              <w:t>m</w:t>
            </w:r>
            <w:r w:rsidRPr="00F044FE">
              <w:t xml:space="preserve">onthly </w:t>
            </w:r>
            <w:r w:rsidR="00D83C3F">
              <w:t>funding r</w:t>
            </w:r>
            <w:r w:rsidRPr="00F044FE">
              <w:t xml:space="preserve">econciliation </w:t>
            </w:r>
            <w:r w:rsidR="00A22431">
              <w:t>r</w:t>
            </w:r>
            <w:r w:rsidRPr="00F044FE">
              <w:t>eport</w:t>
            </w:r>
          </w:p>
        </w:tc>
        <w:tc>
          <w:tcPr>
            <w:tcW w:w="1382" w:type="dxa"/>
            <w:shd w:val="clear" w:color="auto" w:fill="auto"/>
          </w:tcPr>
          <w:p w14:paraId="30809A6C" w14:textId="77777777" w:rsidR="00F044FE" w:rsidRPr="00F044FE" w:rsidRDefault="00F044FE" w:rsidP="00F044FE">
            <w:pPr>
              <w:pStyle w:val="Tabletext"/>
            </w:pPr>
            <w:r w:rsidRPr="00F044FE">
              <w:t>Secure MS Teams channel</w:t>
            </w:r>
          </w:p>
        </w:tc>
      </w:tr>
    </w:tbl>
    <w:p w14:paraId="6512C172" w14:textId="77777777" w:rsidR="00F044FE" w:rsidRPr="00F044FE" w:rsidRDefault="00F044FE" w:rsidP="00CE0994">
      <w:pPr>
        <w:pStyle w:val="DHHSbody"/>
        <w:spacing w:before="120"/>
        <w:rPr>
          <w:rFonts w:ascii="Arial" w:hAnsi="Arial" w:cs="Arial"/>
          <w:b/>
          <w:bCs/>
        </w:rPr>
      </w:pPr>
      <w:bookmarkStart w:id="146" w:name="_Toc415497433"/>
      <w:r w:rsidRPr="00F044FE">
        <w:rPr>
          <w:rFonts w:ascii="Arial" w:hAnsi="Arial" w:cs="Arial"/>
          <w:b/>
          <w:bCs/>
        </w:rPr>
        <w:t>How is performance assessed?</w:t>
      </w:r>
      <w:bookmarkEnd w:id="146"/>
      <w:r w:rsidRPr="00F044FE">
        <w:rPr>
          <w:rFonts w:ascii="Arial" w:hAnsi="Arial" w:cs="Arial"/>
          <w:b/>
          <w:bCs/>
        </w:rPr>
        <w:t xml:space="preserve"> </w:t>
      </w:r>
    </w:p>
    <w:p w14:paraId="1B940CC8" w14:textId="33352CAC" w:rsidR="00F044FE" w:rsidRPr="00F044FE" w:rsidRDefault="00F044FE" w:rsidP="00F044FE">
      <w:pPr>
        <w:pStyle w:val="DHHSbody"/>
        <w:rPr>
          <w:rFonts w:ascii="Arial" w:hAnsi="Arial" w:cs="Arial"/>
        </w:rPr>
      </w:pPr>
      <w:r w:rsidRPr="00F044FE">
        <w:rPr>
          <w:rFonts w:ascii="Arial" w:hAnsi="Arial" w:cs="Arial"/>
        </w:rPr>
        <w:t xml:space="preserve">Performance is assessed on an activity basis at a </w:t>
      </w:r>
      <w:r w:rsidR="000B0506">
        <w:rPr>
          <w:rFonts w:ascii="Arial" w:hAnsi="Arial" w:cs="Arial"/>
        </w:rPr>
        <w:t>service provider</w:t>
      </w:r>
      <w:r w:rsidRPr="00F044FE">
        <w:rPr>
          <w:rFonts w:ascii="Arial" w:hAnsi="Arial" w:cs="Arial"/>
        </w:rPr>
        <w:t xml:space="preserve"> level. Therefore, any action taken in relation to under-performance also occurs on an activity basis at a </w:t>
      </w:r>
      <w:r w:rsidR="000B0506">
        <w:rPr>
          <w:rFonts w:ascii="Arial" w:hAnsi="Arial" w:cs="Arial"/>
        </w:rPr>
        <w:t>service provider</w:t>
      </w:r>
      <w:r w:rsidRPr="00F044FE">
        <w:rPr>
          <w:rFonts w:ascii="Arial" w:hAnsi="Arial" w:cs="Arial"/>
        </w:rPr>
        <w:t xml:space="preserve"> level. </w:t>
      </w:r>
    </w:p>
    <w:p w14:paraId="5598C40D" w14:textId="77777777" w:rsidR="00F044FE" w:rsidRPr="00F044FE" w:rsidRDefault="00F044FE" w:rsidP="00F044FE">
      <w:pPr>
        <w:pStyle w:val="DHHSbody"/>
        <w:rPr>
          <w:rFonts w:ascii="Arial" w:hAnsi="Arial" w:cs="Arial"/>
          <w:b/>
          <w:bCs/>
        </w:rPr>
      </w:pPr>
      <w:bookmarkStart w:id="147" w:name="_Toc415497434"/>
      <w:r w:rsidRPr="00F044FE">
        <w:rPr>
          <w:rFonts w:ascii="Arial" w:hAnsi="Arial" w:cs="Arial"/>
          <w:b/>
          <w:bCs/>
        </w:rPr>
        <w:t>When is performance measured?</w:t>
      </w:r>
      <w:bookmarkEnd w:id="147"/>
    </w:p>
    <w:p w14:paraId="60A60FB2" w14:textId="77777777" w:rsidR="00F044FE" w:rsidRPr="00F044FE" w:rsidRDefault="00F044FE" w:rsidP="00F044FE">
      <w:pPr>
        <w:pStyle w:val="DHHSbody"/>
        <w:rPr>
          <w:rFonts w:ascii="Arial" w:hAnsi="Arial" w:cs="Arial"/>
          <w:szCs w:val="21"/>
        </w:rPr>
      </w:pPr>
      <w:r w:rsidRPr="00F044FE">
        <w:rPr>
          <w:rFonts w:ascii="Arial" w:hAnsi="Arial" w:cs="Arial"/>
          <w:szCs w:val="21"/>
        </w:rPr>
        <w:t xml:space="preserve">Performance is measured every 6-months. </w:t>
      </w:r>
    </w:p>
    <w:p w14:paraId="5DB50BDC" w14:textId="6FAB7BF7" w:rsidR="00F044FE" w:rsidRPr="00F044FE" w:rsidRDefault="00F044FE" w:rsidP="00F044FE">
      <w:pPr>
        <w:pStyle w:val="DHHSbody"/>
        <w:rPr>
          <w:rFonts w:ascii="Arial" w:hAnsi="Arial" w:cs="Arial"/>
          <w:b/>
          <w:bCs/>
        </w:rPr>
      </w:pPr>
      <w:bookmarkStart w:id="148" w:name="_Toc415497436"/>
      <w:r w:rsidRPr="00F044FE">
        <w:rPr>
          <w:rFonts w:ascii="Arial" w:hAnsi="Arial" w:cs="Arial"/>
          <w:b/>
          <w:bCs/>
        </w:rPr>
        <w:t xml:space="preserve">How are the six-monthly </w:t>
      </w:r>
      <w:r w:rsidR="00D83C3F">
        <w:rPr>
          <w:rFonts w:ascii="Arial" w:hAnsi="Arial" w:cs="Arial"/>
          <w:b/>
          <w:bCs/>
        </w:rPr>
        <w:t xml:space="preserve">funding </w:t>
      </w:r>
      <w:r w:rsidR="00762585">
        <w:rPr>
          <w:rFonts w:ascii="Arial" w:hAnsi="Arial" w:cs="Arial"/>
          <w:b/>
          <w:bCs/>
        </w:rPr>
        <w:t xml:space="preserve">reconciliation </w:t>
      </w:r>
      <w:r w:rsidRPr="00F044FE">
        <w:rPr>
          <w:rFonts w:ascii="Arial" w:hAnsi="Arial" w:cs="Arial"/>
          <w:b/>
          <w:bCs/>
        </w:rPr>
        <w:t>reporting periods defined?</w:t>
      </w:r>
      <w:bookmarkEnd w:id="148"/>
    </w:p>
    <w:p w14:paraId="0594DBDB" w14:textId="5862394D" w:rsidR="00F044FE" w:rsidRPr="00F044FE" w:rsidRDefault="00F044FE" w:rsidP="00F044FE">
      <w:pPr>
        <w:pStyle w:val="DHHSbody"/>
        <w:rPr>
          <w:rFonts w:ascii="Arial" w:hAnsi="Arial" w:cs="Arial"/>
          <w:szCs w:val="21"/>
        </w:rPr>
      </w:pPr>
      <w:r w:rsidRPr="00F044FE">
        <w:rPr>
          <w:rFonts w:ascii="Arial" w:hAnsi="Arial" w:cs="Arial"/>
        </w:rPr>
        <w:t xml:space="preserve">Six-monthly </w:t>
      </w:r>
      <w:r w:rsidR="00D83C3F">
        <w:rPr>
          <w:rFonts w:ascii="Arial" w:hAnsi="Arial" w:cs="Arial"/>
        </w:rPr>
        <w:t xml:space="preserve">funding </w:t>
      </w:r>
      <w:r w:rsidR="00762585">
        <w:rPr>
          <w:rFonts w:ascii="Arial" w:hAnsi="Arial" w:cs="Arial"/>
        </w:rPr>
        <w:t xml:space="preserve">reconciliation </w:t>
      </w:r>
      <w:r w:rsidRPr="00F044FE">
        <w:rPr>
          <w:rFonts w:ascii="Arial" w:hAnsi="Arial" w:cs="Arial"/>
        </w:rPr>
        <w:t>reporting periods are defined as:</w:t>
      </w:r>
    </w:p>
    <w:p w14:paraId="48BEE70C" w14:textId="77777777" w:rsidR="0016216C" w:rsidRPr="0016216C" w:rsidRDefault="0016216C" w:rsidP="0016216C">
      <w:pPr>
        <w:pStyle w:val="Bullet1"/>
        <w:rPr>
          <w:rFonts w:eastAsia="Arial" w:cs="Arial"/>
        </w:rPr>
      </w:pPr>
      <w:bookmarkStart w:id="149" w:name="_Toc415497437"/>
      <w:bookmarkStart w:id="150" w:name="_Toc56612611"/>
      <w:bookmarkStart w:id="151" w:name="_Toc57111862"/>
      <w:bookmarkStart w:id="152" w:name="_Toc57819643"/>
      <w:r>
        <w:lastRenderedPageBreak/>
        <w:t xml:space="preserve">Bi-Annual Report 1 (1 December 2022 – 30 June 2023): </w:t>
      </w:r>
      <w:r>
        <w:rPr>
          <w:rFonts w:cs="Arial"/>
        </w:rPr>
        <w:t>report due 15 July 2023</w:t>
      </w:r>
    </w:p>
    <w:p w14:paraId="5EB29278" w14:textId="77777777" w:rsidR="0016216C" w:rsidRPr="0016216C" w:rsidRDefault="0016216C" w:rsidP="0016216C">
      <w:pPr>
        <w:pStyle w:val="Bullet1"/>
        <w:rPr>
          <w:rFonts w:eastAsia="Arial" w:cs="Arial"/>
        </w:rPr>
      </w:pPr>
      <w:r>
        <w:t>Bi-Annual Report 2 (</w:t>
      </w:r>
      <w:r w:rsidRPr="0016216C">
        <w:rPr>
          <w:rFonts w:cs="Arial"/>
        </w:rPr>
        <w:t>1 July 2023 to 30 November 2023): report due 15 December 2023</w:t>
      </w:r>
    </w:p>
    <w:p w14:paraId="5205056B" w14:textId="77777777" w:rsidR="00F044FE" w:rsidRPr="00135053" w:rsidRDefault="00F044FE" w:rsidP="002E08DD">
      <w:pPr>
        <w:pStyle w:val="Body"/>
        <w:spacing w:before="120"/>
        <w:rPr>
          <w:b/>
          <w:bCs/>
        </w:rPr>
      </w:pPr>
      <w:r w:rsidRPr="00544AED">
        <w:rPr>
          <w:b/>
          <w:bCs/>
        </w:rPr>
        <w:t>What is under-performance?</w:t>
      </w:r>
      <w:bookmarkEnd w:id="149"/>
      <w:bookmarkEnd w:id="150"/>
      <w:bookmarkEnd w:id="151"/>
      <w:bookmarkEnd w:id="152"/>
    </w:p>
    <w:p w14:paraId="25ADB583" w14:textId="7A9EF60B" w:rsidR="00F044FE" w:rsidRPr="00F044FE" w:rsidRDefault="00F044FE" w:rsidP="00F044FE">
      <w:pPr>
        <w:pStyle w:val="DHHSbody"/>
        <w:rPr>
          <w:rFonts w:ascii="Arial" w:hAnsi="Arial" w:cs="Arial"/>
        </w:rPr>
      </w:pPr>
      <w:r w:rsidRPr="00F044FE">
        <w:rPr>
          <w:rFonts w:ascii="Arial" w:hAnsi="Arial" w:cs="Arial"/>
        </w:rPr>
        <w:t xml:space="preserve">HFRP </w:t>
      </w:r>
      <w:r w:rsidR="000B0506">
        <w:rPr>
          <w:rFonts w:ascii="Arial" w:hAnsi="Arial" w:cs="Arial"/>
        </w:rPr>
        <w:t>service provider</w:t>
      </w:r>
      <w:r w:rsidRPr="00F044FE">
        <w:rPr>
          <w:rFonts w:ascii="Arial" w:hAnsi="Arial" w:cs="Arial"/>
        </w:rPr>
        <w:t xml:space="preserve">s are expected to fully deliver against the total funded activity-based targets. Under-performance will be managed as per the funding and service agreement. </w:t>
      </w:r>
      <w:r w:rsidRPr="00F044FE">
        <w:rPr>
          <w:rFonts w:ascii="Arial" w:hAnsi="Arial" w:cs="Arial"/>
        </w:rPr>
        <w:br w:type="page"/>
      </w:r>
    </w:p>
    <w:p w14:paraId="349FD9FA" w14:textId="77777777" w:rsidR="004A3834" w:rsidRPr="00A83711" w:rsidRDefault="004A3834" w:rsidP="004A3834">
      <w:pPr>
        <w:pStyle w:val="Heading1"/>
      </w:pPr>
      <w:bookmarkStart w:id="153" w:name="_Toc119413956"/>
      <w:bookmarkStart w:id="154" w:name="_Toc123723386"/>
      <w:bookmarkStart w:id="155" w:name="_Toc124847238"/>
      <w:r w:rsidRPr="00A83711">
        <w:lastRenderedPageBreak/>
        <w:t xml:space="preserve">Appendix </w:t>
      </w:r>
      <w:r>
        <w:t>3 – HFRP</w:t>
      </w:r>
      <w:r w:rsidRPr="00A83711">
        <w:t xml:space="preserve"> VHR eligibility and process</w:t>
      </w:r>
      <w:bookmarkEnd w:id="153"/>
      <w:bookmarkEnd w:id="154"/>
      <w:bookmarkEnd w:id="155"/>
    </w:p>
    <w:p w14:paraId="737A250F" w14:textId="77777777" w:rsidR="004A3834" w:rsidRPr="004A3834" w:rsidRDefault="004A3834" w:rsidP="004A3834">
      <w:pPr>
        <w:pStyle w:val="DHHSbody"/>
        <w:rPr>
          <w:rFonts w:ascii="Arial" w:hAnsi="Arial" w:cs="Arial"/>
        </w:rPr>
      </w:pPr>
      <w:r w:rsidRPr="004A3834">
        <w:rPr>
          <w:rFonts w:ascii="Arial" w:hAnsi="Arial" w:cs="Arial"/>
        </w:rPr>
        <w:t xml:space="preserve">The VHR (Victorian Housing Register) is a platform on which people can register for social housing in Victoria. It brings together applications for public and community housing so that only one application needs to be submitted to access a broad range of social housing options. </w:t>
      </w:r>
    </w:p>
    <w:p w14:paraId="2FEC971A" w14:textId="77777777" w:rsidR="004A3834" w:rsidRPr="004A3834" w:rsidRDefault="004A3834" w:rsidP="004A3834">
      <w:pPr>
        <w:pStyle w:val="DHHSbody"/>
        <w:rPr>
          <w:rFonts w:ascii="Arial" w:hAnsi="Arial" w:cs="Arial"/>
        </w:rPr>
      </w:pPr>
      <w:r w:rsidRPr="004A3834">
        <w:rPr>
          <w:rFonts w:ascii="Arial" w:hAnsi="Arial" w:cs="Arial"/>
        </w:rPr>
        <w:t>The VHR has two categories:</w:t>
      </w:r>
    </w:p>
    <w:p w14:paraId="226D9498" w14:textId="77777777" w:rsidR="004A3834" w:rsidRPr="00CB057A" w:rsidRDefault="004A3834" w:rsidP="004A3834">
      <w:pPr>
        <w:pStyle w:val="Bullet1"/>
        <w:rPr>
          <w:szCs w:val="21"/>
        </w:rPr>
      </w:pPr>
      <w:r w:rsidRPr="6B28B3B8">
        <w:rPr>
          <w:rStyle w:val="Emphasis"/>
          <w:b/>
        </w:rPr>
        <w:t>Register of Interest</w:t>
      </w:r>
      <w:r>
        <w:t xml:space="preserve"> for people to register their interest in social housing, and</w:t>
      </w:r>
    </w:p>
    <w:p w14:paraId="60EA3E05" w14:textId="16721754" w:rsidR="004A3834" w:rsidRPr="00CB057A" w:rsidRDefault="004A3834" w:rsidP="004A3834">
      <w:pPr>
        <w:pStyle w:val="Bullet1"/>
        <w:rPr>
          <w:szCs w:val="21"/>
        </w:rPr>
      </w:pPr>
      <w:r w:rsidRPr="6B28B3B8">
        <w:rPr>
          <w:rStyle w:val="Emphasis"/>
          <w:b/>
        </w:rPr>
        <w:t>Priority Access</w:t>
      </w:r>
      <w:r>
        <w:t xml:space="preserve"> for people most in need</w:t>
      </w:r>
      <w:r w:rsidR="00EF2AAE">
        <w:t>.</w:t>
      </w:r>
    </w:p>
    <w:p w14:paraId="155A2581" w14:textId="77777777" w:rsidR="004A3834" w:rsidRPr="00691ADC" w:rsidRDefault="004A3834" w:rsidP="00EF2AAE">
      <w:pPr>
        <w:pStyle w:val="DHHSbody"/>
        <w:spacing w:before="120"/>
        <w:rPr>
          <w:szCs w:val="21"/>
        </w:rPr>
      </w:pPr>
      <w:r w:rsidRPr="004A3834">
        <w:rPr>
          <w:rFonts w:ascii="Arial" w:hAnsi="Arial" w:cs="Arial"/>
        </w:rPr>
        <w:t>For any client to be placed in social housing or community housing properties, they must meet the eligibility criteria for the priority access category and have their application approved to Emergency Housing category before they can move into the property. VHR Policy and Operational Guidelines can be found at</w:t>
      </w:r>
      <w:r w:rsidRPr="00CB057A">
        <w:rPr>
          <w:szCs w:val="21"/>
        </w:rPr>
        <w:t xml:space="preserve"> </w:t>
      </w:r>
      <w:r w:rsidRPr="004A3834">
        <w:rPr>
          <w:rFonts w:ascii="Arial" w:hAnsi="Arial" w:cs="Arial"/>
          <w:szCs w:val="21"/>
        </w:rPr>
        <w:t>&lt;</w:t>
      </w:r>
      <w:hyperlink r:id="rId40" w:history="1">
        <w:r w:rsidRPr="004A3834">
          <w:rPr>
            <w:rStyle w:val="Hyperlink"/>
            <w:rFonts w:ascii="Arial" w:hAnsi="Arial" w:cs="Arial"/>
            <w:szCs w:val="21"/>
          </w:rPr>
          <w:t>https://fac.dhhs.vic.gov.au/victorian-housing-register</w:t>
        </w:r>
      </w:hyperlink>
      <w:r w:rsidRPr="004A3834">
        <w:rPr>
          <w:rFonts w:ascii="Arial" w:hAnsi="Arial" w:cs="Arial"/>
          <w:szCs w:val="21"/>
        </w:rPr>
        <w:t>&gt;</w:t>
      </w:r>
    </w:p>
    <w:p w14:paraId="3E5D779E" w14:textId="77777777" w:rsidR="004A3834" w:rsidRPr="004A3834" w:rsidRDefault="004A3834" w:rsidP="004A3834">
      <w:pPr>
        <w:pStyle w:val="DHHSbodyafterbullets"/>
        <w:spacing w:before="0"/>
        <w:rPr>
          <w:rFonts w:ascii="Arial" w:hAnsi="Arial" w:cs="Arial"/>
        </w:rPr>
      </w:pPr>
      <w:r w:rsidRPr="004A3834">
        <w:rPr>
          <w:rStyle w:val="DHHSbodyChar"/>
          <w:rFonts w:ascii="Arial" w:hAnsi="Arial" w:cs="Arial"/>
        </w:rPr>
        <w:t>Effective 10 October 2022, the CEO Homes Victoria approved the priority access for clients impacted by major state flood as Emeregency Management Housing (EMC). This applies to new applications and transfers. Further information can be found in Public Housing Allocations Operational Guideline Chapter 2: Offers of Housing:</w:t>
      </w:r>
      <w:r>
        <w:t xml:space="preserve"> </w:t>
      </w:r>
      <w:r w:rsidRPr="004A3834">
        <w:rPr>
          <w:rStyle w:val="normaltextrun"/>
          <w:rFonts w:ascii="Arial" w:hAnsi="Arial" w:cs="Arial"/>
          <w:color w:val="000000"/>
          <w:szCs w:val="21"/>
          <w:shd w:val="clear" w:color="auto" w:fill="FFFFFF"/>
        </w:rPr>
        <w:t>&lt;</w:t>
      </w:r>
      <w:hyperlink r:id="rId41" w:history="1">
        <w:r w:rsidRPr="004A3834">
          <w:rPr>
            <w:rStyle w:val="Hyperlink"/>
            <w:rFonts w:ascii="Arial" w:hAnsi="Arial" w:cs="Arial"/>
          </w:rPr>
          <w:t>https://providers.dhhs.vic.gov.au/allocations-manual</w:t>
        </w:r>
      </w:hyperlink>
      <w:r w:rsidRPr="004A3834">
        <w:rPr>
          <w:rFonts w:ascii="Arial" w:hAnsi="Arial" w:cs="Arial"/>
        </w:rPr>
        <w:t>&gt;</w:t>
      </w:r>
    </w:p>
    <w:p w14:paraId="22C2B341" w14:textId="77777777" w:rsidR="004A3834" w:rsidRPr="004A3834" w:rsidRDefault="004A3834" w:rsidP="004A3834">
      <w:pPr>
        <w:pStyle w:val="DHHSbody"/>
        <w:rPr>
          <w:rFonts w:ascii="Arial" w:hAnsi="Arial" w:cs="Arial"/>
        </w:rPr>
      </w:pPr>
      <w:r w:rsidRPr="004A3834">
        <w:rPr>
          <w:rFonts w:ascii="Arial" w:hAnsi="Arial" w:cs="Arial"/>
        </w:rPr>
        <w:t>HFRP households may present in one of three scenarios:</w:t>
      </w:r>
    </w:p>
    <w:p w14:paraId="226389B3" w14:textId="3D34D4D4" w:rsidR="004A3834" w:rsidRPr="00CB057A" w:rsidRDefault="00F741E9" w:rsidP="004A3834">
      <w:pPr>
        <w:pStyle w:val="Bullet1"/>
      </w:pPr>
      <w:r>
        <w:t>h</w:t>
      </w:r>
      <w:r w:rsidR="004A3834">
        <w:t xml:space="preserve">ouseholds </w:t>
      </w:r>
      <w:r>
        <w:t>that</w:t>
      </w:r>
      <w:r w:rsidR="004A3834">
        <w:t xml:space="preserve"> do not have a VHR application: the Designated Service Provider (entry point or service provider) must determine if the client is eligible and then submit a VHR priority application with the Emergency Housing priority access category (EMC).</w:t>
      </w:r>
    </w:p>
    <w:p w14:paraId="5FA65DA2" w14:textId="3B7E7528" w:rsidR="004A3834" w:rsidRPr="00CB057A" w:rsidRDefault="00F741E9" w:rsidP="004A3834">
      <w:pPr>
        <w:pStyle w:val="Bullet1"/>
      </w:pPr>
      <w:r>
        <w:t>h</w:t>
      </w:r>
      <w:r w:rsidR="004A3834">
        <w:t xml:space="preserve">ouseholds </w:t>
      </w:r>
      <w:r>
        <w:t>that</w:t>
      </w:r>
      <w:r w:rsidR="004A3834">
        <w:t xml:space="preserve"> have an existing Register of Interest: The Designated Service Provider must first determine if the client is still eligible and then complete and submit a VHR priority application with the Emergency Housing priority access category (EMC).</w:t>
      </w:r>
    </w:p>
    <w:p w14:paraId="0C63063E" w14:textId="56B758E2" w:rsidR="004A3834" w:rsidRPr="00CB057A" w:rsidRDefault="004A3834" w:rsidP="004A3834">
      <w:pPr>
        <w:pStyle w:val="Bullet1"/>
        <w:rPr>
          <w:szCs w:val="21"/>
        </w:rPr>
      </w:pPr>
      <w:r>
        <w:rPr>
          <w:szCs w:val="21"/>
        </w:rPr>
        <w:t>Households</w:t>
      </w:r>
      <w:r w:rsidRPr="0A306EB3">
        <w:rPr>
          <w:szCs w:val="21"/>
        </w:rPr>
        <w:t xml:space="preserve"> </w:t>
      </w:r>
      <w:r w:rsidR="00F741E9">
        <w:rPr>
          <w:szCs w:val="21"/>
        </w:rPr>
        <w:t>that</w:t>
      </w:r>
      <w:r w:rsidRPr="0A306EB3">
        <w:rPr>
          <w:szCs w:val="21"/>
        </w:rPr>
        <w:t xml:space="preserve"> have existing approved priority access: the Homes Victoria HF</w:t>
      </w:r>
      <w:r>
        <w:rPr>
          <w:szCs w:val="21"/>
        </w:rPr>
        <w:t>RP</w:t>
      </w:r>
      <w:r w:rsidRPr="0A306EB3">
        <w:rPr>
          <w:szCs w:val="21"/>
        </w:rPr>
        <w:t xml:space="preserve"> team will liaise with the VHR team to reclassify the priority reason to </w:t>
      </w:r>
      <w:r>
        <w:rPr>
          <w:szCs w:val="21"/>
        </w:rPr>
        <w:t xml:space="preserve">Emergency Housing </w:t>
      </w:r>
      <w:r w:rsidRPr="00CB057A">
        <w:rPr>
          <w:szCs w:val="21"/>
        </w:rPr>
        <w:t>priority access category</w:t>
      </w:r>
      <w:r>
        <w:rPr>
          <w:szCs w:val="21"/>
        </w:rPr>
        <w:t xml:space="preserve"> (EMC)</w:t>
      </w:r>
      <w:r w:rsidRPr="00CB057A">
        <w:rPr>
          <w:szCs w:val="21"/>
        </w:rPr>
        <w:t>.</w:t>
      </w:r>
    </w:p>
    <w:p w14:paraId="4DF32BB3" w14:textId="77777777" w:rsidR="004A3834" w:rsidRPr="004A3834" w:rsidRDefault="004A3834" w:rsidP="004A3834">
      <w:pPr>
        <w:pStyle w:val="Heading2"/>
        <w:rPr>
          <w:rStyle w:val="normaltextrun"/>
          <w:rFonts w:eastAsia="MS Gothic"/>
        </w:rPr>
      </w:pPr>
      <w:bookmarkStart w:id="156" w:name="_Toc111195457"/>
      <w:bookmarkStart w:id="157" w:name="_Toc124847239"/>
      <w:r w:rsidRPr="004A3834">
        <w:rPr>
          <w:rStyle w:val="normaltextrun"/>
          <w:rFonts w:eastAsia="MS Gothic"/>
        </w:rPr>
        <w:t>Special dispensations</w:t>
      </w:r>
      <w:bookmarkEnd w:id="156"/>
      <w:bookmarkEnd w:id="157"/>
    </w:p>
    <w:p w14:paraId="04E04E31" w14:textId="77777777" w:rsidR="004A3834" w:rsidRPr="004A3834" w:rsidRDefault="004A3834" w:rsidP="004A3834">
      <w:pPr>
        <w:pStyle w:val="DHHSbody"/>
        <w:rPr>
          <w:rStyle w:val="normaltextrun"/>
          <w:rFonts w:ascii="Arial" w:eastAsia="MS Gothic" w:hAnsi="Arial" w:cs="Arial"/>
          <w:color w:val="000000"/>
          <w:szCs w:val="21"/>
        </w:rPr>
      </w:pPr>
      <w:r w:rsidRPr="004A3834">
        <w:rPr>
          <w:rStyle w:val="normaltextrun"/>
          <w:rFonts w:ascii="Arial" w:eastAsia="MS Gothic" w:hAnsi="Arial" w:cs="Arial"/>
          <w:color w:val="000000" w:themeColor="text1"/>
          <w:szCs w:val="21"/>
        </w:rPr>
        <w:t>VHR applicants must meet the five core eligibility criteria for social housing to be approved to the register. Citizenship and permanent residency are included among these.</w:t>
      </w:r>
    </w:p>
    <w:p w14:paraId="2C247150" w14:textId="40F6B18D" w:rsidR="004A3834" w:rsidRPr="004A3834" w:rsidRDefault="004A3834" w:rsidP="004A3834">
      <w:pPr>
        <w:pStyle w:val="DHHSbody"/>
        <w:rPr>
          <w:rStyle w:val="normaltextrun"/>
          <w:rFonts w:ascii="Arial" w:eastAsia="MS Gothic" w:hAnsi="Arial" w:cs="Arial"/>
          <w:color w:val="000000"/>
          <w:szCs w:val="21"/>
        </w:rPr>
      </w:pPr>
      <w:r w:rsidRPr="004A3834">
        <w:rPr>
          <w:rStyle w:val="normaltextrun"/>
          <w:rFonts w:ascii="Arial" w:eastAsia="MS Gothic" w:hAnsi="Arial" w:cs="Arial"/>
          <w:color w:val="000000" w:themeColor="text1"/>
          <w:szCs w:val="21"/>
        </w:rPr>
        <w:t>There are exceptions for Participating Registered Agencies (PRA</w:t>
      </w:r>
      <w:r w:rsidR="00F741E9">
        <w:rPr>
          <w:rStyle w:val="normaltextrun"/>
          <w:rFonts w:ascii="Arial" w:eastAsia="MS Gothic" w:hAnsi="Arial" w:cs="Arial"/>
          <w:color w:val="000000" w:themeColor="text1"/>
          <w:szCs w:val="21"/>
        </w:rPr>
        <w:t>s</w:t>
      </w:r>
      <w:r w:rsidRPr="004A3834">
        <w:rPr>
          <w:rStyle w:val="normaltextrun"/>
          <w:rFonts w:ascii="Arial" w:eastAsia="MS Gothic" w:hAnsi="Arial" w:cs="Arial"/>
          <w:color w:val="000000" w:themeColor="text1"/>
          <w:szCs w:val="21"/>
        </w:rPr>
        <w:t>) with a mission that includes housing people who are not permanent residents of Australia. These organisations can request an application be added to the VHR, which in turn enables them to allocate community housing to that client.</w:t>
      </w:r>
    </w:p>
    <w:p w14:paraId="0D1BD6CB" w14:textId="77777777" w:rsidR="004A3834" w:rsidRPr="004A3834" w:rsidRDefault="004A3834" w:rsidP="004A3834">
      <w:pPr>
        <w:pStyle w:val="DHHSbody"/>
        <w:rPr>
          <w:rStyle w:val="normaltextrun"/>
          <w:rFonts w:ascii="Arial" w:eastAsia="MS Gothic" w:hAnsi="Arial" w:cs="Arial"/>
          <w:color w:val="000000"/>
          <w:lang w:val="en-US"/>
        </w:rPr>
      </w:pPr>
      <w:r w:rsidRPr="004A3834">
        <w:rPr>
          <w:rStyle w:val="normaltextrun"/>
          <w:rFonts w:ascii="Arial" w:hAnsi="Arial" w:cs="Arial"/>
          <w:color w:val="000000"/>
        </w:rPr>
        <w:t xml:space="preserve">Participating Registered Agencies (PRAs) may use discretion under section 9(c) Homes Victoria Determinations (Determinations) on a case-by-case basis. Homes Victoria </w:t>
      </w:r>
      <w:r w:rsidRPr="004A3834">
        <w:rPr>
          <w:rStyle w:val="normaltextrun"/>
          <w:rFonts w:ascii="Arial" w:hAnsi="Arial" w:cs="Arial"/>
          <w:color w:val="000000"/>
          <w:shd w:val="clear" w:color="auto" w:fill="FFFFFF"/>
        </w:rPr>
        <w:t>may use discretion under the Director Determinations (Determinations) to allocate housing to persons who do not meet the eligibility criteria where exceptional circumstances apply (Section 9(f)), including clients who become homeless due to fleeing family violence.</w:t>
      </w:r>
    </w:p>
    <w:p w14:paraId="000BDD3A" w14:textId="44FFB250" w:rsidR="004A3834" w:rsidRPr="004A3834" w:rsidRDefault="004A3834" w:rsidP="004A3834">
      <w:pPr>
        <w:pStyle w:val="DHHSbody"/>
        <w:rPr>
          <w:rStyle w:val="normaltextrun"/>
          <w:rFonts w:ascii="Arial" w:eastAsia="MS Gothic" w:hAnsi="Arial" w:cs="Arial"/>
          <w:color w:val="000000"/>
          <w:szCs w:val="21"/>
        </w:rPr>
      </w:pPr>
      <w:r w:rsidRPr="004A3834">
        <w:rPr>
          <w:rStyle w:val="normaltextrun"/>
          <w:rFonts w:ascii="Arial" w:eastAsia="MS Gothic" w:hAnsi="Arial" w:cs="Arial"/>
          <w:color w:val="000000" w:themeColor="text1"/>
          <w:szCs w:val="21"/>
        </w:rPr>
        <w:t xml:space="preserve">In the case of HFRP clients who are determined to be non-permanent residents, </w:t>
      </w:r>
      <w:r w:rsidR="000B0506">
        <w:rPr>
          <w:rStyle w:val="normaltextrun"/>
          <w:rFonts w:ascii="Arial" w:eastAsia="MS Gothic" w:hAnsi="Arial" w:cs="Arial"/>
          <w:color w:val="000000" w:themeColor="text1"/>
          <w:szCs w:val="21"/>
        </w:rPr>
        <w:t>service provider</w:t>
      </w:r>
      <w:r w:rsidRPr="004A3834">
        <w:rPr>
          <w:rStyle w:val="normaltextrun"/>
          <w:rFonts w:ascii="Arial" w:eastAsia="MS Gothic" w:hAnsi="Arial" w:cs="Arial"/>
          <w:color w:val="000000" w:themeColor="text1"/>
          <w:szCs w:val="21"/>
        </w:rPr>
        <w:t xml:space="preserve">s are required to advise the Homes Victoria HFRP team of the residency status and request a special dispensation be applied </w:t>
      </w:r>
      <w:r w:rsidRPr="00E8186E">
        <w:rPr>
          <w:rStyle w:val="normaltextrun"/>
          <w:rFonts w:ascii="Arial" w:eastAsia="MS Gothic" w:hAnsi="Arial" w:cs="Arial"/>
          <w:b/>
          <w:bCs/>
          <w:color w:val="000000" w:themeColor="text1"/>
          <w:szCs w:val="21"/>
        </w:rPr>
        <w:t>prior to housing the client</w:t>
      </w:r>
      <w:r w:rsidRPr="004A3834">
        <w:rPr>
          <w:rStyle w:val="normaltextrun"/>
          <w:rFonts w:ascii="Arial" w:eastAsia="MS Gothic" w:hAnsi="Arial" w:cs="Arial"/>
          <w:color w:val="000000" w:themeColor="text1"/>
          <w:szCs w:val="21"/>
        </w:rPr>
        <w:t>. These will be evaluated on a case-by-case basis and must be approved by the Executive Director, Homelessness and Housing Support.</w:t>
      </w:r>
      <w:bookmarkStart w:id="158" w:name="_Toc111195458"/>
    </w:p>
    <w:p w14:paraId="6232A561" w14:textId="77777777" w:rsidR="004A3834" w:rsidRDefault="004A3834" w:rsidP="004A3834">
      <w:pPr>
        <w:rPr>
          <w:rStyle w:val="normaltextrun"/>
          <w:rFonts w:ascii="Verdana" w:eastAsia="MS Gothic" w:hAnsi="Verdana" w:cs="Arial"/>
          <w:b/>
        </w:rPr>
      </w:pPr>
      <w:r>
        <w:rPr>
          <w:rStyle w:val="normaltextrun"/>
          <w:rFonts w:eastAsia="MS Gothic" w:cs="Arial"/>
          <w:b/>
        </w:rPr>
        <w:br w:type="page"/>
      </w:r>
    </w:p>
    <w:p w14:paraId="4BFF53A1" w14:textId="361568FD" w:rsidR="004A3834" w:rsidRPr="004A3834" w:rsidRDefault="004A3834" w:rsidP="004A3834">
      <w:pPr>
        <w:pStyle w:val="Heading2"/>
        <w:rPr>
          <w:rStyle w:val="normaltextrun"/>
          <w:rFonts w:eastAsia="MS Gothic"/>
        </w:rPr>
      </w:pPr>
      <w:bookmarkStart w:id="159" w:name="_Toc124847240"/>
      <w:r w:rsidRPr="004A3834">
        <w:rPr>
          <w:rStyle w:val="normaltextrun"/>
          <w:rFonts w:eastAsia="MS Gothic"/>
        </w:rPr>
        <w:lastRenderedPageBreak/>
        <w:t xml:space="preserve">RentAssist </w:t>
      </w:r>
      <w:r w:rsidR="00ED763F">
        <w:rPr>
          <w:rStyle w:val="normaltextrun"/>
          <w:rFonts w:eastAsia="MS Gothic"/>
        </w:rPr>
        <w:t>b</w:t>
      </w:r>
      <w:r w:rsidRPr="004A3834">
        <w:rPr>
          <w:rStyle w:val="normaltextrun"/>
          <w:rFonts w:eastAsia="MS Gothic"/>
        </w:rPr>
        <w:t xml:space="preserve">ond </w:t>
      </w:r>
      <w:r w:rsidR="00ED763F">
        <w:rPr>
          <w:rStyle w:val="normaltextrun"/>
          <w:rFonts w:eastAsia="MS Gothic"/>
        </w:rPr>
        <w:t>l</w:t>
      </w:r>
      <w:r w:rsidRPr="004A3834">
        <w:rPr>
          <w:rStyle w:val="normaltextrun"/>
          <w:rFonts w:eastAsia="MS Gothic"/>
        </w:rPr>
        <w:t>oans</w:t>
      </w:r>
      <w:bookmarkEnd w:id="158"/>
      <w:bookmarkEnd w:id="159"/>
    </w:p>
    <w:p w14:paraId="1D38235A" w14:textId="1F8F363A" w:rsidR="004A3834" w:rsidRPr="006C69B1" w:rsidRDefault="004A3834" w:rsidP="004A3834">
      <w:pPr>
        <w:pStyle w:val="paragraph"/>
        <w:spacing w:before="0" w:beforeAutospacing="0" w:after="120" w:afterAutospacing="0"/>
        <w:textAlignment w:val="baseline"/>
        <w:rPr>
          <w:rStyle w:val="normaltextrun"/>
          <w:rFonts w:ascii="Verdana" w:eastAsia="MS Gothic" w:hAnsi="Verdana" w:cs="Arial"/>
          <w:color w:val="000000" w:themeColor="text1"/>
          <w:sz w:val="21"/>
          <w:szCs w:val="21"/>
        </w:rPr>
      </w:pPr>
      <w:r w:rsidRPr="004A3834">
        <w:rPr>
          <w:rStyle w:val="DHHSbodyChar"/>
          <w:rFonts w:ascii="Arial" w:hAnsi="Arial" w:cs="Arial"/>
        </w:rPr>
        <w:t>The RentAssist bond loan is a Victorian Government initiative to assist people moving into private rentals with their upfront bond payment. The client must meet the department’s eligibility criteria to be approved for the loan. Further information may be</w:t>
      </w:r>
      <w:r w:rsidRPr="1B4C640B">
        <w:rPr>
          <w:rStyle w:val="normaltextrun"/>
          <w:rFonts w:ascii="Verdana" w:eastAsia="MS Gothic" w:hAnsi="Verdana" w:cs="Arial"/>
          <w:color w:val="000000" w:themeColor="text1"/>
          <w:sz w:val="21"/>
          <w:szCs w:val="21"/>
        </w:rPr>
        <w:t xml:space="preserve"> </w:t>
      </w:r>
      <w:hyperlink r:id="rId42">
        <w:r w:rsidRPr="004A3834">
          <w:rPr>
            <w:rStyle w:val="Hyperlink"/>
            <w:rFonts w:ascii="Arial" w:eastAsia="MS Gothic" w:hAnsi="Arial" w:cs="Arial"/>
            <w:sz w:val="21"/>
            <w:szCs w:val="21"/>
          </w:rPr>
          <w:t>found on the Housing Victoria website</w:t>
        </w:r>
      </w:hyperlink>
      <w:r w:rsidRPr="004A3834">
        <w:rPr>
          <w:rStyle w:val="normaltextrun"/>
          <w:rFonts w:ascii="Arial" w:eastAsia="MS Gothic" w:hAnsi="Arial" w:cs="Arial"/>
          <w:color w:val="000000" w:themeColor="text1"/>
          <w:sz w:val="21"/>
          <w:szCs w:val="21"/>
        </w:rPr>
        <w:t xml:space="preserve"> &lt;</w:t>
      </w:r>
      <w:r w:rsidRPr="00E972DE">
        <w:rPr>
          <w:rStyle w:val="Hyperlink"/>
          <w:rFonts w:ascii="Arial" w:eastAsia="MS Gothic" w:hAnsi="Arial" w:cs="Arial"/>
          <w:sz w:val="21"/>
          <w:szCs w:val="21"/>
        </w:rPr>
        <w:t>https://www.housing.vic.gov.au/rentassist-bond-loan&gt;.</w:t>
      </w:r>
    </w:p>
    <w:p w14:paraId="0DB101B3" w14:textId="77777777" w:rsidR="004A3834" w:rsidRPr="004A3834" w:rsidRDefault="004A3834" w:rsidP="004A3834">
      <w:pPr>
        <w:pStyle w:val="DHHSbody"/>
        <w:rPr>
          <w:rStyle w:val="normaltextrun"/>
          <w:rFonts w:ascii="Arial" w:eastAsia="MS Gothic" w:hAnsi="Arial" w:cs="Arial"/>
          <w:i/>
          <w:color w:val="000000" w:themeColor="text1"/>
          <w:szCs w:val="21"/>
        </w:rPr>
      </w:pPr>
      <w:r w:rsidRPr="004A3834">
        <w:rPr>
          <w:rStyle w:val="normaltextrun"/>
          <w:rFonts w:ascii="Arial" w:eastAsia="MS Gothic" w:hAnsi="Arial" w:cs="Arial"/>
          <w:color w:val="000000" w:themeColor="text1"/>
          <w:szCs w:val="21"/>
        </w:rPr>
        <w:t>HFRP</w:t>
      </w:r>
      <w:r w:rsidRPr="004A3834" w:rsidDel="00E05751">
        <w:rPr>
          <w:rStyle w:val="normaltextrun"/>
          <w:rFonts w:ascii="Arial" w:eastAsia="MS Gothic" w:hAnsi="Arial" w:cs="Arial"/>
          <w:color w:val="000000" w:themeColor="text1"/>
          <w:szCs w:val="21"/>
        </w:rPr>
        <w:t xml:space="preserve"> </w:t>
      </w:r>
      <w:r w:rsidRPr="004A3834">
        <w:rPr>
          <w:rStyle w:val="normaltextrun"/>
          <w:rFonts w:ascii="Arial" w:eastAsia="MS Gothic" w:hAnsi="Arial" w:cs="Arial"/>
          <w:color w:val="000000" w:themeColor="text1"/>
          <w:szCs w:val="21"/>
        </w:rPr>
        <w:t xml:space="preserve">families moving from unsustainable private rental properties into a head-lease property and who have been approved for a RentAssist bond loan will retain their current priority status on the VHR. The VHR team will enter the following script into the “Decision Comments” field of the Priority tab in HiiP: </w:t>
      </w:r>
      <w:r w:rsidRPr="004A3834">
        <w:rPr>
          <w:rStyle w:val="normaltextrun"/>
          <w:rFonts w:ascii="Arial" w:eastAsia="MS Gothic" w:hAnsi="Arial" w:cs="Arial"/>
          <w:i/>
          <w:color w:val="000000" w:themeColor="text1"/>
          <w:szCs w:val="21"/>
        </w:rPr>
        <w:t xml:space="preserve">Application approved as validated by IHR team in Homes Vic. Priority status must not be removed where a RentAssist Bond Loan is issued for a </w:t>
      </w:r>
      <w:r w:rsidRPr="004A3834">
        <w:rPr>
          <w:rStyle w:val="normaltextrun"/>
          <w:rFonts w:ascii="Arial" w:eastAsia="MS Gothic" w:hAnsi="Arial" w:cs="Arial"/>
          <w:i/>
          <w:iCs/>
          <w:color w:val="000000" w:themeColor="text1"/>
          <w:szCs w:val="21"/>
        </w:rPr>
        <w:t>head leased</w:t>
      </w:r>
      <w:r w:rsidRPr="004A3834">
        <w:rPr>
          <w:rStyle w:val="normaltextrun"/>
          <w:rFonts w:ascii="Arial" w:eastAsia="MS Gothic" w:hAnsi="Arial" w:cs="Arial"/>
          <w:i/>
          <w:color w:val="000000" w:themeColor="text1"/>
          <w:szCs w:val="21"/>
        </w:rPr>
        <w:t xml:space="preserve"> property.</w:t>
      </w:r>
      <w:bookmarkStart w:id="160" w:name="_Toc111195459"/>
    </w:p>
    <w:p w14:paraId="5A9AE6E0" w14:textId="14E460F5" w:rsidR="004A3834" w:rsidRPr="004A3834" w:rsidRDefault="004A3834" w:rsidP="004A3834">
      <w:pPr>
        <w:pStyle w:val="Heading2"/>
        <w:rPr>
          <w:rStyle w:val="normaltextrun"/>
          <w:rFonts w:eastAsia="MS Gothic"/>
        </w:rPr>
      </w:pPr>
      <w:bookmarkStart w:id="161" w:name="_Toc124847241"/>
      <w:r w:rsidRPr="004A3834">
        <w:rPr>
          <w:rStyle w:val="normaltextrun"/>
          <w:rFonts w:eastAsia="MS Gothic"/>
        </w:rPr>
        <w:t xml:space="preserve">Public </w:t>
      </w:r>
      <w:r w:rsidR="00D615BD">
        <w:rPr>
          <w:rStyle w:val="normaltextrun"/>
          <w:rFonts w:eastAsia="MS Gothic"/>
        </w:rPr>
        <w:t>h</w:t>
      </w:r>
      <w:r w:rsidRPr="004A3834">
        <w:rPr>
          <w:rStyle w:val="normaltextrun"/>
          <w:rFonts w:eastAsia="MS Gothic"/>
        </w:rPr>
        <w:t>ousing</w:t>
      </w:r>
      <w:bookmarkEnd w:id="160"/>
      <w:bookmarkEnd w:id="161"/>
    </w:p>
    <w:p w14:paraId="24F5EA40" w14:textId="04820DBD" w:rsidR="004A3834" w:rsidRPr="009F4CD1" w:rsidRDefault="004A3834" w:rsidP="009F4CD1">
      <w:pPr>
        <w:pStyle w:val="DHHSbody"/>
        <w:rPr>
          <w:rStyle w:val="Hyperlink"/>
          <w:rFonts w:ascii="Arial" w:eastAsia="MS Gothic" w:hAnsi="Arial" w:cs="Arial"/>
          <w:color w:val="000000" w:themeColor="text1"/>
          <w:szCs w:val="21"/>
          <w:u w:val="none"/>
        </w:rPr>
      </w:pPr>
      <w:r w:rsidRPr="004A3834">
        <w:rPr>
          <w:rStyle w:val="normaltextrun"/>
          <w:rFonts w:ascii="Arial" w:eastAsia="MS Gothic" w:hAnsi="Arial" w:cs="Arial"/>
          <w:color w:val="000000" w:themeColor="text1"/>
          <w:szCs w:val="21"/>
        </w:rPr>
        <w:t xml:space="preserve">For families who exit crisis accommodation or HFRP-supported properties into public housing and who wish to remain in the HFR program, </w:t>
      </w:r>
      <w:r w:rsidRPr="004A3834" w:rsidDel="00AC6D0F">
        <w:rPr>
          <w:rStyle w:val="normaltextrun"/>
          <w:rFonts w:ascii="Arial" w:eastAsia="MS Gothic" w:hAnsi="Arial" w:cs="Arial"/>
          <w:color w:val="000000" w:themeColor="text1"/>
          <w:szCs w:val="21"/>
        </w:rPr>
        <w:t xml:space="preserve">the </w:t>
      </w:r>
      <w:r w:rsidRPr="004A3834">
        <w:rPr>
          <w:rStyle w:val="normaltextrun"/>
          <w:rFonts w:ascii="Arial" w:eastAsia="MS Gothic" w:hAnsi="Arial" w:cs="Arial"/>
          <w:color w:val="000000" w:themeColor="text1"/>
          <w:szCs w:val="21"/>
        </w:rPr>
        <w:t>program and service providers will continue to support families for the full service package period.</w:t>
      </w:r>
    </w:p>
    <w:sectPr w:rsidR="004A3834" w:rsidRPr="009F4CD1" w:rsidSect="00F15144">
      <w:headerReference w:type="even" r:id="rId43"/>
      <w:headerReference w:type="default" r:id="rId44"/>
      <w:footerReference w:type="even" r:id="rId45"/>
      <w:footerReference w:type="default" r:id="rId46"/>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9352D" w14:textId="77777777" w:rsidR="001228F5" w:rsidRDefault="001228F5">
      <w:r>
        <w:separator/>
      </w:r>
    </w:p>
    <w:p w14:paraId="33E9E015" w14:textId="77777777" w:rsidR="001228F5" w:rsidRDefault="001228F5"/>
  </w:endnote>
  <w:endnote w:type="continuationSeparator" w:id="0">
    <w:p w14:paraId="59E69180" w14:textId="77777777" w:rsidR="001228F5" w:rsidRDefault="001228F5">
      <w:r>
        <w:continuationSeparator/>
      </w:r>
    </w:p>
    <w:p w14:paraId="7D68CC30" w14:textId="77777777" w:rsidR="001228F5" w:rsidRDefault="00122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75648"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735E2BCF" w:rsidR="00431A70" w:rsidRDefault="00EB4BC7">
    <w:pPr>
      <w:pStyle w:val="Footer"/>
    </w:pPr>
    <w:r>
      <w:rPr>
        <w:noProof/>
        <w:lang w:eastAsia="en-AU"/>
      </w:rPr>
      <mc:AlternateContent>
        <mc:Choice Requires="wps">
          <w:drawing>
            <wp:anchor distT="0" distB="0" distL="114300" distR="114300" simplePos="0" relativeHeight="251651072"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660D8273" w:rsidR="00EB4BC7" w:rsidRDefault="00EB4BC7">
    <w:pPr>
      <w:pStyle w:val="Footer"/>
    </w:pPr>
    <w:r>
      <w:rPr>
        <w:noProof/>
      </w:rPr>
      <mc:AlternateContent>
        <mc:Choice Requires="wps">
          <w:drawing>
            <wp:anchor distT="0" distB="0" distL="114300" distR="114300" simplePos="0" relativeHeight="251663360"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96640"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2125A" w14:textId="77777777" w:rsidR="001228F5" w:rsidRDefault="001228F5" w:rsidP="00207717">
      <w:pPr>
        <w:spacing w:before="120"/>
      </w:pPr>
      <w:r>
        <w:separator/>
      </w:r>
    </w:p>
  </w:footnote>
  <w:footnote w:type="continuationSeparator" w:id="0">
    <w:p w14:paraId="24A25E57" w14:textId="77777777" w:rsidR="001228F5" w:rsidRDefault="001228F5">
      <w:r>
        <w:continuationSeparator/>
      </w:r>
    </w:p>
    <w:p w14:paraId="040A057A" w14:textId="77777777" w:rsidR="001228F5" w:rsidRDefault="001228F5"/>
  </w:footnote>
  <w:footnote w:id="1">
    <w:p w14:paraId="15E5002C" w14:textId="2B9A88C6" w:rsidR="00C36675" w:rsidRDefault="00C36675">
      <w:pPr>
        <w:pStyle w:val="FootnoteText"/>
      </w:pPr>
      <w:r>
        <w:rPr>
          <w:rStyle w:val="FootnoteReference"/>
        </w:rPr>
        <w:footnoteRef/>
      </w:r>
      <w:r>
        <w:t xml:space="preserve"> </w:t>
      </w:r>
      <w:r w:rsidRPr="00301D85">
        <w:t>The definition aligns with the Victorian Human Services (Complex Needs) Act 2009</w:t>
      </w:r>
    </w:p>
  </w:footnote>
  <w:footnote w:id="2">
    <w:p w14:paraId="19BB0A62" w14:textId="5E3659B3" w:rsidR="00F044FE" w:rsidRDefault="00F044FE" w:rsidP="00F044FE">
      <w:pPr>
        <w:pStyle w:val="FootnoteText"/>
      </w:pPr>
      <w:r>
        <w:rPr>
          <w:rStyle w:val="FootnoteReference"/>
        </w:rPr>
        <w:footnoteRef/>
      </w:r>
      <w:r>
        <w:t xml:space="preserve"> Department of Health and Human Services (2019); “</w:t>
      </w:r>
      <w:r w:rsidRPr="005B3EFB">
        <w:rPr>
          <w:i/>
          <w:iCs/>
        </w:rPr>
        <w:t>Agency</w:t>
      </w:r>
      <w:r>
        <w:rPr>
          <w:i/>
          <w:iCs/>
        </w:rPr>
        <w:t xml:space="preserve"> </w:t>
      </w:r>
      <w:r w:rsidRPr="005B3EFB">
        <w:rPr>
          <w:i/>
          <w:iCs/>
        </w:rPr>
        <w:t>Monitoring</w:t>
      </w:r>
      <w:r>
        <w:rPr>
          <w:i/>
          <w:iCs/>
        </w:rPr>
        <w:t xml:space="preserve"> </w:t>
      </w:r>
      <w:r w:rsidRPr="005B3EFB">
        <w:rPr>
          <w:i/>
          <w:iCs/>
        </w:rPr>
        <w:t>Framework</w:t>
      </w:r>
      <w:r>
        <w:t xml:space="preserve">”, </w:t>
      </w:r>
      <w:r w:rsidRPr="005B3EFB">
        <w:t>Victorian</w:t>
      </w:r>
      <w:r>
        <w:t xml:space="preserve"> </w:t>
      </w:r>
      <w:r w:rsidRPr="005B3EFB">
        <w:t>Government,</w:t>
      </w:r>
      <w:r>
        <w:t xml:space="preserve"> July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F620" w14:textId="77777777" w:rsidR="00F16072" w:rsidRDefault="00F16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80A2" w14:textId="77777777" w:rsidR="00F16072" w:rsidRDefault="00F16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9C5F" w14:textId="77777777" w:rsidR="00F16072" w:rsidRDefault="00F160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16ACFE63" w:rsidR="00562811" w:rsidRPr="001C7128" w:rsidRDefault="0013169E" w:rsidP="001C7128">
    <w:pPr>
      <w:pStyle w:val="Header"/>
    </w:pPr>
    <w:r>
      <w:t>Homelessness Flood Recovery Program Guidelines V1</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E8255AD"/>
    <w:multiLevelType w:val="hybridMultilevel"/>
    <w:tmpl w:val="6AFCB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90693"/>
    <w:multiLevelType w:val="hybridMultilevel"/>
    <w:tmpl w:val="DD64E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A3E76"/>
    <w:multiLevelType w:val="hybridMultilevel"/>
    <w:tmpl w:val="D0CA82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B96CDA"/>
    <w:multiLevelType w:val="hybridMultilevel"/>
    <w:tmpl w:val="ACFE2276"/>
    <w:lvl w:ilvl="0" w:tplc="BBD68FB0">
      <w:start w:val="1"/>
      <w:numFmt w:val="decimal"/>
      <w:pStyle w:val="DHHStablebullet1"/>
      <w:lvlText w:val="%1."/>
      <w:lvlJc w:val="left"/>
      <w:pPr>
        <w:tabs>
          <w:tab w:val="num" w:pos="397"/>
        </w:tabs>
        <w:ind w:left="397" w:hanging="397"/>
      </w:pPr>
      <w:rPr>
        <w:rFonts w:hint="default"/>
      </w:rPr>
    </w:lvl>
    <w:lvl w:ilvl="1" w:tplc="E9DAF2F0">
      <w:start w:val="1"/>
      <w:numFmt w:val="decimal"/>
      <w:lvlRestart w:val="0"/>
      <w:pStyle w:val="DHHStablebullet2"/>
      <w:lvlText w:val="%2."/>
      <w:lvlJc w:val="left"/>
      <w:pPr>
        <w:tabs>
          <w:tab w:val="num" w:pos="794"/>
        </w:tabs>
        <w:ind w:left="794" w:hanging="397"/>
      </w:pPr>
      <w:rPr>
        <w:rFonts w:hint="default"/>
      </w:rPr>
    </w:lvl>
    <w:lvl w:ilvl="2" w:tplc="77F2DB36">
      <w:start w:val="1"/>
      <w:numFmt w:val="bullet"/>
      <w:lvlRestart w:val="0"/>
      <w:lvlText w:val="•"/>
      <w:lvlJc w:val="left"/>
      <w:pPr>
        <w:tabs>
          <w:tab w:val="num" w:pos="794"/>
        </w:tabs>
        <w:ind w:left="794" w:hanging="397"/>
      </w:pPr>
      <w:rPr>
        <w:rFonts w:ascii="Calibri" w:hAnsi="Calibri" w:hint="default"/>
      </w:rPr>
    </w:lvl>
    <w:lvl w:ilvl="3" w:tplc="28A8FF56">
      <w:start w:val="1"/>
      <w:numFmt w:val="bullet"/>
      <w:lvlRestart w:val="0"/>
      <w:lvlText w:val="–"/>
      <w:lvlJc w:val="left"/>
      <w:pPr>
        <w:tabs>
          <w:tab w:val="num" w:pos="1191"/>
        </w:tabs>
        <w:ind w:left="1191" w:hanging="397"/>
      </w:pPr>
      <w:rPr>
        <w:rFonts w:ascii="Calibri" w:hAnsi="Calibri" w:hint="default"/>
      </w:rPr>
    </w:lvl>
    <w:lvl w:ilvl="4" w:tplc="4AF280EA">
      <w:start w:val="1"/>
      <w:numFmt w:val="none"/>
      <w:lvlRestart w:val="0"/>
      <w:lvlText w:val=""/>
      <w:lvlJc w:val="left"/>
      <w:pPr>
        <w:ind w:left="0" w:firstLine="0"/>
      </w:pPr>
      <w:rPr>
        <w:rFonts w:hint="default"/>
      </w:rPr>
    </w:lvl>
    <w:lvl w:ilvl="5" w:tplc="2C0E6EF2">
      <w:start w:val="1"/>
      <w:numFmt w:val="none"/>
      <w:lvlRestart w:val="0"/>
      <w:lvlText w:val=""/>
      <w:lvlJc w:val="left"/>
      <w:pPr>
        <w:ind w:left="0" w:firstLine="0"/>
      </w:pPr>
      <w:rPr>
        <w:rFonts w:hint="default"/>
      </w:rPr>
    </w:lvl>
    <w:lvl w:ilvl="6" w:tplc="B1103716">
      <w:start w:val="1"/>
      <w:numFmt w:val="none"/>
      <w:lvlRestart w:val="0"/>
      <w:lvlText w:val=""/>
      <w:lvlJc w:val="left"/>
      <w:pPr>
        <w:ind w:left="0" w:firstLine="0"/>
      </w:pPr>
      <w:rPr>
        <w:rFonts w:hint="default"/>
      </w:rPr>
    </w:lvl>
    <w:lvl w:ilvl="7" w:tplc="AA889576">
      <w:start w:val="1"/>
      <w:numFmt w:val="none"/>
      <w:lvlRestart w:val="0"/>
      <w:lvlText w:val=""/>
      <w:lvlJc w:val="left"/>
      <w:pPr>
        <w:ind w:left="0" w:firstLine="0"/>
      </w:pPr>
      <w:rPr>
        <w:rFonts w:hint="default"/>
      </w:rPr>
    </w:lvl>
    <w:lvl w:ilvl="8" w:tplc="52B6874E">
      <w:start w:val="1"/>
      <w:numFmt w:val="none"/>
      <w:lvlRestart w:val="0"/>
      <w:lvlText w:val=""/>
      <w:lvlJc w:val="right"/>
      <w:pPr>
        <w:ind w:left="0" w:firstLine="0"/>
      </w:pPr>
      <w:rPr>
        <w:rFonts w:hint="default"/>
      </w:rPr>
    </w:lvl>
  </w:abstractNum>
  <w:abstractNum w:abstractNumId="6" w15:restartNumberingAfterBreak="0">
    <w:nsid w:val="39F17F44"/>
    <w:multiLevelType w:val="hybridMultilevel"/>
    <w:tmpl w:val="6D2EE7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0A0048B"/>
    <w:multiLevelType w:val="multilevel"/>
    <w:tmpl w:val="E4902704"/>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8802734"/>
    <w:multiLevelType w:val="hybridMultilevel"/>
    <w:tmpl w:val="04DEF1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91D20A7"/>
    <w:multiLevelType w:val="hybridMultilevel"/>
    <w:tmpl w:val="C0A402A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CA1F99"/>
    <w:multiLevelType w:val="multilevel"/>
    <w:tmpl w:val="D0584F2A"/>
    <w:lvl w:ilvl="0">
      <w:numFmt w:val="bullet"/>
      <w:lvlText w:val="-"/>
      <w:lvlJc w:val="left"/>
      <w:pPr>
        <w:ind w:left="644" w:hanging="360"/>
      </w:pPr>
      <w:rPr>
        <w:rFonts w:ascii="Calibri" w:eastAsiaTheme="minorHAnsi" w:hAnsi="Calibri" w:cs="Calibri" w:hint="default"/>
      </w:rPr>
    </w:lvl>
    <w:lvl w:ilvl="1">
      <w:start w:val="1"/>
      <w:numFmt w:val="bullet"/>
      <w:lvlText w:val=""/>
      <w:lvlJc w:val="left"/>
      <w:pPr>
        <w:ind w:left="1004" w:hanging="360"/>
      </w:pPr>
      <w:rPr>
        <w:rFonts w:ascii="Wingdings" w:hAnsi="Wingdings"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1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6EB5C9D"/>
    <w:multiLevelType w:val="hybridMultilevel"/>
    <w:tmpl w:val="6CA0C202"/>
    <w:styleLink w:val="ZZNumber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3105684">
    <w:abstractNumId w:val="7"/>
  </w:num>
  <w:num w:numId="2" w16cid:durableId="1127509031">
    <w:abstractNumId w:val="14"/>
  </w:num>
  <w:num w:numId="3" w16cid:durableId="1691252286">
    <w:abstractNumId w:val="13"/>
  </w:num>
  <w:num w:numId="4" w16cid:durableId="560873303">
    <w:abstractNumId w:val="15"/>
  </w:num>
  <w:num w:numId="5" w16cid:durableId="189800468">
    <w:abstractNumId w:val="8"/>
  </w:num>
  <w:num w:numId="6" w16cid:durableId="17561974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0922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5043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1320057">
    <w:abstractNumId w:val="1"/>
  </w:num>
  <w:num w:numId="10" w16cid:durableId="1808085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84440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7598420">
    <w:abstractNumId w:val="6"/>
  </w:num>
  <w:num w:numId="13" w16cid:durableId="537544473">
    <w:abstractNumId w:val="11"/>
  </w:num>
  <w:num w:numId="14" w16cid:durableId="2142385093">
    <w:abstractNumId w:val="16"/>
  </w:num>
  <w:num w:numId="15" w16cid:durableId="703751757">
    <w:abstractNumId w:val="3"/>
  </w:num>
  <w:num w:numId="16" w16cid:durableId="394206336">
    <w:abstractNumId w:val="12"/>
  </w:num>
  <w:num w:numId="17" w16cid:durableId="48963204">
    <w:abstractNumId w:val="4"/>
  </w:num>
  <w:num w:numId="18" w16cid:durableId="2011174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4735707">
    <w:abstractNumId w:val="9"/>
  </w:num>
  <w:num w:numId="20" w16cid:durableId="1249197436">
    <w:abstractNumId w:val="7"/>
  </w:num>
  <w:num w:numId="21" w16cid:durableId="1733193618">
    <w:abstractNumId w:val="14"/>
  </w:num>
  <w:num w:numId="22" w16cid:durableId="1927692709">
    <w:abstractNumId w:val="10"/>
  </w:num>
  <w:num w:numId="23" w16cid:durableId="26916789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5A69"/>
    <w:rsid w:val="000072B6"/>
    <w:rsid w:val="0001021B"/>
    <w:rsid w:val="00011D89"/>
    <w:rsid w:val="000154FD"/>
    <w:rsid w:val="00020678"/>
    <w:rsid w:val="00022271"/>
    <w:rsid w:val="000235E8"/>
    <w:rsid w:val="00024D89"/>
    <w:rsid w:val="000250B6"/>
    <w:rsid w:val="00033D81"/>
    <w:rsid w:val="00033DC9"/>
    <w:rsid w:val="00037366"/>
    <w:rsid w:val="00041BF0"/>
    <w:rsid w:val="00042C8A"/>
    <w:rsid w:val="0004536B"/>
    <w:rsid w:val="00046B68"/>
    <w:rsid w:val="000513A1"/>
    <w:rsid w:val="000527DD"/>
    <w:rsid w:val="00056EC4"/>
    <w:rsid w:val="00056F47"/>
    <w:rsid w:val="000578B2"/>
    <w:rsid w:val="00060959"/>
    <w:rsid w:val="00060C8F"/>
    <w:rsid w:val="0006298A"/>
    <w:rsid w:val="000663CD"/>
    <w:rsid w:val="00071499"/>
    <w:rsid w:val="000733FE"/>
    <w:rsid w:val="00074219"/>
    <w:rsid w:val="00074ED5"/>
    <w:rsid w:val="00075114"/>
    <w:rsid w:val="00081564"/>
    <w:rsid w:val="0008170F"/>
    <w:rsid w:val="0008204A"/>
    <w:rsid w:val="00084D0B"/>
    <w:rsid w:val="0008508E"/>
    <w:rsid w:val="00087951"/>
    <w:rsid w:val="00087AD0"/>
    <w:rsid w:val="0009113B"/>
    <w:rsid w:val="00093402"/>
    <w:rsid w:val="000939ED"/>
    <w:rsid w:val="00094DA3"/>
    <w:rsid w:val="00096CD1"/>
    <w:rsid w:val="00097DC9"/>
    <w:rsid w:val="000A012C"/>
    <w:rsid w:val="000A0EB9"/>
    <w:rsid w:val="000A186C"/>
    <w:rsid w:val="000A1EA4"/>
    <w:rsid w:val="000A2476"/>
    <w:rsid w:val="000A4C6F"/>
    <w:rsid w:val="000A641A"/>
    <w:rsid w:val="000A6DCA"/>
    <w:rsid w:val="000B0506"/>
    <w:rsid w:val="000B2117"/>
    <w:rsid w:val="000B3EDB"/>
    <w:rsid w:val="000B543D"/>
    <w:rsid w:val="000B55F9"/>
    <w:rsid w:val="000B5BF7"/>
    <w:rsid w:val="000B6BC8"/>
    <w:rsid w:val="000C0303"/>
    <w:rsid w:val="000C24FA"/>
    <w:rsid w:val="000C42EA"/>
    <w:rsid w:val="000C4546"/>
    <w:rsid w:val="000D02EC"/>
    <w:rsid w:val="000D0EDA"/>
    <w:rsid w:val="000D1242"/>
    <w:rsid w:val="000D2ABA"/>
    <w:rsid w:val="000E0970"/>
    <w:rsid w:val="000E3CC7"/>
    <w:rsid w:val="000E6BD4"/>
    <w:rsid w:val="000E6D6D"/>
    <w:rsid w:val="000F1F1E"/>
    <w:rsid w:val="000F2259"/>
    <w:rsid w:val="000F2DDA"/>
    <w:rsid w:val="000F2EA0"/>
    <w:rsid w:val="000F36B2"/>
    <w:rsid w:val="000F5213"/>
    <w:rsid w:val="00101001"/>
    <w:rsid w:val="00103276"/>
    <w:rsid w:val="0010392D"/>
    <w:rsid w:val="0010447F"/>
    <w:rsid w:val="00104FE3"/>
    <w:rsid w:val="0010714F"/>
    <w:rsid w:val="001120C5"/>
    <w:rsid w:val="00120BD3"/>
    <w:rsid w:val="001228F5"/>
    <w:rsid w:val="00122FEA"/>
    <w:rsid w:val="001232BD"/>
    <w:rsid w:val="00124ED5"/>
    <w:rsid w:val="001276FA"/>
    <w:rsid w:val="0013169E"/>
    <w:rsid w:val="001447B3"/>
    <w:rsid w:val="00152073"/>
    <w:rsid w:val="00152329"/>
    <w:rsid w:val="00154D5E"/>
    <w:rsid w:val="00156598"/>
    <w:rsid w:val="00161939"/>
    <w:rsid w:val="00161AA0"/>
    <w:rsid w:val="00161D2E"/>
    <w:rsid w:val="00161F3E"/>
    <w:rsid w:val="00162093"/>
    <w:rsid w:val="0016216C"/>
    <w:rsid w:val="00162CA9"/>
    <w:rsid w:val="00165459"/>
    <w:rsid w:val="00165A57"/>
    <w:rsid w:val="001708A9"/>
    <w:rsid w:val="001712C2"/>
    <w:rsid w:val="00172BAF"/>
    <w:rsid w:val="00172ED0"/>
    <w:rsid w:val="00174652"/>
    <w:rsid w:val="00174EED"/>
    <w:rsid w:val="0017674D"/>
    <w:rsid w:val="001771DD"/>
    <w:rsid w:val="00177995"/>
    <w:rsid w:val="00177A8C"/>
    <w:rsid w:val="0018244E"/>
    <w:rsid w:val="00183356"/>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7128"/>
    <w:rsid w:val="001D0B75"/>
    <w:rsid w:val="001D39A5"/>
    <w:rsid w:val="001D3C09"/>
    <w:rsid w:val="001D44E8"/>
    <w:rsid w:val="001D5B14"/>
    <w:rsid w:val="001D60EC"/>
    <w:rsid w:val="001D6F59"/>
    <w:rsid w:val="001E44DF"/>
    <w:rsid w:val="001E68A5"/>
    <w:rsid w:val="001E6BB0"/>
    <w:rsid w:val="001E7282"/>
    <w:rsid w:val="001E7CE9"/>
    <w:rsid w:val="001F3826"/>
    <w:rsid w:val="001F6E46"/>
    <w:rsid w:val="001F7C91"/>
    <w:rsid w:val="002033B7"/>
    <w:rsid w:val="00206463"/>
    <w:rsid w:val="00206F2F"/>
    <w:rsid w:val="00207717"/>
    <w:rsid w:val="0021053D"/>
    <w:rsid w:val="00210A92"/>
    <w:rsid w:val="00212B95"/>
    <w:rsid w:val="0021441A"/>
    <w:rsid w:val="002149BA"/>
    <w:rsid w:val="00215A48"/>
    <w:rsid w:val="00215CC8"/>
    <w:rsid w:val="00216C03"/>
    <w:rsid w:val="00220A1A"/>
    <w:rsid w:val="00220C04"/>
    <w:rsid w:val="0022278D"/>
    <w:rsid w:val="0022701F"/>
    <w:rsid w:val="00227946"/>
    <w:rsid w:val="00227C68"/>
    <w:rsid w:val="002333F5"/>
    <w:rsid w:val="00233724"/>
    <w:rsid w:val="002365B4"/>
    <w:rsid w:val="002432E1"/>
    <w:rsid w:val="00244C91"/>
    <w:rsid w:val="00246207"/>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3149"/>
    <w:rsid w:val="00273BAC"/>
    <w:rsid w:val="002763B3"/>
    <w:rsid w:val="002802E3"/>
    <w:rsid w:val="0028213D"/>
    <w:rsid w:val="00282A7F"/>
    <w:rsid w:val="00282CAC"/>
    <w:rsid w:val="00285C7B"/>
    <w:rsid w:val="002862F1"/>
    <w:rsid w:val="002904BA"/>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4324"/>
    <w:rsid w:val="002C5B7C"/>
    <w:rsid w:val="002D1E0D"/>
    <w:rsid w:val="002D5006"/>
    <w:rsid w:val="002D7C61"/>
    <w:rsid w:val="002E01D0"/>
    <w:rsid w:val="002E08DD"/>
    <w:rsid w:val="002E161D"/>
    <w:rsid w:val="002E28A2"/>
    <w:rsid w:val="002E3100"/>
    <w:rsid w:val="002E6C95"/>
    <w:rsid w:val="002E7C36"/>
    <w:rsid w:val="002F26A2"/>
    <w:rsid w:val="002F3D32"/>
    <w:rsid w:val="002F5F31"/>
    <w:rsid w:val="002F5F46"/>
    <w:rsid w:val="00301D85"/>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64037"/>
    <w:rsid w:val="003716FD"/>
    <w:rsid w:val="0037204B"/>
    <w:rsid w:val="003744CF"/>
    <w:rsid w:val="00374717"/>
    <w:rsid w:val="0037676C"/>
    <w:rsid w:val="00381043"/>
    <w:rsid w:val="003829E5"/>
    <w:rsid w:val="00382FE2"/>
    <w:rsid w:val="00385473"/>
    <w:rsid w:val="00386109"/>
    <w:rsid w:val="00386944"/>
    <w:rsid w:val="003956CC"/>
    <w:rsid w:val="00395C9A"/>
    <w:rsid w:val="003A0853"/>
    <w:rsid w:val="003A6B67"/>
    <w:rsid w:val="003B13B6"/>
    <w:rsid w:val="003B14C3"/>
    <w:rsid w:val="003B15E6"/>
    <w:rsid w:val="003B22EF"/>
    <w:rsid w:val="003B408A"/>
    <w:rsid w:val="003B63E4"/>
    <w:rsid w:val="003B6C6C"/>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40DF"/>
    <w:rsid w:val="00406285"/>
    <w:rsid w:val="004115A2"/>
    <w:rsid w:val="004148F9"/>
    <w:rsid w:val="00417BF4"/>
    <w:rsid w:val="0042084E"/>
    <w:rsid w:val="00421EEF"/>
    <w:rsid w:val="00424D65"/>
    <w:rsid w:val="0042526D"/>
    <w:rsid w:val="00427D95"/>
    <w:rsid w:val="00430393"/>
    <w:rsid w:val="00431806"/>
    <w:rsid w:val="00431A70"/>
    <w:rsid w:val="00431F42"/>
    <w:rsid w:val="0044031C"/>
    <w:rsid w:val="00442C6C"/>
    <w:rsid w:val="00443CBE"/>
    <w:rsid w:val="00443E8A"/>
    <w:rsid w:val="004441BC"/>
    <w:rsid w:val="004468B4"/>
    <w:rsid w:val="00446D86"/>
    <w:rsid w:val="00451CA9"/>
    <w:rsid w:val="0045230A"/>
    <w:rsid w:val="00454AD0"/>
    <w:rsid w:val="00457337"/>
    <w:rsid w:val="00462E3D"/>
    <w:rsid w:val="00466C20"/>
    <w:rsid w:val="00466E79"/>
    <w:rsid w:val="00470D7D"/>
    <w:rsid w:val="0047372D"/>
    <w:rsid w:val="00473BA3"/>
    <w:rsid w:val="004743DD"/>
    <w:rsid w:val="00474CEA"/>
    <w:rsid w:val="00483968"/>
    <w:rsid w:val="004841BE"/>
    <w:rsid w:val="00484F86"/>
    <w:rsid w:val="00490746"/>
    <w:rsid w:val="0049080E"/>
    <w:rsid w:val="00490852"/>
    <w:rsid w:val="00491C9C"/>
    <w:rsid w:val="00492F30"/>
    <w:rsid w:val="004946F4"/>
    <w:rsid w:val="0049487E"/>
    <w:rsid w:val="004A160D"/>
    <w:rsid w:val="004A2345"/>
    <w:rsid w:val="004A3834"/>
    <w:rsid w:val="004A3E81"/>
    <w:rsid w:val="004A4195"/>
    <w:rsid w:val="004A5C62"/>
    <w:rsid w:val="004A5CE5"/>
    <w:rsid w:val="004A707D"/>
    <w:rsid w:val="004B0974"/>
    <w:rsid w:val="004B1DD5"/>
    <w:rsid w:val="004B4185"/>
    <w:rsid w:val="004C014B"/>
    <w:rsid w:val="004C5541"/>
    <w:rsid w:val="004C6EEE"/>
    <w:rsid w:val="004C702B"/>
    <w:rsid w:val="004D0033"/>
    <w:rsid w:val="004D016B"/>
    <w:rsid w:val="004D1B22"/>
    <w:rsid w:val="004D2127"/>
    <w:rsid w:val="004D23CC"/>
    <w:rsid w:val="004D36F2"/>
    <w:rsid w:val="004E1106"/>
    <w:rsid w:val="004E138F"/>
    <w:rsid w:val="004E4649"/>
    <w:rsid w:val="004E5C2B"/>
    <w:rsid w:val="004F00DD"/>
    <w:rsid w:val="004F1072"/>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6305"/>
    <w:rsid w:val="005464E9"/>
    <w:rsid w:val="00547A95"/>
    <w:rsid w:val="0055119B"/>
    <w:rsid w:val="0056047F"/>
    <w:rsid w:val="00561202"/>
    <w:rsid w:val="00562507"/>
    <w:rsid w:val="00562811"/>
    <w:rsid w:val="00572031"/>
    <w:rsid w:val="00572282"/>
    <w:rsid w:val="00573CE3"/>
    <w:rsid w:val="00576E84"/>
    <w:rsid w:val="00580394"/>
    <w:rsid w:val="005809CD"/>
    <w:rsid w:val="0058206E"/>
    <w:rsid w:val="00582B8C"/>
    <w:rsid w:val="00586E2B"/>
    <w:rsid w:val="0058757E"/>
    <w:rsid w:val="0059325B"/>
    <w:rsid w:val="00596A4B"/>
    <w:rsid w:val="00597507"/>
    <w:rsid w:val="005A479D"/>
    <w:rsid w:val="005A55FC"/>
    <w:rsid w:val="005B1157"/>
    <w:rsid w:val="005B1C6D"/>
    <w:rsid w:val="005B21B6"/>
    <w:rsid w:val="005B3A08"/>
    <w:rsid w:val="005B6AB9"/>
    <w:rsid w:val="005B7A63"/>
    <w:rsid w:val="005C0955"/>
    <w:rsid w:val="005C49DA"/>
    <w:rsid w:val="005C50F3"/>
    <w:rsid w:val="005C54B5"/>
    <w:rsid w:val="005C5D80"/>
    <w:rsid w:val="005C5D91"/>
    <w:rsid w:val="005D07B8"/>
    <w:rsid w:val="005D6597"/>
    <w:rsid w:val="005D6C26"/>
    <w:rsid w:val="005E14E7"/>
    <w:rsid w:val="005E26A3"/>
    <w:rsid w:val="005E2ECB"/>
    <w:rsid w:val="005E447E"/>
    <w:rsid w:val="005E4FD1"/>
    <w:rsid w:val="005F0775"/>
    <w:rsid w:val="005F0CF5"/>
    <w:rsid w:val="005F21EB"/>
    <w:rsid w:val="005F64CF"/>
    <w:rsid w:val="005F693B"/>
    <w:rsid w:val="005F7711"/>
    <w:rsid w:val="006041AD"/>
    <w:rsid w:val="00605908"/>
    <w:rsid w:val="00607850"/>
    <w:rsid w:val="00607D0F"/>
    <w:rsid w:val="00607EF7"/>
    <w:rsid w:val="00610D7C"/>
    <w:rsid w:val="00613414"/>
    <w:rsid w:val="00614031"/>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546"/>
    <w:rsid w:val="00693D14"/>
    <w:rsid w:val="00696F27"/>
    <w:rsid w:val="006A18C2"/>
    <w:rsid w:val="006A2717"/>
    <w:rsid w:val="006A3383"/>
    <w:rsid w:val="006B077C"/>
    <w:rsid w:val="006B0C81"/>
    <w:rsid w:val="006B6803"/>
    <w:rsid w:val="006D0F16"/>
    <w:rsid w:val="006D2A3F"/>
    <w:rsid w:val="006D2FBC"/>
    <w:rsid w:val="006D3EF9"/>
    <w:rsid w:val="006D6E34"/>
    <w:rsid w:val="006E138B"/>
    <w:rsid w:val="006E1867"/>
    <w:rsid w:val="006F0330"/>
    <w:rsid w:val="006F1FDC"/>
    <w:rsid w:val="006F6B76"/>
    <w:rsid w:val="006F6B8C"/>
    <w:rsid w:val="007013EF"/>
    <w:rsid w:val="007055BD"/>
    <w:rsid w:val="00706A99"/>
    <w:rsid w:val="00706FC6"/>
    <w:rsid w:val="0071615E"/>
    <w:rsid w:val="007173CA"/>
    <w:rsid w:val="007216AA"/>
    <w:rsid w:val="00721AB5"/>
    <w:rsid w:val="00721CFB"/>
    <w:rsid w:val="00721DEF"/>
    <w:rsid w:val="00724A43"/>
    <w:rsid w:val="007273AC"/>
    <w:rsid w:val="00730F48"/>
    <w:rsid w:val="00731AD4"/>
    <w:rsid w:val="007346E4"/>
    <w:rsid w:val="00735564"/>
    <w:rsid w:val="00740F22"/>
    <w:rsid w:val="00741CF0"/>
    <w:rsid w:val="00741F1A"/>
    <w:rsid w:val="007447DA"/>
    <w:rsid w:val="007450F8"/>
    <w:rsid w:val="0074653E"/>
    <w:rsid w:val="0074696E"/>
    <w:rsid w:val="00750135"/>
    <w:rsid w:val="007503BD"/>
    <w:rsid w:val="00750EC2"/>
    <w:rsid w:val="007525C7"/>
    <w:rsid w:val="00752B28"/>
    <w:rsid w:val="007536BC"/>
    <w:rsid w:val="007541A9"/>
    <w:rsid w:val="00754E36"/>
    <w:rsid w:val="00762585"/>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A1A75"/>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D636E"/>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16760"/>
    <w:rsid w:val="00820141"/>
    <w:rsid w:val="00820E0C"/>
    <w:rsid w:val="00823275"/>
    <w:rsid w:val="0082366F"/>
    <w:rsid w:val="00831B47"/>
    <w:rsid w:val="008338A2"/>
    <w:rsid w:val="00841AA9"/>
    <w:rsid w:val="008474FE"/>
    <w:rsid w:val="00853EE4"/>
    <w:rsid w:val="00855535"/>
    <w:rsid w:val="00857C5A"/>
    <w:rsid w:val="0086255E"/>
    <w:rsid w:val="008633F0"/>
    <w:rsid w:val="00863B7C"/>
    <w:rsid w:val="00867D9D"/>
    <w:rsid w:val="00872E0A"/>
    <w:rsid w:val="00873594"/>
    <w:rsid w:val="00875285"/>
    <w:rsid w:val="00877635"/>
    <w:rsid w:val="00884B62"/>
    <w:rsid w:val="0088529C"/>
    <w:rsid w:val="00887903"/>
    <w:rsid w:val="00890E3C"/>
    <w:rsid w:val="0089270A"/>
    <w:rsid w:val="00893AF6"/>
    <w:rsid w:val="00894684"/>
    <w:rsid w:val="00894BC4"/>
    <w:rsid w:val="00896890"/>
    <w:rsid w:val="008A03F4"/>
    <w:rsid w:val="008A28A8"/>
    <w:rsid w:val="008A3D59"/>
    <w:rsid w:val="008A5B32"/>
    <w:rsid w:val="008A78B9"/>
    <w:rsid w:val="008B2029"/>
    <w:rsid w:val="008B2EE4"/>
    <w:rsid w:val="008B3821"/>
    <w:rsid w:val="008B4D3D"/>
    <w:rsid w:val="008B57C7"/>
    <w:rsid w:val="008B7F94"/>
    <w:rsid w:val="008C2F92"/>
    <w:rsid w:val="008C3546"/>
    <w:rsid w:val="008C589D"/>
    <w:rsid w:val="008C6D51"/>
    <w:rsid w:val="008D2846"/>
    <w:rsid w:val="008D4236"/>
    <w:rsid w:val="008D462F"/>
    <w:rsid w:val="008D6DCF"/>
    <w:rsid w:val="008E2E9F"/>
    <w:rsid w:val="008E4376"/>
    <w:rsid w:val="008E74D1"/>
    <w:rsid w:val="008E7807"/>
    <w:rsid w:val="008E7A0A"/>
    <w:rsid w:val="008E7B49"/>
    <w:rsid w:val="008F24F7"/>
    <w:rsid w:val="008F3A63"/>
    <w:rsid w:val="008F59F6"/>
    <w:rsid w:val="00900719"/>
    <w:rsid w:val="009017AC"/>
    <w:rsid w:val="00902A9A"/>
    <w:rsid w:val="00904A1C"/>
    <w:rsid w:val="00905030"/>
    <w:rsid w:val="00906490"/>
    <w:rsid w:val="009111B2"/>
    <w:rsid w:val="009151F5"/>
    <w:rsid w:val="00924AE1"/>
    <w:rsid w:val="00924B57"/>
    <w:rsid w:val="009269B1"/>
    <w:rsid w:val="0092724D"/>
    <w:rsid w:val="009272B3"/>
    <w:rsid w:val="009315BE"/>
    <w:rsid w:val="009326DD"/>
    <w:rsid w:val="0093338F"/>
    <w:rsid w:val="00934826"/>
    <w:rsid w:val="00937BD9"/>
    <w:rsid w:val="00950E2C"/>
    <w:rsid w:val="00951D50"/>
    <w:rsid w:val="009525EB"/>
    <w:rsid w:val="0095470B"/>
    <w:rsid w:val="00954874"/>
    <w:rsid w:val="0095615A"/>
    <w:rsid w:val="00957D53"/>
    <w:rsid w:val="00961400"/>
    <w:rsid w:val="00963646"/>
    <w:rsid w:val="0096506F"/>
    <w:rsid w:val="0096632D"/>
    <w:rsid w:val="00967124"/>
    <w:rsid w:val="0097166C"/>
    <w:rsid w:val="009718C7"/>
    <w:rsid w:val="0097559F"/>
    <w:rsid w:val="009761EA"/>
    <w:rsid w:val="0097761E"/>
    <w:rsid w:val="00982454"/>
    <w:rsid w:val="00982CF0"/>
    <w:rsid w:val="009853E1"/>
    <w:rsid w:val="00986E6B"/>
    <w:rsid w:val="00986F97"/>
    <w:rsid w:val="00990032"/>
    <w:rsid w:val="00990B19"/>
    <w:rsid w:val="0099153B"/>
    <w:rsid w:val="00991769"/>
    <w:rsid w:val="0099232C"/>
    <w:rsid w:val="00994386"/>
    <w:rsid w:val="0099564E"/>
    <w:rsid w:val="009A13D8"/>
    <w:rsid w:val="009A1789"/>
    <w:rsid w:val="009A279E"/>
    <w:rsid w:val="009A3015"/>
    <w:rsid w:val="009A3490"/>
    <w:rsid w:val="009A640C"/>
    <w:rsid w:val="009B05FD"/>
    <w:rsid w:val="009B0A6F"/>
    <w:rsid w:val="009B0A94"/>
    <w:rsid w:val="009B0C62"/>
    <w:rsid w:val="009B1C9E"/>
    <w:rsid w:val="009B2AE8"/>
    <w:rsid w:val="009B5622"/>
    <w:rsid w:val="009B59E9"/>
    <w:rsid w:val="009B70AA"/>
    <w:rsid w:val="009C245E"/>
    <w:rsid w:val="009C3CF1"/>
    <w:rsid w:val="009C5AAA"/>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4CD1"/>
    <w:rsid w:val="009F6BCB"/>
    <w:rsid w:val="009F7B78"/>
    <w:rsid w:val="00A0057A"/>
    <w:rsid w:val="00A01FB1"/>
    <w:rsid w:val="00A02FA1"/>
    <w:rsid w:val="00A04CCE"/>
    <w:rsid w:val="00A0669E"/>
    <w:rsid w:val="00A07421"/>
    <w:rsid w:val="00A0776B"/>
    <w:rsid w:val="00A10FB9"/>
    <w:rsid w:val="00A11421"/>
    <w:rsid w:val="00A1389F"/>
    <w:rsid w:val="00A157B1"/>
    <w:rsid w:val="00A22229"/>
    <w:rsid w:val="00A22431"/>
    <w:rsid w:val="00A24442"/>
    <w:rsid w:val="00A24ADA"/>
    <w:rsid w:val="00A31871"/>
    <w:rsid w:val="00A32577"/>
    <w:rsid w:val="00A330BB"/>
    <w:rsid w:val="00A446F5"/>
    <w:rsid w:val="00A44882"/>
    <w:rsid w:val="00A45125"/>
    <w:rsid w:val="00A54715"/>
    <w:rsid w:val="00A56B52"/>
    <w:rsid w:val="00A6061C"/>
    <w:rsid w:val="00A62D44"/>
    <w:rsid w:val="00A67263"/>
    <w:rsid w:val="00A7161C"/>
    <w:rsid w:val="00A71CE4"/>
    <w:rsid w:val="00A72A6B"/>
    <w:rsid w:val="00A77AA3"/>
    <w:rsid w:val="00A8236D"/>
    <w:rsid w:val="00A854EB"/>
    <w:rsid w:val="00A872E5"/>
    <w:rsid w:val="00A91406"/>
    <w:rsid w:val="00A91593"/>
    <w:rsid w:val="00A96E65"/>
    <w:rsid w:val="00A96ECE"/>
    <w:rsid w:val="00A97C72"/>
    <w:rsid w:val="00AA310B"/>
    <w:rsid w:val="00AA63D4"/>
    <w:rsid w:val="00AA72AA"/>
    <w:rsid w:val="00AB06E8"/>
    <w:rsid w:val="00AB1CD3"/>
    <w:rsid w:val="00AB352F"/>
    <w:rsid w:val="00AC274B"/>
    <w:rsid w:val="00AC4764"/>
    <w:rsid w:val="00AC69A5"/>
    <w:rsid w:val="00AC6D36"/>
    <w:rsid w:val="00AC6E70"/>
    <w:rsid w:val="00AD0CBA"/>
    <w:rsid w:val="00AD243A"/>
    <w:rsid w:val="00AD26E2"/>
    <w:rsid w:val="00AD784C"/>
    <w:rsid w:val="00AE126A"/>
    <w:rsid w:val="00AE1BAE"/>
    <w:rsid w:val="00AE3005"/>
    <w:rsid w:val="00AE3BD5"/>
    <w:rsid w:val="00AE59A0"/>
    <w:rsid w:val="00AF0C57"/>
    <w:rsid w:val="00AF26F3"/>
    <w:rsid w:val="00AF5F04"/>
    <w:rsid w:val="00B00672"/>
    <w:rsid w:val="00B01B4D"/>
    <w:rsid w:val="00B04489"/>
    <w:rsid w:val="00B055B3"/>
    <w:rsid w:val="00B05C1C"/>
    <w:rsid w:val="00B06571"/>
    <w:rsid w:val="00B068BA"/>
    <w:rsid w:val="00B07217"/>
    <w:rsid w:val="00B075D7"/>
    <w:rsid w:val="00B07DE1"/>
    <w:rsid w:val="00B13851"/>
    <w:rsid w:val="00B13B1C"/>
    <w:rsid w:val="00B14B5F"/>
    <w:rsid w:val="00B2108E"/>
    <w:rsid w:val="00B21F90"/>
    <w:rsid w:val="00B22291"/>
    <w:rsid w:val="00B23F9A"/>
    <w:rsid w:val="00B2417B"/>
    <w:rsid w:val="00B24E6F"/>
    <w:rsid w:val="00B26CB5"/>
    <w:rsid w:val="00B2752E"/>
    <w:rsid w:val="00B307CC"/>
    <w:rsid w:val="00B326B7"/>
    <w:rsid w:val="00B3588E"/>
    <w:rsid w:val="00B4198F"/>
    <w:rsid w:val="00B41F3D"/>
    <w:rsid w:val="00B431E8"/>
    <w:rsid w:val="00B44DD1"/>
    <w:rsid w:val="00B45141"/>
    <w:rsid w:val="00B519CD"/>
    <w:rsid w:val="00B5273A"/>
    <w:rsid w:val="00B57329"/>
    <w:rsid w:val="00B60E61"/>
    <w:rsid w:val="00B629C8"/>
    <w:rsid w:val="00B62B50"/>
    <w:rsid w:val="00B62C7B"/>
    <w:rsid w:val="00B635B7"/>
    <w:rsid w:val="00B63AE8"/>
    <w:rsid w:val="00B65950"/>
    <w:rsid w:val="00B66D83"/>
    <w:rsid w:val="00B672C0"/>
    <w:rsid w:val="00B676FD"/>
    <w:rsid w:val="00B678B6"/>
    <w:rsid w:val="00B75646"/>
    <w:rsid w:val="00B7629E"/>
    <w:rsid w:val="00B85753"/>
    <w:rsid w:val="00B90729"/>
    <w:rsid w:val="00B907DA"/>
    <w:rsid w:val="00B94C5E"/>
    <w:rsid w:val="00B950BC"/>
    <w:rsid w:val="00B9714C"/>
    <w:rsid w:val="00B97D69"/>
    <w:rsid w:val="00BA29AD"/>
    <w:rsid w:val="00BA33CF"/>
    <w:rsid w:val="00BA3F8D"/>
    <w:rsid w:val="00BB7A10"/>
    <w:rsid w:val="00BC60BE"/>
    <w:rsid w:val="00BC7468"/>
    <w:rsid w:val="00BC7D4F"/>
    <w:rsid w:val="00BC7ED7"/>
    <w:rsid w:val="00BD2850"/>
    <w:rsid w:val="00BD60A9"/>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22A13"/>
    <w:rsid w:val="00C26588"/>
    <w:rsid w:val="00C27DE9"/>
    <w:rsid w:val="00C32989"/>
    <w:rsid w:val="00C33388"/>
    <w:rsid w:val="00C35484"/>
    <w:rsid w:val="00C36675"/>
    <w:rsid w:val="00C4173A"/>
    <w:rsid w:val="00C43375"/>
    <w:rsid w:val="00C446F9"/>
    <w:rsid w:val="00C50DED"/>
    <w:rsid w:val="00C52217"/>
    <w:rsid w:val="00C52917"/>
    <w:rsid w:val="00C602FF"/>
    <w:rsid w:val="00C60411"/>
    <w:rsid w:val="00C61174"/>
    <w:rsid w:val="00C6148F"/>
    <w:rsid w:val="00C621B1"/>
    <w:rsid w:val="00C62F7A"/>
    <w:rsid w:val="00C63B9C"/>
    <w:rsid w:val="00C64BC7"/>
    <w:rsid w:val="00C6682F"/>
    <w:rsid w:val="00C67BF4"/>
    <w:rsid w:val="00C7275E"/>
    <w:rsid w:val="00C731AF"/>
    <w:rsid w:val="00C74C5D"/>
    <w:rsid w:val="00C8076E"/>
    <w:rsid w:val="00C8623A"/>
    <w:rsid w:val="00C863C4"/>
    <w:rsid w:val="00C90DAB"/>
    <w:rsid w:val="00C920EA"/>
    <w:rsid w:val="00C93C3E"/>
    <w:rsid w:val="00CA12E3"/>
    <w:rsid w:val="00CA1476"/>
    <w:rsid w:val="00CA6611"/>
    <w:rsid w:val="00CA6AE6"/>
    <w:rsid w:val="00CA782F"/>
    <w:rsid w:val="00CB187B"/>
    <w:rsid w:val="00CB2835"/>
    <w:rsid w:val="00CB3285"/>
    <w:rsid w:val="00CB4500"/>
    <w:rsid w:val="00CB5EA8"/>
    <w:rsid w:val="00CB5FCB"/>
    <w:rsid w:val="00CC0C72"/>
    <w:rsid w:val="00CC2BFD"/>
    <w:rsid w:val="00CC6F40"/>
    <w:rsid w:val="00CD3476"/>
    <w:rsid w:val="00CD64DF"/>
    <w:rsid w:val="00CD768F"/>
    <w:rsid w:val="00CE0994"/>
    <w:rsid w:val="00CE225F"/>
    <w:rsid w:val="00CF230C"/>
    <w:rsid w:val="00CF2F50"/>
    <w:rsid w:val="00CF6198"/>
    <w:rsid w:val="00D02919"/>
    <w:rsid w:val="00D04C61"/>
    <w:rsid w:val="00D05B8D"/>
    <w:rsid w:val="00D05B9B"/>
    <w:rsid w:val="00D065A2"/>
    <w:rsid w:val="00D079AA"/>
    <w:rsid w:val="00D07F00"/>
    <w:rsid w:val="00D1130F"/>
    <w:rsid w:val="00D1571F"/>
    <w:rsid w:val="00D16382"/>
    <w:rsid w:val="00D17981"/>
    <w:rsid w:val="00D17B72"/>
    <w:rsid w:val="00D24BDF"/>
    <w:rsid w:val="00D3185C"/>
    <w:rsid w:val="00D3205F"/>
    <w:rsid w:val="00D32167"/>
    <w:rsid w:val="00D3318E"/>
    <w:rsid w:val="00D33E72"/>
    <w:rsid w:val="00D35BD6"/>
    <w:rsid w:val="00D361B5"/>
    <w:rsid w:val="00D411A2"/>
    <w:rsid w:val="00D4606D"/>
    <w:rsid w:val="00D50B9C"/>
    <w:rsid w:val="00D513AF"/>
    <w:rsid w:val="00D52D73"/>
    <w:rsid w:val="00D52E58"/>
    <w:rsid w:val="00D56B20"/>
    <w:rsid w:val="00D578B3"/>
    <w:rsid w:val="00D615BD"/>
    <w:rsid w:val="00D618F4"/>
    <w:rsid w:val="00D63636"/>
    <w:rsid w:val="00D640AD"/>
    <w:rsid w:val="00D714CC"/>
    <w:rsid w:val="00D725E6"/>
    <w:rsid w:val="00D7542A"/>
    <w:rsid w:val="00D75EA7"/>
    <w:rsid w:val="00D77252"/>
    <w:rsid w:val="00D81ADF"/>
    <w:rsid w:val="00D81F21"/>
    <w:rsid w:val="00D83C3F"/>
    <w:rsid w:val="00D83D06"/>
    <w:rsid w:val="00D864F2"/>
    <w:rsid w:val="00D943F8"/>
    <w:rsid w:val="00D95470"/>
    <w:rsid w:val="00D96B55"/>
    <w:rsid w:val="00DA2619"/>
    <w:rsid w:val="00DA4239"/>
    <w:rsid w:val="00DA50D5"/>
    <w:rsid w:val="00DA588C"/>
    <w:rsid w:val="00DA65DE"/>
    <w:rsid w:val="00DB0B61"/>
    <w:rsid w:val="00DB1474"/>
    <w:rsid w:val="00DB2962"/>
    <w:rsid w:val="00DB52FB"/>
    <w:rsid w:val="00DC00C1"/>
    <w:rsid w:val="00DC013B"/>
    <w:rsid w:val="00DC090B"/>
    <w:rsid w:val="00DC1679"/>
    <w:rsid w:val="00DC219B"/>
    <w:rsid w:val="00DC2CF1"/>
    <w:rsid w:val="00DC2DC7"/>
    <w:rsid w:val="00DC3282"/>
    <w:rsid w:val="00DC3A7C"/>
    <w:rsid w:val="00DC4FCF"/>
    <w:rsid w:val="00DC50E0"/>
    <w:rsid w:val="00DC5FD5"/>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4BBB"/>
    <w:rsid w:val="00E06B75"/>
    <w:rsid w:val="00E10D16"/>
    <w:rsid w:val="00E11332"/>
    <w:rsid w:val="00E11352"/>
    <w:rsid w:val="00E170DC"/>
    <w:rsid w:val="00E17546"/>
    <w:rsid w:val="00E210B5"/>
    <w:rsid w:val="00E261B3"/>
    <w:rsid w:val="00E26818"/>
    <w:rsid w:val="00E27FFC"/>
    <w:rsid w:val="00E30B15"/>
    <w:rsid w:val="00E31FE7"/>
    <w:rsid w:val="00E33237"/>
    <w:rsid w:val="00E40181"/>
    <w:rsid w:val="00E4385D"/>
    <w:rsid w:val="00E52448"/>
    <w:rsid w:val="00E54950"/>
    <w:rsid w:val="00E55FB3"/>
    <w:rsid w:val="00E56A01"/>
    <w:rsid w:val="00E629A1"/>
    <w:rsid w:val="00E6794C"/>
    <w:rsid w:val="00E71591"/>
    <w:rsid w:val="00E71CEB"/>
    <w:rsid w:val="00E7474F"/>
    <w:rsid w:val="00E80DE3"/>
    <w:rsid w:val="00E8186E"/>
    <w:rsid w:val="00E82C55"/>
    <w:rsid w:val="00E86C04"/>
    <w:rsid w:val="00E8787E"/>
    <w:rsid w:val="00E92AC3"/>
    <w:rsid w:val="00E972DE"/>
    <w:rsid w:val="00EA2424"/>
    <w:rsid w:val="00EA2F6A"/>
    <w:rsid w:val="00EB00E0"/>
    <w:rsid w:val="00EB05D5"/>
    <w:rsid w:val="00EB4BC7"/>
    <w:rsid w:val="00EB71F4"/>
    <w:rsid w:val="00EC059F"/>
    <w:rsid w:val="00EC1F24"/>
    <w:rsid w:val="00EC22F6"/>
    <w:rsid w:val="00EC3DB9"/>
    <w:rsid w:val="00ED32C8"/>
    <w:rsid w:val="00ED5B9B"/>
    <w:rsid w:val="00ED5BAE"/>
    <w:rsid w:val="00ED5DCD"/>
    <w:rsid w:val="00ED6BAD"/>
    <w:rsid w:val="00ED7447"/>
    <w:rsid w:val="00ED763F"/>
    <w:rsid w:val="00ED7762"/>
    <w:rsid w:val="00EE00D6"/>
    <w:rsid w:val="00EE11E7"/>
    <w:rsid w:val="00EE1488"/>
    <w:rsid w:val="00EE29AD"/>
    <w:rsid w:val="00EE339D"/>
    <w:rsid w:val="00EE3E24"/>
    <w:rsid w:val="00EE4D5D"/>
    <w:rsid w:val="00EE5131"/>
    <w:rsid w:val="00EF109B"/>
    <w:rsid w:val="00EF201C"/>
    <w:rsid w:val="00EF2AAE"/>
    <w:rsid w:val="00EF2C72"/>
    <w:rsid w:val="00EF36AF"/>
    <w:rsid w:val="00EF59A3"/>
    <w:rsid w:val="00EF6675"/>
    <w:rsid w:val="00F0063D"/>
    <w:rsid w:val="00F00F9C"/>
    <w:rsid w:val="00F01E5F"/>
    <w:rsid w:val="00F024F3"/>
    <w:rsid w:val="00F02ABA"/>
    <w:rsid w:val="00F0437A"/>
    <w:rsid w:val="00F044FE"/>
    <w:rsid w:val="00F101B8"/>
    <w:rsid w:val="00F11037"/>
    <w:rsid w:val="00F15144"/>
    <w:rsid w:val="00F16072"/>
    <w:rsid w:val="00F16F1B"/>
    <w:rsid w:val="00F2107D"/>
    <w:rsid w:val="00F250A9"/>
    <w:rsid w:val="00F267AF"/>
    <w:rsid w:val="00F30FF4"/>
    <w:rsid w:val="00F3122E"/>
    <w:rsid w:val="00F32368"/>
    <w:rsid w:val="00F331AD"/>
    <w:rsid w:val="00F35287"/>
    <w:rsid w:val="00F40A70"/>
    <w:rsid w:val="00F43A37"/>
    <w:rsid w:val="00F44C10"/>
    <w:rsid w:val="00F4641B"/>
    <w:rsid w:val="00F46EB8"/>
    <w:rsid w:val="00F50CD1"/>
    <w:rsid w:val="00F511E4"/>
    <w:rsid w:val="00F52D09"/>
    <w:rsid w:val="00F52E08"/>
    <w:rsid w:val="00F53A66"/>
    <w:rsid w:val="00F5462D"/>
    <w:rsid w:val="00F55B21"/>
    <w:rsid w:val="00F56EF6"/>
    <w:rsid w:val="00F60082"/>
    <w:rsid w:val="00F6167B"/>
    <w:rsid w:val="00F61A9F"/>
    <w:rsid w:val="00F61B5F"/>
    <w:rsid w:val="00F64696"/>
    <w:rsid w:val="00F65AA9"/>
    <w:rsid w:val="00F6768F"/>
    <w:rsid w:val="00F72C2C"/>
    <w:rsid w:val="00F741E9"/>
    <w:rsid w:val="00F741F2"/>
    <w:rsid w:val="00F76CAB"/>
    <w:rsid w:val="00F772C6"/>
    <w:rsid w:val="00F81194"/>
    <w:rsid w:val="00F815B5"/>
    <w:rsid w:val="00F85195"/>
    <w:rsid w:val="00F857D4"/>
    <w:rsid w:val="00F868E3"/>
    <w:rsid w:val="00F91EA4"/>
    <w:rsid w:val="00F938BA"/>
    <w:rsid w:val="00F97919"/>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31E"/>
    <w:rsid w:val="00FE3FA7"/>
    <w:rsid w:val="00FE4081"/>
    <w:rsid w:val="00FF2A4E"/>
    <w:rsid w:val="00FF2FCE"/>
    <w:rsid w:val="00FF4F7D"/>
    <w:rsid w:val="00FF61AB"/>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DHHSbody">
    <w:name w:val="DHHS body"/>
    <w:link w:val="DHHSbodyChar"/>
    <w:qFormat/>
    <w:rsid w:val="002149BA"/>
    <w:pPr>
      <w:spacing w:after="120" w:line="270" w:lineRule="atLeast"/>
    </w:pPr>
    <w:rPr>
      <w:rFonts w:ascii="Verdana" w:eastAsia="Times" w:hAnsi="Verdana"/>
      <w:sz w:val="21"/>
      <w:lang w:eastAsia="en-US"/>
    </w:rPr>
  </w:style>
  <w:style w:type="character" w:customStyle="1" w:styleId="DHHSbodyChar">
    <w:name w:val="DHHS body Char"/>
    <w:basedOn w:val="DefaultParagraphFont"/>
    <w:link w:val="DHHSbody"/>
    <w:qFormat/>
    <w:rsid w:val="002149BA"/>
    <w:rPr>
      <w:rFonts w:ascii="Verdana" w:eastAsia="Times" w:hAnsi="Verdana"/>
      <w:sz w:val="21"/>
      <w:lang w:eastAsia="en-US"/>
    </w:rPr>
  </w:style>
  <w:style w:type="character" w:customStyle="1" w:styleId="normaltextrun">
    <w:name w:val="normaltextrun"/>
    <w:basedOn w:val="DefaultParagraphFont"/>
    <w:rsid w:val="002149BA"/>
  </w:style>
  <w:style w:type="paragraph" w:customStyle="1" w:styleId="DHHSbullet1">
    <w:name w:val="DHHS bullet 1"/>
    <w:basedOn w:val="DHHSbody"/>
    <w:link w:val="DHHSbullet1Char"/>
    <w:qFormat/>
    <w:rsid w:val="00301D85"/>
    <w:pPr>
      <w:tabs>
        <w:tab w:val="num" w:pos="397"/>
      </w:tabs>
      <w:spacing w:after="40"/>
      <w:ind w:left="284" w:hanging="284"/>
    </w:pPr>
  </w:style>
  <w:style w:type="paragraph" w:customStyle="1" w:styleId="DHHSnumberdigitindent">
    <w:name w:val="DHHS number digit indent"/>
    <w:basedOn w:val="Normal"/>
    <w:uiPriority w:val="3"/>
    <w:rsid w:val="00301D85"/>
    <w:pPr>
      <w:spacing w:line="270" w:lineRule="atLeast"/>
    </w:pPr>
    <w:rPr>
      <w:rFonts w:ascii="Verdana" w:eastAsia="Times" w:hAnsi="Verdana"/>
    </w:rPr>
  </w:style>
  <w:style w:type="paragraph" w:styleId="ListParagraph">
    <w:name w:val="List Paragraph"/>
    <w:aliases w:val="Bulleted Para,Bulletr List Paragraph,CV t,CV text,Dot pt,F5 List Paragraph,FooterText,L,List Paragraph1,List Paragraph11,List Paragraph2,List Paragraph21,NFP GP Bulleted List,Paragraphe de liste1,Recommendation,numbered,リスト段落1,列出段落,列出段落1"/>
    <w:basedOn w:val="Normal"/>
    <w:link w:val="ListParagraphChar"/>
    <w:uiPriority w:val="34"/>
    <w:qFormat/>
    <w:rsid w:val="00301D85"/>
    <w:pPr>
      <w:spacing w:after="0" w:line="240" w:lineRule="auto"/>
      <w:ind w:left="720"/>
      <w:contextualSpacing/>
    </w:pPr>
    <w:rPr>
      <w:rFonts w:ascii="Cambria" w:hAnsi="Cambria"/>
      <w:sz w:val="20"/>
    </w:rPr>
  </w:style>
  <w:style w:type="character" w:customStyle="1" w:styleId="DHHSbullet1Char">
    <w:name w:val="DHHS bullet 1 Char"/>
    <w:basedOn w:val="DHHSbodyChar"/>
    <w:link w:val="DHHSbullet1"/>
    <w:rsid w:val="00301D85"/>
    <w:rPr>
      <w:rFonts w:ascii="Verdana" w:eastAsia="Times" w:hAnsi="Verdana"/>
      <w:sz w:val="21"/>
      <w:lang w:eastAsia="en-US"/>
    </w:rPr>
  </w:style>
  <w:style w:type="character" w:customStyle="1" w:styleId="ListParagraphChar">
    <w:name w:val="List Paragraph Char"/>
    <w:aliases w:val="Bulleted Para Char,Bulletr List Paragraph Char,CV t Char,CV text Char,Dot pt Char,F5 List Paragraph Char,FooterText Char,L Char,List Paragraph1 Char,List Paragraph11 Char,List Paragraph2 Char,List Paragraph21 Char,Recommendation Char"/>
    <w:basedOn w:val="DefaultParagraphFont"/>
    <w:link w:val="ListParagraph"/>
    <w:uiPriority w:val="34"/>
    <w:qFormat/>
    <w:rsid w:val="00301D85"/>
    <w:rPr>
      <w:rFonts w:ascii="Cambria" w:hAnsi="Cambria"/>
      <w:lang w:eastAsia="en-US"/>
    </w:rPr>
  </w:style>
  <w:style w:type="numbering" w:customStyle="1" w:styleId="ZZNumbers">
    <w:name w:val="ZZ Numbers"/>
    <w:rsid w:val="00E52448"/>
    <w:pPr>
      <w:numPr>
        <w:numId w:val="14"/>
      </w:numPr>
    </w:pPr>
  </w:style>
  <w:style w:type="paragraph" w:customStyle="1" w:styleId="DHHSbulletafternumbers1">
    <w:name w:val="DHHS bullet after numbers 1"/>
    <w:basedOn w:val="DHHSbody"/>
    <w:uiPriority w:val="4"/>
    <w:rsid w:val="00AD243A"/>
    <w:pPr>
      <w:ind w:left="2160" w:hanging="180"/>
    </w:pPr>
  </w:style>
  <w:style w:type="paragraph" w:customStyle="1" w:styleId="DHHSbulletafternumbers2">
    <w:name w:val="DHHS bullet after numbers 2"/>
    <w:basedOn w:val="DHHSbody"/>
    <w:rsid w:val="00AD243A"/>
    <w:pPr>
      <w:ind w:left="2880" w:hanging="360"/>
    </w:pPr>
  </w:style>
  <w:style w:type="paragraph" w:customStyle="1" w:styleId="DHHSbullet1lastline">
    <w:name w:val="DHHS bullet 1 last line"/>
    <w:basedOn w:val="DHHSbullet1"/>
    <w:link w:val="DHHSbullet1lastlineChar"/>
    <w:qFormat/>
    <w:rsid w:val="00AD243A"/>
    <w:pPr>
      <w:tabs>
        <w:tab w:val="clear" w:pos="397"/>
        <w:tab w:val="num" w:pos="360"/>
      </w:tabs>
      <w:spacing w:before="240" w:after="120" w:line="240" w:lineRule="auto"/>
    </w:pPr>
    <w:rPr>
      <w:rFonts w:cs="Arial"/>
    </w:rPr>
  </w:style>
  <w:style w:type="paragraph" w:customStyle="1" w:styleId="paragraph">
    <w:name w:val="paragraph"/>
    <w:basedOn w:val="Normal"/>
    <w:rsid w:val="00AD243A"/>
    <w:pPr>
      <w:spacing w:before="100" w:beforeAutospacing="1" w:after="100" w:afterAutospacing="1" w:line="240" w:lineRule="auto"/>
    </w:pPr>
    <w:rPr>
      <w:rFonts w:ascii="Times New Roman" w:hAnsi="Times New Roman"/>
      <w:sz w:val="24"/>
      <w:szCs w:val="24"/>
      <w:lang w:val="en-US" w:eastAsia="en-AU"/>
    </w:rPr>
  </w:style>
  <w:style w:type="character" w:customStyle="1" w:styleId="DHHSbullet1lastlineChar">
    <w:name w:val="DHHS bullet 1 last line Char"/>
    <w:link w:val="DHHSbullet1lastline"/>
    <w:rsid w:val="00AD243A"/>
    <w:rPr>
      <w:rFonts w:ascii="Verdana" w:eastAsia="Times" w:hAnsi="Verdana" w:cs="Arial"/>
      <w:sz w:val="21"/>
      <w:lang w:eastAsia="en-US"/>
    </w:rPr>
  </w:style>
  <w:style w:type="paragraph" w:styleId="BodyText">
    <w:name w:val="Body Text"/>
    <w:basedOn w:val="Normal"/>
    <w:link w:val="BodyTextChar1"/>
    <w:uiPriority w:val="99"/>
    <w:semiHidden/>
    <w:rsid w:val="00586E2B"/>
    <w:pPr>
      <w:spacing w:line="240" w:lineRule="auto"/>
      <w:jc w:val="center"/>
    </w:pPr>
    <w:rPr>
      <w:sz w:val="20"/>
    </w:rPr>
  </w:style>
  <w:style w:type="character" w:customStyle="1" w:styleId="BodyTextChar">
    <w:name w:val="Body Text Char"/>
    <w:basedOn w:val="DefaultParagraphFont"/>
    <w:uiPriority w:val="99"/>
    <w:semiHidden/>
    <w:rsid w:val="00586E2B"/>
    <w:rPr>
      <w:rFonts w:ascii="Arial" w:hAnsi="Arial"/>
      <w:sz w:val="21"/>
      <w:lang w:eastAsia="en-US"/>
    </w:rPr>
  </w:style>
  <w:style w:type="character" w:customStyle="1" w:styleId="BodyTextChar1">
    <w:name w:val="Body Text Char1"/>
    <w:link w:val="BodyText"/>
    <w:uiPriority w:val="99"/>
    <w:semiHidden/>
    <w:locked/>
    <w:rsid w:val="00586E2B"/>
    <w:rPr>
      <w:rFonts w:ascii="Arial" w:hAnsi="Arial"/>
      <w:lang w:eastAsia="en-US"/>
    </w:rPr>
  </w:style>
  <w:style w:type="paragraph" w:customStyle="1" w:styleId="DHHStabletext">
    <w:name w:val="DHHS table text"/>
    <w:uiPriority w:val="3"/>
    <w:qFormat/>
    <w:rsid w:val="00DC3282"/>
    <w:pPr>
      <w:spacing w:before="80" w:after="60"/>
    </w:pPr>
    <w:rPr>
      <w:rFonts w:ascii="Arial" w:hAnsi="Arial"/>
      <w:lang w:eastAsia="en-US"/>
    </w:rPr>
  </w:style>
  <w:style w:type="paragraph" w:customStyle="1" w:styleId="DHHStabletext6pt">
    <w:name w:val="DHHS table text + 6pt"/>
    <w:basedOn w:val="DHHStabletext"/>
    <w:rsid w:val="00F044FE"/>
    <w:pPr>
      <w:spacing w:after="120"/>
    </w:pPr>
  </w:style>
  <w:style w:type="paragraph" w:customStyle="1" w:styleId="DHHStablebullet2">
    <w:name w:val="DHHS table bullet 2"/>
    <w:basedOn w:val="DHHStabletext"/>
    <w:uiPriority w:val="11"/>
    <w:rsid w:val="00F044FE"/>
    <w:pPr>
      <w:numPr>
        <w:ilvl w:val="1"/>
        <w:numId w:val="18"/>
      </w:numPr>
    </w:pPr>
  </w:style>
  <w:style w:type="paragraph" w:customStyle="1" w:styleId="DHHStablebullet1">
    <w:name w:val="DHHS table bullet 1"/>
    <w:basedOn w:val="DHHStabletext"/>
    <w:uiPriority w:val="3"/>
    <w:qFormat/>
    <w:rsid w:val="00F044FE"/>
    <w:pPr>
      <w:numPr>
        <w:numId w:val="18"/>
      </w:numPr>
    </w:pPr>
  </w:style>
  <w:style w:type="paragraph" w:customStyle="1" w:styleId="DHHStablecolhead">
    <w:name w:val="DHHS table col head"/>
    <w:uiPriority w:val="3"/>
    <w:qFormat/>
    <w:rsid w:val="00F044FE"/>
    <w:pPr>
      <w:spacing w:before="80" w:after="60"/>
    </w:pPr>
    <w:rPr>
      <w:rFonts w:ascii="Arial" w:hAnsi="Arial"/>
      <w:b/>
      <w:color w:val="FFFFFF"/>
      <w:lang w:eastAsia="en-US"/>
    </w:rPr>
  </w:style>
  <w:style w:type="paragraph" w:customStyle="1" w:styleId="DHHSbodyafterbullets">
    <w:name w:val="DHHS body after bullets"/>
    <w:basedOn w:val="DHHSbody"/>
    <w:uiPriority w:val="11"/>
    <w:rsid w:val="004A3834"/>
    <w:pPr>
      <w:spacing w:before="120"/>
    </w:pPr>
  </w:style>
  <w:style w:type="character" w:styleId="Emphasis">
    <w:name w:val="Emphasis"/>
    <w:basedOn w:val="DefaultParagraphFont"/>
    <w:uiPriority w:val="20"/>
    <w:rsid w:val="004A3834"/>
    <w:rPr>
      <w:i/>
      <w:iCs/>
    </w:rPr>
  </w:style>
  <w:style w:type="character" w:customStyle="1" w:styleId="eop">
    <w:name w:val="eop"/>
    <w:basedOn w:val="DefaultParagraphFont"/>
    <w:rsid w:val="00227946"/>
  </w:style>
  <w:style w:type="paragraph" w:customStyle="1" w:styleId="Default">
    <w:name w:val="Default"/>
    <w:rsid w:val="0013169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95240885">
      <w:bodyDiv w:val="1"/>
      <w:marLeft w:val="0"/>
      <w:marRight w:val="0"/>
      <w:marTop w:val="0"/>
      <w:marBottom w:val="0"/>
      <w:divBdr>
        <w:top w:val="none" w:sz="0" w:space="0" w:color="auto"/>
        <w:left w:val="none" w:sz="0" w:space="0" w:color="auto"/>
        <w:bottom w:val="none" w:sz="0" w:space="0" w:color="auto"/>
        <w:right w:val="none" w:sz="0" w:space="0" w:color="auto"/>
      </w:divBdr>
      <w:divsChild>
        <w:div w:id="928002374">
          <w:marLeft w:val="0"/>
          <w:marRight w:val="0"/>
          <w:marTop w:val="0"/>
          <w:marBottom w:val="0"/>
          <w:divBdr>
            <w:top w:val="none" w:sz="0" w:space="0" w:color="auto"/>
            <w:left w:val="none" w:sz="0" w:space="0" w:color="auto"/>
            <w:bottom w:val="none" w:sz="0" w:space="0" w:color="auto"/>
            <w:right w:val="none" w:sz="0" w:space="0" w:color="auto"/>
          </w:divBdr>
        </w:div>
        <w:div w:id="1452749661">
          <w:marLeft w:val="0"/>
          <w:marRight w:val="0"/>
          <w:marTop w:val="0"/>
          <w:marBottom w:val="0"/>
          <w:divBdr>
            <w:top w:val="none" w:sz="0" w:space="0" w:color="auto"/>
            <w:left w:val="none" w:sz="0" w:space="0" w:color="auto"/>
            <w:bottom w:val="none" w:sz="0" w:space="0" w:color="auto"/>
            <w:right w:val="none" w:sz="0" w:space="0" w:color="auto"/>
          </w:divBdr>
        </w:div>
        <w:div w:id="474224767">
          <w:marLeft w:val="0"/>
          <w:marRight w:val="0"/>
          <w:marTop w:val="0"/>
          <w:marBottom w:val="0"/>
          <w:divBdr>
            <w:top w:val="none" w:sz="0" w:space="0" w:color="auto"/>
            <w:left w:val="none" w:sz="0" w:space="0" w:color="auto"/>
            <w:bottom w:val="none" w:sz="0" w:space="0" w:color="auto"/>
            <w:right w:val="none" w:sz="0" w:space="0" w:color="auto"/>
          </w:divBdr>
        </w:div>
        <w:div w:id="1636789292">
          <w:marLeft w:val="0"/>
          <w:marRight w:val="0"/>
          <w:marTop w:val="0"/>
          <w:marBottom w:val="0"/>
          <w:divBdr>
            <w:top w:val="none" w:sz="0" w:space="0" w:color="auto"/>
            <w:left w:val="none" w:sz="0" w:space="0" w:color="auto"/>
            <w:bottom w:val="none" w:sz="0" w:space="0" w:color="auto"/>
            <w:right w:val="none" w:sz="0" w:space="0" w:color="auto"/>
          </w:divBdr>
        </w:div>
        <w:div w:id="164059592">
          <w:marLeft w:val="0"/>
          <w:marRight w:val="0"/>
          <w:marTop w:val="0"/>
          <w:marBottom w:val="0"/>
          <w:divBdr>
            <w:top w:val="none" w:sz="0" w:space="0" w:color="auto"/>
            <w:left w:val="none" w:sz="0" w:space="0" w:color="auto"/>
            <w:bottom w:val="none" w:sz="0" w:space="0" w:color="auto"/>
            <w:right w:val="none" w:sz="0" w:space="0" w:color="auto"/>
          </w:divBdr>
        </w:div>
        <w:div w:id="1058894042">
          <w:marLeft w:val="0"/>
          <w:marRight w:val="0"/>
          <w:marTop w:val="0"/>
          <w:marBottom w:val="0"/>
          <w:divBdr>
            <w:top w:val="none" w:sz="0" w:space="0" w:color="auto"/>
            <w:left w:val="none" w:sz="0" w:space="0" w:color="auto"/>
            <w:bottom w:val="none" w:sz="0" w:space="0" w:color="auto"/>
            <w:right w:val="none" w:sz="0" w:space="0" w:color="auto"/>
          </w:divBdr>
        </w:div>
        <w:div w:id="1799765055">
          <w:marLeft w:val="0"/>
          <w:marRight w:val="0"/>
          <w:marTop w:val="0"/>
          <w:marBottom w:val="0"/>
          <w:divBdr>
            <w:top w:val="none" w:sz="0" w:space="0" w:color="auto"/>
            <w:left w:val="none" w:sz="0" w:space="0" w:color="auto"/>
            <w:bottom w:val="none" w:sz="0" w:space="0" w:color="auto"/>
            <w:right w:val="none" w:sz="0" w:space="0" w:color="auto"/>
          </w:divBdr>
        </w:div>
        <w:div w:id="1170364129">
          <w:marLeft w:val="0"/>
          <w:marRight w:val="0"/>
          <w:marTop w:val="0"/>
          <w:marBottom w:val="0"/>
          <w:divBdr>
            <w:top w:val="none" w:sz="0" w:space="0" w:color="auto"/>
            <w:left w:val="none" w:sz="0" w:space="0" w:color="auto"/>
            <w:bottom w:val="none" w:sz="0" w:space="0" w:color="auto"/>
            <w:right w:val="none" w:sz="0" w:space="0" w:color="auto"/>
          </w:divBdr>
        </w:div>
        <w:div w:id="152643564">
          <w:marLeft w:val="0"/>
          <w:marRight w:val="0"/>
          <w:marTop w:val="0"/>
          <w:marBottom w:val="0"/>
          <w:divBdr>
            <w:top w:val="none" w:sz="0" w:space="0" w:color="auto"/>
            <w:left w:val="none" w:sz="0" w:space="0" w:color="auto"/>
            <w:bottom w:val="none" w:sz="0" w:space="0" w:color="auto"/>
            <w:right w:val="none" w:sz="0" w:space="0" w:color="auto"/>
          </w:divBdr>
        </w:div>
        <w:div w:id="569584587">
          <w:marLeft w:val="0"/>
          <w:marRight w:val="0"/>
          <w:marTop w:val="0"/>
          <w:marBottom w:val="0"/>
          <w:divBdr>
            <w:top w:val="none" w:sz="0" w:space="0" w:color="auto"/>
            <w:left w:val="none" w:sz="0" w:space="0" w:color="auto"/>
            <w:bottom w:val="none" w:sz="0" w:space="0" w:color="auto"/>
            <w:right w:val="none" w:sz="0" w:space="0" w:color="auto"/>
          </w:divBdr>
        </w:div>
        <w:div w:id="2133477737">
          <w:marLeft w:val="0"/>
          <w:marRight w:val="0"/>
          <w:marTop w:val="0"/>
          <w:marBottom w:val="0"/>
          <w:divBdr>
            <w:top w:val="none" w:sz="0" w:space="0" w:color="auto"/>
            <w:left w:val="none" w:sz="0" w:space="0" w:color="auto"/>
            <w:bottom w:val="none" w:sz="0" w:space="0" w:color="auto"/>
            <w:right w:val="none" w:sz="0" w:space="0" w:color="auto"/>
          </w:divBdr>
        </w:div>
        <w:div w:id="1054045099">
          <w:marLeft w:val="0"/>
          <w:marRight w:val="0"/>
          <w:marTop w:val="0"/>
          <w:marBottom w:val="0"/>
          <w:divBdr>
            <w:top w:val="none" w:sz="0" w:space="0" w:color="auto"/>
            <w:left w:val="none" w:sz="0" w:space="0" w:color="auto"/>
            <w:bottom w:val="none" w:sz="0" w:space="0" w:color="auto"/>
            <w:right w:val="none" w:sz="0" w:space="0" w:color="auto"/>
          </w:divBdr>
        </w:div>
        <w:div w:id="89011845">
          <w:marLeft w:val="0"/>
          <w:marRight w:val="0"/>
          <w:marTop w:val="0"/>
          <w:marBottom w:val="0"/>
          <w:divBdr>
            <w:top w:val="none" w:sz="0" w:space="0" w:color="auto"/>
            <w:left w:val="none" w:sz="0" w:space="0" w:color="auto"/>
            <w:bottom w:val="none" w:sz="0" w:space="0" w:color="auto"/>
            <w:right w:val="none" w:sz="0" w:space="0" w:color="auto"/>
          </w:divBdr>
        </w:div>
        <w:div w:id="299575756">
          <w:marLeft w:val="0"/>
          <w:marRight w:val="0"/>
          <w:marTop w:val="0"/>
          <w:marBottom w:val="0"/>
          <w:divBdr>
            <w:top w:val="none" w:sz="0" w:space="0" w:color="auto"/>
            <w:left w:val="none" w:sz="0" w:space="0" w:color="auto"/>
            <w:bottom w:val="none" w:sz="0" w:space="0" w:color="auto"/>
            <w:right w:val="none" w:sz="0" w:space="0" w:color="auto"/>
          </w:divBdr>
        </w:div>
        <w:div w:id="507838501">
          <w:marLeft w:val="0"/>
          <w:marRight w:val="0"/>
          <w:marTop w:val="0"/>
          <w:marBottom w:val="0"/>
          <w:divBdr>
            <w:top w:val="none" w:sz="0" w:space="0" w:color="auto"/>
            <w:left w:val="none" w:sz="0" w:space="0" w:color="auto"/>
            <w:bottom w:val="none" w:sz="0" w:space="0" w:color="auto"/>
            <w:right w:val="none" w:sz="0" w:space="0" w:color="auto"/>
          </w:divBdr>
        </w:div>
        <w:div w:id="209730424">
          <w:marLeft w:val="0"/>
          <w:marRight w:val="0"/>
          <w:marTop w:val="0"/>
          <w:marBottom w:val="0"/>
          <w:divBdr>
            <w:top w:val="none" w:sz="0" w:space="0" w:color="auto"/>
            <w:left w:val="none" w:sz="0" w:space="0" w:color="auto"/>
            <w:bottom w:val="none" w:sz="0" w:space="0" w:color="auto"/>
            <w:right w:val="none" w:sz="0" w:space="0" w:color="auto"/>
          </w:divBdr>
        </w:div>
        <w:div w:id="1813523660">
          <w:marLeft w:val="0"/>
          <w:marRight w:val="0"/>
          <w:marTop w:val="0"/>
          <w:marBottom w:val="0"/>
          <w:divBdr>
            <w:top w:val="none" w:sz="0" w:space="0" w:color="auto"/>
            <w:left w:val="none" w:sz="0" w:space="0" w:color="auto"/>
            <w:bottom w:val="none" w:sz="0" w:space="0" w:color="auto"/>
            <w:right w:val="none" w:sz="0" w:space="0" w:color="auto"/>
          </w:divBdr>
        </w:div>
        <w:div w:id="1237210404">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omes%20Victoria" TargetMode="External"/><Relationship Id="rId26" Type="http://schemas.openxmlformats.org/officeDocument/2006/relationships/hyperlink" Target="http://www.housingregistrar.vic.gov.au/How-we-regulate/Guidelines-for-agencies" TargetMode="External"/><Relationship Id="rId39" Type="http://schemas.openxmlformats.org/officeDocument/2006/relationships/hyperlink" Target="https://fac.dhhs.vic.gov.au/my-agency%3E." TargetMode="External"/><Relationship Id="rId3" Type="http://schemas.openxmlformats.org/officeDocument/2006/relationships/customXml" Target="../customXml/item3.xml"/><Relationship Id="rId21" Type="http://schemas.openxmlformats.org/officeDocument/2006/relationships/hyperlink" Target="https://www.legislation.vic.gov.au/as-made/acts/residential-tenancies-amendment-act-2018" TargetMode="External"/><Relationship Id="rId34" Type="http://schemas.openxmlformats.org/officeDocument/2006/relationships/hyperlink" Target="mailto:HHS@homes.vic.gov.au" TargetMode="External"/><Relationship Id="rId42" Type="http://schemas.openxmlformats.org/officeDocument/2006/relationships/hyperlink" Target="https://www.housing.vic.gov.au/rentassist-bond-loan"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HHS@homes.vic.gov.au" TargetMode="External"/><Relationship Id="rId33" Type="http://schemas.openxmlformats.org/officeDocument/2006/relationships/hyperlink" Target="https://vahi.vic.gov.au/ourwork/safety-and-surveillance-reporting" TargetMode="External"/><Relationship Id="rId38" Type="http://schemas.openxmlformats.org/officeDocument/2006/relationships/hyperlink" Target="https://fac.dhhs.vic.gov.au/my-agency"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ahhf.org.au/" TargetMode="External"/><Relationship Id="rId29" Type="http://schemas.openxmlformats.org/officeDocument/2006/relationships/hyperlink" Target="https://fac.dffh.vic.gov.au/private-rental-assistance-program-guidelines" TargetMode="External"/><Relationship Id="rId41" Type="http://schemas.openxmlformats.org/officeDocument/2006/relationships/hyperlink" Target="https://providers.dhhs.vic.gov.au/allocations-manu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HS@homes.vic.gov.au" TargetMode="External"/><Relationship Id="rId32" Type="http://schemas.openxmlformats.org/officeDocument/2006/relationships/hyperlink" Target="https://vahi.vic.gov.au/ourwork/safety-and-surveillance-reporting" TargetMode="External"/><Relationship Id="rId37" Type="http://schemas.openxmlformats.org/officeDocument/2006/relationships/hyperlink" Target="https://fac.dhhs.vic.gov.au/my-agency%3E." TargetMode="External"/><Relationship Id="rId40" Type="http://schemas.openxmlformats.org/officeDocument/2006/relationships/hyperlink" Target="https://fac.dhhs.vic.gov.au/victorian-housing-register"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viders.dffh.vic.gov.au/homelessness-flood-recovery-program" TargetMode="External"/><Relationship Id="rId28" Type="http://schemas.openxmlformats.org/officeDocument/2006/relationships/hyperlink" Target="https://fac.dffh.vic.gov.au/private-rental-assistance-program-guidelines" TargetMode="External"/><Relationship Id="rId36" Type="http://schemas.openxmlformats.org/officeDocument/2006/relationships/hyperlink" Target="https://fac.dhhs.vic.gov.au/my-agency" TargetMode="External"/><Relationship Id="rId10" Type="http://schemas.openxmlformats.org/officeDocument/2006/relationships/endnotes" Target="endnotes.xml"/><Relationship Id="rId19" Type="http://schemas.openxmlformats.org/officeDocument/2006/relationships/hyperlink" Target="https://providers.dffh.vic.gov.au/families-fairness-housing-health-activity-search" TargetMode="External"/><Relationship Id="rId31" Type="http://schemas.openxmlformats.org/officeDocument/2006/relationships/hyperlink" Target="https://providers.dffh.vic.gov.au/client-incident-management-guide-cims-word"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vic.gov.au/new-guidelines-funded-homelessness-service-providers-related-covid-19" TargetMode="External"/><Relationship Id="rId27" Type="http://schemas.openxmlformats.org/officeDocument/2006/relationships/hyperlink" Target="mailto:HHS@homes.vic.gov.au" TargetMode="External"/><Relationship Id="rId30" Type="http://schemas.openxmlformats.org/officeDocument/2006/relationships/hyperlink" Target="mailto:HHS@homes.vic.gov.au" TargetMode="External"/><Relationship Id="rId35" Type="http://schemas.openxmlformats.org/officeDocument/2006/relationships/hyperlink" Target="mailto:HHS@homes.vic.gov.au" TargetMode="External"/><Relationship Id="rId43" Type="http://schemas.openxmlformats.org/officeDocument/2006/relationships/header" Target="header4.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BCEC6A69C5FB4E9DC2FA4F91B7717E" ma:contentTypeVersion="12" ma:contentTypeDescription="Create a new document." ma:contentTypeScope="" ma:versionID="c128b0da70121bf6312ffd183021f2bd">
  <xsd:schema xmlns:xsd="http://www.w3.org/2001/XMLSchema" xmlns:xs="http://www.w3.org/2001/XMLSchema" xmlns:p="http://schemas.microsoft.com/office/2006/metadata/properties" xmlns:ns2="165dcc31-65e2-4cb6-b1b6-a514487944f7" xmlns:ns3="99a53648-1b96-4d26-ba15-0b5b636b9390" targetNamespace="http://schemas.microsoft.com/office/2006/metadata/properties" ma:root="true" ma:fieldsID="7325648b5a58daaabba2679dc6ae72ed" ns2:_="" ns3:_="">
    <xsd:import namespace="165dcc31-65e2-4cb6-b1b6-a514487944f7"/>
    <xsd:import namespace="99a53648-1b96-4d26-ba15-0b5b636b93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dcc31-65e2-4cb6-b1b6-a51448794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a53648-1b96-4d26-ba15-0b5b636b93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a527e7-4349-41ec-b7f2-0bec26e1f3f5}" ma:internalName="TaxCatchAll" ma:showField="CatchAllData" ma:web="99a53648-1b96-4d26-ba15-0b5b636b9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9a53648-1b96-4d26-ba15-0b5b636b9390" xsi:nil="true"/>
    <lcf76f155ced4ddcb4097134ff3c332f xmlns="165dcc31-65e2-4cb6-b1b6-a514487944f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F63B2-4FE0-4DAF-BB3F-ABE3D178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dcc31-65e2-4cb6-b1b6-a514487944f7"/>
    <ds:schemaRef ds:uri="99a53648-1b96-4d26-ba15-0b5b636b9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9a53648-1b96-4d26-ba15-0b5b636b9390"/>
    <ds:schemaRef ds:uri="165dcc31-65e2-4cb6-b1b6-a514487944f7"/>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28</Pages>
  <Words>8064</Words>
  <Characters>45969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Homelessness flood recovery program guidelines V1</vt:lpstr>
    </vt:vector>
  </TitlesOfParts>
  <Company>Victoria State Government, Department of Families, Fairness and Housing</Company>
  <LinksUpToDate>false</LinksUpToDate>
  <CharactersWithSpaces>53926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Homelessness flood recovery program guidelines V1</dc:title>
  <dc:subject>Homelessness flood recovery program guidelines</dc:subject>
  <dc:creator>Homes Victoria</dc:creator>
  <cp:keywords>homelessness, flood recovery, program guidelines</cp:keywords>
  <cp:lastModifiedBy>Gabrielle Luthy (Homes Victoria)</cp:lastModifiedBy>
  <cp:revision>117</cp:revision>
  <cp:lastPrinted>2021-01-29T05:27:00Z</cp:lastPrinted>
  <dcterms:created xsi:type="dcterms:W3CDTF">2023-01-12T00:30:00Z</dcterms:created>
  <dcterms:modified xsi:type="dcterms:W3CDTF">2023-02-07T04:54:00Z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0x010100BBBCEC6A69C5FB4E9DC2FA4F91B7717E</vt:lpwstr>
  </property>
  <property fmtid="{D5CDD505-2E9C-101B-9397-08002B2CF9AE}" pid="4" name="version">
    <vt:lpwstr>2022v1 15032022</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2023-02-07T04:54:36Z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4adf4a8d-1793-4fac-95c7-58a66c5dbd7a</vt:lpwstr>
  </property>
  <property fmtid="{D5CDD505-2E9C-101B-9397-08002B2CF9AE}" pid="12" name="MSIP_Label_43e64453-338c-4f93-8a4d-0039a0a41f2a_ContentBits">
    <vt:lpwstr>2</vt:lpwstr>
  </property>
</Properties>
</file>