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ED8F" w14:textId="77777777" w:rsidR="00056EC4" w:rsidRDefault="00F91E38" w:rsidP="00056EC4">
      <w:pPr>
        <w:pStyle w:val="Body"/>
      </w:pPr>
      <w:r>
        <w:rPr>
          <w:noProof/>
        </w:rPr>
        <w:drawing>
          <wp:anchor distT="0" distB="0" distL="114300" distR="114300" simplePos="0" relativeHeight="251658240" behindDoc="1" locked="1" layoutInCell="1" allowOverlap="1" wp14:anchorId="33C39D46" wp14:editId="78ACEEEF">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2EF636" w14:textId="77777777" w:rsidTr="00431F42">
        <w:trPr>
          <w:cantSplit/>
        </w:trPr>
        <w:tc>
          <w:tcPr>
            <w:tcW w:w="0" w:type="auto"/>
            <w:tcMar>
              <w:top w:w="0" w:type="dxa"/>
              <w:left w:w="0" w:type="dxa"/>
              <w:right w:w="0" w:type="dxa"/>
            </w:tcMar>
          </w:tcPr>
          <w:p w14:paraId="7C168666" w14:textId="45719E84" w:rsidR="00AD784C" w:rsidRPr="00431F42" w:rsidRDefault="001A663B" w:rsidP="00431F42">
            <w:pPr>
              <w:pStyle w:val="Documenttitle"/>
            </w:pPr>
            <w:r>
              <w:t xml:space="preserve">Support for single people living in private rooming houses initiative  </w:t>
            </w:r>
          </w:p>
        </w:tc>
      </w:tr>
      <w:tr w:rsidR="00AD784C" w14:paraId="62A77F18" w14:textId="77777777" w:rsidTr="00431F42">
        <w:trPr>
          <w:cantSplit/>
        </w:trPr>
        <w:tc>
          <w:tcPr>
            <w:tcW w:w="0" w:type="auto"/>
          </w:tcPr>
          <w:p w14:paraId="3BA67A53" w14:textId="77777777" w:rsidR="00386109" w:rsidRDefault="001A663B" w:rsidP="009315BE">
            <w:pPr>
              <w:pStyle w:val="Documentsubtitle"/>
            </w:pPr>
            <w:r>
              <w:t xml:space="preserve">Guidelines </w:t>
            </w:r>
          </w:p>
          <w:p w14:paraId="2FA83289" w14:textId="45642229" w:rsidR="003B2F26" w:rsidRPr="00A1389F" w:rsidRDefault="003B2F26" w:rsidP="009315BE">
            <w:pPr>
              <w:pStyle w:val="Documentsubtitle"/>
            </w:pPr>
          </w:p>
        </w:tc>
      </w:tr>
      <w:tr w:rsidR="00430393" w14:paraId="42E8429E" w14:textId="77777777" w:rsidTr="00431F42">
        <w:trPr>
          <w:cantSplit/>
        </w:trPr>
        <w:tc>
          <w:tcPr>
            <w:tcW w:w="0" w:type="auto"/>
          </w:tcPr>
          <w:p w14:paraId="78A35CE4" w14:textId="77777777" w:rsidR="003B2F26" w:rsidRDefault="00C94F12" w:rsidP="00430393">
            <w:pPr>
              <w:pStyle w:val="Bannermarking"/>
            </w:pPr>
            <w:fldSimple w:instr=" FILLIN  &quot;Type the protective marking&quot; \d OFFICIAL \o  \* MERGEFORMAT ">
              <w:r w:rsidR="001A663B">
                <w:t>OFFICIAL</w:t>
              </w:r>
            </w:fldSimple>
            <w:r w:rsidR="003B2F26">
              <w:t xml:space="preserve"> </w:t>
            </w:r>
          </w:p>
          <w:p w14:paraId="4EC3A6F1" w14:textId="4C74AB61" w:rsidR="00430393" w:rsidRDefault="003B2F26" w:rsidP="00430393">
            <w:pPr>
              <w:pStyle w:val="Bannermarking"/>
            </w:pPr>
            <w:r w:rsidRPr="003B2F26">
              <w:rPr>
                <w:b w:val="0"/>
                <w:bCs w:val="0"/>
              </w:rPr>
              <w:t xml:space="preserve">Updated </w:t>
            </w:r>
            <w:r w:rsidR="00890146">
              <w:rPr>
                <w:b w:val="0"/>
                <w:bCs w:val="0"/>
              </w:rPr>
              <w:t xml:space="preserve">June </w:t>
            </w:r>
            <w:r w:rsidRPr="003B2F26">
              <w:rPr>
                <w:b w:val="0"/>
                <w:bCs w:val="0"/>
              </w:rPr>
              <w:t>2022</w:t>
            </w:r>
          </w:p>
        </w:tc>
      </w:tr>
    </w:tbl>
    <w:p w14:paraId="635083C8" w14:textId="77777777" w:rsidR="00FE4081" w:rsidRDefault="00FE4081" w:rsidP="00FE4081">
      <w:pPr>
        <w:pStyle w:val="Body"/>
      </w:pPr>
    </w:p>
    <w:p w14:paraId="22DC8E70"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02511F0E"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5FD7604C" w14:textId="77777777" w:rsidTr="00431F42">
        <w:trPr>
          <w:trHeight w:val="7371"/>
        </w:trPr>
        <w:tc>
          <w:tcPr>
            <w:tcW w:w="7598" w:type="dxa"/>
            <w:vAlign w:val="center"/>
          </w:tcPr>
          <w:p w14:paraId="7D2110AF" w14:textId="3747B7EB" w:rsidR="00431F42" w:rsidRDefault="001A663B" w:rsidP="00431F42">
            <w:pPr>
              <w:pStyle w:val="Documenttitle"/>
            </w:pPr>
            <w:r>
              <w:lastRenderedPageBreak/>
              <w:t>Support for single people living in private rooming houses initiative</w:t>
            </w:r>
          </w:p>
          <w:p w14:paraId="7889F70B" w14:textId="4A3B0E5F" w:rsidR="00431F42" w:rsidRDefault="001A663B" w:rsidP="00431F42">
            <w:pPr>
              <w:pStyle w:val="Documentsubtitle"/>
            </w:pPr>
            <w:r>
              <w:t xml:space="preserve">Guidelines </w:t>
            </w:r>
          </w:p>
        </w:tc>
      </w:tr>
      <w:tr w:rsidR="00431F42" w14:paraId="71756E19" w14:textId="77777777" w:rsidTr="00431F42">
        <w:tc>
          <w:tcPr>
            <w:tcW w:w="7598" w:type="dxa"/>
          </w:tcPr>
          <w:p w14:paraId="649634D3" w14:textId="77777777" w:rsidR="00431F42" w:rsidRDefault="00431F42" w:rsidP="00431F42">
            <w:pPr>
              <w:pStyle w:val="Body"/>
            </w:pPr>
          </w:p>
        </w:tc>
      </w:tr>
    </w:tbl>
    <w:p w14:paraId="410DA10E" w14:textId="77777777" w:rsidR="000D2ABA" w:rsidRDefault="000D2ABA" w:rsidP="00431F42">
      <w:pPr>
        <w:pStyle w:val="Body"/>
      </w:pPr>
      <w:r>
        <w:br w:type="page"/>
      </w:r>
    </w:p>
    <w:p w14:paraId="41282076" w14:textId="5A504522"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32F2B18" w14:textId="77777777" w:rsidTr="00562507">
        <w:trPr>
          <w:cantSplit/>
          <w:trHeight w:val="7088"/>
        </w:trPr>
        <w:tc>
          <w:tcPr>
            <w:tcW w:w="9288" w:type="dxa"/>
          </w:tcPr>
          <w:p w14:paraId="37990225" w14:textId="03F421C2" w:rsidR="000A71AB" w:rsidRDefault="000A71AB" w:rsidP="007F4DD6">
            <w:pPr>
              <w:pStyle w:val="Body"/>
              <w:rPr>
                <w:rFonts w:eastAsia="Times New Roman"/>
                <w:b/>
                <w:bCs/>
                <w:color w:val="87189D"/>
                <w:sz w:val="24"/>
                <w:szCs w:val="24"/>
              </w:rPr>
            </w:pPr>
          </w:p>
          <w:p w14:paraId="47BFBA8F" w14:textId="77777777" w:rsidR="000A71AB" w:rsidRPr="009F2182" w:rsidRDefault="000A71AB" w:rsidP="007F4DD6">
            <w:pPr>
              <w:pStyle w:val="Body"/>
              <w:rPr>
                <w:rFonts w:eastAsia="Times New Roman"/>
                <w:b/>
                <w:bCs/>
                <w:color w:val="87189D"/>
                <w:sz w:val="24"/>
                <w:szCs w:val="24"/>
              </w:rPr>
            </w:pPr>
          </w:p>
          <w:p w14:paraId="73C5B7F5" w14:textId="77777777" w:rsidR="009F2182" w:rsidRPr="000A71AB" w:rsidRDefault="009F2182" w:rsidP="009F2182">
            <w:pPr>
              <w:pStyle w:val="Body"/>
              <w:spacing w:before="120"/>
              <w:rPr>
                <w:rFonts w:eastAsia="Times New Roman"/>
                <w:color w:val="87189D"/>
                <w:sz w:val="24"/>
                <w:szCs w:val="24"/>
              </w:rPr>
            </w:pPr>
          </w:p>
        </w:tc>
      </w:tr>
      <w:tr w:rsidR="009F2182" w14:paraId="189B2893" w14:textId="77777777" w:rsidTr="00562507">
        <w:trPr>
          <w:cantSplit/>
          <w:trHeight w:val="5103"/>
        </w:trPr>
        <w:tc>
          <w:tcPr>
            <w:tcW w:w="9288" w:type="dxa"/>
            <w:vAlign w:val="bottom"/>
          </w:tcPr>
          <w:p w14:paraId="4394D936" w14:textId="6B71F6F6" w:rsidR="009F2182" w:rsidRPr="0055119B" w:rsidRDefault="009F2182" w:rsidP="009F2182">
            <w:pPr>
              <w:pStyle w:val="Accessibilitypara"/>
            </w:pPr>
            <w:r w:rsidRPr="0055119B">
              <w:t>To receive this document in another format</w:t>
            </w:r>
            <w:r>
              <w:t>,</w:t>
            </w:r>
            <w:r w:rsidR="00083F28">
              <w:t xml:space="preserve"> </w:t>
            </w:r>
            <w:r w:rsidRPr="0055119B">
              <w:t>email &lt;</w:t>
            </w:r>
            <w:r w:rsidR="009B3479">
              <w:t xml:space="preserve">phip@dffh.vic.gov.au </w:t>
            </w:r>
            <w:r w:rsidR="009B3479" w:rsidRPr="0055119B" w:rsidDel="00083F28">
              <w:rPr>
                <w:color w:val="004C97"/>
              </w:rPr>
              <w:t>&gt;</w:t>
            </w:r>
            <w:r w:rsidRPr="0055119B">
              <w:t>.</w:t>
            </w:r>
          </w:p>
          <w:p w14:paraId="405DCDE0" w14:textId="77777777" w:rsidR="009F2182" w:rsidRPr="0055119B" w:rsidRDefault="009F2182" w:rsidP="009F2182">
            <w:pPr>
              <w:pStyle w:val="Imprint"/>
            </w:pPr>
            <w:r w:rsidRPr="0055119B">
              <w:t>Authorised and published by the Victorian Government, 1 Treasury Place, Melbourne.</w:t>
            </w:r>
          </w:p>
          <w:p w14:paraId="69AFF260" w14:textId="4C1B35D1"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083F28">
              <w:t>June 2022</w:t>
            </w:r>
            <w:r w:rsidRPr="0055119B">
              <w:t>.</w:t>
            </w:r>
          </w:p>
          <w:p w14:paraId="5CDEC16A" w14:textId="68F2E909" w:rsidR="009F2182" w:rsidRPr="0055119B" w:rsidRDefault="009F2182" w:rsidP="009F2182">
            <w:pPr>
              <w:pStyle w:val="Imprint"/>
            </w:pPr>
            <w:bookmarkStart w:id="0" w:name="_Hlk62746129"/>
            <w:r w:rsidRPr="0055119B">
              <w:t xml:space="preserve">Available </w:t>
            </w:r>
            <w:r w:rsidR="00D9050D">
              <w:t>at:</w:t>
            </w:r>
            <w:r w:rsidRPr="0055119B">
              <w:t xml:space="preserve"> </w:t>
            </w:r>
            <w:r w:rsidR="00D9050D">
              <w:t xml:space="preserve">Rooming houses webpage </w:t>
            </w:r>
            <w:r w:rsidRPr="0055119B">
              <w:t>&lt;</w:t>
            </w:r>
            <w:r w:rsidR="00D9050D" w:rsidRPr="00D9050D">
              <w:rPr>
                <w:color w:val="004C97"/>
              </w:rPr>
              <w:t>https://providers.dffh.vic.gov.au/rooming-houses</w:t>
            </w:r>
            <w:r w:rsidRPr="0055119B">
              <w:t>&gt;</w:t>
            </w:r>
          </w:p>
          <w:bookmarkEnd w:id="0"/>
          <w:p w14:paraId="68AEE52F" w14:textId="57665B22" w:rsidR="009F2182" w:rsidRDefault="009F2182" w:rsidP="009F2182">
            <w:pPr>
              <w:pStyle w:val="Body"/>
            </w:pPr>
          </w:p>
        </w:tc>
      </w:tr>
      <w:tr w:rsidR="0008204A" w14:paraId="54D98260" w14:textId="77777777" w:rsidTr="0008204A">
        <w:trPr>
          <w:cantSplit/>
        </w:trPr>
        <w:tc>
          <w:tcPr>
            <w:tcW w:w="9288" w:type="dxa"/>
          </w:tcPr>
          <w:p w14:paraId="1370437B" w14:textId="77777777" w:rsidR="0008204A" w:rsidRPr="0055119B" w:rsidRDefault="0008204A" w:rsidP="0008204A">
            <w:pPr>
              <w:pStyle w:val="Body"/>
            </w:pPr>
          </w:p>
        </w:tc>
      </w:tr>
    </w:tbl>
    <w:p w14:paraId="376B7BA9" w14:textId="77777777" w:rsidR="0008204A" w:rsidRPr="0008204A" w:rsidRDefault="0008204A" w:rsidP="0008204A">
      <w:pPr>
        <w:pStyle w:val="Body"/>
      </w:pPr>
      <w:r w:rsidRPr="0008204A">
        <w:br w:type="page"/>
      </w:r>
    </w:p>
    <w:p w14:paraId="3173D39E" w14:textId="77777777" w:rsidR="00AD784C" w:rsidRPr="00B57329" w:rsidRDefault="00AD784C" w:rsidP="002365B4">
      <w:pPr>
        <w:pStyle w:val="TOCheadingreport"/>
      </w:pPr>
      <w:r w:rsidRPr="00B57329">
        <w:lastRenderedPageBreak/>
        <w:t>Contents</w:t>
      </w:r>
    </w:p>
    <w:sdt>
      <w:sdtPr>
        <w:rPr>
          <w:rFonts w:ascii="Arial" w:eastAsia="Times New Roman" w:hAnsi="Arial" w:cs="Times New Roman"/>
          <w:color w:val="auto"/>
          <w:sz w:val="21"/>
          <w:szCs w:val="20"/>
          <w:lang w:val="en-AU"/>
        </w:rPr>
        <w:id w:val="-712809437"/>
        <w:docPartObj>
          <w:docPartGallery w:val="Table of Contents"/>
          <w:docPartUnique/>
        </w:docPartObj>
      </w:sdtPr>
      <w:sdtEndPr>
        <w:rPr>
          <w:b/>
          <w:bCs/>
          <w:noProof/>
        </w:rPr>
      </w:sdtEndPr>
      <w:sdtContent>
        <w:p w14:paraId="053D3102" w14:textId="5DAB90FD" w:rsidR="003B2F26" w:rsidRDefault="003B2F26">
          <w:pPr>
            <w:pStyle w:val="TOCHeading"/>
          </w:pPr>
        </w:p>
        <w:p w14:paraId="0EEBAF97" w14:textId="06F3EDFE" w:rsidR="00723FAD" w:rsidRDefault="003B2F26">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06987513" w:history="1">
            <w:r w:rsidR="00723FAD" w:rsidRPr="00CB0B9A">
              <w:rPr>
                <w:rStyle w:val="Hyperlink"/>
              </w:rPr>
              <w:t>Purpose of these guidelines</w:t>
            </w:r>
            <w:r w:rsidR="00723FAD">
              <w:rPr>
                <w:webHidden/>
              </w:rPr>
              <w:tab/>
            </w:r>
            <w:r w:rsidR="00723FAD">
              <w:rPr>
                <w:webHidden/>
              </w:rPr>
              <w:fldChar w:fldCharType="begin"/>
            </w:r>
            <w:r w:rsidR="00723FAD">
              <w:rPr>
                <w:webHidden/>
              </w:rPr>
              <w:instrText xml:space="preserve"> PAGEREF _Toc106987513 \h </w:instrText>
            </w:r>
            <w:r w:rsidR="00723FAD">
              <w:rPr>
                <w:webHidden/>
              </w:rPr>
            </w:r>
            <w:r w:rsidR="00723FAD">
              <w:rPr>
                <w:webHidden/>
              </w:rPr>
              <w:fldChar w:fldCharType="separate"/>
            </w:r>
            <w:r w:rsidR="00723FAD">
              <w:rPr>
                <w:webHidden/>
              </w:rPr>
              <w:t>1</w:t>
            </w:r>
            <w:r w:rsidR="00723FAD">
              <w:rPr>
                <w:webHidden/>
              </w:rPr>
              <w:fldChar w:fldCharType="end"/>
            </w:r>
          </w:hyperlink>
        </w:p>
        <w:p w14:paraId="02BBF665" w14:textId="7EAD925A" w:rsidR="00723FAD" w:rsidRDefault="00D9050D">
          <w:pPr>
            <w:pStyle w:val="TOC1"/>
            <w:rPr>
              <w:rFonts w:asciiTheme="minorHAnsi" w:eastAsiaTheme="minorEastAsia" w:hAnsiTheme="minorHAnsi" w:cstheme="minorBidi"/>
              <w:b w:val="0"/>
              <w:sz w:val="22"/>
              <w:szCs w:val="22"/>
              <w:lang w:eastAsia="en-AU"/>
            </w:rPr>
          </w:pPr>
          <w:hyperlink w:anchor="_Toc106987514" w:history="1">
            <w:r w:rsidR="00723FAD" w:rsidRPr="00CB0B9A">
              <w:rPr>
                <w:rStyle w:val="Hyperlink"/>
              </w:rPr>
              <w:t>Initiative’s aim</w:t>
            </w:r>
            <w:r w:rsidR="00723FAD">
              <w:rPr>
                <w:webHidden/>
              </w:rPr>
              <w:tab/>
            </w:r>
            <w:r w:rsidR="00723FAD">
              <w:rPr>
                <w:webHidden/>
              </w:rPr>
              <w:fldChar w:fldCharType="begin"/>
            </w:r>
            <w:r w:rsidR="00723FAD">
              <w:rPr>
                <w:webHidden/>
              </w:rPr>
              <w:instrText xml:space="preserve"> PAGEREF _Toc106987514 \h </w:instrText>
            </w:r>
            <w:r w:rsidR="00723FAD">
              <w:rPr>
                <w:webHidden/>
              </w:rPr>
            </w:r>
            <w:r w:rsidR="00723FAD">
              <w:rPr>
                <w:webHidden/>
              </w:rPr>
              <w:fldChar w:fldCharType="separate"/>
            </w:r>
            <w:r w:rsidR="00723FAD">
              <w:rPr>
                <w:webHidden/>
              </w:rPr>
              <w:t>1</w:t>
            </w:r>
            <w:r w:rsidR="00723FAD">
              <w:rPr>
                <w:webHidden/>
              </w:rPr>
              <w:fldChar w:fldCharType="end"/>
            </w:r>
          </w:hyperlink>
        </w:p>
        <w:p w14:paraId="7FE83F8D" w14:textId="32F5B57D" w:rsidR="00723FAD" w:rsidRDefault="00D9050D">
          <w:pPr>
            <w:pStyle w:val="TOC1"/>
            <w:rPr>
              <w:rFonts w:asciiTheme="minorHAnsi" w:eastAsiaTheme="minorEastAsia" w:hAnsiTheme="minorHAnsi" w:cstheme="minorBidi"/>
              <w:b w:val="0"/>
              <w:sz w:val="22"/>
              <w:szCs w:val="22"/>
              <w:lang w:eastAsia="en-AU"/>
            </w:rPr>
          </w:pPr>
          <w:hyperlink w:anchor="_Toc106987515" w:history="1">
            <w:r w:rsidR="00723FAD" w:rsidRPr="00CB0B9A">
              <w:rPr>
                <w:rStyle w:val="Hyperlink"/>
              </w:rPr>
              <w:t>Initiative’s activities</w:t>
            </w:r>
            <w:r w:rsidR="00723FAD">
              <w:rPr>
                <w:webHidden/>
              </w:rPr>
              <w:tab/>
            </w:r>
            <w:r w:rsidR="00723FAD">
              <w:rPr>
                <w:webHidden/>
              </w:rPr>
              <w:fldChar w:fldCharType="begin"/>
            </w:r>
            <w:r w:rsidR="00723FAD">
              <w:rPr>
                <w:webHidden/>
              </w:rPr>
              <w:instrText xml:space="preserve"> PAGEREF _Toc106987515 \h </w:instrText>
            </w:r>
            <w:r w:rsidR="00723FAD">
              <w:rPr>
                <w:webHidden/>
              </w:rPr>
            </w:r>
            <w:r w:rsidR="00723FAD">
              <w:rPr>
                <w:webHidden/>
              </w:rPr>
              <w:fldChar w:fldCharType="separate"/>
            </w:r>
            <w:r w:rsidR="00723FAD">
              <w:rPr>
                <w:webHidden/>
              </w:rPr>
              <w:t>1</w:t>
            </w:r>
            <w:r w:rsidR="00723FAD">
              <w:rPr>
                <w:webHidden/>
              </w:rPr>
              <w:fldChar w:fldCharType="end"/>
            </w:r>
          </w:hyperlink>
        </w:p>
        <w:p w14:paraId="0BDB13A4" w14:textId="666A83ED" w:rsidR="00723FAD" w:rsidRDefault="00D9050D">
          <w:pPr>
            <w:pStyle w:val="TOC1"/>
            <w:rPr>
              <w:rFonts w:asciiTheme="minorHAnsi" w:eastAsiaTheme="minorEastAsia" w:hAnsiTheme="minorHAnsi" w:cstheme="minorBidi"/>
              <w:b w:val="0"/>
              <w:sz w:val="22"/>
              <w:szCs w:val="22"/>
              <w:lang w:eastAsia="en-AU"/>
            </w:rPr>
          </w:pPr>
          <w:hyperlink w:anchor="_Toc106987516" w:history="1">
            <w:r w:rsidR="00723FAD" w:rsidRPr="00CB0B9A">
              <w:rPr>
                <w:rStyle w:val="Hyperlink"/>
              </w:rPr>
              <w:t>Target group</w:t>
            </w:r>
            <w:r w:rsidR="00723FAD">
              <w:rPr>
                <w:webHidden/>
              </w:rPr>
              <w:tab/>
            </w:r>
            <w:r w:rsidR="00723FAD">
              <w:rPr>
                <w:webHidden/>
              </w:rPr>
              <w:fldChar w:fldCharType="begin"/>
            </w:r>
            <w:r w:rsidR="00723FAD">
              <w:rPr>
                <w:webHidden/>
              </w:rPr>
              <w:instrText xml:space="preserve"> PAGEREF _Toc106987516 \h </w:instrText>
            </w:r>
            <w:r w:rsidR="00723FAD">
              <w:rPr>
                <w:webHidden/>
              </w:rPr>
            </w:r>
            <w:r w:rsidR="00723FAD">
              <w:rPr>
                <w:webHidden/>
              </w:rPr>
              <w:fldChar w:fldCharType="separate"/>
            </w:r>
            <w:r w:rsidR="00723FAD">
              <w:rPr>
                <w:webHidden/>
              </w:rPr>
              <w:t>2</w:t>
            </w:r>
            <w:r w:rsidR="00723FAD">
              <w:rPr>
                <w:webHidden/>
              </w:rPr>
              <w:fldChar w:fldCharType="end"/>
            </w:r>
          </w:hyperlink>
        </w:p>
        <w:p w14:paraId="6E8D3817" w14:textId="183382E6" w:rsidR="00723FAD" w:rsidRDefault="00D9050D">
          <w:pPr>
            <w:pStyle w:val="TOC1"/>
            <w:rPr>
              <w:rFonts w:asciiTheme="minorHAnsi" w:eastAsiaTheme="minorEastAsia" w:hAnsiTheme="minorHAnsi" w:cstheme="minorBidi"/>
              <w:b w:val="0"/>
              <w:sz w:val="22"/>
              <w:szCs w:val="22"/>
              <w:lang w:eastAsia="en-AU"/>
            </w:rPr>
          </w:pPr>
          <w:hyperlink w:anchor="_Toc106987517" w:history="1">
            <w:r w:rsidR="00723FAD" w:rsidRPr="00CB0B9A">
              <w:rPr>
                <w:rStyle w:val="Hyperlink"/>
              </w:rPr>
              <w:t>Program Unit pricing</w:t>
            </w:r>
            <w:r w:rsidR="00723FAD">
              <w:rPr>
                <w:webHidden/>
              </w:rPr>
              <w:tab/>
            </w:r>
            <w:r w:rsidR="00723FAD">
              <w:rPr>
                <w:webHidden/>
              </w:rPr>
              <w:fldChar w:fldCharType="begin"/>
            </w:r>
            <w:r w:rsidR="00723FAD">
              <w:rPr>
                <w:webHidden/>
              </w:rPr>
              <w:instrText xml:space="preserve"> PAGEREF _Toc106987517 \h </w:instrText>
            </w:r>
            <w:r w:rsidR="00723FAD">
              <w:rPr>
                <w:webHidden/>
              </w:rPr>
            </w:r>
            <w:r w:rsidR="00723FAD">
              <w:rPr>
                <w:webHidden/>
              </w:rPr>
              <w:fldChar w:fldCharType="separate"/>
            </w:r>
            <w:r w:rsidR="00723FAD">
              <w:rPr>
                <w:webHidden/>
              </w:rPr>
              <w:t>2</w:t>
            </w:r>
            <w:r w:rsidR="00723FAD">
              <w:rPr>
                <w:webHidden/>
              </w:rPr>
              <w:fldChar w:fldCharType="end"/>
            </w:r>
          </w:hyperlink>
        </w:p>
        <w:p w14:paraId="3AADCF6E" w14:textId="6519D4E5" w:rsidR="00723FAD" w:rsidRDefault="00D9050D">
          <w:pPr>
            <w:pStyle w:val="TOC1"/>
            <w:rPr>
              <w:rFonts w:asciiTheme="minorHAnsi" w:eastAsiaTheme="minorEastAsia" w:hAnsiTheme="minorHAnsi" w:cstheme="minorBidi"/>
              <w:b w:val="0"/>
              <w:sz w:val="22"/>
              <w:szCs w:val="22"/>
              <w:lang w:eastAsia="en-AU"/>
            </w:rPr>
          </w:pPr>
          <w:hyperlink w:anchor="_Toc106987518" w:history="1">
            <w:r w:rsidR="00723FAD" w:rsidRPr="00CB0B9A">
              <w:rPr>
                <w:rStyle w:val="Hyperlink"/>
              </w:rPr>
              <w:t>Data collection and privacy</w:t>
            </w:r>
            <w:r w:rsidR="00723FAD">
              <w:rPr>
                <w:webHidden/>
              </w:rPr>
              <w:tab/>
            </w:r>
            <w:r w:rsidR="00723FAD">
              <w:rPr>
                <w:webHidden/>
              </w:rPr>
              <w:fldChar w:fldCharType="begin"/>
            </w:r>
            <w:r w:rsidR="00723FAD">
              <w:rPr>
                <w:webHidden/>
              </w:rPr>
              <w:instrText xml:space="preserve"> PAGEREF _Toc106987518 \h </w:instrText>
            </w:r>
            <w:r w:rsidR="00723FAD">
              <w:rPr>
                <w:webHidden/>
              </w:rPr>
            </w:r>
            <w:r w:rsidR="00723FAD">
              <w:rPr>
                <w:webHidden/>
              </w:rPr>
              <w:fldChar w:fldCharType="separate"/>
            </w:r>
            <w:r w:rsidR="00723FAD">
              <w:rPr>
                <w:webHidden/>
              </w:rPr>
              <w:t>3</w:t>
            </w:r>
            <w:r w:rsidR="00723FAD">
              <w:rPr>
                <w:webHidden/>
              </w:rPr>
              <w:fldChar w:fldCharType="end"/>
            </w:r>
          </w:hyperlink>
        </w:p>
        <w:p w14:paraId="38FB7937" w14:textId="47D8F96E" w:rsidR="00723FAD" w:rsidRDefault="00D9050D">
          <w:pPr>
            <w:pStyle w:val="TOC1"/>
            <w:rPr>
              <w:rFonts w:asciiTheme="minorHAnsi" w:eastAsiaTheme="minorEastAsia" w:hAnsiTheme="minorHAnsi" w:cstheme="minorBidi"/>
              <w:b w:val="0"/>
              <w:sz w:val="22"/>
              <w:szCs w:val="22"/>
              <w:lang w:eastAsia="en-AU"/>
            </w:rPr>
          </w:pPr>
          <w:hyperlink w:anchor="_Toc106987519" w:history="1">
            <w:r w:rsidR="00723FAD" w:rsidRPr="00CB0B9A">
              <w:rPr>
                <w:rStyle w:val="Hyperlink"/>
              </w:rPr>
              <w:t>Data collection and reporting</w:t>
            </w:r>
            <w:r w:rsidR="00723FAD">
              <w:rPr>
                <w:webHidden/>
              </w:rPr>
              <w:tab/>
            </w:r>
            <w:r w:rsidR="00723FAD">
              <w:rPr>
                <w:webHidden/>
              </w:rPr>
              <w:fldChar w:fldCharType="begin"/>
            </w:r>
            <w:r w:rsidR="00723FAD">
              <w:rPr>
                <w:webHidden/>
              </w:rPr>
              <w:instrText xml:space="preserve"> PAGEREF _Toc106987519 \h </w:instrText>
            </w:r>
            <w:r w:rsidR="00723FAD">
              <w:rPr>
                <w:webHidden/>
              </w:rPr>
            </w:r>
            <w:r w:rsidR="00723FAD">
              <w:rPr>
                <w:webHidden/>
              </w:rPr>
              <w:fldChar w:fldCharType="separate"/>
            </w:r>
            <w:r w:rsidR="00723FAD">
              <w:rPr>
                <w:webHidden/>
              </w:rPr>
              <w:t>3</w:t>
            </w:r>
            <w:r w:rsidR="00723FAD">
              <w:rPr>
                <w:webHidden/>
              </w:rPr>
              <w:fldChar w:fldCharType="end"/>
            </w:r>
          </w:hyperlink>
        </w:p>
        <w:p w14:paraId="22660D0C" w14:textId="5C631E3D" w:rsidR="00723FAD" w:rsidRDefault="00D9050D">
          <w:pPr>
            <w:pStyle w:val="TOC1"/>
            <w:rPr>
              <w:rFonts w:asciiTheme="minorHAnsi" w:eastAsiaTheme="minorEastAsia" w:hAnsiTheme="minorHAnsi" w:cstheme="minorBidi"/>
              <w:b w:val="0"/>
              <w:sz w:val="22"/>
              <w:szCs w:val="22"/>
              <w:lang w:eastAsia="en-AU"/>
            </w:rPr>
          </w:pPr>
          <w:hyperlink w:anchor="_Toc106987520" w:history="1">
            <w:r w:rsidR="00723FAD" w:rsidRPr="00CB0B9A">
              <w:rPr>
                <w:rStyle w:val="Hyperlink"/>
              </w:rPr>
              <w:t>Service delivery</w:t>
            </w:r>
            <w:r w:rsidR="00723FAD">
              <w:rPr>
                <w:webHidden/>
              </w:rPr>
              <w:tab/>
            </w:r>
            <w:r w:rsidR="00723FAD">
              <w:rPr>
                <w:webHidden/>
              </w:rPr>
              <w:fldChar w:fldCharType="begin"/>
            </w:r>
            <w:r w:rsidR="00723FAD">
              <w:rPr>
                <w:webHidden/>
              </w:rPr>
              <w:instrText xml:space="preserve"> PAGEREF _Toc106987520 \h </w:instrText>
            </w:r>
            <w:r w:rsidR="00723FAD">
              <w:rPr>
                <w:webHidden/>
              </w:rPr>
            </w:r>
            <w:r w:rsidR="00723FAD">
              <w:rPr>
                <w:webHidden/>
              </w:rPr>
              <w:fldChar w:fldCharType="separate"/>
            </w:r>
            <w:r w:rsidR="00723FAD">
              <w:rPr>
                <w:webHidden/>
              </w:rPr>
              <w:t>3</w:t>
            </w:r>
            <w:r w:rsidR="00723FAD">
              <w:rPr>
                <w:webHidden/>
              </w:rPr>
              <w:fldChar w:fldCharType="end"/>
            </w:r>
          </w:hyperlink>
        </w:p>
        <w:p w14:paraId="400F4593" w14:textId="68A06E76" w:rsidR="00723FAD" w:rsidRDefault="00D9050D">
          <w:pPr>
            <w:pStyle w:val="TOC1"/>
            <w:rPr>
              <w:rFonts w:asciiTheme="minorHAnsi" w:eastAsiaTheme="minorEastAsia" w:hAnsiTheme="minorHAnsi" w:cstheme="minorBidi"/>
              <w:b w:val="0"/>
              <w:sz w:val="22"/>
              <w:szCs w:val="22"/>
              <w:lang w:eastAsia="en-AU"/>
            </w:rPr>
          </w:pPr>
          <w:hyperlink w:anchor="_Toc106987521" w:history="1">
            <w:r w:rsidR="00723FAD" w:rsidRPr="00CB0B9A">
              <w:rPr>
                <w:rStyle w:val="Hyperlink"/>
              </w:rPr>
              <w:t>Programs/initiatives that can be accessed to assist rooming house residents</w:t>
            </w:r>
            <w:r w:rsidR="00723FAD">
              <w:rPr>
                <w:webHidden/>
              </w:rPr>
              <w:tab/>
            </w:r>
            <w:r w:rsidR="00723FAD">
              <w:rPr>
                <w:webHidden/>
              </w:rPr>
              <w:fldChar w:fldCharType="begin"/>
            </w:r>
            <w:r w:rsidR="00723FAD">
              <w:rPr>
                <w:webHidden/>
              </w:rPr>
              <w:instrText xml:space="preserve"> PAGEREF _Toc106987521 \h </w:instrText>
            </w:r>
            <w:r w:rsidR="00723FAD">
              <w:rPr>
                <w:webHidden/>
              </w:rPr>
            </w:r>
            <w:r w:rsidR="00723FAD">
              <w:rPr>
                <w:webHidden/>
              </w:rPr>
              <w:fldChar w:fldCharType="separate"/>
            </w:r>
            <w:r w:rsidR="00723FAD">
              <w:rPr>
                <w:webHidden/>
              </w:rPr>
              <w:t>4</w:t>
            </w:r>
            <w:r w:rsidR="00723FAD">
              <w:rPr>
                <w:webHidden/>
              </w:rPr>
              <w:fldChar w:fldCharType="end"/>
            </w:r>
          </w:hyperlink>
        </w:p>
        <w:p w14:paraId="24ECE56E" w14:textId="6F4BEDA5" w:rsidR="00723FAD" w:rsidRDefault="00D9050D">
          <w:pPr>
            <w:pStyle w:val="TOC2"/>
            <w:rPr>
              <w:rFonts w:asciiTheme="minorHAnsi" w:eastAsiaTheme="minorEastAsia" w:hAnsiTheme="minorHAnsi" w:cstheme="minorBidi"/>
              <w:sz w:val="22"/>
              <w:szCs w:val="22"/>
              <w:lang w:eastAsia="en-AU"/>
            </w:rPr>
          </w:pPr>
          <w:hyperlink w:anchor="_Toc106987522" w:history="1">
            <w:r w:rsidR="00723FAD" w:rsidRPr="00CB0B9A">
              <w:rPr>
                <w:rStyle w:val="Hyperlink"/>
              </w:rPr>
              <w:t>Orange Door - Support and Safety Hubs</w:t>
            </w:r>
            <w:r w:rsidR="00723FAD">
              <w:rPr>
                <w:webHidden/>
              </w:rPr>
              <w:tab/>
            </w:r>
            <w:r w:rsidR="00723FAD">
              <w:rPr>
                <w:webHidden/>
              </w:rPr>
              <w:fldChar w:fldCharType="begin"/>
            </w:r>
            <w:r w:rsidR="00723FAD">
              <w:rPr>
                <w:webHidden/>
              </w:rPr>
              <w:instrText xml:space="preserve"> PAGEREF _Toc106987522 \h </w:instrText>
            </w:r>
            <w:r w:rsidR="00723FAD">
              <w:rPr>
                <w:webHidden/>
              </w:rPr>
            </w:r>
            <w:r w:rsidR="00723FAD">
              <w:rPr>
                <w:webHidden/>
              </w:rPr>
              <w:fldChar w:fldCharType="separate"/>
            </w:r>
            <w:r w:rsidR="00723FAD">
              <w:rPr>
                <w:webHidden/>
              </w:rPr>
              <w:t>4</w:t>
            </w:r>
            <w:r w:rsidR="00723FAD">
              <w:rPr>
                <w:webHidden/>
              </w:rPr>
              <w:fldChar w:fldCharType="end"/>
            </w:r>
          </w:hyperlink>
        </w:p>
        <w:p w14:paraId="2F2A7C50" w14:textId="0DF0FE78" w:rsidR="00723FAD" w:rsidRDefault="00D9050D">
          <w:pPr>
            <w:pStyle w:val="TOC2"/>
            <w:rPr>
              <w:rFonts w:asciiTheme="minorHAnsi" w:eastAsiaTheme="minorEastAsia" w:hAnsiTheme="minorHAnsi" w:cstheme="minorBidi"/>
              <w:sz w:val="22"/>
              <w:szCs w:val="22"/>
              <w:lang w:eastAsia="en-AU"/>
            </w:rPr>
          </w:pPr>
          <w:hyperlink w:anchor="_Toc106987523" w:history="1">
            <w:r w:rsidR="00723FAD" w:rsidRPr="00CB0B9A">
              <w:rPr>
                <w:rStyle w:val="Hyperlink"/>
              </w:rPr>
              <w:t>Housing First</w:t>
            </w:r>
            <w:r w:rsidR="00723FAD">
              <w:rPr>
                <w:webHidden/>
              </w:rPr>
              <w:tab/>
            </w:r>
            <w:r w:rsidR="00723FAD">
              <w:rPr>
                <w:webHidden/>
              </w:rPr>
              <w:fldChar w:fldCharType="begin"/>
            </w:r>
            <w:r w:rsidR="00723FAD">
              <w:rPr>
                <w:webHidden/>
              </w:rPr>
              <w:instrText xml:space="preserve"> PAGEREF _Toc106987523 \h </w:instrText>
            </w:r>
            <w:r w:rsidR="00723FAD">
              <w:rPr>
                <w:webHidden/>
              </w:rPr>
            </w:r>
            <w:r w:rsidR="00723FAD">
              <w:rPr>
                <w:webHidden/>
              </w:rPr>
              <w:fldChar w:fldCharType="separate"/>
            </w:r>
            <w:r w:rsidR="00723FAD">
              <w:rPr>
                <w:webHidden/>
              </w:rPr>
              <w:t>4</w:t>
            </w:r>
            <w:r w:rsidR="00723FAD">
              <w:rPr>
                <w:webHidden/>
              </w:rPr>
              <w:fldChar w:fldCharType="end"/>
            </w:r>
          </w:hyperlink>
        </w:p>
        <w:p w14:paraId="0BEFCA41" w14:textId="787E06BD" w:rsidR="00723FAD" w:rsidRDefault="00D9050D">
          <w:pPr>
            <w:pStyle w:val="TOC2"/>
            <w:rPr>
              <w:rFonts w:asciiTheme="minorHAnsi" w:eastAsiaTheme="minorEastAsia" w:hAnsiTheme="minorHAnsi" w:cstheme="minorBidi"/>
              <w:sz w:val="22"/>
              <w:szCs w:val="22"/>
              <w:lang w:eastAsia="en-AU"/>
            </w:rPr>
          </w:pPr>
          <w:hyperlink w:anchor="_Toc106987524" w:history="1">
            <w:r w:rsidR="00723FAD" w:rsidRPr="00CB0B9A">
              <w:rPr>
                <w:rStyle w:val="Hyperlink"/>
              </w:rPr>
              <w:t>The Multiple and Complex Needs Initiative</w:t>
            </w:r>
            <w:r w:rsidR="00723FAD">
              <w:rPr>
                <w:webHidden/>
              </w:rPr>
              <w:tab/>
            </w:r>
            <w:r w:rsidR="00723FAD">
              <w:rPr>
                <w:webHidden/>
              </w:rPr>
              <w:fldChar w:fldCharType="begin"/>
            </w:r>
            <w:r w:rsidR="00723FAD">
              <w:rPr>
                <w:webHidden/>
              </w:rPr>
              <w:instrText xml:space="preserve"> PAGEREF _Toc106987524 \h </w:instrText>
            </w:r>
            <w:r w:rsidR="00723FAD">
              <w:rPr>
                <w:webHidden/>
              </w:rPr>
            </w:r>
            <w:r w:rsidR="00723FAD">
              <w:rPr>
                <w:webHidden/>
              </w:rPr>
              <w:fldChar w:fldCharType="separate"/>
            </w:r>
            <w:r w:rsidR="00723FAD">
              <w:rPr>
                <w:webHidden/>
              </w:rPr>
              <w:t>4</w:t>
            </w:r>
            <w:r w:rsidR="00723FAD">
              <w:rPr>
                <w:webHidden/>
              </w:rPr>
              <w:fldChar w:fldCharType="end"/>
            </w:r>
          </w:hyperlink>
        </w:p>
        <w:p w14:paraId="178DD226" w14:textId="092ED424" w:rsidR="003B2F26" w:rsidRDefault="003B2F26">
          <w:r>
            <w:rPr>
              <w:b/>
              <w:bCs/>
              <w:noProof/>
            </w:rPr>
            <w:fldChar w:fldCharType="end"/>
          </w:r>
        </w:p>
      </w:sdtContent>
    </w:sdt>
    <w:p w14:paraId="438A2A57" w14:textId="0BC9F43D" w:rsidR="003B2F26" w:rsidRDefault="00AD784C" w:rsidP="003B2F26">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p>
    <w:p w14:paraId="68C6803F" w14:textId="2AB9CDB4" w:rsidR="00C83175" w:rsidRDefault="00C83175">
      <w:pPr>
        <w:pStyle w:val="TOC1"/>
        <w:rPr>
          <w:rFonts w:asciiTheme="minorHAnsi" w:eastAsiaTheme="minorEastAsia" w:hAnsiTheme="minorHAnsi" w:cstheme="minorBidi"/>
          <w:b w:val="0"/>
          <w:sz w:val="22"/>
          <w:szCs w:val="22"/>
          <w:lang w:eastAsia="en-AU"/>
        </w:rPr>
      </w:pPr>
    </w:p>
    <w:p w14:paraId="13EDF858" w14:textId="77777777" w:rsidR="00FB1F6E" w:rsidRDefault="00AD784C" w:rsidP="00D079AA">
      <w:pPr>
        <w:pStyle w:val="Body"/>
      </w:pPr>
      <w:r>
        <w:fldChar w:fldCharType="end"/>
      </w:r>
    </w:p>
    <w:p w14:paraId="1234E95A" w14:textId="77777777" w:rsidR="00723FAD" w:rsidRDefault="00723FAD">
      <w:pPr>
        <w:spacing w:after="0" w:line="240" w:lineRule="auto"/>
      </w:pPr>
    </w:p>
    <w:p w14:paraId="0CA803BC" w14:textId="77777777" w:rsidR="00723FAD" w:rsidRDefault="00723FAD">
      <w:pPr>
        <w:spacing w:after="0" w:line="240" w:lineRule="auto"/>
      </w:pPr>
      <w:r>
        <w:br w:type="page"/>
      </w:r>
    </w:p>
    <w:p w14:paraId="65762932" w14:textId="12E8EBBA" w:rsidR="00723FAD" w:rsidRDefault="00FB1F6E">
      <w:pPr>
        <w:spacing w:after="0" w:line="240" w:lineRule="auto"/>
        <w:sectPr w:rsidR="00723FAD" w:rsidSect="003B2F26">
          <w:headerReference w:type="even" r:id="rId15"/>
          <w:headerReference w:type="default" r:id="rId16"/>
          <w:footerReference w:type="even" r:id="rId17"/>
          <w:footerReference w:type="default" r:id="rId18"/>
          <w:pgSz w:w="11906" w:h="16838" w:code="9"/>
          <w:pgMar w:top="1701" w:right="1304" w:bottom="1418" w:left="1304" w:header="680" w:footer="851" w:gutter="0"/>
          <w:pgNumType w:start="1"/>
          <w:cols w:space="340"/>
          <w:docGrid w:linePitch="360"/>
        </w:sectPr>
      </w:pPr>
      <w:r>
        <w:lastRenderedPageBreak/>
        <w:br w:type="page"/>
      </w:r>
    </w:p>
    <w:p w14:paraId="2B5D142C" w14:textId="1F5D9DA9" w:rsidR="00FB1F6E" w:rsidRDefault="00FB1F6E">
      <w:pPr>
        <w:spacing w:after="0" w:line="240" w:lineRule="auto"/>
        <w:rPr>
          <w:rFonts w:eastAsia="Times"/>
        </w:rPr>
      </w:pPr>
    </w:p>
    <w:p w14:paraId="20A429F3" w14:textId="77777777" w:rsidR="007F4DD6" w:rsidRPr="0094384F" w:rsidRDefault="007F4DD6" w:rsidP="007F4DD6">
      <w:pPr>
        <w:pStyle w:val="Heading1"/>
        <w:spacing w:before="0"/>
      </w:pPr>
      <w:bookmarkStart w:id="1" w:name="_Toc487651785"/>
      <w:bookmarkStart w:id="2" w:name="_Toc491441352"/>
      <w:bookmarkStart w:id="3" w:name="_Toc493086745"/>
      <w:bookmarkStart w:id="4" w:name="_Toc72143443"/>
      <w:bookmarkStart w:id="5" w:name="_Toc75531965"/>
      <w:bookmarkStart w:id="6" w:name="_Toc106987513"/>
      <w:r w:rsidRPr="0094384F">
        <w:t>Purpose of these guidelines</w:t>
      </w:r>
      <w:bookmarkEnd w:id="1"/>
      <w:bookmarkEnd w:id="2"/>
      <w:bookmarkEnd w:id="3"/>
      <w:bookmarkEnd w:id="4"/>
      <w:bookmarkEnd w:id="5"/>
      <w:bookmarkEnd w:id="6"/>
      <w:r>
        <w:rPr>
          <w:color w:val="365F91"/>
        </w:rPr>
        <w:t xml:space="preserve"> </w:t>
      </w:r>
    </w:p>
    <w:p w14:paraId="54EA10D7" w14:textId="77777777" w:rsidR="007F4DD6" w:rsidRPr="000B4BE5" w:rsidRDefault="007F4DD6" w:rsidP="00417723">
      <w:pPr>
        <w:pStyle w:val="DHHSbody"/>
        <w:rPr>
          <w:sz w:val="21"/>
          <w:szCs w:val="21"/>
        </w:rPr>
      </w:pPr>
      <w:r w:rsidRPr="000B4BE5">
        <w:rPr>
          <w:sz w:val="21"/>
          <w:szCs w:val="21"/>
        </w:rPr>
        <w:t xml:space="preserve">This document provides the Department Families Fairness and Housing (department) funded </w:t>
      </w:r>
      <w:bookmarkStart w:id="7" w:name="_Hlk72141252"/>
      <w:r w:rsidRPr="000B4BE5">
        <w:rPr>
          <w:sz w:val="21"/>
          <w:szCs w:val="21"/>
        </w:rPr>
        <w:t>Support for single people living in rooming houses initiative</w:t>
      </w:r>
      <w:bookmarkEnd w:id="7"/>
      <w:r w:rsidRPr="000B4BE5">
        <w:rPr>
          <w:sz w:val="21"/>
          <w:szCs w:val="21"/>
        </w:rPr>
        <w:t xml:space="preserve"> service providers with an understanding of the purpose, aims, target groups and key service requirements for the initiative. These guidelines are designed to be used in conjunction with other key documents that outline the range of responsibilities and requirements that apply to funded organisations, including department policy, policy and funding plans, service agreements and legislative and regulatory requirements.</w:t>
      </w:r>
    </w:p>
    <w:p w14:paraId="3294DF79" w14:textId="77777777" w:rsidR="007F4DD6" w:rsidRPr="000B4BE5" w:rsidRDefault="007F4DD6" w:rsidP="00417723">
      <w:pPr>
        <w:pStyle w:val="DHHSbody"/>
        <w:rPr>
          <w:sz w:val="21"/>
          <w:szCs w:val="21"/>
        </w:rPr>
      </w:pPr>
      <w:r w:rsidRPr="000B4BE5">
        <w:rPr>
          <w:sz w:val="21"/>
          <w:szCs w:val="21"/>
        </w:rPr>
        <w:t>These guidelines detail the framework, funded activities and funding guidelines, and are designed to assist the initiative’s service providers to be aware of and understand:</w:t>
      </w:r>
    </w:p>
    <w:p w14:paraId="144DF6DB" w14:textId="77777777" w:rsidR="007F4DD6" w:rsidRPr="000B4BE5" w:rsidRDefault="007F4DD6" w:rsidP="00417723">
      <w:pPr>
        <w:pStyle w:val="DHHSbody"/>
        <w:numPr>
          <w:ilvl w:val="0"/>
          <w:numId w:val="40"/>
        </w:numPr>
        <w:ind w:left="567" w:hanging="567"/>
        <w:rPr>
          <w:sz w:val="21"/>
          <w:szCs w:val="21"/>
        </w:rPr>
      </w:pPr>
      <w:r w:rsidRPr="000B4BE5">
        <w:rPr>
          <w:sz w:val="21"/>
          <w:szCs w:val="21"/>
        </w:rPr>
        <w:t>the program’s aims and structure</w:t>
      </w:r>
    </w:p>
    <w:p w14:paraId="0E03F77E" w14:textId="77777777" w:rsidR="007F4DD6" w:rsidRPr="000B4BE5" w:rsidRDefault="007F4DD6" w:rsidP="00417723">
      <w:pPr>
        <w:pStyle w:val="DHHSbody"/>
        <w:numPr>
          <w:ilvl w:val="0"/>
          <w:numId w:val="40"/>
        </w:numPr>
        <w:ind w:left="567" w:hanging="567"/>
        <w:rPr>
          <w:sz w:val="21"/>
          <w:szCs w:val="21"/>
        </w:rPr>
      </w:pPr>
      <w:r w:rsidRPr="000B4BE5">
        <w:rPr>
          <w:sz w:val="21"/>
          <w:szCs w:val="21"/>
        </w:rPr>
        <w:t>how the program is managed at the government level</w:t>
      </w:r>
    </w:p>
    <w:p w14:paraId="493A5EA3" w14:textId="77777777" w:rsidR="007F4DD6" w:rsidRPr="000B4BE5" w:rsidRDefault="007F4DD6" w:rsidP="00417723">
      <w:pPr>
        <w:pStyle w:val="DHHSbody"/>
        <w:numPr>
          <w:ilvl w:val="0"/>
          <w:numId w:val="40"/>
        </w:numPr>
        <w:ind w:left="567" w:hanging="567"/>
        <w:rPr>
          <w:sz w:val="21"/>
          <w:szCs w:val="21"/>
        </w:rPr>
      </w:pPr>
      <w:r w:rsidRPr="000B4BE5">
        <w:rPr>
          <w:sz w:val="21"/>
          <w:szCs w:val="21"/>
        </w:rPr>
        <w:t>how the program relates to other key department initiatives</w:t>
      </w:r>
    </w:p>
    <w:p w14:paraId="5F4D6017" w14:textId="77777777" w:rsidR="007F4DD6" w:rsidRPr="000B4BE5" w:rsidRDefault="007F4DD6" w:rsidP="00417723">
      <w:pPr>
        <w:pStyle w:val="DHHSbody"/>
        <w:numPr>
          <w:ilvl w:val="0"/>
          <w:numId w:val="40"/>
        </w:numPr>
        <w:ind w:left="567" w:hanging="567"/>
        <w:rPr>
          <w:sz w:val="21"/>
          <w:szCs w:val="21"/>
        </w:rPr>
      </w:pPr>
      <w:r w:rsidRPr="000B4BE5">
        <w:rPr>
          <w:sz w:val="21"/>
          <w:szCs w:val="21"/>
        </w:rPr>
        <w:t>expectations regarding data collection and planning and review</w:t>
      </w:r>
    </w:p>
    <w:p w14:paraId="366C3A22" w14:textId="77777777" w:rsidR="007F4DD6" w:rsidRPr="000B4BE5" w:rsidRDefault="007F4DD6" w:rsidP="00417723">
      <w:pPr>
        <w:pStyle w:val="DHHSbody"/>
        <w:numPr>
          <w:ilvl w:val="0"/>
          <w:numId w:val="40"/>
        </w:numPr>
        <w:ind w:left="567" w:hanging="567"/>
        <w:rPr>
          <w:sz w:val="21"/>
          <w:szCs w:val="21"/>
        </w:rPr>
      </w:pPr>
      <w:r w:rsidRPr="000B4BE5">
        <w:rPr>
          <w:sz w:val="21"/>
          <w:szCs w:val="21"/>
        </w:rPr>
        <w:t>standards of service delivery and active partnerships with the department, Department of Justice and Regulation and sector services</w:t>
      </w:r>
    </w:p>
    <w:p w14:paraId="70FEF3C7" w14:textId="77777777" w:rsidR="007F4DD6" w:rsidRPr="000B4BE5" w:rsidRDefault="007F4DD6" w:rsidP="00417723">
      <w:pPr>
        <w:pStyle w:val="DHHSbody"/>
        <w:numPr>
          <w:ilvl w:val="0"/>
          <w:numId w:val="40"/>
        </w:numPr>
        <w:ind w:left="567" w:hanging="567"/>
        <w:rPr>
          <w:sz w:val="21"/>
          <w:szCs w:val="21"/>
        </w:rPr>
      </w:pPr>
      <w:r w:rsidRPr="000B4BE5">
        <w:rPr>
          <w:sz w:val="21"/>
          <w:szCs w:val="21"/>
        </w:rPr>
        <w:t>activities funded under the program</w:t>
      </w:r>
    </w:p>
    <w:p w14:paraId="7FDB19CB" w14:textId="77777777" w:rsidR="007F4DD6" w:rsidRPr="000B4BE5" w:rsidRDefault="007F4DD6" w:rsidP="00417723">
      <w:pPr>
        <w:pStyle w:val="DHHSbody"/>
        <w:numPr>
          <w:ilvl w:val="0"/>
          <w:numId w:val="40"/>
        </w:numPr>
        <w:ind w:left="567" w:hanging="567"/>
        <w:rPr>
          <w:sz w:val="21"/>
          <w:szCs w:val="21"/>
        </w:rPr>
      </w:pPr>
      <w:r w:rsidRPr="000B4BE5">
        <w:rPr>
          <w:sz w:val="21"/>
          <w:szCs w:val="21"/>
        </w:rPr>
        <w:t>the basis upon which funding levels are determined.</w:t>
      </w:r>
    </w:p>
    <w:p w14:paraId="5D7CF577" w14:textId="77777777" w:rsidR="007F4DD6" w:rsidRPr="0094384F" w:rsidRDefault="007F4DD6" w:rsidP="00417723">
      <w:pPr>
        <w:pStyle w:val="Heading1"/>
        <w:spacing w:before="0"/>
      </w:pPr>
      <w:bookmarkStart w:id="8" w:name="_Toc471223449"/>
      <w:bookmarkStart w:id="9" w:name="_Toc471223957"/>
      <w:bookmarkStart w:id="10" w:name="_Toc471224617"/>
      <w:bookmarkStart w:id="11" w:name="_Toc476822356"/>
      <w:bookmarkStart w:id="12" w:name="_Toc487651787"/>
      <w:bookmarkStart w:id="13" w:name="_Toc491441353"/>
      <w:bookmarkStart w:id="14" w:name="_Toc493086746"/>
      <w:bookmarkStart w:id="15" w:name="_Toc72143444"/>
      <w:bookmarkStart w:id="16" w:name="_Toc75531966"/>
      <w:bookmarkStart w:id="17" w:name="_Toc106987514"/>
      <w:r w:rsidRPr="0094384F">
        <w:t>Initiative’s aim</w:t>
      </w:r>
      <w:bookmarkEnd w:id="8"/>
      <w:bookmarkEnd w:id="9"/>
      <w:bookmarkEnd w:id="10"/>
      <w:bookmarkEnd w:id="11"/>
      <w:bookmarkEnd w:id="12"/>
      <w:bookmarkEnd w:id="13"/>
      <w:bookmarkEnd w:id="14"/>
      <w:bookmarkEnd w:id="15"/>
      <w:bookmarkEnd w:id="16"/>
      <w:bookmarkEnd w:id="17"/>
    </w:p>
    <w:p w14:paraId="1DE1BBB0" w14:textId="77777777" w:rsidR="007F4DD6" w:rsidRPr="000B4BE5" w:rsidRDefault="007F4DD6" w:rsidP="00417723">
      <w:pPr>
        <w:pStyle w:val="DHHSBody0"/>
        <w:rPr>
          <w:sz w:val="21"/>
          <w:szCs w:val="21"/>
        </w:rPr>
      </w:pPr>
      <w:bookmarkStart w:id="18" w:name="_Toc471223450"/>
      <w:r w:rsidRPr="000B4BE5">
        <w:rPr>
          <w:sz w:val="21"/>
          <w:szCs w:val="21"/>
        </w:rPr>
        <w:t>The aim of this initiative is to identify and actively connect single people living in private rooming houses who are inappropriately housed or who have unmet support needs to service providers who will assist them to secure long term housing or other support appropriate to their needs and reduce their risk of homelessness</w:t>
      </w:r>
      <w:bookmarkEnd w:id="18"/>
      <w:r w:rsidRPr="000B4BE5">
        <w:rPr>
          <w:sz w:val="21"/>
          <w:szCs w:val="21"/>
        </w:rPr>
        <w:t xml:space="preserve">. The initiative also aims to identify non-registered rooming houses and those rooming houses that are operating outside of the </w:t>
      </w:r>
      <w:r w:rsidRPr="000B4BE5">
        <w:rPr>
          <w:i/>
          <w:sz w:val="21"/>
          <w:szCs w:val="21"/>
        </w:rPr>
        <w:t>Minimum standards in rooming houses</w:t>
      </w:r>
      <w:r w:rsidRPr="000B4BE5">
        <w:rPr>
          <w:sz w:val="21"/>
          <w:szCs w:val="21"/>
        </w:rPr>
        <w:t>. The initiative will operate in the greater Melbourne metropolitan area.</w:t>
      </w:r>
    </w:p>
    <w:p w14:paraId="6715320F" w14:textId="77777777" w:rsidR="007F4DD6" w:rsidRPr="0094384F" w:rsidRDefault="007F4DD6" w:rsidP="00417723">
      <w:pPr>
        <w:pStyle w:val="Heading1"/>
        <w:spacing w:before="0"/>
      </w:pPr>
      <w:bookmarkStart w:id="19" w:name="_Toc491441354"/>
      <w:bookmarkStart w:id="20" w:name="_Toc493086747"/>
      <w:bookmarkStart w:id="21" w:name="_Toc72143445"/>
      <w:bookmarkStart w:id="22" w:name="_Toc75531967"/>
      <w:bookmarkStart w:id="23" w:name="_Toc106987515"/>
      <w:r w:rsidRPr="0094384F">
        <w:t>Initiative’s activities</w:t>
      </w:r>
      <w:bookmarkEnd w:id="19"/>
      <w:bookmarkEnd w:id="20"/>
      <w:bookmarkEnd w:id="21"/>
      <w:bookmarkEnd w:id="22"/>
      <w:bookmarkEnd w:id="23"/>
      <w:r w:rsidRPr="0094384F">
        <w:t xml:space="preserve">  </w:t>
      </w:r>
    </w:p>
    <w:p w14:paraId="332E4B62" w14:textId="77777777" w:rsidR="007F4DD6" w:rsidRPr="000B4BE5" w:rsidRDefault="007F4DD6" w:rsidP="00417723">
      <w:pPr>
        <w:pStyle w:val="DHHSBody0"/>
        <w:rPr>
          <w:sz w:val="21"/>
          <w:szCs w:val="21"/>
        </w:rPr>
      </w:pPr>
      <w:r w:rsidRPr="000B4BE5">
        <w:rPr>
          <w:sz w:val="21"/>
          <w:szCs w:val="21"/>
        </w:rPr>
        <w:t>Key to the success of this initiative are networks and relationships with the housing and homelessness sector, local government, and Consumer Affairs Victoria. These networks and relationships will assist in identifying rooming houses to be visited, facilitate two-way referrals, notifications and liaising regarding non- compliance.</w:t>
      </w:r>
    </w:p>
    <w:p w14:paraId="120EB197" w14:textId="77777777" w:rsidR="007F4DD6" w:rsidRPr="000B4BE5" w:rsidRDefault="007F4DD6" w:rsidP="00417723">
      <w:pPr>
        <w:pStyle w:val="DHHSbody"/>
        <w:rPr>
          <w:sz w:val="21"/>
          <w:szCs w:val="21"/>
        </w:rPr>
      </w:pPr>
      <w:r w:rsidRPr="000B4BE5">
        <w:rPr>
          <w:sz w:val="21"/>
          <w:szCs w:val="21"/>
        </w:rPr>
        <w:t>Specifically, service providers will undertake the following activities:</w:t>
      </w:r>
    </w:p>
    <w:p w14:paraId="58BFB02A" w14:textId="77777777" w:rsidR="007F4DD6" w:rsidRPr="000B4BE5" w:rsidRDefault="007F4DD6" w:rsidP="00417723">
      <w:pPr>
        <w:pStyle w:val="DHHSbody"/>
        <w:numPr>
          <w:ilvl w:val="0"/>
          <w:numId w:val="40"/>
        </w:numPr>
        <w:ind w:left="567" w:hanging="567"/>
        <w:rPr>
          <w:sz w:val="21"/>
          <w:szCs w:val="21"/>
        </w:rPr>
      </w:pPr>
      <w:r w:rsidRPr="000B4BE5">
        <w:rPr>
          <w:sz w:val="21"/>
          <w:szCs w:val="21"/>
        </w:rPr>
        <w:t>conduct outreach visits to both registered and non-registered private rooming houses to make direct contact with single people who reside at those properties.</w:t>
      </w:r>
    </w:p>
    <w:p w14:paraId="4CD631F2" w14:textId="77777777" w:rsidR="007F4DD6" w:rsidRPr="000B4BE5" w:rsidRDefault="007F4DD6" w:rsidP="00417723">
      <w:pPr>
        <w:pStyle w:val="DHHSbody"/>
        <w:numPr>
          <w:ilvl w:val="0"/>
          <w:numId w:val="40"/>
        </w:numPr>
        <w:ind w:left="567" w:hanging="567"/>
        <w:rPr>
          <w:sz w:val="21"/>
          <w:szCs w:val="21"/>
        </w:rPr>
      </w:pPr>
      <w:r w:rsidRPr="000B4BE5">
        <w:rPr>
          <w:sz w:val="21"/>
          <w:szCs w:val="21"/>
        </w:rPr>
        <w:t xml:space="preserve">identify single people residing in private room houses who are inappropriately housed and actively refer/connect them to service providers who will assist them to secure long term housing appropriate to their needs and reduce their risk of homelessness.  </w:t>
      </w:r>
    </w:p>
    <w:p w14:paraId="3CB6F217" w14:textId="77777777" w:rsidR="007F4DD6" w:rsidRPr="000B4BE5" w:rsidRDefault="007F4DD6" w:rsidP="00417723">
      <w:pPr>
        <w:pStyle w:val="DHHSbody"/>
        <w:numPr>
          <w:ilvl w:val="0"/>
          <w:numId w:val="40"/>
        </w:numPr>
        <w:ind w:left="567" w:hanging="567"/>
        <w:rPr>
          <w:sz w:val="21"/>
          <w:szCs w:val="21"/>
        </w:rPr>
      </w:pPr>
      <w:r w:rsidRPr="000B4BE5">
        <w:rPr>
          <w:sz w:val="21"/>
          <w:szCs w:val="21"/>
        </w:rPr>
        <w:t xml:space="preserve">identify single people residing in private rooming houses with unmet support needs and actively connect them with the appropriate support providers, including reconnecting them with their previous support providers  </w:t>
      </w:r>
    </w:p>
    <w:p w14:paraId="51723555" w14:textId="77777777" w:rsidR="007F4DD6" w:rsidRPr="000B4BE5" w:rsidRDefault="007F4DD6" w:rsidP="00417723">
      <w:pPr>
        <w:pStyle w:val="DHHSbody"/>
        <w:numPr>
          <w:ilvl w:val="0"/>
          <w:numId w:val="40"/>
        </w:numPr>
        <w:ind w:left="567" w:hanging="567"/>
        <w:rPr>
          <w:i/>
          <w:sz w:val="21"/>
          <w:szCs w:val="21"/>
        </w:rPr>
      </w:pPr>
      <w:r w:rsidRPr="000B4BE5">
        <w:rPr>
          <w:sz w:val="21"/>
          <w:szCs w:val="21"/>
        </w:rPr>
        <w:lastRenderedPageBreak/>
        <w:t>identify non-registered rooming houses and report these rooming houses to local government authorities who oversight registration of rooming houses</w:t>
      </w:r>
    </w:p>
    <w:p w14:paraId="2574DF4A" w14:textId="07CB4861" w:rsidR="007F4DD6" w:rsidRPr="000B4BE5" w:rsidRDefault="007F4DD6" w:rsidP="00417723">
      <w:pPr>
        <w:pStyle w:val="DHHSBody0"/>
        <w:numPr>
          <w:ilvl w:val="0"/>
          <w:numId w:val="40"/>
        </w:numPr>
        <w:ind w:left="567" w:hanging="567"/>
        <w:rPr>
          <w:sz w:val="21"/>
          <w:szCs w:val="21"/>
        </w:rPr>
      </w:pPr>
      <w:bookmarkStart w:id="24" w:name="_Toc493086748"/>
      <w:bookmarkStart w:id="25" w:name="_Toc493087236"/>
      <w:r w:rsidRPr="000B4BE5">
        <w:rPr>
          <w:rStyle w:val="DHHSBodyChar0"/>
          <w:sz w:val="21"/>
          <w:szCs w:val="21"/>
        </w:rPr>
        <w:t>report registered and non-registered rooming houses who are operating outside of the</w:t>
      </w:r>
      <w:r w:rsidRPr="000B4BE5">
        <w:rPr>
          <w:rStyle w:val="DHHSBodyChar0"/>
          <w:rFonts w:cs="Arial"/>
          <w:sz w:val="21"/>
          <w:szCs w:val="21"/>
        </w:rPr>
        <w:t xml:space="preserve"> </w:t>
      </w:r>
      <w:hyperlink r:id="rId19" w:history="1">
        <w:r w:rsidRPr="000B4BE5">
          <w:rPr>
            <w:rStyle w:val="Hyperlink"/>
            <w:i/>
            <w:sz w:val="21"/>
            <w:szCs w:val="21"/>
          </w:rPr>
          <w:t>Minimum standards in rooming houses</w:t>
        </w:r>
      </w:hyperlink>
      <w:r w:rsidRPr="000B4BE5">
        <w:rPr>
          <w:sz w:val="21"/>
          <w:szCs w:val="21"/>
        </w:rPr>
        <w:t xml:space="preserve"> </w:t>
      </w:r>
      <w:r w:rsidR="00F26FB4">
        <w:rPr>
          <w:sz w:val="21"/>
          <w:szCs w:val="21"/>
        </w:rPr>
        <w:t>&lt;</w:t>
      </w:r>
      <w:r w:rsidRPr="000B4BE5">
        <w:rPr>
          <w:sz w:val="21"/>
          <w:szCs w:val="21"/>
        </w:rPr>
        <w:t>https://www.consumer.vic.gov.au/minimumstandards</w:t>
      </w:r>
      <w:r w:rsidR="00F26FB4">
        <w:rPr>
          <w:sz w:val="21"/>
          <w:szCs w:val="21"/>
        </w:rPr>
        <w:t>&gt;</w:t>
      </w:r>
      <w:r w:rsidRPr="000B4BE5">
        <w:rPr>
          <w:sz w:val="21"/>
          <w:szCs w:val="21"/>
        </w:rPr>
        <w:t xml:space="preserve"> </w:t>
      </w:r>
      <w:r w:rsidRPr="000B4BE5">
        <w:rPr>
          <w:rStyle w:val="DHHSBodyChar0"/>
          <w:sz w:val="21"/>
          <w:szCs w:val="21"/>
        </w:rPr>
        <w:t>which includes  standards prescribed in the</w:t>
      </w:r>
      <w:r w:rsidRPr="000B4BE5">
        <w:rPr>
          <w:i/>
          <w:sz w:val="21"/>
          <w:szCs w:val="21"/>
        </w:rPr>
        <w:t xml:space="preserve"> </w:t>
      </w:r>
      <w:hyperlink r:id="rId20" w:history="1">
        <w:r w:rsidR="00F26FB4" w:rsidRPr="00F26FB4">
          <w:rPr>
            <w:color w:val="0000FF"/>
            <w:sz w:val="21"/>
            <w:u w:val="single"/>
          </w:rPr>
          <w:t>Public Health and Wellbeing (Prescribed Accommodation) Regulations 2020 (legislation.vic.gov.au)</w:t>
        </w:r>
      </w:hyperlink>
      <w:r w:rsidR="00F26FB4" w:rsidRPr="00F26FB4">
        <w:rPr>
          <w:sz w:val="21"/>
          <w:szCs w:val="21"/>
        </w:rPr>
        <w:t xml:space="preserve"> </w:t>
      </w:r>
      <w:r w:rsidR="00DB4E74">
        <w:rPr>
          <w:sz w:val="21"/>
          <w:szCs w:val="21"/>
        </w:rPr>
        <w:t>&lt;</w:t>
      </w:r>
      <w:r w:rsidR="00DB4E74" w:rsidRPr="00DB4E74">
        <w:rPr>
          <w:sz w:val="21"/>
          <w:szCs w:val="21"/>
        </w:rPr>
        <w:t>https://www.legislation.vic.gov.au/in-force/statutory-rules/public-health-and-wellbeing-prescribed-accommodation-regulations-2020/002</w:t>
      </w:r>
      <w:r w:rsidR="00F26FB4" w:rsidRPr="00F26FB4">
        <w:rPr>
          <w:sz w:val="21"/>
          <w:szCs w:val="21"/>
        </w:rPr>
        <w:t>&gt;</w:t>
      </w:r>
      <w:r w:rsidR="00DB4E74">
        <w:rPr>
          <w:sz w:val="21"/>
          <w:szCs w:val="21"/>
        </w:rPr>
        <w:t xml:space="preserve"> </w:t>
      </w:r>
      <w:r w:rsidRPr="000B4BE5">
        <w:rPr>
          <w:rStyle w:val="DHHSBodyChar0"/>
          <w:sz w:val="21"/>
          <w:szCs w:val="21"/>
        </w:rPr>
        <w:t>and the</w:t>
      </w:r>
      <w:r w:rsidRPr="000B4BE5">
        <w:rPr>
          <w:sz w:val="21"/>
          <w:szCs w:val="21"/>
        </w:rPr>
        <w:t xml:space="preserve"> </w:t>
      </w:r>
      <w:hyperlink r:id="rId21" w:history="1">
        <w:r w:rsidR="00DB4E74" w:rsidRPr="00DB4E74">
          <w:rPr>
            <w:color w:val="0000FF"/>
            <w:sz w:val="21"/>
            <w:u w:val="single"/>
          </w:rPr>
          <w:t>Residential Tenancies Act 1997 (legislation.vic.gov.au)</w:t>
        </w:r>
      </w:hyperlink>
      <w:r w:rsidR="00DB4E74">
        <w:rPr>
          <w:sz w:val="21"/>
        </w:rPr>
        <w:t xml:space="preserve"> &lt;</w:t>
      </w:r>
      <w:r w:rsidR="00DB4E74" w:rsidRPr="00DB4E74">
        <w:t xml:space="preserve"> </w:t>
      </w:r>
      <w:r w:rsidR="00DB4E74" w:rsidRPr="00DB4E74">
        <w:rPr>
          <w:sz w:val="21"/>
        </w:rPr>
        <w:t>https://www.legislation.vic.gov.au/in-force/acts/residential-tenancies-act-1997/100</w:t>
      </w:r>
      <w:r w:rsidR="00DB4E74">
        <w:rPr>
          <w:sz w:val="21"/>
        </w:rPr>
        <w:t xml:space="preserve"> &gt;</w:t>
      </w:r>
    </w:p>
    <w:p w14:paraId="0FA6D275" w14:textId="77777777" w:rsidR="007F4DD6" w:rsidRPr="000B4BE5" w:rsidRDefault="007F4DD6" w:rsidP="00417723">
      <w:pPr>
        <w:pStyle w:val="DHHSBody0"/>
        <w:numPr>
          <w:ilvl w:val="0"/>
          <w:numId w:val="40"/>
        </w:numPr>
        <w:ind w:left="567" w:hanging="567"/>
        <w:rPr>
          <w:rStyle w:val="DHHSBodyChar0"/>
          <w:sz w:val="21"/>
          <w:szCs w:val="21"/>
        </w:rPr>
      </w:pPr>
      <w:r w:rsidRPr="000B4BE5">
        <w:rPr>
          <w:rStyle w:val="DHHSBodyChar0"/>
          <w:sz w:val="21"/>
          <w:szCs w:val="21"/>
        </w:rPr>
        <w:t>Where a notification is made to the relevant local government authority or to Consumer Affairs Victoria, the support worker will:</w:t>
      </w:r>
      <w:bookmarkEnd w:id="24"/>
      <w:bookmarkEnd w:id="25"/>
      <w:r w:rsidRPr="000B4BE5">
        <w:rPr>
          <w:rStyle w:val="DHHSBodyChar0"/>
          <w:sz w:val="21"/>
          <w:szCs w:val="21"/>
        </w:rPr>
        <w:t xml:space="preserve"> </w:t>
      </w:r>
    </w:p>
    <w:p w14:paraId="0DE48B4E" w14:textId="77777777" w:rsidR="007F4DD6" w:rsidRPr="000B4BE5" w:rsidRDefault="007F4DD6" w:rsidP="00417723">
      <w:pPr>
        <w:pStyle w:val="DHHSBody0"/>
        <w:numPr>
          <w:ilvl w:val="0"/>
          <w:numId w:val="41"/>
        </w:numPr>
        <w:rPr>
          <w:b/>
          <w:sz w:val="21"/>
          <w:szCs w:val="21"/>
        </w:rPr>
      </w:pPr>
      <w:bookmarkStart w:id="26" w:name="_Toc493086749"/>
      <w:r w:rsidRPr="000B4BE5">
        <w:rPr>
          <w:sz w:val="21"/>
          <w:szCs w:val="21"/>
        </w:rPr>
        <w:t>continue to liaise with the relevant officers to ensure that any compliance activity does not result in the unplanned displacement of residents.</w:t>
      </w:r>
      <w:bookmarkEnd w:id="26"/>
      <w:r w:rsidRPr="000B4BE5">
        <w:rPr>
          <w:sz w:val="21"/>
          <w:szCs w:val="21"/>
        </w:rPr>
        <w:t xml:space="preserve"> </w:t>
      </w:r>
    </w:p>
    <w:p w14:paraId="13C0D6AD" w14:textId="77777777" w:rsidR="007F4DD6" w:rsidRPr="000B4BE5" w:rsidRDefault="007F4DD6" w:rsidP="00417723">
      <w:pPr>
        <w:pStyle w:val="DHHSBody0"/>
        <w:numPr>
          <w:ilvl w:val="0"/>
          <w:numId w:val="41"/>
        </w:numPr>
        <w:rPr>
          <w:sz w:val="21"/>
          <w:szCs w:val="21"/>
        </w:rPr>
      </w:pPr>
      <w:bookmarkStart w:id="27" w:name="_Toc493086750"/>
      <w:r w:rsidRPr="000B4BE5">
        <w:rPr>
          <w:sz w:val="21"/>
          <w:szCs w:val="21"/>
        </w:rPr>
        <w:t>ensure that the Rooming House Closure Protocol is properly implemented if a closure will occur.</w:t>
      </w:r>
      <w:bookmarkEnd w:id="27"/>
    </w:p>
    <w:p w14:paraId="67F86C2F" w14:textId="77777777" w:rsidR="007F4DD6" w:rsidRPr="000B4BE5" w:rsidRDefault="007F4DD6" w:rsidP="00417723">
      <w:pPr>
        <w:pStyle w:val="DHHSBody0"/>
        <w:numPr>
          <w:ilvl w:val="0"/>
          <w:numId w:val="40"/>
        </w:numPr>
        <w:ind w:left="567" w:hanging="567"/>
        <w:rPr>
          <w:sz w:val="21"/>
          <w:szCs w:val="21"/>
        </w:rPr>
      </w:pPr>
      <w:r w:rsidRPr="000B4BE5">
        <w:rPr>
          <w:sz w:val="21"/>
          <w:szCs w:val="21"/>
        </w:rPr>
        <w:t>provide general information to single people residing in private rooming houses whom have been identified as having outstanding residency issues to inform of their rights and options under tenancy law and provide active connection to relevant services.</w:t>
      </w:r>
    </w:p>
    <w:p w14:paraId="3B25EB73" w14:textId="77777777" w:rsidR="007F4DD6" w:rsidRPr="0094384F" w:rsidRDefault="007F4DD6" w:rsidP="00417723">
      <w:pPr>
        <w:pStyle w:val="Heading1"/>
        <w:spacing w:before="0"/>
      </w:pPr>
      <w:bookmarkStart w:id="28" w:name="_Toc471223453"/>
      <w:bookmarkStart w:id="29" w:name="_Toc471223958"/>
      <w:bookmarkStart w:id="30" w:name="_Toc471224618"/>
      <w:bookmarkStart w:id="31" w:name="_Toc476822357"/>
      <w:bookmarkStart w:id="32" w:name="_Toc487651788"/>
      <w:bookmarkStart w:id="33" w:name="_Toc491441355"/>
      <w:bookmarkStart w:id="34" w:name="_Toc493086751"/>
      <w:bookmarkStart w:id="35" w:name="_Toc72143446"/>
      <w:bookmarkStart w:id="36" w:name="_Toc75531968"/>
      <w:bookmarkStart w:id="37" w:name="_Toc106987516"/>
      <w:r w:rsidRPr="0094384F">
        <w:t>Target group</w:t>
      </w:r>
      <w:bookmarkEnd w:id="28"/>
      <w:bookmarkEnd w:id="29"/>
      <w:bookmarkEnd w:id="30"/>
      <w:bookmarkEnd w:id="31"/>
      <w:bookmarkEnd w:id="32"/>
      <w:bookmarkEnd w:id="33"/>
      <w:bookmarkEnd w:id="34"/>
      <w:bookmarkEnd w:id="35"/>
      <w:bookmarkEnd w:id="36"/>
      <w:bookmarkEnd w:id="37"/>
    </w:p>
    <w:p w14:paraId="38C67F55" w14:textId="77777777" w:rsidR="007F4DD6" w:rsidRPr="000B4BE5" w:rsidRDefault="007F4DD6" w:rsidP="00417723">
      <w:pPr>
        <w:pStyle w:val="DHHSbody"/>
        <w:rPr>
          <w:sz w:val="21"/>
          <w:szCs w:val="21"/>
        </w:rPr>
      </w:pPr>
      <w:r w:rsidRPr="000B4BE5">
        <w:rPr>
          <w:sz w:val="21"/>
          <w:szCs w:val="21"/>
        </w:rPr>
        <w:t>The target group for this initiative are single people who reside in private rooming houses.</w:t>
      </w:r>
    </w:p>
    <w:p w14:paraId="1EF5E94C" w14:textId="77777777" w:rsidR="007F4DD6" w:rsidRPr="0094384F" w:rsidRDefault="007F4DD6" w:rsidP="00417723">
      <w:pPr>
        <w:pStyle w:val="Heading1"/>
        <w:spacing w:before="0"/>
      </w:pPr>
      <w:bookmarkStart w:id="38" w:name="_Toc183834655"/>
      <w:bookmarkStart w:id="39" w:name="_Toc471223460"/>
      <w:bookmarkStart w:id="40" w:name="_Toc471223965"/>
      <w:bookmarkStart w:id="41" w:name="_Toc471224625"/>
      <w:bookmarkStart w:id="42" w:name="_Toc476822371"/>
      <w:bookmarkStart w:id="43" w:name="_Toc487651803"/>
      <w:bookmarkStart w:id="44" w:name="_Toc491441356"/>
      <w:bookmarkStart w:id="45" w:name="_Toc493086752"/>
      <w:bookmarkStart w:id="46" w:name="_Toc72143447"/>
      <w:bookmarkStart w:id="47" w:name="_Toc75531969"/>
      <w:bookmarkStart w:id="48" w:name="_Toc106987517"/>
      <w:r w:rsidRPr="0094384F">
        <w:t>Program Unit pricing</w:t>
      </w:r>
      <w:bookmarkEnd w:id="38"/>
      <w:bookmarkEnd w:id="39"/>
      <w:bookmarkEnd w:id="40"/>
      <w:bookmarkEnd w:id="41"/>
      <w:bookmarkEnd w:id="42"/>
      <w:bookmarkEnd w:id="43"/>
      <w:bookmarkEnd w:id="44"/>
      <w:bookmarkEnd w:id="45"/>
      <w:bookmarkEnd w:id="46"/>
      <w:bookmarkEnd w:id="47"/>
      <w:bookmarkEnd w:id="48"/>
    </w:p>
    <w:p w14:paraId="5B03BFAE" w14:textId="5EB2CF64" w:rsidR="007F4DD6" w:rsidRPr="000B4BE5" w:rsidRDefault="007F4DD6" w:rsidP="00417723">
      <w:pPr>
        <w:pStyle w:val="DHHSbody"/>
        <w:rPr>
          <w:sz w:val="21"/>
          <w:szCs w:val="21"/>
          <w:lang w:eastAsia="en-AU"/>
        </w:rPr>
      </w:pPr>
      <w:r w:rsidRPr="000B4BE5">
        <w:rPr>
          <w:sz w:val="21"/>
          <w:szCs w:val="21"/>
          <w:lang w:eastAsia="en-AU"/>
        </w:rPr>
        <w:t>Unit pricing provides a focus on the program’s desired output of this initiative. The</w:t>
      </w:r>
      <w:r w:rsidR="000B4BE5" w:rsidRPr="000B4BE5">
        <w:rPr>
          <w:sz w:val="21"/>
          <w:szCs w:val="21"/>
          <w:lang w:eastAsia="en-AU"/>
        </w:rPr>
        <w:t xml:space="preserve"> base</w:t>
      </w:r>
      <w:r w:rsidRPr="000B4BE5">
        <w:rPr>
          <w:sz w:val="21"/>
          <w:szCs w:val="21"/>
          <w:lang w:eastAsia="en-AU"/>
        </w:rPr>
        <w:t xml:space="preserve"> unit price for this initiative is </w:t>
      </w:r>
      <w:bookmarkStart w:id="49" w:name="_Hlk102131249"/>
      <w:r w:rsidRPr="000B4BE5">
        <w:rPr>
          <w:sz w:val="21"/>
          <w:szCs w:val="21"/>
          <w:lang w:eastAsia="en-AU"/>
        </w:rPr>
        <w:t xml:space="preserve">$3096. </w:t>
      </w:r>
      <w:bookmarkEnd w:id="49"/>
    </w:p>
    <w:tbl>
      <w:tblPr>
        <w:tblStyle w:val="TableGrid"/>
        <w:tblW w:w="0" w:type="auto"/>
        <w:tblLook w:val="04A0" w:firstRow="1" w:lastRow="0" w:firstColumn="1" w:lastColumn="0" w:noHBand="0" w:noVBand="1"/>
      </w:tblPr>
      <w:tblGrid>
        <w:gridCol w:w="4506"/>
        <w:gridCol w:w="4782"/>
      </w:tblGrid>
      <w:tr w:rsidR="007F4DD6" w14:paraId="34A221C3" w14:textId="77777777" w:rsidTr="0028323E">
        <w:tc>
          <w:tcPr>
            <w:tcW w:w="4536" w:type="dxa"/>
            <w:shd w:val="clear" w:color="auto" w:fill="D9D9D9" w:themeFill="background1" w:themeFillShade="D9"/>
          </w:tcPr>
          <w:p w14:paraId="39DD6375" w14:textId="77777777" w:rsidR="007F4DD6" w:rsidRPr="00422DC3" w:rsidRDefault="007F4DD6" w:rsidP="00417723">
            <w:pPr>
              <w:pStyle w:val="DHHSBody0"/>
              <w:spacing w:after="60"/>
              <w:rPr>
                <w:b/>
              </w:rPr>
            </w:pPr>
            <w:r w:rsidRPr="00422DC3">
              <w:rPr>
                <w:b/>
              </w:rPr>
              <w:t>Activit</w:t>
            </w:r>
            <w:r>
              <w:rPr>
                <w:b/>
              </w:rPr>
              <w:t>ies</w:t>
            </w:r>
          </w:p>
        </w:tc>
        <w:tc>
          <w:tcPr>
            <w:tcW w:w="4820" w:type="dxa"/>
            <w:shd w:val="clear" w:color="auto" w:fill="D9D9D9" w:themeFill="background1" w:themeFillShade="D9"/>
          </w:tcPr>
          <w:p w14:paraId="7D3D52E5" w14:textId="77777777" w:rsidR="007F4DD6" w:rsidRPr="00422DC3" w:rsidRDefault="007F4DD6" w:rsidP="00417723">
            <w:pPr>
              <w:pStyle w:val="DHHSBody0"/>
              <w:spacing w:after="60"/>
              <w:rPr>
                <w:b/>
              </w:rPr>
            </w:pPr>
            <w:r w:rsidRPr="00422DC3">
              <w:rPr>
                <w:b/>
              </w:rPr>
              <w:t>Outcome</w:t>
            </w:r>
            <w:r>
              <w:rPr>
                <w:b/>
              </w:rPr>
              <w:t>s</w:t>
            </w:r>
          </w:p>
        </w:tc>
      </w:tr>
      <w:tr w:rsidR="007F4DD6" w14:paraId="2C49733F" w14:textId="77777777" w:rsidTr="0028323E">
        <w:trPr>
          <w:trHeight w:val="585"/>
        </w:trPr>
        <w:tc>
          <w:tcPr>
            <w:tcW w:w="4536" w:type="dxa"/>
          </w:tcPr>
          <w:p w14:paraId="4AF6185F" w14:textId="77777777" w:rsidR="007F4DD6" w:rsidRDefault="007F4DD6" w:rsidP="00417723">
            <w:pPr>
              <w:pStyle w:val="DHHSBody0"/>
              <w:spacing w:after="0"/>
            </w:pPr>
            <w:bookmarkStart w:id="50" w:name="_Hlk102131366"/>
            <w:r>
              <w:t>Active referral/connection to support providers   and general information on rights and options under tenancy law to single people residing in private rooming houses who are inappropriately housed.</w:t>
            </w:r>
          </w:p>
          <w:p w14:paraId="5E11C8E1" w14:textId="77777777" w:rsidR="007F4DD6" w:rsidRDefault="007F4DD6" w:rsidP="00417723">
            <w:pPr>
              <w:pStyle w:val="DHHSBody0"/>
              <w:spacing w:after="0"/>
              <w:rPr>
                <w:sz w:val="6"/>
                <w:szCs w:val="6"/>
              </w:rPr>
            </w:pPr>
          </w:p>
          <w:p w14:paraId="6B544DCE" w14:textId="77777777" w:rsidR="007F4DD6" w:rsidRDefault="007F4DD6" w:rsidP="00417723">
            <w:pPr>
              <w:pStyle w:val="DHHSBody0"/>
              <w:spacing w:after="0"/>
              <w:rPr>
                <w:sz w:val="6"/>
                <w:szCs w:val="6"/>
              </w:rPr>
            </w:pPr>
          </w:p>
          <w:p w14:paraId="1C39D186" w14:textId="77777777" w:rsidR="007F4DD6" w:rsidRDefault="007F4DD6" w:rsidP="00417723">
            <w:pPr>
              <w:pStyle w:val="DHHSBody0"/>
              <w:spacing w:after="0"/>
              <w:rPr>
                <w:sz w:val="6"/>
                <w:szCs w:val="6"/>
              </w:rPr>
            </w:pPr>
          </w:p>
          <w:p w14:paraId="7127B48E" w14:textId="77777777" w:rsidR="007F4DD6" w:rsidRPr="00AD11B6" w:rsidRDefault="007F4DD6" w:rsidP="00417723">
            <w:pPr>
              <w:pStyle w:val="DHHSBody0"/>
              <w:spacing w:after="0"/>
              <w:rPr>
                <w:sz w:val="6"/>
                <w:szCs w:val="6"/>
              </w:rPr>
            </w:pPr>
          </w:p>
          <w:p w14:paraId="1B46923E" w14:textId="77777777" w:rsidR="007F4DD6" w:rsidRPr="00422DC3" w:rsidRDefault="007F4DD6" w:rsidP="00417723">
            <w:pPr>
              <w:pStyle w:val="DHHSBody0"/>
              <w:spacing w:before="40" w:after="0"/>
            </w:pPr>
            <w:r>
              <w:t xml:space="preserve">Identification and notification of non-registered rooming houses and those rooming houses operating outside of the </w:t>
            </w:r>
            <w:r w:rsidRPr="008D0F18">
              <w:rPr>
                <w:i/>
              </w:rPr>
              <w:t>Minimum standards in rooming houses</w:t>
            </w:r>
            <w:r>
              <w:t xml:space="preserve"> in the greater Melbourne Metropolitan Area to local government and Consumer Affairs Victoria </w:t>
            </w:r>
            <w:bookmarkEnd w:id="50"/>
          </w:p>
        </w:tc>
        <w:tc>
          <w:tcPr>
            <w:tcW w:w="4820" w:type="dxa"/>
          </w:tcPr>
          <w:p w14:paraId="7D65024D" w14:textId="77777777" w:rsidR="007F4DD6" w:rsidRDefault="007F4DD6" w:rsidP="00417723">
            <w:pPr>
              <w:pStyle w:val="DHHSBody0"/>
              <w:spacing w:after="60"/>
            </w:pPr>
            <w:r>
              <w:t>Single residents living in private rooming houses who are inappropriately housed or have unmet support needs actively connected with relevant service providers and support organisations</w:t>
            </w:r>
          </w:p>
          <w:p w14:paraId="27164381" w14:textId="77777777" w:rsidR="007F4DD6" w:rsidRDefault="007F4DD6" w:rsidP="00417723">
            <w:pPr>
              <w:pStyle w:val="DHHSBody0"/>
              <w:spacing w:after="0"/>
            </w:pPr>
          </w:p>
          <w:p w14:paraId="1C286556" w14:textId="77777777" w:rsidR="007F4DD6" w:rsidRPr="00AD11B6" w:rsidRDefault="007F4DD6" w:rsidP="00417723">
            <w:pPr>
              <w:pStyle w:val="DHHSBody0"/>
              <w:spacing w:after="0"/>
              <w:rPr>
                <w:sz w:val="18"/>
                <w:szCs w:val="18"/>
              </w:rPr>
            </w:pPr>
            <w:r>
              <w:t>Rooming house residents provided with general information regarding their rights and options under tenancy law</w:t>
            </w:r>
          </w:p>
          <w:p w14:paraId="54C453EE" w14:textId="77777777" w:rsidR="007F4DD6" w:rsidRPr="00AD11B6" w:rsidRDefault="007F4DD6" w:rsidP="00417723">
            <w:pPr>
              <w:pStyle w:val="DHHSBody0"/>
              <w:spacing w:after="0"/>
              <w:rPr>
                <w:sz w:val="18"/>
                <w:szCs w:val="18"/>
              </w:rPr>
            </w:pPr>
          </w:p>
          <w:p w14:paraId="0AD4BA70" w14:textId="77777777" w:rsidR="007F4DD6" w:rsidRDefault="007F4DD6" w:rsidP="00417723">
            <w:pPr>
              <w:pStyle w:val="DHHSBody0"/>
              <w:spacing w:after="60"/>
            </w:pPr>
            <w:r>
              <w:t>Non-compliant rooming houses referred to the relevant local government authority and/or Consumer Affairs Victoria</w:t>
            </w:r>
          </w:p>
          <w:p w14:paraId="1E012086" w14:textId="77777777" w:rsidR="007F4DD6" w:rsidRPr="00422DC3" w:rsidRDefault="007F4DD6" w:rsidP="00417723">
            <w:pPr>
              <w:pStyle w:val="DHHSBody0"/>
              <w:spacing w:after="60"/>
            </w:pPr>
          </w:p>
        </w:tc>
      </w:tr>
    </w:tbl>
    <w:p w14:paraId="6E5A7E17" w14:textId="77777777" w:rsidR="007F4DD6" w:rsidRDefault="007F4DD6" w:rsidP="00417723">
      <w:pPr>
        <w:pStyle w:val="Body"/>
      </w:pPr>
    </w:p>
    <w:p w14:paraId="19332FE3" w14:textId="77777777" w:rsidR="000B4BE5" w:rsidRPr="0094384F" w:rsidRDefault="000B4BE5" w:rsidP="00417723">
      <w:pPr>
        <w:pStyle w:val="Heading1"/>
        <w:spacing w:before="0"/>
      </w:pPr>
      <w:bookmarkStart w:id="51" w:name="_Toc476822372"/>
      <w:bookmarkStart w:id="52" w:name="_Toc487651804"/>
      <w:bookmarkStart w:id="53" w:name="_Toc491441357"/>
      <w:bookmarkStart w:id="54" w:name="_Toc493086753"/>
      <w:bookmarkStart w:id="55" w:name="_Toc72143448"/>
      <w:bookmarkStart w:id="56" w:name="_Toc75531970"/>
      <w:bookmarkStart w:id="57" w:name="_Toc106987518"/>
      <w:r w:rsidRPr="0094384F">
        <w:lastRenderedPageBreak/>
        <w:t>Data collection and privacy</w:t>
      </w:r>
      <w:bookmarkEnd w:id="51"/>
      <w:bookmarkEnd w:id="52"/>
      <w:bookmarkEnd w:id="53"/>
      <w:bookmarkEnd w:id="54"/>
      <w:bookmarkEnd w:id="55"/>
      <w:bookmarkEnd w:id="56"/>
      <w:bookmarkEnd w:id="57"/>
    </w:p>
    <w:p w14:paraId="5BC0C924" w14:textId="77777777" w:rsidR="000B4BE5" w:rsidRPr="000B4BE5" w:rsidRDefault="000B4BE5" w:rsidP="00417723">
      <w:pPr>
        <w:pStyle w:val="DHHSbody"/>
        <w:rPr>
          <w:color w:val="000000" w:themeColor="text1"/>
          <w:sz w:val="21"/>
          <w:szCs w:val="21"/>
        </w:rPr>
      </w:pPr>
      <w:r w:rsidRPr="000B4BE5">
        <w:rPr>
          <w:color w:val="000000" w:themeColor="text1"/>
          <w:sz w:val="21"/>
          <w:szCs w:val="21"/>
        </w:rPr>
        <w:t>The department requires some personal information to be collected for the purpose of funding, monitoring, planning and evaluating services and the program overall. Wherever practicable, information collected for these purposes will be non-identifying.</w:t>
      </w:r>
    </w:p>
    <w:p w14:paraId="0DF15454" w14:textId="3FC9F42D" w:rsidR="000B4BE5" w:rsidRDefault="000B4BE5" w:rsidP="00723FAD">
      <w:pPr>
        <w:pStyle w:val="DHHSbody"/>
        <w:spacing w:after="0"/>
        <w:rPr>
          <w:color w:val="000000" w:themeColor="text1"/>
          <w:sz w:val="21"/>
          <w:szCs w:val="21"/>
        </w:rPr>
      </w:pPr>
      <w:r w:rsidRPr="000B4BE5">
        <w:rPr>
          <w:color w:val="000000" w:themeColor="text1"/>
          <w:sz w:val="21"/>
          <w:szCs w:val="21"/>
        </w:rPr>
        <w:t xml:space="preserve">The department and its funded programs will operate according to strict privacy protocols as set out in the </w:t>
      </w:r>
      <w:hyperlink r:id="rId22" w:history="1">
        <w:r w:rsidRPr="000B4BE5">
          <w:rPr>
            <w:rStyle w:val="Hyperlink"/>
            <w:sz w:val="21"/>
            <w:szCs w:val="21"/>
          </w:rPr>
          <w:t>Health Records Act 2001</w:t>
        </w:r>
      </w:hyperlink>
      <w:r w:rsidRPr="000B4BE5">
        <w:rPr>
          <w:color w:val="000000" w:themeColor="text1"/>
          <w:sz w:val="21"/>
          <w:szCs w:val="21"/>
        </w:rPr>
        <w:t xml:space="preserve"> </w:t>
      </w:r>
      <w:r w:rsidR="009B3479">
        <w:rPr>
          <w:color w:val="000000" w:themeColor="text1"/>
          <w:sz w:val="21"/>
          <w:szCs w:val="21"/>
        </w:rPr>
        <w:t>&lt;</w:t>
      </w:r>
      <w:r w:rsidR="00723FAD" w:rsidRPr="00723FAD">
        <w:t xml:space="preserve"> </w:t>
      </w:r>
      <w:r w:rsidR="00723FAD" w:rsidRPr="00723FAD">
        <w:rPr>
          <w:color w:val="000000" w:themeColor="text1"/>
          <w:sz w:val="21"/>
          <w:szCs w:val="21"/>
        </w:rPr>
        <w:t>http://www8.austlii.edu.au/cgi-bin/viewdb/au/legis/vic/consol_act/hra2001144</w:t>
      </w:r>
      <w:r w:rsidR="009B3479">
        <w:rPr>
          <w:color w:val="000000" w:themeColor="text1"/>
          <w:sz w:val="21"/>
          <w:szCs w:val="21"/>
        </w:rPr>
        <w:t xml:space="preserve"> &gt; </w:t>
      </w:r>
      <w:r w:rsidRPr="000B4BE5">
        <w:rPr>
          <w:color w:val="000000" w:themeColor="text1"/>
          <w:sz w:val="21"/>
          <w:szCs w:val="21"/>
        </w:rPr>
        <w:t xml:space="preserve">and the </w:t>
      </w:r>
      <w:hyperlink r:id="rId23" w:history="1">
        <w:r w:rsidRPr="000B4BE5">
          <w:rPr>
            <w:rStyle w:val="Hyperlink"/>
            <w:sz w:val="21"/>
            <w:szCs w:val="21"/>
          </w:rPr>
          <w:t>Privacy and Data Protection Act 2014</w:t>
        </w:r>
      </w:hyperlink>
      <w:r w:rsidRPr="000B4BE5">
        <w:rPr>
          <w:color w:val="000000" w:themeColor="text1"/>
          <w:sz w:val="21"/>
          <w:szCs w:val="21"/>
        </w:rPr>
        <w:t>.</w:t>
      </w:r>
    </w:p>
    <w:p w14:paraId="2CE67670" w14:textId="63379178" w:rsidR="009B3479" w:rsidRPr="000B4BE5" w:rsidRDefault="009B3479" w:rsidP="00417723">
      <w:pPr>
        <w:pStyle w:val="DHHSbody"/>
        <w:rPr>
          <w:color w:val="000000" w:themeColor="text1"/>
          <w:sz w:val="21"/>
          <w:szCs w:val="21"/>
        </w:rPr>
      </w:pPr>
      <w:r>
        <w:rPr>
          <w:rFonts w:eastAsia="Times New Roman"/>
          <w:sz w:val="21"/>
        </w:rPr>
        <w:t>&lt;</w:t>
      </w:r>
      <w:r w:rsidRPr="009B3479">
        <w:t xml:space="preserve"> </w:t>
      </w:r>
      <w:r w:rsidRPr="009B3479">
        <w:rPr>
          <w:rFonts w:eastAsia="Times New Roman"/>
          <w:sz w:val="21"/>
        </w:rPr>
        <w:t>http://classic.austlii.edu.au/au/legis/vic/consol_act/padpa2014271/</w:t>
      </w:r>
      <w:r>
        <w:rPr>
          <w:rFonts w:eastAsia="Times New Roman"/>
          <w:sz w:val="21"/>
        </w:rPr>
        <w:t xml:space="preserve"> &gt;</w:t>
      </w:r>
    </w:p>
    <w:p w14:paraId="00F8F572" w14:textId="77777777" w:rsidR="000B4BE5" w:rsidRPr="0094384F" w:rsidRDefault="000B4BE5" w:rsidP="00417723">
      <w:pPr>
        <w:pStyle w:val="Heading1"/>
        <w:spacing w:before="0"/>
      </w:pPr>
      <w:bookmarkStart w:id="58" w:name="_Toc476822373"/>
      <w:bookmarkStart w:id="59" w:name="_Toc487651805"/>
      <w:bookmarkStart w:id="60" w:name="_Toc491441358"/>
      <w:bookmarkStart w:id="61" w:name="_Toc493086754"/>
      <w:bookmarkStart w:id="62" w:name="_Toc72143449"/>
      <w:bookmarkStart w:id="63" w:name="_Toc75531971"/>
      <w:bookmarkStart w:id="64" w:name="_Toc106987519"/>
      <w:r w:rsidRPr="0094384F">
        <w:t>Data collection and reporting</w:t>
      </w:r>
      <w:bookmarkEnd w:id="58"/>
      <w:bookmarkEnd w:id="59"/>
      <w:bookmarkEnd w:id="60"/>
      <w:bookmarkEnd w:id="61"/>
      <w:bookmarkEnd w:id="62"/>
      <w:bookmarkEnd w:id="63"/>
      <w:bookmarkEnd w:id="64"/>
    </w:p>
    <w:p w14:paraId="69ECC398" w14:textId="77777777" w:rsidR="000B4BE5" w:rsidRPr="000B4BE5" w:rsidRDefault="000B4BE5" w:rsidP="00417723">
      <w:pPr>
        <w:pStyle w:val="DHHSBody0"/>
        <w:rPr>
          <w:rFonts w:ascii="Verdana" w:hAnsi="Verdana"/>
          <w:sz w:val="21"/>
          <w:szCs w:val="21"/>
          <w:shd w:val="clear" w:color="auto" w:fill="FFFFFF"/>
        </w:rPr>
      </w:pPr>
      <w:r w:rsidRPr="000B4BE5">
        <w:rPr>
          <w:sz w:val="21"/>
          <w:szCs w:val="21"/>
        </w:rPr>
        <w:t>Data collection and reporting is required to inform staff, manage and plan capacity and allocation, and monitor performance against targets.</w:t>
      </w:r>
      <w:r w:rsidRPr="000B4BE5">
        <w:rPr>
          <w:rFonts w:ascii="Verdana" w:hAnsi="Verdana"/>
          <w:sz w:val="21"/>
          <w:szCs w:val="21"/>
          <w:shd w:val="clear" w:color="auto" w:fill="FFFFFF"/>
        </w:rPr>
        <w:t xml:space="preserve">  </w:t>
      </w:r>
    </w:p>
    <w:p w14:paraId="3B188C5D" w14:textId="77777777" w:rsidR="000B4BE5" w:rsidRPr="000B4BE5" w:rsidRDefault="000B4BE5" w:rsidP="00417723">
      <w:pPr>
        <w:pStyle w:val="DHHSBody0"/>
        <w:rPr>
          <w:sz w:val="21"/>
          <w:szCs w:val="21"/>
        </w:rPr>
      </w:pPr>
      <w:r w:rsidRPr="000B4BE5">
        <w:rPr>
          <w:sz w:val="21"/>
          <w:szCs w:val="21"/>
        </w:rPr>
        <w:t>The department will ensure that there is an appropriate level of accountability and that service providers are delivering what is intended by the initiative in terms of levels of service quality, quantity, efficiency, and effectiveness</w:t>
      </w:r>
    </w:p>
    <w:p w14:paraId="37CDB18A" w14:textId="77777777" w:rsidR="000B4BE5" w:rsidRPr="000B4BE5" w:rsidRDefault="000B4BE5" w:rsidP="00417723">
      <w:pPr>
        <w:pStyle w:val="DHHSBody0"/>
        <w:rPr>
          <w:sz w:val="21"/>
          <w:szCs w:val="21"/>
        </w:rPr>
      </w:pPr>
      <w:r w:rsidRPr="000B4BE5">
        <w:rPr>
          <w:sz w:val="21"/>
          <w:szCs w:val="21"/>
        </w:rPr>
        <w:t xml:space="preserve">The reporting cycle is biannual, reports are due by 28 February for the period encompassing 1 July to 31 December and by 30 September for the period encompassing 1 January to 30 June. Data collection and reporting will be via an excel spreadsheet provided by the department </w:t>
      </w:r>
    </w:p>
    <w:p w14:paraId="6920C83B" w14:textId="77777777" w:rsidR="000B4BE5" w:rsidRPr="000B4BE5" w:rsidRDefault="000B4BE5" w:rsidP="00417723">
      <w:pPr>
        <w:pStyle w:val="DHHSbody"/>
        <w:rPr>
          <w:color w:val="000000" w:themeColor="text1"/>
          <w:sz w:val="21"/>
          <w:szCs w:val="21"/>
        </w:rPr>
      </w:pPr>
      <w:r w:rsidRPr="000B4BE5">
        <w:rPr>
          <w:color w:val="000000" w:themeColor="text1"/>
          <w:sz w:val="21"/>
          <w:szCs w:val="21"/>
        </w:rPr>
        <w:t xml:space="preserve">The following information will be collected on an excel spreadsheet (provided by the department) for each rooming house visited, including: </w:t>
      </w:r>
    </w:p>
    <w:p w14:paraId="29AE7C1E" w14:textId="77777777" w:rsidR="000B4BE5" w:rsidRPr="000B4BE5" w:rsidRDefault="000B4BE5" w:rsidP="00417723">
      <w:pPr>
        <w:pStyle w:val="DHHSbody"/>
        <w:numPr>
          <w:ilvl w:val="0"/>
          <w:numId w:val="40"/>
        </w:numPr>
        <w:spacing w:after="60"/>
        <w:ind w:left="567" w:hanging="567"/>
        <w:rPr>
          <w:sz w:val="21"/>
          <w:szCs w:val="21"/>
        </w:rPr>
      </w:pPr>
      <w:r w:rsidRPr="000B4BE5">
        <w:rPr>
          <w:sz w:val="21"/>
          <w:szCs w:val="21"/>
        </w:rPr>
        <w:t xml:space="preserve">the registration status of the rooming house </w:t>
      </w:r>
    </w:p>
    <w:p w14:paraId="25DC47F8" w14:textId="77777777" w:rsidR="000B4BE5" w:rsidRPr="000B4BE5" w:rsidRDefault="000B4BE5" w:rsidP="00417723">
      <w:pPr>
        <w:pStyle w:val="DHHSbody"/>
        <w:numPr>
          <w:ilvl w:val="0"/>
          <w:numId w:val="40"/>
        </w:numPr>
        <w:spacing w:after="60"/>
        <w:ind w:left="567" w:hanging="567"/>
        <w:rPr>
          <w:sz w:val="21"/>
          <w:szCs w:val="21"/>
        </w:rPr>
      </w:pPr>
      <w:r w:rsidRPr="000B4BE5">
        <w:rPr>
          <w:sz w:val="21"/>
          <w:szCs w:val="21"/>
        </w:rPr>
        <w:t xml:space="preserve">the license status of the legal entity operating the rooming house and where unlicensed the status of the report to Consumer Affairs Victoria </w:t>
      </w:r>
    </w:p>
    <w:p w14:paraId="0EC1A9FF" w14:textId="77777777" w:rsidR="000B4BE5" w:rsidRPr="000B4BE5" w:rsidRDefault="000B4BE5" w:rsidP="00417723">
      <w:pPr>
        <w:pStyle w:val="DHHSbody"/>
        <w:numPr>
          <w:ilvl w:val="0"/>
          <w:numId w:val="40"/>
        </w:numPr>
        <w:spacing w:after="60"/>
        <w:ind w:left="567" w:hanging="567"/>
        <w:rPr>
          <w:sz w:val="21"/>
          <w:szCs w:val="21"/>
        </w:rPr>
      </w:pPr>
      <w:r w:rsidRPr="000B4BE5">
        <w:rPr>
          <w:sz w:val="21"/>
          <w:szCs w:val="21"/>
        </w:rPr>
        <w:t xml:space="preserve">the tenure arrangements (fixed term/periodic, shared rooms etc.) </w:t>
      </w:r>
    </w:p>
    <w:p w14:paraId="36A35841" w14:textId="77777777" w:rsidR="000B4BE5" w:rsidRPr="000B4BE5" w:rsidRDefault="000B4BE5" w:rsidP="00417723">
      <w:pPr>
        <w:pStyle w:val="DHHSbody"/>
        <w:numPr>
          <w:ilvl w:val="0"/>
          <w:numId w:val="40"/>
        </w:numPr>
        <w:spacing w:after="60"/>
        <w:ind w:left="567" w:hanging="567"/>
        <w:rPr>
          <w:sz w:val="21"/>
          <w:szCs w:val="21"/>
        </w:rPr>
      </w:pPr>
      <w:r w:rsidRPr="000B4BE5">
        <w:rPr>
          <w:sz w:val="21"/>
          <w:szCs w:val="21"/>
        </w:rPr>
        <w:t>client data for the target group including age and gender and to which organisation the client has been connected and the outcome</w:t>
      </w:r>
    </w:p>
    <w:p w14:paraId="337D8D6E" w14:textId="77777777" w:rsidR="000B4BE5" w:rsidRPr="000B4BE5" w:rsidRDefault="000B4BE5" w:rsidP="00417723">
      <w:pPr>
        <w:pStyle w:val="DHHSbody"/>
        <w:numPr>
          <w:ilvl w:val="0"/>
          <w:numId w:val="40"/>
        </w:numPr>
        <w:spacing w:after="60"/>
        <w:ind w:left="567" w:hanging="567"/>
        <w:rPr>
          <w:sz w:val="21"/>
          <w:szCs w:val="21"/>
        </w:rPr>
      </w:pPr>
      <w:r w:rsidRPr="000B4BE5">
        <w:rPr>
          <w:sz w:val="21"/>
          <w:szCs w:val="21"/>
        </w:rPr>
        <w:t xml:space="preserve">compliance by the operator with other provisions of the tenancy law </w:t>
      </w:r>
    </w:p>
    <w:p w14:paraId="72A78A4D" w14:textId="77777777" w:rsidR="000B4BE5" w:rsidRPr="000B4BE5" w:rsidRDefault="000B4BE5" w:rsidP="00417723">
      <w:pPr>
        <w:pStyle w:val="DHHSbody"/>
        <w:numPr>
          <w:ilvl w:val="0"/>
          <w:numId w:val="40"/>
        </w:numPr>
        <w:spacing w:after="60"/>
        <w:ind w:left="567" w:hanging="567"/>
        <w:rPr>
          <w:sz w:val="21"/>
          <w:szCs w:val="21"/>
        </w:rPr>
      </w:pPr>
      <w:r w:rsidRPr="000B4BE5">
        <w:rPr>
          <w:sz w:val="21"/>
          <w:szCs w:val="21"/>
        </w:rPr>
        <w:t>compliance by the operator with the legislated rooming house standards and where non-compliant the local government authority and/or Consumer Affairs Victoria to which this has been reported.</w:t>
      </w:r>
    </w:p>
    <w:p w14:paraId="4343338B" w14:textId="77777777" w:rsidR="000B4BE5" w:rsidRPr="0094384F" w:rsidRDefault="000B4BE5" w:rsidP="00417723">
      <w:pPr>
        <w:pStyle w:val="Heading1"/>
        <w:spacing w:before="0"/>
      </w:pPr>
      <w:bookmarkStart w:id="65" w:name="_Toc491441359"/>
      <w:bookmarkStart w:id="66" w:name="_Toc493086755"/>
      <w:bookmarkStart w:id="67" w:name="_Toc72143450"/>
      <w:bookmarkStart w:id="68" w:name="_Toc75531972"/>
      <w:bookmarkStart w:id="69" w:name="_Toc106987520"/>
      <w:r w:rsidRPr="0094384F">
        <w:t>Service delivery</w:t>
      </w:r>
      <w:bookmarkEnd w:id="65"/>
      <w:bookmarkEnd w:id="66"/>
      <w:bookmarkEnd w:id="67"/>
      <w:bookmarkEnd w:id="68"/>
      <w:bookmarkEnd w:id="69"/>
      <w:r w:rsidRPr="0094384F">
        <w:t xml:space="preserve"> </w:t>
      </w:r>
    </w:p>
    <w:p w14:paraId="041D212F" w14:textId="77777777" w:rsidR="000B4BE5" w:rsidRPr="000B4BE5" w:rsidRDefault="000B4BE5" w:rsidP="00417723">
      <w:pPr>
        <w:pStyle w:val="DHHSbody"/>
        <w:rPr>
          <w:sz w:val="21"/>
          <w:szCs w:val="21"/>
        </w:rPr>
      </w:pPr>
      <w:r w:rsidRPr="000B4BE5">
        <w:rPr>
          <w:sz w:val="21"/>
          <w:szCs w:val="21"/>
        </w:rPr>
        <w:t>This initiative will be delivered jointly by Tenants Victoria and Peninsula Community Legal Centre. Whilst the organisations will work in close collaboration with each other to maximise the number of visits achievable and the reach of this initiative, they will be responsible for designated areas within the greater Melbourne metropolitan area.</w:t>
      </w:r>
    </w:p>
    <w:p w14:paraId="6C8EB8B3" w14:textId="6A7AAFE4" w:rsidR="000B4BE5" w:rsidRPr="000B4BE5" w:rsidRDefault="000B4BE5" w:rsidP="00417723">
      <w:pPr>
        <w:pStyle w:val="DHHSbody"/>
        <w:rPr>
          <w:color w:val="000000" w:themeColor="text1"/>
          <w:sz w:val="21"/>
          <w:szCs w:val="21"/>
        </w:rPr>
      </w:pPr>
      <w:r w:rsidRPr="000B4BE5">
        <w:rPr>
          <w:b/>
          <w:sz w:val="21"/>
          <w:szCs w:val="21"/>
        </w:rPr>
        <w:t>Tenants Victoria</w:t>
      </w:r>
      <w:r w:rsidRPr="000B4BE5">
        <w:rPr>
          <w:sz w:val="21"/>
          <w:szCs w:val="21"/>
        </w:rPr>
        <w:t xml:space="preserve"> will provide services in the local government areas </w:t>
      </w:r>
      <w:r w:rsidR="00FA70EC" w:rsidRPr="000B4BE5">
        <w:rPr>
          <w:sz w:val="21"/>
          <w:szCs w:val="21"/>
        </w:rPr>
        <w:t>of</w:t>
      </w:r>
      <w:r w:rsidRPr="000B4BE5">
        <w:rPr>
          <w:sz w:val="21"/>
          <w:szCs w:val="21"/>
        </w:rPr>
        <w:t xml:space="preserve"> Melbourne, Yarra, Wyndham, Hobsons Bay, Brimbank, Melton, Maribyrnong, Moonee Valley, Moreland, Darebin, Hume</w:t>
      </w:r>
      <w:r w:rsidR="00723FAD">
        <w:rPr>
          <w:sz w:val="21"/>
          <w:szCs w:val="21"/>
        </w:rPr>
        <w:t>,</w:t>
      </w:r>
      <w:r w:rsidRPr="000B4BE5">
        <w:rPr>
          <w:sz w:val="21"/>
          <w:szCs w:val="21"/>
        </w:rPr>
        <w:t xml:space="preserve"> </w:t>
      </w:r>
      <w:r w:rsidRPr="000B4BE5">
        <w:rPr>
          <w:color w:val="000000" w:themeColor="text1"/>
          <w:sz w:val="21"/>
          <w:szCs w:val="21"/>
        </w:rPr>
        <w:t xml:space="preserve">Whittlesea, Nillumbik and Banyule. </w:t>
      </w:r>
    </w:p>
    <w:p w14:paraId="2D417B23" w14:textId="77777777" w:rsidR="000B4BE5" w:rsidRPr="000B4BE5" w:rsidRDefault="000B4BE5" w:rsidP="00417723">
      <w:pPr>
        <w:pStyle w:val="DHHSbody"/>
        <w:rPr>
          <w:sz w:val="21"/>
          <w:szCs w:val="21"/>
        </w:rPr>
      </w:pPr>
      <w:r w:rsidRPr="000B4BE5">
        <w:rPr>
          <w:b/>
          <w:sz w:val="21"/>
          <w:szCs w:val="21"/>
        </w:rPr>
        <w:t>Peninsula Community Legal Centre</w:t>
      </w:r>
      <w:r w:rsidRPr="000B4BE5">
        <w:rPr>
          <w:sz w:val="21"/>
          <w:szCs w:val="21"/>
        </w:rPr>
        <w:t xml:space="preserve"> </w:t>
      </w:r>
      <w:bookmarkStart w:id="70" w:name="_Toc476822374"/>
      <w:bookmarkStart w:id="71" w:name="_Toc487651806"/>
      <w:bookmarkStart w:id="72" w:name="_Toc491441360"/>
      <w:bookmarkStart w:id="73" w:name="_Toc493086756"/>
      <w:r w:rsidRPr="000B4BE5">
        <w:rPr>
          <w:sz w:val="21"/>
          <w:szCs w:val="21"/>
        </w:rPr>
        <w:t xml:space="preserve">will provide services in the local government areas of: Bayside Port Phillip Glen Eira, Kingston, Frankston, Mornington Peninsula, Greater Dandenong, </w:t>
      </w:r>
      <w:r w:rsidRPr="000B4BE5">
        <w:rPr>
          <w:sz w:val="21"/>
          <w:szCs w:val="21"/>
        </w:rPr>
        <w:lastRenderedPageBreak/>
        <w:t xml:space="preserve">Casey, Cardinia, Knox, Monash, Whitehorse, Maroondah, Manningham, Yarra Ranges, Boroondara and Stonington. </w:t>
      </w:r>
    </w:p>
    <w:p w14:paraId="456C2509" w14:textId="77777777" w:rsidR="000B4BE5" w:rsidRPr="0094384F" w:rsidRDefault="000B4BE5" w:rsidP="00417723">
      <w:pPr>
        <w:pStyle w:val="Heading1"/>
        <w:spacing w:before="0"/>
      </w:pPr>
      <w:bookmarkStart w:id="74" w:name="_Toc72143451"/>
      <w:bookmarkStart w:id="75" w:name="_Toc75531973"/>
      <w:bookmarkStart w:id="76" w:name="_Toc106987521"/>
      <w:r w:rsidRPr="0094384F">
        <w:t xml:space="preserve">Programs/initiatives that can be accessed to assist </w:t>
      </w:r>
      <w:bookmarkEnd w:id="70"/>
      <w:bookmarkEnd w:id="71"/>
      <w:r w:rsidRPr="0094384F">
        <w:t>rooming house residents</w:t>
      </w:r>
      <w:bookmarkEnd w:id="72"/>
      <w:bookmarkEnd w:id="73"/>
      <w:bookmarkEnd w:id="74"/>
      <w:bookmarkEnd w:id="75"/>
      <w:bookmarkEnd w:id="76"/>
    </w:p>
    <w:p w14:paraId="2A670D23" w14:textId="77777777" w:rsidR="000B4BE5" w:rsidRPr="00EB2FF4" w:rsidRDefault="000B4BE5" w:rsidP="00417723">
      <w:pPr>
        <w:pStyle w:val="Heading2"/>
      </w:pPr>
      <w:bookmarkStart w:id="77" w:name="_Toc476822377"/>
      <w:bookmarkStart w:id="78" w:name="_Toc487651809"/>
      <w:bookmarkStart w:id="79" w:name="_Toc493086758"/>
      <w:bookmarkStart w:id="80" w:name="_Toc72143453"/>
      <w:bookmarkStart w:id="81" w:name="_Toc75531975"/>
      <w:bookmarkStart w:id="82" w:name="_Toc106987522"/>
      <w:bookmarkStart w:id="83" w:name="_Toc64023017"/>
      <w:r w:rsidRPr="00EB2FF4">
        <w:t>Orange Door - Support and Safety Hubs</w:t>
      </w:r>
      <w:bookmarkEnd w:id="77"/>
      <w:bookmarkEnd w:id="78"/>
      <w:bookmarkEnd w:id="79"/>
      <w:bookmarkEnd w:id="80"/>
      <w:bookmarkEnd w:id="81"/>
      <w:bookmarkEnd w:id="82"/>
    </w:p>
    <w:p w14:paraId="06C448E2" w14:textId="18A7E48D" w:rsidR="00EB12DE" w:rsidRDefault="000B4BE5" w:rsidP="00417723">
      <w:pPr>
        <w:pStyle w:val="DHHSBody0"/>
        <w:rPr>
          <w:sz w:val="21"/>
          <w:szCs w:val="21"/>
        </w:rPr>
      </w:pPr>
      <w:r w:rsidRPr="000B4BE5">
        <w:rPr>
          <w:sz w:val="21"/>
          <w:szCs w:val="21"/>
        </w:rPr>
        <w:t>Orange Door Support and Safety Hubs have been established in</w:t>
      </w:r>
      <w:r w:rsidR="008F32FA">
        <w:rPr>
          <w:sz w:val="21"/>
          <w:szCs w:val="21"/>
        </w:rPr>
        <w:t xml:space="preserve"> various locations throughout Victoria see </w:t>
      </w:r>
      <w:hyperlink r:id="rId24" w:history="1">
        <w:r w:rsidR="009B3479" w:rsidRPr="009B3479">
          <w:rPr>
            <w:rStyle w:val="Hyperlink"/>
            <w:sz w:val="21"/>
            <w:szCs w:val="21"/>
          </w:rPr>
          <w:t>Orange door locations</w:t>
        </w:r>
      </w:hyperlink>
      <w:r w:rsidR="00EB12DE">
        <w:rPr>
          <w:sz w:val="21"/>
          <w:szCs w:val="21"/>
        </w:rPr>
        <w:t xml:space="preserve"> &lt;</w:t>
      </w:r>
      <w:r w:rsidR="00EB12DE" w:rsidRPr="00EB12DE">
        <w:rPr>
          <w:sz w:val="21"/>
          <w:szCs w:val="21"/>
        </w:rPr>
        <w:t>https://orangedoor.vic.gov.au/find-a-service-near-you</w:t>
      </w:r>
      <w:r w:rsidR="00EB12DE">
        <w:rPr>
          <w:sz w:val="21"/>
          <w:szCs w:val="21"/>
        </w:rPr>
        <w:t>&gt;</w:t>
      </w:r>
      <w:r w:rsidRPr="000B4BE5">
        <w:rPr>
          <w:sz w:val="21"/>
          <w:szCs w:val="21"/>
        </w:rPr>
        <w:t xml:space="preserve">. </w:t>
      </w:r>
    </w:p>
    <w:p w14:paraId="4E6FD214" w14:textId="457A7AC2" w:rsidR="000B4BE5" w:rsidRPr="000B4BE5" w:rsidRDefault="000B4BE5" w:rsidP="00417723">
      <w:pPr>
        <w:pStyle w:val="DHHSBody0"/>
        <w:rPr>
          <w:sz w:val="21"/>
          <w:szCs w:val="21"/>
        </w:rPr>
      </w:pPr>
      <w:r w:rsidRPr="000B4BE5">
        <w:rPr>
          <w:sz w:val="21"/>
          <w:szCs w:val="21"/>
        </w:rPr>
        <w:t>Orange Door is a free service for adults, children and young people who are experiencing or have experienced family violence and families who need extra support with the care of children. </w:t>
      </w:r>
    </w:p>
    <w:p w14:paraId="32DB255B" w14:textId="77777777" w:rsidR="000B4BE5" w:rsidRPr="000B4BE5" w:rsidRDefault="000B4BE5" w:rsidP="00417723">
      <w:pPr>
        <w:pStyle w:val="DHHSBody0"/>
        <w:rPr>
          <w:sz w:val="21"/>
          <w:szCs w:val="21"/>
        </w:rPr>
      </w:pPr>
      <w:r w:rsidRPr="000B4BE5">
        <w:rPr>
          <w:sz w:val="21"/>
          <w:szCs w:val="21"/>
        </w:rPr>
        <w:t>Clients will be eligible for Orange Door services If</w:t>
      </w:r>
    </w:p>
    <w:p w14:paraId="1C34D09A" w14:textId="77777777" w:rsidR="000B4BE5" w:rsidRPr="000B4BE5" w:rsidRDefault="000B4BE5" w:rsidP="00417723">
      <w:pPr>
        <w:pStyle w:val="DHHSBody0"/>
        <w:numPr>
          <w:ilvl w:val="0"/>
          <w:numId w:val="42"/>
        </w:numPr>
        <w:spacing w:after="60"/>
        <w:rPr>
          <w:sz w:val="21"/>
          <w:szCs w:val="21"/>
        </w:rPr>
      </w:pPr>
      <w:r w:rsidRPr="000B4BE5">
        <w:rPr>
          <w:sz w:val="21"/>
          <w:szCs w:val="21"/>
        </w:rPr>
        <w:t>someone close to you is hurting you, controlling you or making you feel afraid – such as your partner, family member, carer or parent(s)</w:t>
      </w:r>
    </w:p>
    <w:p w14:paraId="313374CB" w14:textId="77777777" w:rsidR="000B4BE5" w:rsidRPr="000B4BE5" w:rsidRDefault="000B4BE5" w:rsidP="00417723">
      <w:pPr>
        <w:pStyle w:val="DHHSBody0"/>
        <w:numPr>
          <w:ilvl w:val="0"/>
          <w:numId w:val="42"/>
        </w:numPr>
        <w:spacing w:after="60"/>
        <w:rPr>
          <w:sz w:val="21"/>
          <w:szCs w:val="21"/>
        </w:rPr>
      </w:pPr>
      <w:r w:rsidRPr="000B4BE5">
        <w:rPr>
          <w:sz w:val="21"/>
          <w:szCs w:val="21"/>
        </w:rPr>
        <w:t>they are a child or young person who doesn’t have what you need to be OK </w:t>
      </w:r>
    </w:p>
    <w:p w14:paraId="1E146936" w14:textId="77777777" w:rsidR="000B4BE5" w:rsidRPr="000B4BE5" w:rsidRDefault="000B4BE5" w:rsidP="00417723">
      <w:pPr>
        <w:pStyle w:val="DHHSBody0"/>
        <w:numPr>
          <w:ilvl w:val="0"/>
          <w:numId w:val="42"/>
        </w:numPr>
        <w:spacing w:after="60"/>
        <w:rPr>
          <w:sz w:val="21"/>
          <w:szCs w:val="21"/>
        </w:rPr>
      </w:pPr>
      <w:r w:rsidRPr="000B4BE5">
        <w:rPr>
          <w:sz w:val="21"/>
          <w:szCs w:val="21"/>
        </w:rPr>
        <w:t>they are worried about the safety of a friend or family member</w:t>
      </w:r>
    </w:p>
    <w:p w14:paraId="101511D0" w14:textId="77777777" w:rsidR="000B4BE5" w:rsidRPr="000B4BE5" w:rsidRDefault="000B4BE5" w:rsidP="00417723">
      <w:pPr>
        <w:pStyle w:val="DHHSBody0"/>
        <w:numPr>
          <w:ilvl w:val="0"/>
          <w:numId w:val="42"/>
        </w:numPr>
        <w:spacing w:after="60"/>
        <w:rPr>
          <w:sz w:val="21"/>
          <w:szCs w:val="21"/>
        </w:rPr>
      </w:pPr>
      <w:r w:rsidRPr="000B4BE5">
        <w:rPr>
          <w:sz w:val="21"/>
          <w:szCs w:val="21"/>
        </w:rPr>
        <w:t>they need more support with the care of children, e.g. due to money issues, illness, addiction, grief, isolation or conflict </w:t>
      </w:r>
    </w:p>
    <w:p w14:paraId="13592032" w14:textId="77777777" w:rsidR="000B4BE5" w:rsidRPr="000B4BE5" w:rsidRDefault="000B4BE5" w:rsidP="00417723">
      <w:pPr>
        <w:pStyle w:val="DHHSBody0"/>
        <w:numPr>
          <w:ilvl w:val="0"/>
          <w:numId w:val="42"/>
        </w:numPr>
        <w:spacing w:after="60"/>
        <w:rPr>
          <w:sz w:val="21"/>
          <w:szCs w:val="21"/>
        </w:rPr>
      </w:pPr>
      <w:r w:rsidRPr="000B4BE5">
        <w:rPr>
          <w:sz w:val="21"/>
          <w:szCs w:val="21"/>
        </w:rPr>
        <w:t>they are worried about the safety of a child or young person</w:t>
      </w:r>
    </w:p>
    <w:p w14:paraId="5D34EA84" w14:textId="77777777" w:rsidR="000B4BE5" w:rsidRPr="000B4BE5" w:rsidRDefault="000B4BE5" w:rsidP="00417723">
      <w:pPr>
        <w:pStyle w:val="DHHSBody0"/>
        <w:numPr>
          <w:ilvl w:val="0"/>
          <w:numId w:val="42"/>
        </w:numPr>
        <w:rPr>
          <w:sz w:val="21"/>
          <w:szCs w:val="21"/>
        </w:rPr>
      </w:pPr>
      <w:r w:rsidRPr="000B4BE5">
        <w:rPr>
          <w:sz w:val="21"/>
          <w:szCs w:val="21"/>
        </w:rPr>
        <w:t>you need help to change your behaviour and stop using violence in your relationships</w:t>
      </w:r>
    </w:p>
    <w:p w14:paraId="5215A750" w14:textId="77777777" w:rsidR="000B4BE5" w:rsidRPr="00EB2FF4" w:rsidRDefault="000B4BE5" w:rsidP="00417723">
      <w:pPr>
        <w:pStyle w:val="Heading2"/>
      </w:pPr>
      <w:bookmarkStart w:id="84" w:name="_Toc487651811"/>
      <w:bookmarkStart w:id="85" w:name="_Toc493086759"/>
      <w:bookmarkStart w:id="86" w:name="_Toc72143454"/>
      <w:bookmarkStart w:id="87" w:name="_Toc75531976"/>
      <w:bookmarkStart w:id="88" w:name="_Toc106987523"/>
      <w:r w:rsidRPr="00EB2FF4">
        <w:t>Housing First</w:t>
      </w:r>
      <w:bookmarkEnd w:id="84"/>
      <w:bookmarkEnd w:id="85"/>
      <w:bookmarkEnd w:id="86"/>
      <w:bookmarkEnd w:id="87"/>
      <w:bookmarkEnd w:id="88"/>
      <w:r w:rsidRPr="00EB2FF4">
        <w:t xml:space="preserve"> </w:t>
      </w:r>
    </w:p>
    <w:p w14:paraId="23C08E57" w14:textId="34845CE8" w:rsidR="000B4BE5" w:rsidRPr="000B4BE5" w:rsidRDefault="000B4BE5" w:rsidP="00417723">
      <w:pPr>
        <w:pStyle w:val="DHHSBody0"/>
        <w:rPr>
          <w:sz w:val="21"/>
          <w:szCs w:val="21"/>
          <w:lang w:eastAsia="en-AU"/>
        </w:rPr>
      </w:pPr>
      <w:r w:rsidRPr="000B4BE5">
        <w:rPr>
          <w:sz w:val="21"/>
          <w:szCs w:val="21"/>
          <w:lang w:eastAsia="en-AU"/>
        </w:rPr>
        <w:t xml:space="preserve">Housing First is a homeless assistance approach that prioritises providing permanent housing to people experiencing homelessness; this assistance will be continued by the original support provider for up to a 14-month period.  Housing First ends homelessness and provides as a platform from which clients can pursue personal goals and improve their quality of life. </w:t>
      </w:r>
    </w:p>
    <w:p w14:paraId="2D217720" w14:textId="77777777" w:rsidR="000B4BE5" w:rsidRPr="00EB2FF4" w:rsidRDefault="000B4BE5" w:rsidP="00417723">
      <w:pPr>
        <w:pStyle w:val="Heading2"/>
      </w:pPr>
      <w:bookmarkStart w:id="89" w:name="_Toc487651812"/>
      <w:bookmarkStart w:id="90" w:name="_Toc493086760"/>
      <w:bookmarkStart w:id="91" w:name="_Toc72143455"/>
      <w:bookmarkStart w:id="92" w:name="_Toc75531977"/>
      <w:bookmarkStart w:id="93" w:name="_Toc106987524"/>
      <w:r w:rsidRPr="00EB2FF4">
        <w:t>The Multiple and Complex Needs Initiative</w:t>
      </w:r>
      <w:bookmarkEnd w:id="89"/>
      <w:bookmarkEnd w:id="90"/>
      <w:bookmarkEnd w:id="91"/>
      <w:bookmarkEnd w:id="92"/>
      <w:bookmarkEnd w:id="93"/>
    </w:p>
    <w:p w14:paraId="77E3C018" w14:textId="08B2D20D" w:rsidR="000B4BE5" w:rsidRPr="000B4BE5" w:rsidRDefault="000B4BE5" w:rsidP="00417723">
      <w:pPr>
        <w:pStyle w:val="NormalWeb"/>
        <w:shd w:val="clear" w:color="auto" w:fill="FFFFFF"/>
        <w:rPr>
          <w:rFonts w:ascii="Arial" w:hAnsi="Arial" w:cs="Arial"/>
          <w:sz w:val="21"/>
          <w:szCs w:val="21"/>
        </w:rPr>
      </w:pPr>
      <w:r w:rsidRPr="000B4BE5">
        <w:rPr>
          <w:rFonts w:ascii="Arial" w:hAnsi="Arial" w:cs="Arial"/>
          <w:sz w:val="21"/>
          <w:szCs w:val="21"/>
        </w:rPr>
        <w:t xml:space="preserve">The </w:t>
      </w:r>
      <w:hyperlink r:id="rId25" w:history="1">
        <w:r w:rsidRPr="000B4BE5">
          <w:rPr>
            <w:rStyle w:val="Hyperlink"/>
            <w:rFonts w:ascii="Arial" w:hAnsi="Arial" w:cs="Arial"/>
            <w:sz w:val="21"/>
            <w:szCs w:val="21"/>
          </w:rPr>
          <w:t>Multiple and Complex Needs Initiative</w:t>
        </w:r>
      </w:hyperlink>
      <w:r w:rsidRPr="000B4BE5">
        <w:rPr>
          <w:rFonts w:ascii="Arial" w:hAnsi="Arial" w:cs="Arial"/>
          <w:sz w:val="21"/>
          <w:szCs w:val="21"/>
        </w:rPr>
        <w:t xml:space="preserve"> </w:t>
      </w:r>
      <w:r w:rsidR="00EB12DE">
        <w:rPr>
          <w:rFonts w:ascii="Arial" w:hAnsi="Arial" w:cs="Arial"/>
          <w:sz w:val="21"/>
          <w:szCs w:val="21"/>
        </w:rPr>
        <w:t>&lt;</w:t>
      </w:r>
      <w:r w:rsidR="0019585C" w:rsidRPr="000A71AB" w:rsidDel="0019585C">
        <w:rPr>
          <w:rFonts w:ascii="Arial" w:hAnsi="Arial" w:cs="Arial"/>
          <w:sz w:val="21"/>
          <w:szCs w:val="21"/>
        </w:rPr>
        <w:t xml:space="preserve"> </w:t>
      </w:r>
      <w:r w:rsidR="009B3479" w:rsidRPr="009B3479">
        <w:rPr>
          <w:rFonts w:ascii="Arial" w:hAnsi="Arial" w:cs="Arial"/>
          <w:sz w:val="21"/>
          <w:szCs w:val="21"/>
        </w:rPr>
        <w:t xml:space="preserve">https://providers.dffh.vic.gov.au/complex-needs-services </w:t>
      </w:r>
      <w:r w:rsidR="00EB12DE">
        <w:rPr>
          <w:rFonts w:ascii="Arial" w:hAnsi="Arial" w:cs="Arial"/>
          <w:sz w:val="21"/>
          <w:szCs w:val="21"/>
        </w:rPr>
        <w:t xml:space="preserve">&gt; </w:t>
      </w:r>
      <w:r w:rsidRPr="000B4BE5">
        <w:rPr>
          <w:rFonts w:ascii="Arial" w:hAnsi="Arial" w:cs="Arial"/>
          <w:sz w:val="21"/>
          <w:szCs w:val="21"/>
        </w:rPr>
        <w:t>(MACNI) provides a time-limited service response for people aged 16 years of age and older who have multiple and complex needs.</w:t>
      </w:r>
    </w:p>
    <w:p w14:paraId="774D3EC5" w14:textId="77777777" w:rsidR="000B4BE5" w:rsidRPr="000B4BE5" w:rsidRDefault="000B4BE5" w:rsidP="00417723">
      <w:pPr>
        <w:pStyle w:val="NormalWeb"/>
        <w:shd w:val="clear" w:color="auto" w:fill="FFFFFF"/>
        <w:rPr>
          <w:rFonts w:ascii="Arial" w:hAnsi="Arial" w:cs="Arial"/>
          <w:sz w:val="21"/>
          <w:szCs w:val="21"/>
        </w:rPr>
      </w:pPr>
      <w:r w:rsidRPr="000B4BE5">
        <w:rPr>
          <w:rFonts w:ascii="Arial" w:hAnsi="Arial" w:cs="Arial"/>
          <w:sz w:val="21"/>
          <w:szCs w:val="21"/>
        </w:rPr>
        <w:t>Through MACNI each eligible person has a personalised care plan developed to address the person’s needs and goals. The care plan aims for stabile housing, health, wellbeing and safety, and increased social connectedness.</w:t>
      </w:r>
    </w:p>
    <w:p w14:paraId="696DF4B0" w14:textId="77777777" w:rsidR="000B4BE5" w:rsidRPr="000B4BE5" w:rsidRDefault="000B4BE5" w:rsidP="00417723">
      <w:pPr>
        <w:pStyle w:val="NormalWeb"/>
        <w:shd w:val="clear" w:color="auto" w:fill="FFFFFF"/>
        <w:rPr>
          <w:rFonts w:ascii="Arial" w:hAnsi="Arial" w:cs="Arial"/>
          <w:sz w:val="21"/>
          <w:szCs w:val="21"/>
        </w:rPr>
      </w:pPr>
      <w:r w:rsidRPr="000B4BE5">
        <w:rPr>
          <w:rFonts w:ascii="Arial" w:hAnsi="Arial" w:cs="Arial"/>
          <w:sz w:val="21"/>
          <w:szCs w:val="21"/>
        </w:rPr>
        <w:t>A care plan coordinator is appointed to support the care plan’s implementation and monitoring.</w:t>
      </w:r>
    </w:p>
    <w:p w14:paraId="49F0BE5C" w14:textId="7092A731" w:rsidR="00EB4BC7" w:rsidRDefault="000B4BE5" w:rsidP="00417723">
      <w:pPr>
        <w:pStyle w:val="Quotetext"/>
        <w:ind w:left="0"/>
      </w:pPr>
      <w:r w:rsidRPr="000B4BE5">
        <w:rPr>
          <w:rFonts w:cs="Arial"/>
          <w:szCs w:val="21"/>
        </w:rPr>
        <w:t>Participation in MACNI services is voluntary. A person can decide to discontinue these services at any time</w:t>
      </w:r>
      <w:r w:rsidRPr="000B4BE5">
        <w:rPr>
          <w:rFonts w:cs="Arial"/>
          <w:color w:val="0A0A0A"/>
          <w:szCs w:val="21"/>
        </w:rPr>
        <w:t xml:space="preserve">. </w:t>
      </w:r>
      <w:bookmarkEnd w:id="83"/>
    </w:p>
    <w:sectPr w:rsidR="00EB4BC7" w:rsidSect="003B2F26">
      <w:headerReference w:type="even" r:id="rId26"/>
      <w:headerReference w:type="default" r:id="rId27"/>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5C43" w14:textId="77777777" w:rsidR="001A663B" w:rsidRDefault="001A663B">
      <w:r>
        <w:separator/>
      </w:r>
    </w:p>
    <w:p w14:paraId="36362612" w14:textId="77777777" w:rsidR="001A663B" w:rsidRDefault="001A663B"/>
  </w:endnote>
  <w:endnote w:type="continuationSeparator" w:id="0">
    <w:p w14:paraId="21690BE8" w14:textId="77777777" w:rsidR="001A663B" w:rsidRDefault="001A663B">
      <w:r>
        <w:continuationSeparator/>
      </w:r>
    </w:p>
    <w:p w14:paraId="55FA76C2" w14:textId="77777777" w:rsidR="001A663B" w:rsidRDefault="001A6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F78D" w14:textId="7C1FC861" w:rsidR="008F6487" w:rsidRDefault="008F6487">
    <w:pPr>
      <w:pStyle w:val="Footer"/>
    </w:pPr>
    <w:r>
      <w:rPr>
        <w:noProof/>
      </w:rPr>
      <mc:AlternateContent>
        <mc:Choice Requires="wps">
          <w:drawing>
            <wp:anchor distT="0" distB="0" distL="114300" distR="114300" simplePos="1" relativeHeight="251660288" behindDoc="0" locked="0" layoutInCell="0" allowOverlap="1" wp14:anchorId="6A57230D" wp14:editId="42A0CA4D">
              <wp:simplePos x="0" y="10189687"/>
              <wp:positionH relativeFrom="page">
                <wp:posOffset>0</wp:posOffset>
              </wp:positionH>
              <wp:positionV relativeFrom="page">
                <wp:posOffset>10189210</wp:posOffset>
              </wp:positionV>
              <wp:extent cx="7560310" cy="311785"/>
              <wp:effectExtent l="0" t="0" r="0" b="12065"/>
              <wp:wrapNone/>
              <wp:docPr id="13" name="MSIPCM2eb3493dba91be83a2cc3d6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D4076" w14:textId="2A761325"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57230D" id="_x0000_t202" coordsize="21600,21600" o:spt="202" path="m,l,21600r21600,l21600,xe">
              <v:stroke joinstyle="miter"/>
              <v:path gradientshapeok="t" o:connecttype="rect"/>
            </v:shapetype>
            <v:shape id="MSIPCM2eb3493dba91be83a2cc3d64"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QQsAIAAEkFAAAOAAAAZHJzL2Uyb0RvYy54bWysVEtv2zAMvg/YfxB02Gmr7ThJk6xOkaXL&#10;ViBtA6RDz7IkxwZsUZWUxN2w/z7Kj7Trdhp2kSl+NB8fSV1c1lVJDtLYAlRCo7OQEqk4iELtEvrt&#10;fvVhQol1TAlWgpIJfZKWXs7fvrk46pkcQA6lkIagE2VnR53Q3Dk9CwLLc1kxewZaKgQzMBVzeDW7&#10;QBh2RO9VGQzCcBwcwQhtgEtrUXvVgnTe+M8yyd1dllnpSJlQzM01p2nO1J/B/ILNdobpvOBdGuwf&#10;sqhYoTDoydUVc4zsTfGHq6rgBixk7oxDFUCWFVw2NWA1Ufiqmm3OtGxqQXKsPtFk/59bfnvYGFII&#10;7F1MiWIV9uhme71Z3gxkGg+nsUjZNErlJGYDzmMxHlIipOVI4Y93j3twH78ymy9ByPY2m4bD89Ek&#10;HkfvO1gWu9x14GSIE9IBD4VweacfTUcn/aZkXFZS9f+0JisAJ00rdw6ulZB156D93AmxUOLzQarf&#10;DLc4BTienWmf2D3oThOeYq9l1odF5U8/HUdtZ0jSViNNrv4ENTLV6y0qfdPrzFT+i+0kiOOcPZ1m&#10;S9aOcFSej8ZhHCHEEYuj6Hwy8m6C57+1se6LhIp4IaEGs25Gih3W1rWmvYkPpmBVlGUzv6Uix4SO&#10;41HY/HBC0HmpMIavoc3VS65O666wFMQT1mWg3Qur+arA4Gtm3YYZXATMF5fb3eGRlYBBoJMoycF8&#10;/5ve2+N8IkrJERcrofZxz4ykpLxWOLnTaDj0m9hcUDAvtWmvVftqCbizET4fmjeit3VlL2YGqgfc&#10;/YWPhhBTHGMmNO3FpcMbAvh2cLlYNDLunGZurbaae9eeRk/pff3AjO54d9ixW+hXj81e0d/atg1Y&#10;7B1kRdMbT2zLZsc37mvT3e5t8Q/Cy3tj9fwCzn8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erhBCwAgAASQUAAA4A&#10;AAAAAAAAAAAAAAAALgIAAGRycy9lMm9Eb2MueG1sUEsBAi0AFAAGAAgAAAAhAEgNXprfAAAACwEA&#10;AA8AAAAAAAAAAAAAAAAACgUAAGRycy9kb3ducmV2LnhtbFBLBQYAAAAABAAEAPMAAAAWBgAAAAA=&#10;" o:allowincell="f" filled="f" stroked="f" strokeweight=".5pt">
              <v:textbox inset=",0,,0">
                <w:txbxContent>
                  <w:p w14:paraId="174D4076" w14:textId="2A761325"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EA94" w14:textId="3B9D9564" w:rsidR="008F6487" w:rsidRDefault="008F6487">
    <w:pPr>
      <w:pStyle w:val="Footer"/>
    </w:pPr>
    <w:r>
      <w:rPr>
        <w:noProof/>
      </w:rPr>
      <mc:AlternateContent>
        <mc:Choice Requires="wps">
          <w:drawing>
            <wp:anchor distT="0" distB="0" distL="114300" distR="114300" simplePos="0" relativeHeight="251659264" behindDoc="0" locked="0" layoutInCell="0" allowOverlap="1" wp14:anchorId="2778FD63" wp14:editId="6ED7F8E4">
              <wp:simplePos x="0" y="0"/>
              <wp:positionH relativeFrom="page">
                <wp:posOffset>0</wp:posOffset>
              </wp:positionH>
              <wp:positionV relativeFrom="page">
                <wp:posOffset>10189210</wp:posOffset>
              </wp:positionV>
              <wp:extent cx="7560310" cy="311785"/>
              <wp:effectExtent l="0" t="0" r="0" b="12065"/>
              <wp:wrapNone/>
              <wp:docPr id="10" name="MSIPCMe99e4217bb0f45e883a8449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B190" w14:textId="3E79701E"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FD63" id="_x0000_t202" coordsize="21600,21600" o:spt="202" path="m,l,21600r21600,l21600,xe">
              <v:stroke joinstyle="miter"/>
              <v:path gradientshapeok="t" o:connecttype="rect"/>
            </v:shapetype>
            <v:shape id="MSIPCMe99e4217bb0f45e883a8449b"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sfsQIAAE0FAAAOAAAAZHJzL2Uyb0RvYy54bWysVE1v2zAMvQ/YfxB02Gmr7cZJHK9OkaXI&#10;WiBtA6RDz7IsxwZsUZWUxtmw/z7KH2nX7TTsIlMk/Ug+krq4bOqKPAttSpAJDc58SoTkkJVyl9Bv&#10;D6tPESXGMpmxCqRI6FEYejl//+7ioGJxDgVUmdAEQaSJDyqhhbUq9jzDC1EzcwZKSDTmoGtm8ap3&#10;XqbZAdHryjv3/Yl3AJ0pDVwYg9qrzkjnLX6eC27v89wIS6qEYm62PXV7pu705hcs3mmmipL3abB/&#10;yKJmpcSgJ6grZhnZ6/IPqLrkGgzk9oxD7UGel1y0NWA1gf+mmm3BlGhrQXKMOtFk/h8sv3veaFJm&#10;2DukR7Iae3S7vdksb8VsJsLzYJqmfh6ORRSNWBSGs5SSTBiOFP748LQH+/mamWIJmehu8cwPp+No&#10;NAk+9mZR7grbG6MQJ6Q3PJaZLXr9eDY+6TcV46IWcvinc1kBWKE7uQe4kZloeoDus9FlzfTxN68t&#10;jgDOZu83ZPUAqtf4p8BrkQ8xUfnTjcZBmRgZ2irkyDZfoEGaBr1Bpet4k+vafbGXBO3I4vE0WKKx&#10;hKNyOp74I0cwR9soCKbR2MF4L38rbexXATVxQkI1Zt3OE3teG9u5Di4umIRVWVXt8FaSHBI6GY39&#10;9oeTBcEriTFcDV2uTrJN2nTtHupIITtieRq63TCKr0rMYc2M3TCNy4Bp44LbezzyCjAW9BIlBejv&#10;f9M7f5xRtFJywOVKqHnaMy0oqW4kTu8sCEOEte0FBf1amw5aua+XgHsb4BOieCs6X1sNYq6hfsT9&#10;X7hoaGKSY8yE4ox24tLiDQ34fnCxWLQy7p1idi23ijtox6Zj9qF5ZFr19Fts3B0M68fiN13ofLs+&#10;LPYW8rJtkeO3Y7OnHXe2bXL/vrhH4fW99Xp5Bee/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YYFsfsQIAAE0FAAAO&#10;AAAAAAAAAAAAAAAAAC4CAABkcnMvZTJvRG9jLnhtbFBLAQItABQABgAIAAAAIQBIDV6a3wAAAAsB&#10;AAAPAAAAAAAAAAAAAAAAAAsFAABkcnMvZG93bnJldi54bWxQSwUGAAAAAAQABADzAAAAFwYAAAAA&#10;" o:allowincell="f" filled="f" stroked="f" strokeweight=".5pt">
              <v:textbox inset=",0,,0">
                <w:txbxContent>
                  <w:p w14:paraId="2332B190" w14:textId="3E79701E"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01DF" w14:textId="77777777" w:rsidR="00D9050D" w:rsidRDefault="00D905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7F7" w14:textId="07DAB943" w:rsidR="00D63636" w:rsidRDefault="008F6487">
    <w:pPr>
      <w:pStyle w:val="Footer"/>
    </w:pPr>
    <w:r>
      <w:rPr>
        <w:noProof/>
      </w:rPr>
      <mc:AlternateContent>
        <mc:Choice Requires="wps">
          <w:drawing>
            <wp:anchor distT="0" distB="0" distL="114300" distR="114300" simplePos="0" relativeHeight="251662336" behindDoc="0" locked="0" layoutInCell="0" allowOverlap="1" wp14:anchorId="6D01E5A0" wp14:editId="1A5B6F3E">
              <wp:simplePos x="0" y="0"/>
              <wp:positionH relativeFrom="page">
                <wp:posOffset>0</wp:posOffset>
              </wp:positionH>
              <wp:positionV relativeFrom="page">
                <wp:posOffset>10189210</wp:posOffset>
              </wp:positionV>
              <wp:extent cx="7560310" cy="311785"/>
              <wp:effectExtent l="0" t="0" r="0" b="12065"/>
              <wp:wrapNone/>
              <wp:docPr id="17" name="MSIPCM5fda4dd191058ae9d69dbaab"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6B35D" w14:textId="1D573C04"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1E5A0" id="_x0000_t202" coordsize="21600,21600" o:spt="202" path="m,l,21600r21600,l21600,xe">
              <v:stroke joinstyle="miter"/>
              <v:path gradientshapeok="t" o:connecttype="rect"/>
            </v:shapetype>
            <v:shape id="MSIPCM5fda4dd191058ae9d69dbaab"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CrswIAAFAFAAAOAAAAZHJzL2Uyb0RvYy54bWysVEtv2zAMvg/YfxB02Gmr7STOa3WKLF22&#10;AmkbIB16ViQ5NmCLqqQkzob991F+pF2307CLRPGj+CYvr6qyIAdpbA4qodFFSIlUHESudgn99rD8&#10;MKbEOqYEK0DJhJ6kpVezt28uj3oqe5BBIaQhqETZ6VEnNHNOT4PA8kyWzF6AlgrBFEzJHD7NLhCG&#10;HVF7WQS9MBwGRzBCG+DSWuReNyCd1frTVHJ3n6ZWOlIkFH1z9Wnqc+vPYHbJpjvDdJbz1g32D16U&#10;LFdo9KzqmjlG9ib/Q1WZcwMWUnfBoQwgTXMu6xgwmih8Fc0mY1rWsWByrD6nyf4/tfzusDYkF1i7&#10;ESWKlVij283NenEbp4INhIgmURiPmZyI4URsGdtSIqTlmMIf75724D5+ZTZbgJDNazoJB6N43B9G&#10;71tY5rvMteB4gB3SAo+5cFnLjyfxmb8uGJelVN2fRmQJ4KRp6FbBjRKyahU0170QcyU+H6T6TXCD&#10;XYDt2Yr22u8PoFtOeLa9kmlnFpk/fXcctZ1ikjYa0+SqT1Bhpjq+RaYvepWa0t9YToI49tnp3Fuy&#10;coQjcxQPw36EEEesH0WjcezVBM+/tbHui4SSeCKhBr2uW4odVtY1op2IN6ZgmRdF3b+FIseEDvtx&#10;WH84I6i8UGjDx9D46ilXbau64r0uji2IE4ZnoBkPq/kyRx9WzLo1MzgP6DbOuLvHIy0AbUFLUZKB&#10;+f43vpfHNkWUkiPOV0Lt054ZSUlxo7CBJ9Fg4AeyfiBhXnK3HVftywXg6Ea4RTSvSS/rio5MDZSP&#10;uALm3hpCTHG0mVBs04ZcOHwhgCuEy/m8pnH0NHMrtdHcq/bZ9Jl9qB6Z0W36HRbuDroJZNNXVWhk&#10;mzrM9w7SvC6Rz2+TzTbtOLZ1kdsV4/fCy3ct9bwIZ78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OZDIKuzAgAAUAUA&#10;AA4AAAAAAAAAAAAAAAAALgIAAGRycy9lMm9Eb2MueG1sUEsBAi0AFAAGAAgAAAAhAEgNXprfAAAA&#10;CwEAAA8AAAAAAAAAAAAAAAAADQUAAGRycy9kb3ducmV2LnhtbFBLBQYAAAAABAAEAPMAAAAZBgAA&#10;AAA=&#10;" o:allowincell="f" filled="f" stroked="f" strokeweight=".5pt">
              <v:textbox inset=",0,,0">
                <w:txbxContent>
                  <w:p w14:paraId="4B26B35D" w14:textId="1D573C04"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00EC" w14:textId="4F31362E" w:rsidR="00431A70" w:rsidRDefault="008F6487">
    <w:pPr>
      <w:pStyle w:val="Footer"/>
    </w:pPr>
    <w:r>
      <w:rPr>
        <w:noProof/>
      </w:rPr>
      <mc:AlternateContent>
        <mc:Choice Requires="wps">
          <w:drawing>
            <wp:anchor distT="0" distB="0" distL="114300" distR="114300" simplePos="0" relativeHeight="251661312" behindDoc="0" locked="0" layoutInCell="0" allowOverlap="1" wp14:anchorId="2DF85CDA" wp14:editId="54D79CB2">
              <wp:simplePos x="0" y="0"/>
              <wp:positionH relativeFrom="page">
                <wp:posOffset>0</wp:posOffset>
              </wp:positionH>
              <wp:positionV relativeFrom="page">
                <wp:posOffset>10189210</wp:posOffset>
              </wp:positionV>
              <wp:extent cx="7560310" cy="311785"/>
              <wp:effectExtent l="0" t="0" r="0" b="12065"/>
              <wp:wrapNone/>
              <wp:docPr id="15" name="MSIPCMf6c149be8e6a5d4246fe9c5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5F825" w14:textId="21CC487C"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F85CDA" id="_x0000_t202" coordsize="21600,21600" o:spt="202" path="m,l,21600r21600,l21600,xe">
              <v:stroke joinstyle="miter"/>
              <v:path gradientshapeok="t" o:connecttype="rect"/>
            </v:shapetype>
            <v:shape id="MSIPCMf6c149be8e6a5d4246fe9c5d"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OdsQIAAE0FAAAOAAAAZHJzL2Uyb0RvYy54bWysVE1v2zAMvQ/YfxB02Gmr7SROk6xOkWXo&#10;ViBtA6RDz4osxQZsUZWUxtmw/z5KttOu22nYxab4KH48krq4bOqKPAljS1AZTc5iSoTikJdql9Fv&#10;91cfJpRYx1TOKlAio0dh6eX87ZuLg56JARRQ5cIQdKLs7KAzWjinZ1FkeSFqZs9AC4WgBFMzh0ez&#10;i3LDDui9rqJBHI+jA5hcG+DCWtR+bkE6D/6lFNzdSWmFI1VGMTcXviZ8t/4bzS/YbGeYLkrepcH+&#10;IYualQqDnlx9Zo6RvSn/cFWX3IAF6c441BFIWXIRasBqkvhVNZuCaRFqQXKsPtFk/59bfvu0NqTM&#10;sXcpJYrV2KObzfV6eSPHPBlNt2IixizNR4PRWIopT3NKcmE5Uvjj3eMe3MevzBZLyEV7mk3j0Xk6&#10;GY6T9x0syl3hOnAywgnpgIcyd0WnT6fpSb+uGBe1UP2d1uQKwAnTyp2Da5WLpnPQ/tamrJk5/ma1&#10;wRHA2ezsBt3de9CdJj4FXgnZx0TlTz8aB21nyNBGI0eu+QQN0tTrLSp9xxtpav/HXhLEcciOp8ES&#10;jSMclefpOB4mCHHEhklyPkm9m+j5tjbWfRFQEy9k1GDWYZ7Y08q61rQ38cEUXJVVFYa3UuSQ0fEw&#10;jcOFE4LOK4UxfA1trl5yzbYJ7R72dWwhP2J5BtrdsJpflZjDilm3ZgaXAdPGBXd3+JEVYCzoJEoK&#10;MN//pvf2OKOIUnLA5cqofdwzIyiprhVO7zQZjfw2hgMK5qV222vVvl4C7m2CT4jmQfS2rupFaaB+&#10;wP1f+GgIMcUxZka3vbh0eEIA3w8uFosg495p5lZqo7l37dn0zN43D8zojn6HjbuFfv3Y7FUXWtu2&#10;D4u9A1mGFnl+WzY72nFnQ5O798U/Ci/Pwer5FZ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4HKOdsQIAAE0FAAAO&#10;AAAAAAAAAAAAAAAAAC4CAABkcnMvZTJvRG9jLnhtbFBLAQItABQABgAIAAAAIQBIDV6a3wAAAAsB&#10;AAAPAAAAAAAAAAAAAAAAAAsFAABkcnMvZG93bnJldi54bWxQSwUGAAAAAAQABADzAAAAFwYAAAAA&#10;" o:allowincell="f" filled="f" stroked="f" strokeweight=".5pt">
              <v:textbox inset=",0,,0">
                <w:txbxContent>
                  <w:p w14:paraId="5175F825" w14:textId="21CC487C" w:rsidR="008F6487" w:rsidRPr="008F6487" w:rsidRDefault="008F6487" w:rsidP="008F6487">
                    <w:pPr>
                      <w:spacing w:after="0"/>
                      <w:jc w:val="center"/>
                      <w:rPr>
                        <w:rFonts w:ascii="Arial Black" w:hAnsi="Arial Black"/>
                        <w:color w:val="000000"/>
                        <w:sz w:val="20"/>
                      </w:rPr>
                    </w:pPr>
                    <w:r w:rsidRPr="008F648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74E5" w14:textId="77777777" w:rsidR="001A663B" w:rsidRDefault="001A663B" w:rsidP="00207717">
      <w:pPr>
        <w:spacing w:before="120"/>
      </w:pPr>
      <w:r>
        <w:separator/>
      </w:r>
    </w:p>
  </w:footnote>
  <w:footnote w:type="continuationSeparator" w:id="0">
    <w:p w14:paraId="738D8092" w14:textId="77777777" w:rsidR="001A663B" w:rsidRDefault="001A663B">
      <w:r>
        <w:continuationSeparator/>
      </w:r>
    </w:p>
    <w:p w14:paraId="168A62D1" w14:textId="77777777" w:rsidR="001A663B" w:rsidRDefault="001A6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2BB9" w14:textId="77777777" w:rsidR="00D9050D" w:rsidRDefault="00D9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541F" w14:textId="77777777" w:rsidR="00D9050D" w:rsidRDefault="00D90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F13D" w14:textId="77777777" w:rsidR="00D9050D" w:rsidRDefault="00D905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0BC1" w14:textId="5FF043BC" w:rsidR="003B2F26" w:rsidRPr="008F6487" w:rsidRDefault="00C4205A" w:rsidP="008F6487">
    <w:pPr>
      <w:pStyle w:val="Header"/>
    </w:pPr>
    <w:r>
      <w:t>Support for single people in private rooming houses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92F5" w14:textId="5F38E418" w:rsidR="00562811" w:rsidRPr="00C4205A" w:rsidRDefault="00C4205A" w:rsidP="00C4205A">
    <w:pPr>
      <w:pStyle w:val="Header"/>
    </w:pPr>
    <w:r>
      <w:t>Support for single people in private rooming houses guidelines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58551"/>
      <w:docPartObj>
        <w:docPartGallery w:val="Page Numbers (Top of Page)"/>
        <w:docPartUnique/>
      </w:docPartObj>
    </w:sdtPr>
    <w:sdtEndPr>
      <w:rPr>
        <w:noProof/>
      </w:rPr>
    </w:sdtEndPr>
    <w:sdtContent>
      <w:p w14:paraId="04DD8783" w14:textId="4A6F317F" w:rsidR="00C4205A" w:rsidRDefault="00C4205A">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w:t>
        </w:r>
        <w:r>
          <w:t>Support for single people in private rooming houses guidelines</w:t>
        </w:r>
      </w:p>
    </w:sdtContent>
  </w:sdt>
  <w:p w14:paraId="7C049545" w14:textId="00602E51" w:rsidR="00723FAD" w:rsidRPr="008F6487" w:rsidRDefault="00723FAD" w:rsidP="008F64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64391"/>
      <w:docPartObj>
        <w:docPartGallery w:val="Page Numbers (Top of Page)"/>
        <w:docPartUnique/>
      </w:docPartObj>
    </w:sdtPr>
    <w:sdtEndPr>
      <w:rPr>
        <w:noProof/>
      </w:rPr>
    </w:sdtEndPr>
    <w:sdtContent>
      <w:p w14:paraId="3F0BC02C" w14:textId="37D4FF64" w:rsidR="00C4205A" w:rsidRDefault="00C4205A" w:rsidP="00C4205A">
        <w:pPr>
          <w:pStyle w:val="Header"/>
        </w:pPr>
        <w:r>
          <w:t xml:space="preserve">Support for single people in private rooming houses guidelines                                                                          </w:t>
        </w:r>
        <w:r>
          <w:fldChar w:fldCharType="begin"/>
        </w:r>
        <w:r>
          <w:instrText xml:space="preserve"> PAGE   \* MERGEFORMAT </w:instrText>
        </w:r>
        <w:r>
          <w:fldChar w:fldCharType="separate"/>
        </w:r>
        <w:r>
          <w:rPr>
            <w:noProof/>
          </w:rPr>
          <w:t>2</w:t>
        </w:r>
        <w:r>
          <w:rPr>
            <w:noProof/>
          </w:rPr>
          <w:fldChar w:fldCharType="end"/>
        </w:r>
      </w:p>
    </w:sdtContent>
  </w:sdt>
  <w:p w14:paraId="26714E3B" w14:textId="19FAA154" w:rsidR="00723FAD" w:rsidRPr="008F6487" w:rsidRDefault="00723FAD" w:rsidP="008F6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F76672"/>
    <w:multiLevelType w:val="hybridMultilevel"/>
    <w:tmpl w:val="4088FB7C"/>
    <w:lvl w:ilvl="0" w:tplc="336AF0B6">
      <w:start w:val="1"/>
      <w:numFmt w:val="bullet"/>
      <w:lvlText w:val="-"/>
      <w:lvlJc w:val="left"/>
      <w:pPr>
        <w:ind w:left="927" w:hanging="360"/>
      </w:pPr>
      <w:rPr>
        <w:rFonts w:ascii="Arial" w:eastAsia="Times New Roman" w:hAnsi="Arial" w:cs="Arial" w:hint="default"/>
        <w:b w:val="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1F0B233E"/>
    <w:multiLevelType w:val="hybridMultilevel"/>
    <w:tmpl w:val="A4A6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377285"/>
    <w:multiLevelType w:val="hybridMultilevel"/>
    <w:tmpl w:val="1AD4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num>
  <w:num w:numId="26">
    <w:abstractNumId w:val="23"/>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3"/>
  </w:num>
  <w:num w:numId="42">
    <w:abstractNumId w:val="1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3B"/>
    <w:rsid w:val="00000719"/>
    <w:rsid w:val="00002D68"/>
    <w:rsid w:val="000033F7"/>
    <w:rsid w:val="00003403"/>
    <w:rsid w:val="00005347"/>
    <w:rsid w:val="000072B6"/>
    <w:rsid w:val="0001021B"/>
    <w:rsid w:val="00011D89"/>
    <w:rsid w:val="000154FD"/>
    <w:rsid w:val="00022271"/>
    <w:rsid w:val="000235E8"/>
    <w:rsid w:val="00024684"/>
    <w:rsid w:val="00024D89"/>
    <w:rsid w:val="000250B6"/>
    <w:rsid w:val="00033D81"/>
    <w:rsid w:val="00033DC9"/>
    <w:rsid w:val="00037366"/>
    <w:rsid w:val="00041BF0"/>
    <w:rsid w:val="00042C8A"/>
    <w:rsid w:val="000449DB"/>
    <w:rsid w:val="0004536B"/>
    <w:rsid w:val="00046B68"/>
    <w:rsid w:val="000527DD"/>
    <w:rsid w:val="00056EC4"/>
    <w:rsid w:val="000578B2"/>
    <w:rsid w:val="00060959"/>
    <w:rsid w:val="00060C8F"/>
    <w:rsid w:val="0006298A"/>
    <w:rsid w:val="000663CD"/>
    <w:rsid w:val="000733FE"/>
    <w:rsid w:val="00074219"/>
    <w:rsid w:val="00074ED5"/>
    <w:rsid w:val="0008204A"/>
    <w:rsid w:val="00083F28"/>
    <w:rsid w:val="0008508E"/>
    <w:rsid w:val="00087951"/>
    <w:rsid w:val="0009113B"/>
    <w:rsid w:val="00093402"/>
    <w:rsid w:val="00094DA3"/>
    <w:rsid w:val="0009683C"/>
    <w:rsid w:val="00096CD1"/>
    <w:rsid w:val="000A012C"/>
    <w:rsid w:val="000A0EB9"/>
    <w:rsid w:val="000A186C"/>
    <w:rsid w:val="000A1EA4"/>
    <w:rsid w:val="000A2476"/>
    <w:rsid w:val="000A4A42"/>
    <w:rsid w:val="000A641A"/>
    <w:rsid w:val="000A71AB"/>
    <w:rsid w:val="000B3EDB"/>
    <w:rsid w:val="000B4BE5"/>
    <w:rsid w:val="000B543D"/>
    <w:rsid w:val="000B55F9"/>
    <w:rsid w:val="000B5BF7"/>
    <w:rsid w:val="000B6BC8"/>
    <w:rsid w:val="000C0303"/>
    <w:rsid w:val="000C42EA"/>
    <w:rsid w:val="000C4546"/>
    <w:rsid w:val="000C5702"/>
    <w:rsid w:val="000D1242"/>
    <w:rsid w:val="000D2ABA"/>
    <w:rsid w:val="000E0970"/>
    <w:rsid w:val="000E3CC7"/>
    <w:rsid w:val="000E6BD4"/>
    <w:rsid w:val="000E6D6D"/>
    <w:rsid w:val="000F1F1E"/>
    <w:rsid w:val="000F2259"/>
    <w:rsid w:val="000F2DDA"/>
    <w:rsid w:val="000F2EA0"/>
    <w:rsid w:val="000F5213"/>
    <w:rsid w:val="000F79E4"/>
    <w:rsid w:val="00101001"/>
    <w:rsid w:val="00103276"/>
    <w:rsid w:val="0010392D"/>
    <w:rsid w:val="0010447F"/>
    <w:rsid w:val="00104FE3"/>
    <w:rsid w:val="0010714F"/>
    <w:rsid w:val="001120C5"/>
    <w:rsid w:val="00120BD3"/>
    <w:rsid w:val="00122FEA"/>
    <w:rsid w:val="001232BD"/>
    <w:rsid w:val="00124ED5"/>
    <w:rsid w:val="001276FA"/>
    <w:rsid w:val="00134FF9"/>
    <w:rsid w:val="00137A08"/>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585C"/>
    <w:rsid w:val="00196EB8"/>
    <w:rsid w:val="00196EFB"/>
    <w:rsid w:val="001979FF"/>
    <w:rsid w:val="00197B17"/>
    <w:rsid w:val="001A1950"/>
    <w:rsid w:val="001A1C54"/>
    <w:rsid w:val="001A2C2B"/>
    <w:rsid w:val="001A3ACE"/>
    <w:rsid w:val="001A6272"/>
    <w:rsid w:val="001A663B"/>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4A75"/>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2F26"/>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723"/>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3FAD"/>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301"/>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4DD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0146"/>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32FA"/>
    <w:rsid w:val="008F59F6"/>
    <w:rsid w:val="008F6487"/>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3479"/>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205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175"/>
    <w:rsid w:val="00C863C4"/>
    <w:rsid w:val="00C87E8C"/>
    <w:rsid w:val="00C90DAB"/>
    <w:rsid w:val="00C920EA"/>
    <w:rsid w:val="00C93C3E"/>
    <w:rsid w:val="00C94F12"/>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5A24"/>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050D"/>
    <w:rsid w:val="00D943F8"/>
    <w:rsid w:val="00D95470"/>
    <w:rsid w:val="00D96B55"/>
    <w:rsid w:val="00DA08D7"/>
    <w:rsid w:val="00DA2619"/>
    <w:rsid w:val="00DA4239"/>
    <w:rsid w:val="00DA588C"/>
    <w:rsid w:val="00DA65DE"/>
    <w:rsid w:val="00DB0B61"/>
    <w:rsid w:val="00DB1474"/>
    <w:rsid w:val="00DB2962"/>
    <w:rsid w:val="00DB4E74"/>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2DE"/>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26FB4"/>
    <w:rsid w:val="00F30FF4"/>
    <w:rsid w:val="00F3122E"/>
    <w:rsid w:val="00F32368"/>
    <w:rsid w:val="00F331AD"/>
    <w:rsid w:val="00F35287"/>
    <w:rsid w:val="00F36ECA"/>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0B46"/>
    <w:rsid w:val="00F91E38"/>
    <w:rsid w:val="00F938BA"/>
    <w:rsid w:val="00F97919"/>
    <w:rsid w:val="00FA2C46"/>
    <w:rsid w:val="00FA3525"/>
    <w:rsid w:val="00FA5A53"/>
    <w:rsid w:val="00FA70EC"/>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A95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99"/>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uiPriority w:val="99"/>
    <w:qFormat/>
    <w:rsid w:val="007F4DD6"/>
    <w:pPr>
      <w:spacing w:after="120" w:line="270" w:lineRule="atLeast"/>
    </w:pPr>
    <w:rPr>
      <w:rFonts w:ascii="Arial" w:eastAsia="Times" w:hAnsi="Arial"/>
      <w:lang w:eastAsia="en-US"/>
    </w:rPr>
  </w:style>
  <w:style w:type="character" w:customStyle="1" w:styleId="DHHSbodyChar">
    <w:name w:val="DHHS body Char"/>
    <w:link w:val="DHHSbody"/>
    <w:uiPriority w:val="99"/>
    <w:rsid w:val="007F4DD6"/>
    <w:rPr>
      <w:rFonts w:ascii="Arial" w:eastAsia="Times" w:hAnsi="Arial"/>
      <w:lang w:eastAsia="en-US"/>
    </w:rPr>
  </w:style>
  <w:style w:type="paragraph" w:customStyle="1" w:styleId="DHHSBody0">
    <w:name w:val="DHHS Body"/>
    <w:basedOn w:val="DHHSbody"/>
    <w:link w:val="DHHSBodyChar0"/>
    <w:qFormat/>
    <w:rsid w:val="007F4DD6"/>
    <w:rPr>
      <w:rFonts w:eastAsia="Times New Roman"/>
    </w:rPr>
  </w:style>
  <w:style w:type="character" w:customStyle="1" w:styleId="DHHSBodyChar0">
    <w:name w:val="DHHS Body Char"/>
    <w:link w:val="DHHSBody0"/>
    <w:rsid w:val="007F4DD6"/>
    <w:rPr>
      <w:rFonts w:ascii="Arial" w:hAnsi="Arial"/>
      <w:lang w:eastAsia="en-US"/>
    </w:rPr>
  </w:style>
  <w:style w:type="paragraph" w:styleId="NormalWeb">
    <w:name w:val="Normal (Web)"/>
    <w:basedOn w:val="Normal"/>
    <w:uiPriority w:val="99"/>
    <w:unhideWhenUsed/>
    <w:rsid w:val="000B4BE5"/>
    <w:pPr>
      <w:spacing w:before="100" w:beforeAutospacing="1" w:after="100" w:afterAutospacing="1" w:line="240" w:lineRule="auto"/>
    </w:pPr>
    <w:rPr>
      <w:rFonts w:ascii="Times New Roman" w:hAnsi="Times New Roman"/>
      <w:sz w:val="24"/>
      <w:szCs w:val="24"/>
      <w:lang w:eastAsia="en-AU"/>
    </w:rPr>
  </w:style>
  <w:style w:type="paragraph" w:customStyle="1" w:styleId="DHHSfooter">
    <w:name w:val="DHHS footer"/>
    <w:uiPriority w:val="11"/>
    <w:rsid w:val="003B2F26"/>
    <w:pPr>
      <w:tabs>
        <w:tab w:val="right" w:pos="9299"/>
      </w:tabs>
    </w:pPr>
    <w:rPr>
      <w:rFonts w:ascii="Arial" w:hAnsi="Arial" w:cs="Arial"/>
      <w:sz w:val="18"/>
      <w:szCs w:val="18"/>
      <w:lang w:eastAsia="en-US"/>
    </w:rPr>
  </w:style>
  <w:style w:type="paragraph" w:styleId="TOCHeading">
    <w:name w:val="TOC Heading"/>
    <w:basedOn w:val="Heading1"/>
    <w:next w:val="Normal"/>
    <w:uiPriority w:val="39"/>
    <w:unhideWhenUsed/>
    <w:qFormat/>
    <w:rsid w:val="003B2F2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HeaderChar">
    <w:name w:val="Header Char"/>
    <w:basedOn w:val="DefaultParagraphFont"/>
    <w:link w:val="Header"/>
    <w:uiPriority w:val="99"/>
    <w:rsid w:val="00723FAD"/>
    <w:rPr>
      <w:rFonts w:ascii="Arial" w:hAnsi="Arial" w:cs="Arial"/>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526622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legislation.vic.gov.au/in-force/acts/residential-tenancies-act-1997/1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providers.dffh.vic.gov.au/complex-needs-servic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legislation.vic.gov.au/in-force/statutory-rules/public-health-and-wellbeing-prescribed-accommodation-regulations-2020/0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N171\GROUP\Client%20Services%20&amp;%20Programs\Implementation%20Support\Practice%20Support\Rooming%20house%20initiative\Guidelines\Orange%20door%20location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lassic.austlii.edu.au/au/legis/vic/consol_act/padpa2014271/"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onsumer.vic.gov.au/minimumstandar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8.austlii.edu.au/cgi-bin/viewdb/au/legis/vic/consol_act/hra2001144/" TargetMode="Externa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4EBB-9E7A-456E-BCEA-5588F63C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1590</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 for single people living in private rooming houses initiative guidelines</vt:lpstr>
    </vt:vector>
  </TitlesOfParts>
  <Company/>
  <LinksUpToDate>false</LinksUpToDate>
  <CharactersWithSpaces>13061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single people living in private rooming houses initiative guidelines</dc:title>
  <dc:creator/>
  <cp:lastModifiedBy/>
  <cp:revision>1</cp:revision>
  <dcterms:created xsi:type="dcterms:W3CDTF">2022-06-28T02:01:00Z</dcterms:created>
  <dcterms:modified xsi:type="dcterms:W3CDTF">2022-06-29T06:44:00Z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2022-06-29T06:44:36Z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a3323dec-e26e-4fe5-900b-dea1b19b6e1e</vt:lpwstr>
  </property>
  <property fmtid="{D5CDD505-2E9C-101B-9397-08002B2CF9AE}" pid="8" name="MSIP_Label_43e64453-338c-4f93-8a4d-0039a0a41f2a_ContentBits">
    <vt:lpwstr>2</vt:lpwstr>
  </property>
</Properties>
</file>