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Oracle USA</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Small Rural - HACC-PYP 35030</dc:title>
  <dc:subject/>
  <dc:creator>User</dc:creator>
  <cp:keywords/>
  <dc:description>Generated by Oracle BI Publisher 12.2.1.3.0</dc:description>
  <cp:lastModifiedBy>User</cp:lastModifiedBy>
  <cp:revision>2</cp:revision>
  <dcterms:created xsi:type="dcterms:W3CDTF">2013-02-11T20:57:00Z</dcterms:created>
  <dcterms:modified xsi:type="dcterms:W3CDTF">2013-02-11T20:57:00Z</dcterms:modified>
</cp:coreProperti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3.png"/>
<Relationship Id="rId11" Type="http://schemas.openxmlformats.org/officeDocument/2006/relationships/hyperlink" Target="https://www2.health.vic.gov.au/ageing-and-aged-care/home-and-community-care/hacc-program-for-younger-people/hacc-program-guidelines" TargetMode="External"/>
<Relationship Id="rId12" Type="http://schemas.openxmlformats.org/officeDocument/2006/relationships/hyperlink" Target="https://www2.health.vic.gov.au/Api/downloadmedia/%7B95EDEB45-C044-4EE4-9811-177290833DAC%7D" TargetMode="External"/>
<Relationship Id="rId13" Type="http://schemas.openxmlformats.org/officeDocument/2006/relationships/hyperlink" Target="mailto:sapolicy@dhhs.vic.gov.au" TargetMode="External"/>
<Relationship Id="rId14" Type="http://schemas.openxmlformats.org/officeDocument/2006/relationships/hyperlink" Target="http://providers.dffh.vic.gov.au/families-fairness-housing-health-activity-search" TargetMode="External"/>
<Relationship Id="rId15" Type="http://schemas.openxmlformats.org/officeDocument/2006/relationships/numbering" Target="numbering.xml"/>
</Relationships>

</file>

<file path=word\_rels\footer1.xml.rels><?xml version="1.0" encoding="UTF-8" standalone="yes"?>
<Relationships xmlns="http://schemas.openxmlformats.org/package/2006/relationships">
<Relationship Id="rId1" Type="http://schemas.openxmlformats.org/officeDocument/2006/relationships/image" Target="media/image2.png"/>
</Relationships>

</file>

<file path=word\_rels\footer2.xml.rels><?xml version="1.0" encoding="UTF-8" standalone="yes"?>
<Relationships xmlns="http://schemas.openxmlformats.org/package/2006/relationships">
<Relationship Id="rId1" Type="http://schemas.openxmlformats.org/officeDocument/2006/relationships/image" Target="media/image1.png"/>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tabs>
          <w:tab w:val="left" w:pos="1728"/>
        </w:tabs>
        <w:spacing w:before="100" w:line="288" w:lineRule="auto"/>
        <w:ind w:left="-699"/>
        <w:rPr/>
      </w:pPr>
      <w:r>
        <w:rPr>
          <w:noProof/>
        </w:rPr>
        <w:drawing>
          <wp:inline distT="0" distB="0" distL="0" distR="0">
            <wp:extent cx="7562215" cy="14151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a:extLst>
                        <a:ext uri="{28A0092B-C50C-407E-A947-70E740481C1C}">
                          <a14:useLocalDpi xmlns:a14="http://schemas.microsoft.com/office/drawing/2010/main" val="0"/>
                        </a:ext>
                      </a:extLst>
                    </a:blip>
                    <a:stretch>
                      <a:fillRect/>
                    </a:stretch>
                  </pic:blipFill>
                  <pic:spPr>
                    <a:xfrm>
                      <a:off x="0" y="0"/>
                      <a:ext cx="7562215" cy="1415123"/>
                    </a:xfrm>
                    <a:prstGeom prst="rect">
                      <a:avLst/>
                    </a:prstGeom>
                  </pic:spPr>
                </pic:pic>
              </a:graphicData>
            </a:graphic>
          </wp:inline>
        </w:drawing>
      </w:r>
    </w:p>
    <w:tbl>
      <w:tblPr>
        <w:tblW w:w="0" w:type="auto"/>
        <w:tblInd w:w="111" w:type="dxa"/>
        <w:tblLayout w:type="fixed"/>
        <w:tblCellMar>
          <w:left w:w="0" w:type="dxa"/>
          <w:right w:w="0" w:type="dxa"/>
        </w:tblCellMar>
      </w:tblPr>
      <w:tblGrid>
        <w:gridCol w:w="10206"/>
      </w:tblGrid>
      <w:tr>
        <w:tc>
          <w:tcPr>
            <w:tcW w:w="10206" w:type="dxa"/>
            <w:vAlign w:val="bottom"/>
            <w:shd w:val="clear" w:color="auto" w:fill="FFFFFF"/>
          </w:tcPr>
          <w:p>
            <w:pPr>
              <w:spacing w:line="560" w:lineRule="atLeast"/>
              <w:jc w:val="center"/>
              <w:rPr>
                <w:rFonts w:ascii="Arial" w:hAnsi="Arial" w:eastAsia="Arial" w:cs="Arial"/>
                <w:color w:val="000000"/>
                <w:sz w:val="20"/>
              </w:rPr>
            </w:pPr>
            <w:r>
              <w:rPr>
                <w:rFonts w:ascii="Arial" w:hAnsi="Arial" w:eastAsia="Arial" w:cs="Arial"/>
                <w:color w:val="000000"/>
                <w:sz w:val="20"/>
              </w:rPr>
              <w:t/>
            </w:r>
          </w:p>
          <w:p>
            <w:pPr>
              <w:spacing w:line="560" w:lineRule="atLeast"/>
              <w:rPr>
                <w:rFonts w:ascii="Arial" w:hAnsi="Arial" w:eastAsia="Arial" w:cs="Arial"/>
                <w:color w:val="201547"/>
                <w:sz w:val="44"/>
              </w:rPr>
            </w:pPr>
            <w:r>
              <w:rPr>
                <w:rFonts w:ascii="Arial" w:hAnsi="Arial" w:eastAsia="Arial" w:cs="Arial"/>
                <w:color w:val="201547"/>
                <w:sz w:val="44"/>
              </w:rPr>
              <w:t>Small Rural - HACC-PYP</w:t>
            </w:r>
          </w:p>
          <w:p>
            <w:pPr>
              <w:spacing w:line="560" w:lineRule="atLeast"/>
              <w:rPr>
                <w:rFonts w:ascii="Arial" w:hAnsi="Arial" w:eastAsia="Arial" w:cs="Arial"/>
                <w:color w:val="201547"/>
                <w:sz w:val="44"/>
              </w:rPr>
            </w:pPr>
            <w:r>
              <w:rPr>
                <w:rFonts w:ascii="Arial" w:hAnsi="Arial" w:eastAsia="Arial" w:cs="Arial"/>
                <w:color w:val="201547"/>
                <w:sz w:val="44"/>
              </w:rPr>
              <w:t>35030</w:t>
            </w:r>
          </w:p>
        </w:tc>
      </w:tr>
      <w:tr>
        <w:tc>
          <w:tcPr>
            <w:tcW w:w="10206" w:type="dxa"/>
            <w:shd w:val="clear" w:color="auto" w:fill="FFFFFF"/>
          </w:tcPr>
          <w:p>
            <w:pPr>
              <w:spacing w:after="120"/>
              <w:rPr>
                <w:rFonts w:ascii="Arial" w:hAnsi="Arial" w:eastAsia="Arial" w:cs="Arial"/>
                <w:color w:val="201547"/>
                <w:sz w:val="28"/>
              </w:rPr>
            </w:pPr>
            <w:r>
              <w:rPr>
                <w:rFonts w:ascii="Arial" w:hAnsi="Arial" w:eastAsia="Arial" w:cs="Arial"/>
                <w:color w:val="201547"/>
                <w:sz w:val="28"/>
              </w:rPr>
              <w:t>Outcome objective: Victorians are healthy and well</w:t>
            </w:r>
          </w:p>
          <w:p>
            <w:pPr>
              <w:spacing w:after="120"/>
              <w:rPr>
                <w:rFonts w:ascii="Arial" w:hAnsi="Arial" w:eastAsia="Arial" w:cs="Arial"/>
                <w:color w:val="201547"/>
                <w:sz w:val="28"/>
              </w:rPr>
            </w:pPr>
            <w:r>
              <w:rPr>
                <w:rFonts w:ascii="Arial" w:hAnsi="Arial" w:eastAsia="Arial" w:cs="Arial"/>
                <w:color w:val="201547"/>
                <w:sz w:val="28"/>
              </w:rPr>
              <w:t>Output group: Small Rural Services</w:t>
            </w:r>
          </w:p>
          <w:p>
            <w:pPr>
              <w:spacing w:after="120"/>
              <w:rPr>
                <w:rFonts w:ascii="Arial" w:hAnsi="Arial" w:eastAsia="Arial" w:cs="Arial"/>
                <w:color w:val="201547"/>
                <w:sz w:val="28"/>
              </w:rPr>
            </w:pPr>
            <w:r>
              <w:rPr>
                <w:rFonts w:ascii="Arial" w:hAnsi="Arial" w:eastAsia="Arial" w:cs="Arial"/>
                <w:color w:val="201547"/>
                <w:sz w:val="28"/>
              </w:rPr>
              <w:t>Output: SRS - Home and Community Care</w:t>
            </w:r>
          </w:p>
        </w:tc>
      </w:tr>
    </w:tbl>
    <w:p>
      <w:pPr>
        <w:spacing w:line="560" w:lineRule="atLeast"/>
        <w:ind w:left="111" w:right="105"/>
        <w:rPr>
          <w:rFonts w:ascii="Arial" w:hAnsi="Arial" w:eastAsia="Arial" w:cs="Arial"/>
          <w:b/>
          <w:bCs/>
          <w:color w:val="000000"/>
          <w:sz w:val="20"/>
        </w:rPr>
      </w:pPr>
      <w:r>
        <w:rPr>
          <w:rFonts w:ascii="Arial" w:hAnsi="Arial" w:eastAsia="Arial" w:cs="Arial"/>
          <w:b/>
          <w:bCs/>
          <w:color w:val="000000"/>
          <w:sz w:val="20"/>
        </w:rPr>
        <w:t>OFFICIAL</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1. Service objective</w:t>
      </w:r>
    </w:p>
    <w:p>
      <w:pPr>
        <w:spacing w:line="270" w:lineRule="atLeast"/>
        <w:ind w:left="111" w:right="105"/>
        <w:rPr>
          <w:rFonts w:ascii="Arial" w:hAnsi="Arial" w:eastAsia="Arial" w:cs="Arial"/>
          <w:color w:val="000000"/>
          <w:sz w:val="20"/>
        </w:rPr>
      </w:pPr>
      <w:r>
        <w:rPr>
          <w:rFonts w:ascii="Arial" w:hAnsi="Arial" w:eastAsia="Arial" w:cs="Arial"/>
          <w:color w:val="000000"/>
          <w:sz w:val="20"/>
        </w:rPr>
        <w:t>The Home and Community Care Program for Younger People (HACC-PYP) aims to provide an integrated range of basic maintenance and support services to eligible clients to:</w:t>
      </w:r>
      <w:r>
        <w:br/>
      </w:r>
      <w:r>
        <w:rPr>
          <w:rFonts w:ascii="Arial" w:hAnsi="Arial" w:eastAsia="Arial" w:cs="Arial"/>
          <w:color w:val="000000"/>
          <w:sz w:val="20"/>
        </w:rPr>
        <w:t xml:space="preserve">• improve and maintain the client’s independence and capacity to live safely at home and participate in community activities and </w:t>
      </w:r>
      <w:r>
        <w:br/>
      </w:r>
      <w:r>
        <w:rPr>
          <w:rFonts w:ascii="Arial" w:hAnsi="Arial" w:eastAsia="Arial" w:cs="Arial"/>
          <w:color w:val="000000"/>
          <w:sz w:val="20"/>
        </w:rPr>
        <w:t xml:space="preserve">• strengthen the capacity of the client’s carer to maintain their care role </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2. Description of the service</w:t>
      </w:r>
    </w:p>
    <w:p>
      <w:pPr>
        <w:spacing w:line="270" w:lineRule="atLeast"/>
        <w:ind w:left="111" w:right="105"/>
        <w:rPr>
          <w:rFonts w:ascii="Arial" w:hAnsi="Arial" w:eastAsia="Arial" w:cs="Arial"/>
          <w:color w:val="000000"/>
          <w:sz w:val="20"/>
        </w:rPr>
      </w:pPr>
      <w:r>
        <w:rPr>
          <w:rFonts w:ascii="Arial" w:hAnsi="Arial" w:eastAsia="Arial" w:cs="Arial"/>
          <w:color w:val="000000"/>
          <w:sz w:val="20"/>
        </w:rPr>
        <w:t>HACC-PYP services provided through Small Rural Health Services can include the following:</w:t>
      </w:r>
      <w:r>
        <w:br/>
      </w:r>
      <w:r>
        <w:rPr>
          <w:rFonts w:ascii="Arial" w:hAnsi="Arial" w:eastAsia="Arial" w:cs="Arial"/>
          <w:color w:val="000000"/>
          <w:sz w:val="20"/>
        </w:rPr>
        <w:t>• HACC-PYP Access and Support</w:t>
      </w:r>
      <w:r>
        <w:br/>
      </w:r>
      <w:r>
        <w:rPr>
          <w:rFonts w:ascii="Arial" w:hAnsi="Arial" w:eastAsia="Arial" w:cs="Arial"/>
          <w:color w:val="000000"/>
          <w:sz w:val="20"/>
        </w:rPr>
        <w:t>• HACC-PYP Allied Health</w:t>
      </w:r>
      <w:r>
        <w:br/>
      </w:r>
      <w:r>
        <w:rPr>
          <w:rFonts w:ascii="Arial" w:hAnsi="Arial" w:eastAsia="Arial" w:cs="Arial"/>
          <w:color w:val="000000"/>
          <w:sz w:val="20"/>
        </w:rPr>
        <w:t>• HACC-PYP Assessment</w:t>
      </w:r>
      <w:r>
        <w:br/>
      </w:r>
      <w:r>
        <w:rPr>
          <w:rFonts w:ascii="Arial" w:hAnsi="Arial" w:eastAsia="Arial" w:cs="Arial"/>
          <w:color w:val="000000"/>
          <w:sz w:val="20"/>
        </w:rPr>
        <w:t>• HACC-PYP Delivered Meals</w:t>
      </w:r>
      <w:r>
        <w:br/>
      </w:r>
      <w:r>
        <w:rPr>
          <w:rFonts w:ascii="Arial" w:hAnsi="Arial" w:eastAsia="Arial" w:cs="Arial"/>
          <w:color w:val="000000"/>
          <w:sz w:val="20"/>
        </w:rPr>
        <w:t>• HACC-PYP Community Care</w:t>
      </w:r>
      <w:r>
        <w:br/>
      </w:r>
      <w:r>
        <w:rPr>
          <w:rFonts w:ascii="Arial" w:hAnsi="Arial" w:eastAsia="Arial" w:cs="Arial"/>
          <w:color w:val="000000"/>
          <w:sz w:val="20"/>
        </w:rPr>
        <w:t>• HACC-PYP Flexible Service Response</w:t>
      </w:r>
      <w:r>
        <w:br/>
      </w:r>
      <w:r>
        <w:rPr>
          <w:rFonts w:ascii="Arial" w:hAnsi="Arial" w:eastAsia="Arial" w:cs="Arial"/>
          <w:color w:val="000000"/>
          <w:sz w:val="20"/>
        </w:rPr>
        <w:t>• HACC-PYP Nursing</w:t>
      </w:r>
      <w:r>
        <w:br/>
      </w:r>
      <w:r>
        <w:rPr>
          <w:rFonts w:ascii="Arial" w:hAnsi="Arial" w:eastAsia="Arial" w:cs="Arial"/>
          <w:color w:val="000000"/>
          <w:sz w:val="20"/>
        </w:rPr>
        <w:t>• HACC-PYP Planned Activity Group</w:t>
      </w:r>
      <w:r>
        <w:br/>
      </w:r>
      <w:r>
        <w:rPr>
          <w:rFonts w:ascii="Arial" w:hAnsi="Arial" w:eastAsia="Arial" w:cs="Arial"/>
          <w:color w:val="000000"/>
          <w:sz w:val="20"/>
        </w:rPr>
        <w:t>• HACC-PYP Property Maintenance</w:t>
      </w:r>
      <w:r>
        <w:br/>
      </w:r>
      <w:r>
        <w:rPr>
          <w:rFonts w:ascii="Arial" w:hAnsi="Arial" w:eastAsia="Arial" w:cs="Arial"/>
          <w:color w:val="000000"/>
          <w:sz w:val="20"/>
        </w:rPr>
        <w:t>• HACC-PYP Service System Resourcing</w:t>
      </w:r>
      <w:r>
        <w:br/>
      </w:r>
      <w:r>
        <w:rPr>
          <w:rFonts w:ascii="Arial" w:hAnsi="Arial" w:eastAsia="Arial" w:cs="Arial"/>
          <w:color w:val="000000"/>
          <w:sz w:val="20"/>
        </w:rPr>
        <w:t>• HACC-PYP Volunteer Coordination</w:t>
      </w:r>
      <w:r>
        <w:br/>
      </w:r>
      <w:r>
        <w:rPr>
          <w:rFonts w:ascii="Arial" w:hAnsi="Arial" w:eastAsia="Arial" w:cs="Arial"/>
          <w:color w:val="000000"/>
          <w:sz w:val="20"/>
        </w:rPr>
        <w:t>• HACC-PYP Volunteer Coordination - Other</w:t>
      </w:r>
      <w:r>
        <w:br/>
      </w:r>
      <w:r>
        <w:rPr>
          <w:rFonts w:ascii="Arial" w:hAnsi="Arial" w:eastAsia="Arial" w:cs="Arial"/>
          <w:color w:val="000000"/>
          <w:sz w:val="20"/>
        </w:rPr>
        <w:t>Please refer to the activity descriptions of the above services for an explanation of the expected deliverables and reporting requirement.</w:t>
      </w:r>
      <w:r>
        <w:br/>
      </w:r>
      <w:r>
        <w:rPr>
          <w:rFonts w:ascii="Arial" w:hAnsi="Arial" w:eastAsia="Arial" w:cs="Arial"/>
          <w:color w:val="000000"/>
          <w:sz w:val="20"/>
        </w:rPr>
        <w:t>The department will continue to monitor service provision, and where necessary, may amend service specifications or funding allocations based on community needs or in response to changes to government policy and priorities</w:t>
      </w:r>
      <w:r>
        <w:br/>
      </w:r>
      <w:r>
        <w:rPr>
          <w:rFonts w:ascii="Arial" w:hAnsi="Arial" w:eastAsia="Arial" w:cs="Arial"/>
          <w:color w:val="000000"/>
          <w:sz w:val="20"/>
        </w:rPr>
        <w:t xml:space="preserve">Compliance with Quality Standards </w:t>
      </w:r>
      <w:r>
        <w:br/>
      </w:r>
      <w:r>
        <w:rPr>
          <w:rFonts w:ascii="Arial" w:hAnsi="Arial" w:eastAsia="Arial" w:cs="Arial"/>
          <w:color w:val="000000"/>
          <w:sz w:val="20"/>
        </w:rPr>
        <w:t xml:space="preserve">o Organisations that only receive HACC-PYP funding are required to meet the Home Care Common Standards </w:t>
      </w:r>
      <w:r>
        <w:br/>
      </w:r>
      <w:r>
        <w:rPr>
          <w:rFonts w:ascii="Arial" w:hAnsi="Arial" w:eastAsia="Arial" w:cs="Arial"/>
          <w:color w:val="000000"/>
          <w:sz w:val="20"/>
        </w:rPr>
        <w:t xml:space="preserve">o Organisations that are also funded by the Commonwealth Home Support Programme (CHSP) are subject to review against the Aged Care Quality Standards undertaken by the Aged Care Quality and Safety Commission.  Quality reviews for CHSP satisfy the HACC-PYP quality requirements </w:t>
      </w:r>
      <w:r>
        <w:br/>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3. Client group</w:t>
      </w:r>
    </w:p>
    <w:p>
      <w:pPr>
        <w:spacing w:line="288" w:lineRule="auto"/>
        <w:ind w:left="111" w:right="105"/>
        <w:rPr>
          <w:rFonts w:ascii="Arial" w:hAnsi="Arial" w:eastAsia="Arial" w:cs="Arial"/>
          <w:color w:val="000000"/>
          <w:sz w:val="20"/>
        </w:rPr>
      </w:pPr>
      <w:r>
        <w:rPr>
          <w:rFonts w:ascii="Arial" w:hAnsi="Arial" w:eastAsia="Arial" w:cs="Arial"/>
          <w:color w:val="000000"/>
          <w:sz w:val="20"/>
        </w:rPr>
        <w:t>The HACC-PYP target group is people under 65 years of age who experience difficulties performing the activities of daily living and their carers and Aboriginal and Torres Strait Islanders people under 50 years of age</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4. Obligations specific to this activity</w:t>
      </w:r>
    </w:p>
    <w:p>
      <w:pPr>
        <w:spacing w:line="288" w:lineRule="auto"/>
        <w:ind w:left="111" w:right="105"/>
        <w:rPr>
          <w:rFonts w:ascii="Arial" w:hAnsi="Arial" w:eastAsia="Arial" w:cs="Arial"/>
          <w:color w:val="000000"/>
          <w:sz w:val="20"/>
        </w:rPr>
      </w:pPr>
      <w:r>
        <w:rPr>
          <w:rFonts w:ascii="Arial" w:hAnsi="Arial" w:eastAsia="Arial" w:cs="Arial"/>
          <w:color w:val="000000"/>
          <w:sz w:val="20"/>
        </w:rPr>
        <w:t>In addition to the obligations listed in the Service Agreement, organisations funded to deliver this activity must comply with the following:</w:t>
      </w:r>
    </w:p>
    <w:p>
      <w:pPr>
        <w:spacing w:before="240" w:after="90" w:line="320" w:lineRule="atLeast"/>
        <w:ind w:left="111" w:right="105"/>
        <w:rPr>
          <w:rFonts w:ascii="Arial" w:hAnsi="Arial" w:eastAsia="Arial" w:cs="Arial"/>
          <w:b/>
          <w:bCs/>
          <w:color w:val="201547"/>
          <w:sz w:val="22"/>
        </w:rPr>
      </w:pPr>
      <w:r>
        <w:rPr>
          <w:rFonts w:ascii="Arial" w:hAnsi="Arial" w:eastAsia="Arial" w:cs="Arial"/>
          <w:b/>
          <w:bCs/>
          <w:color w:val="201547"/>
          <w:sz w:val="22"/>
        </w:rPr>
        <w:t>4a. Registration and Accreditation</w:t>
      </w:r>
    </w:p>
    <w:p>
      <w:pPr>
        <w:spacing w:after="40" w:line="270" w:lineRule="atLeast"/>
        <w:ind w:left="111" w:right="105"/>
        <w:rPr>
          <w:rFonts w:ascii="Arial" w:hAnsi="Arial" w:eastAsia="Arial" w:cs="Arial"/>
          <w:color w:val="000000"/>
          <w:sz w:val="20"/>
        </w:rPr>
      </w:pPr>
      <w:r>
        <w:rPr>
          <w:rFonts w:ascii="Arial" w:hAnsi="Arial" w:eastAsia="Arial" w:cs="Arial"/>
          <w:color w:val="000000"/>
          <w:sz w:val="20"/>
        </w:rPr>
        <w:t>N/A</w:t>
      </w:r>
    </w:p>
    <w:p>
      <w:pPr>
        <w:spacing w:before="240" w:after="90" w:line="320" w:lineRule="atLeast"/>
        <w:ind w:left="111" w:right="105"/>
        <w:rPr>
          <w:rFonts w:ascii="Arial" w:hAnsi="Arial" w:eastAsia="Arial" w:cs="Arial"/>
          <w:color w:val="000000"/>
          <w:sz w:val="22"/>
        </w:rPr>
      </w:pPr>
      <w:r>
        <w:rPr>
          <w:rFonts w:ascii="Arial" w:hAnsi="Arial" w:eastAsia="Arial" w:cs="Arial"/>
          <w:b/>
          <w:bCs/>
          <w:color w:val="201547"/>
          <w:sz w:val="22"/>
        </w:rPr>
        <w:t>4b. Program requirements and other policy guidelines</w:t>
      </w:r>
      <w:r>
        <w:rPr>
          <w:rFonts w:ascii="Arial" w:hAnsi="Arial" w:eastAsia="Arial" w:cs="Arial"/>
          <w:color w:val="000000"/>
          <w:sz w:val="22"/>
        </w:rPr>
        <w:t/>
      </w:r>
    </w:p>
    <w:p>
      <w:pPr>
        <w:numPr>
          <w:ilvl w:val="0"/>
          <w:numId w:val="7"/>
        </w:numPr>
        <w:spacing w:after="40" w:line="270" w:lineRule="atLeast"/>
        <w:rPr>
          <w:rFonts w:ascii="Arial" w:hAnsi="Arial" w:eastAsia="Arial" w:cs="Arial"/>
          <w:color w:val="3366FF"/>
          <w:sz w:val="20"/>
        </w:rPr>
      </w:pPr>
      <w:hyperlink r:id="rId11" w:tgtFrame="_blank" w:history="1">
        <w:r>
          <w:rPr>
            <w:rFonts w:ascii="Arial" w:hAnsi="Arial" w:eastAsia="Arial" w:cs="Arial"/>
            <w:color w:val="3366FF"/>
            <w:sz w:val="20"/>
          </w:rPr>
          <w:t>The Victorian HACC Program Manual</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&lt;https://www2.health.vic.gov.au/ageing-and-aged-care/home-and-community-care/hacc-program-for-younger-people/hacc-program-guidelines&gt;</w:t>
      </w:r>
    </w:p>
    <w:p>
      <w:pPr>
        <w:numPr>
          <w:ilvl w:val="0"/>
          <w:numId w:val="7"/>
        </w:numPr>
        <w:spacing w:after="40" w:line="270" w:lineRule="atLeast"/>
        <w:rPr>
          <w:rFonts w:ascii="Arial" w:hAnsi="Arial" w:eastAsia="Arial" w:cs="Arial"/>
          <w:color w:val="3366FF"/>
          <w:sz w:val="20"/>
        </w:rPr>
      </w:pPr>
      <w:hyperlink r:id="rId12" w:tgtFrame="_blank" w:history="1">
        <w:r>
          <w:rPr>
            <w:rFonts w:ascii="Arial" w:hAnsi="Arial" w:eastAsia="Arial" w:cs="Arial"/>
            <w:color w:val="3366FF"/>
            <w:sz w:val="20"/>
          </w:rPr>
          <w:t>Framework for assessment in the HACC program in Victoria.</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&lt;https://www2.health.vic.gov.au/Api/downloadmedia/%7B95EDEB45-C044-4EE4-9811-177290833DAC%7D&gt;</w:t>
      </w:r>
    </w:p>
    <w:p>
      <w:pPr>
        <w:spacing w:line="270" w:lineRule="atLeast"/>
        <w:ind w:left="111" w:right="105"/>
        <w:rPr>
          <w:rFonts w:ascii="Arial" w:hAnsi="Arial" w:eastAsia="Arial" w:cs="Arial"/>
          <w:color w:val="000000"/>
          <w:sz w:val="20"/>
        </w:rPr>
      </w:pPr>
      <w:r>
        <w:rPr>
          <w:rFonts w:ascii="Arial" w:hAnsi="Arial" w:eastAsia="Arial" w:cs="Arial"/>
          <w:color w:val="000000"/>
          <w:sz w:val="20"/>
        </w:rPr>
        <w:t/>
      </w:r>
    </w:p>
    <w:p>
      <w:pPr>
        <w:spacing w:before="320" w:after="200" w:line="440" w:lineRule="atLeast"/>
        <w:ind w:left="111" w:right="105"/>
        <w:rPr>
          <w:rFonts w:ascii="Arial" w:hAnsi="Arial" w:eastAsia="Arial" w:cs="Arial"/>
          <w:color w:val="000000"/>
          <w:sz w:val="20"/>
        </w:rPr>
      </w:pPr>
      <w:r>
        <w:rPr>
          <w:rFonts w:ascii="Arial" w:hAnsi="Arial" w:eastAsia="Arial" w:cs="Arial"/>
          <w:b/>
          <w:bCs/>
          <w:color w:val="201547"/>
          <w:sz w:val="28"/>
        </w:rPr>
        <w:t>5. Performance</w:t>
      </w:r>
      <w:r>
        <w:rPr>
          <w:rFonts w:ascii="Arial" w:hAnsi="Arial" w:eastAsia="Arial" w:cs="Arial"/>
          <w:color w:val="000000"/>
          <w:sz w:val="20"/>
        </w:rPr>
        <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Funding is subject to achieving the performance targets specified in Schedule 2 of the Service Agreement. </w:t>
      </w:r>
    </w:p>
    <w:p>
      <w:pPr>
        <w:spacing w:before="100" w:line="288" w:lineRule="auto"/>
        <w:ind w:left="111" w:right="105"/>
        <w:rPr>
          <w:rFonts w:ascii="Arial" w:hAnsi="Arial" w:eastAsia="Arial" w:cs="Arial"/>
          <w:b/>
          <w:bCs/>
          <w:color w:val="000000"/>
          <w:sz w:val="20"/>
        </w:rPr>
      </w:pPr>
      <w:r>
        <w:rPr>
          <w:rFonts w:ascii="Arial" w:hAnsi="Arial" w:eastAsia="Arial" w:cs="Arial"/>
          <w:color w:val="000000"/>
          <w:sz w:val="20"/>
        </w:rPr>
        <w:t>Performance is measured as follows:</w:t>
      </w:r>
      <w:r>
        <w:rPr>
          <w:rFonts w:ascii="Arial" w:hAnsi="Arial" w:eastAsia="Arial" w:cs="Arial"/>
          <w:b/>
          <w:bCs/>
          <w:color w:val="000000"/>
          <w:sz w:val="20"/>
        </w:rPr>
        <w:t xml:space="preserve"> </w:t>
      </w:r>
    </w:p>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1: Provide a service activity report</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objective of this measure is to report on the outcomes delivered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Submit an Annual Service Activity Report as required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HACC-PYP Fee Report</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HACC-PYP Annual Service Activity Report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A narrative report submitted annual to describe the outcomes of programs delivered</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Performance measure 2: Provide a service activity report</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Performance measure 3: Number of hours</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objective of this measure is to record the hours of community care provided to individual clients and carers and/or the time the worker has worked - Worker time, hours of service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Count the number of hours of direct service to individual clients or carers as relevant</w:t>
            </w:r>
            <w:r>
              <w:br/>
            </w:r>
            <w:r>
              <w:rPr>
                <w:rFonts w:ascii="Arial" w:hAnsi="Arial" w:eastAsia="Arial" w:cs="Arial"/>
                <w:color w:val="000000"/>
                <w:sz w:val="20"/>
              </w:rPr>
              <w:t>Count the number of hours the worker has worked as relevant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HACC-PYP Fee Report</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Victorian Community Support Services (VCSS) minimum dataset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An hour of service comprises time spent face to face and indirect time spent on behalf of the client or carer such as phone calls and time spent writing case notes or support plans.</w:t>
            </w:r>
            <w:r>
              <w:br/>
            </w:r>
            <w:r>
              <w:rPr>
                <w:rFonts w:ascii="Arial" w:hAnsi="Arial" w:eastAsia="Arial" w:cs="Arial"/>
                <w:color w:val="000000"/>
                <w:sz w:val="20"/>
              </w:rPr>
              <w:t>Hours worked includes all hours worked</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Performance measure 4: Number of trips</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objective of this measure is to record the number of trips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Count the number of trips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Victorian Community Support Services (VCSS) minimum dataset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A trip is from the point of picking a client up to when the client is dropped off.  Each trip is one way, a return trip counts as 2</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Performance measure 5: Number of activities provided</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objective of this measure is to record the number the activities provided include events/ sessions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Count the number of events / sessions / activities – do not report hours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HACC-PYP Fee Report</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Victorian Community Support Services (VCSS) minimum dataset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An event / session / activity includes newsletter, training sessions, etc</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Performance measure 6: Number of meals / meal vouchers</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objective of this measure is to record the number of meals or vouchers provided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Count the number of meals and/or meal vouchers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Victorian Community Support Services (VCSS) minimum dataset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A meal includes:</w:t>
            </w:r>
            <w:r>
              <w:br/>
            </w:r>
            <w:r>
              <w:rPr>
                <w:rFonts w:ascii="Arial" w:hAnsi="Arial" w:eastAsia="Arial" w:cs="Arial"/>
                <w:color w:val="000000"/>
                <w:sz w:val="20"/>
              </w:rPr>
              <w:t>• A meal delivered to a person’s home</w:t>
            </w:r>
            <w:r>
              <w:br/>
            </w:r>
            <w:r>
              <w:rPr>
                <w:rFonts w:ascii="Arial" w:hAnsi="Arial" w:eastAsia="Arial" w:cs="Arial"/>
                <w:color w:val="000000"/>
                <w:sz w:val="20"/>
              </w:rPr>
              <w:t>• A meal provided in a community setting</w:t>
            </w:r>
            <w:r>
              <w:br/>
            </w:r>
            <w:r>
              <w:rPr>
                <w:rFonts w:ascii="Arial" w:hAnsi="Arial" w:eastAsia="Arial" w:cs="Arial"/>
                <w:color w:val="000000"/>
                <w:sz w:val="20"/>
              </w:rPr>
              <w:t>• A meal voucher provided to a client</w:t>
            </w:r>
          </w:p>
        </w:tc>
      </w:tr>
    </w:tbl>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6. Data collection</w:t>
      </w:r>
    </w:p>
    <w:p>
      <w:pPr>
        <w:spacing w:line="288" w:lineRule="auto"/>
        <w:ind w:left="111" w:right="105"/>
        <w:rPr>
          <w:rFonts w:ascii="Arial" w:hAnsi="Arial" w:eastAsia="Arial" w:cs="Arial"/>
          <w:b/>
          <w:bCs/>
          <w:color w:val="000000"/>
          <w:sz w:val="20"/>
        </w:rPr>
      </w:pPr>
      <w:r>
        <w:rPr>
          <w:rFonts w:ascii="Arial" w:hAnsi="Arial" w:eastAsia="Arial" w:cs="Arial"/>
          <w:color w:val="000000"/>
          <w:sz w:val="20"/>
        </w:rPr>
        <w:t>The reporting requirements for this service are:</w:t>
      </w:r>
      <w:r>
        <w:rPr>
          <w:rFonts w:ascii="Arial" w:hAnsi="Arial" w:eastAsia="Arial" w:cs="Arial"/>
          <w:b/>
          <w:bCs/>
          <w:color w:val="000000"/>
          <w:sz w:val="20"/>
        </w:rPr>
        <w:t xml:space="preserve"> </w:t>
      </w:r>
      <w:r>
        <w:rPr>
          <w:rFonts w:ascii="Arial" w:hAnsi="Arial" w:eastAsia="Arial" w:cs="Arial"/>
          <w:b/>
          <w:bCs/>
          <w:color w:val="000000"/>
          <w:sz w:val="20"/>
        </w:rPr>
        <w:t/>
      </w:r>
    </w:p>
    <w:tbl>
      <w:tblPr>
        <w:tblW w:w="0" w:type="auto"/>
        <w:tblInd w:w="111" w:type="dxa"/>
        <w:tblLayout w:type="fixed"/>
        <w:tblCellMar>
          <w:left w:w="0" w:type="dxa"/>
          <w:right w:w="0" w:type="dxa"/>
        </w:tblCellMar>
      </w:tblPr>
      <w:tblGrid>
        <w:gridCol w:w="2580"/>
        <w:gridCol w:w="2580"/>
        <w:gridCol w:w="2580"/>
        <w:gridCol w:w="2508"/>
      </w:tblGrid>
      <w:tr>
        <w:trPr>
          <w:tblHeader/>
        </w:trP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collection name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system</w:t>
            </w:r>
            <w:r>
              <w:rPr>
                <w:rFonts w:ascii="Arial" w:hAnsi="Arial" w:eastAsia="Arial" w:cs="Arial"/>
                <w:b/>
                <w:bCs/>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set</w:t>
            </w:r>
            <w:r>
              <w:rPr>
                <w:rFonts w:ascii="Arial" w:hAnsi="Arial" w:eastAsia="Arial" w:cs="Arial"/>
                <w:b/>
                <w:bCs/>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Reporting cycle</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HACC-PYP Fee Report</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Data Collection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Quantitative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Annual</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Victorian Community Support Services (VCSS) minimum dataset</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Data Collection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Victorian Community Support Services (VCSS) Minimum Dataset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Quarterly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HACC-PYP Annual Service Activity Report</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Data Collection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Qualitative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Annual</w:t>
            </w:r>
          </w:p>
        </w:tc>
      </w:tr>
    </w:tbl>
    <w:p>
      <w:pPr>
        <w:spacing w:before="100" w:line="288" w:lineRule="auto"/>
        <w:ind w:left="111" w:right="105"/>
        <w:rPr>
          <w:rFonts w:ascii="Arial" w:hAnsi="Arial" w:eastAsia="Arial" w:cs="Arial"/>
          <w:color w:val="000000"/>
          <w:sz w:val="18"/>
        </w:rPr>
      </w:pPr>
      <w:r>
        <w:rPr>
          <w:rFonts w:ascii="Arial" w:hAnsi="Arial" w:eastAsia="Arial" w:cs="Arial"/>
          <w:color w:val="000000"/>
          <w:sz w:val="18"/>
        </w:rPr>
        <w:t/>
      </w:r>
    </w:p>
    <w:tbl>
      <w:tblPr>
        <w:tblW w:w="0" w:type="auto"/>
        <w:tblInd w:w="3" w:type="dxa"/>
        <w:tblLayout w:type="fixed"/>
        <w:tblCellMar>
          <w:left w:w="0" w:type="dxa"/>
          <w:right w:w="0" w:type="dxa"/>
        </w:tblCellMar>
      </w:tblPr>
      <w:tblGrid>
        <w:gridCol w:w="10312"/>
      </w:tblGrid>
      <w:tr>
        <w:trPr>
          <w:cantSplit/>
        </w:trPr>
        <w:tc>
          <w:tcPr>
            <w:tcW w:w="10312" w:type="dxa"/>
            <w:tcBorders>
              <w:top w:val="single" w:sz="4" w:space="0" w:color="000000"/>
              <w:bottom w:val="single" w:sz="4" w:space="0" w:color="000000"/>
              <w:left w:val="single" w:sz="4" w:space="0" w:color="000000"/>
              <w:right w:val="single" w:sz="4" w:space="0" w:color="000000"/>
            </w:tcBorders>
            <w:vAlign w:val="bottom"/>
            <w:shd w:val="clear" w:color="auto" w:fill="FFFFFF"/>
          </w:tcPr>
          <w:p>
            <w:pPr>
              <w:keepLines/>
              <w:spacing w:before="100" w:line="288" w:lineRule="auto"/>
              <w:ind w:left="108" w:right="108"/>
              <w:rPr>
                <w:rFonts w:ascii="Arial" w:hAnsi="Arial" w:eastAsia="Arial" w:cs="Arial"/>
                <w:color w:val="000000"/>
                <w:sz w:val="24"/>
              </w:rPr>
            </w:pPr>
            <w:r>
              <w:rPr>
                <w:rFonts w:ascii="Arial" w:hAnsi="Arial" w:eastAsia="Arial" w:cs="Arial"/>
                <w:color w:val="000000"/>
                <w:sz w:val="24"/>
              </w:rPr>
              <w:t>To receive this publication in an accessible format, email</w:t>
            </w:r>
            <w:r>
              <w:rPr>
                <w:rFonts w:ascii="Arial" w:hAnsi="Arial" w:eastAsia="Arial" w:cs="Arial"/>
                <w:color w:val="3366FF"/>
                <w:sz w:val="24"/>
              </w:rPr>
              <w:t xml:space="preserve"> Service Agreement Strategy and Practice</w:t>
            </w:r>
            <w:r>
              <w:rPr>
                <w:rFonts w:ascii="Arial" w:hAnsi="Arial" w:eastAsia="Arial" w:cs="Arial"/>
                <w:color w:val="000000"/>
                <w:sz w:val="24"/>
              </w:rPr>
              <w:t xml:space="preserve"> </w:t>
            </w:r>
            <w:hyperlink r:id="rId13" w:tgtFrame="_blank" w:history="1">
              <w:r>
                <w:rPr>
                  <w:rFonts w:ascii="Arial" w:hAnsi="Arial" w:eastAsia="Arial" w:cs="Arial"/>
                  <w:color w:val="3366FF"/>
                  <w:sz w:val="24"/>
                </w:rPr>
                <w:t>&lt;sapolicy@dhhs.vic.gov.au</w:t>
              </w:r>
            </w:hyperlink>
            <w:r>
              <w:rPr>
                <w:rFonts w:ascii="Arial" w:hAnsi="Arial" w:eastAsia="Arial" w:cs="Arial"/>
                <w:color w:val="000000"/>
                <w:sz w:val="24"/>
              </w:rPr>
              <w:t>&gt;</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 xml:space="preserve">Authorised and published by the Victorian Government, 1 Treasury Place, Melbourne. © State of Victoria, Department of Health, </w:t>
            </w:r>
            <w:r>
              <w:rPr>
                <w:rFonts w:ascii="Arial" w:hAnsi="Arial" w:eastAsia="Arial" w:cs="Arial"/>
                <w:color w:val="000000"/>
                <w:sz w:val="16"/>
              </w:rPr>
              <w:t>October 2021</w:t>
            </w:r>
            <w:r>
              <w:rPr>
                <w:rFonts w:ascii="Arial" w:hAnsi="Arial" w:eastAsia="Arial" w:cs="Arial"/>
                <w:color w:val="000000"/>
                <w:sz w:val="16"/>
              </w:rPr>
              <w:t xml:space="preserve">. </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In this document, ‘Aboriginal’ refers to both Aboriginal and Torres Strait Islander people. ‘Indigenous’ or ‘Koori/Koorie' is retained when part of the title of a report, program or quotation.</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ISSN 2653-0937 – Online (PDF/Word)</w:t>
            </w:r>
          </w:p>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Available at </w:t>
            </w:r>
            <w:r>
              <w:rPr>
                <w:rFonts w:ascii="Arial" w:hAnsi="Arial" w:eastAsia="Arial" w:cs="Arial"/>
                <w:color w:val="3366FF"/>
                <w:sz w:val="20"/>
              </w:rPr>
              <w:t xml:space="preserve">Department of Families, Fairness and Housing and Department of Health </w:t>
            </w:r>
            <w:r>
              <w:rPr>
                <w:rFonts w:ascii="Arial" w:hAnsi="Arial" w:eastAsia="Arial" w:cs="Arial"/>
                <w:color w:val="000000"/>
                <w:sz w:val="20"/>
              </w:rPr>
              <w:t>activity search</w:t>
            </w:r>
          </w:p>
          <w:p>
            <w:pPr>
              <w:keepLines/>
              <w:spacing w:before="100" w:line="288" w:lineRule="auto"/>
              <w:ind w:left="108" w:right="108"/>
              <w:rPr>
                <w:rFonts w:ascii="Arial" w:hAnsi="Arial" w:eastAsia="Arial" w:cs="Arial"/>
                <w:color w:val="000000"/>
                <w:sz w:val="20"/>
              </w:rPr>
            </w:pPr>
            <w:hyperlink r:id="rId14" w:tgtFrame="_blank" w:history="1">
              <w:r>
                <w:rPr>
                  <w:rFonts w:ascii="Arial" w:hAnsi="Arial" w:eastAsia="Arial" w:cs="Arial"/>
                  <w:color w:val="3366FF"/>
                  <w:sz w:val="20"/>
                </w:rPr>
                <w:t>&lt;http://providers.dffh.vic.gov.au/families-fairness-housing-health-activity-search</w:t>
              </w:r>
            </w:hyperlink>
            <w:r>
              <w:rPr>
                <w:rFonts w:ascii="Arial" w:hAnsi="Arial" w:eastAsia="Arial" w:cs="Arial"/>
                <w:color w:val="000000"/>
                <w:sz w:val="20"/>
              </w:rPr>
              <w:t>&gt;</w:t>
            </w:r>
          </w:p>
        </w:tc>
      </w:tr>
    </w:tbl>
    <w:p>
      <w:pPr>
        <w:spacing w:before="100" w:line="288" w:lineRule="auto"/>
        <w:ind w:left="111" w:right="105"/>
        <w:rPr>
          <w:rFonts w:ascii="Arial" w:hAnsi="Arial" w:eastAsia="Arial" w:cs="Arial"/>
          <w:color w:val="000000"/>
          <w:sz w:val="18"/>
        </w:rPr>
      </w:pPr>
      <w:bookmarkStart w:id="0" w:name="page_total_master0"/>
      <w:r>
        <w:rPr>
          <w:rFonts w:ascii="Arial" w:hAnsi="Arial" w:eastAsia="Arial" w:cs="Arial"/>
          <w:color w:val="000000"/>
          <w:sz w:val="18"/>
        </w:rPr>
        <w:t/>
      </w:r>
      <w:bookmarkEnd w:id="0"/>
      <w:bookmarkStart w:id="1" w:name="page_total"/>
      <w:r>
        <w:rPr>
          <w:rFonts w:ascii="Arial" w:hAnsi="Arial" w:eastAsia="Arial" w:cs="Arial"/>
          <w:color w:val="000000"/>
          <w:sz w:val="18"/>
        </w:rPr>
        <w:t/>
      </w:r>
      <w:bookmarkEnd w:id="1"/>
    </w:p>
    <w:sectPr>
      <w:headerReference w:type="default" r:id="rId6"/>
      <w:headerReference w:type="first" r:id="rId7"/>
      <w:footerReference w:type="default" r:id="rId8"/>
      <w:footerReference w:type="first" r:id="rId9"/>
      <w:pgSz w:w="11900" w:h="16820"/>
      <w:pgMar w:top="560" w:right="740" w:bottom="1120" w:left="740" w:header="567"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428"/>
        <w:tab w:val="left" w:pos="9123"/>
        <w:tab w:val="right" w:pos="10314"/>
      </w:tabs>
      <w:ind w:left="111" w:right="105"/>
      <w:rPr/>
    </w:pPr>
    <w:r>
      <w:rPr>
        <w:rFonts w:ascii="Arial" w:hAnsi="Arial" w:eastAsia="Arial" w:cs="Arial"/>
        <w:color w:val="000000"/>
        <w:sz w:val="18"/>
      </w:rPr>
      <w:tab/>
    </w:r>
  </w:p>
  <w:tbl>
    <w:tblPr>
      <w:tblW w:w="0" w:type="auto"/>
      <w:tblInd w:w="111" w:type="dxa"/>
      <w:tblLayout w:type="fixed"/>
      <w:tblCellMar>
        <w:left w:w="0" w:type="dxa"/>
        <w:right w:w="0" w:type="dxa"/>
      </w:tblCellMar>
    </w:tblPr>
    <w:tblGrid>
      <w:gridCol w:w="3185"/>
      <w:gridCol w:w="3473"/>
      <w:gridCol w:w="3474"/>
    </w:tblGrid>
    <w:tr>
      <w:tc>
        <w:tcPr>
          <w:tcW w:w="3185" w:type="dxa"/>
          <w:shd w:val="clear" w:color="auto" w:fill="FFFFFF"/>
        </w:tcPr>
        <w:p>
          <w:pPr>
            <w:tabs>
              <w:tab w:val="right" w:pos="10314"/>
            </w:tabs>
            <w:spacing w:before="240"/>
            <w:ind w:left="108" w:right="108"/>
            <w:rPr/>
          </w:pPr>
          <w:r>
            <w:rPr>
              <w:noProof/>
            </w:rPr>
            <w:drawing>
              <wp:inline distT="0" distB="0" distL="0" distR="0">
                <wp:extent cx="166687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4" w:type="dxa"/>
          <w:shd w:val="clear" w:color="auto" w:fill="FFFFFF"/>
        </w:tcPr>
        <w:p>
          <w:pPr>
            <w:tabs>
              <w:tab w:val="right" w:pos="10314"/>
            </w:tabs>
            <w:spacing w:before="240"/>
            <w:ind w:left="108" w:right="108"/>
            <w:jc w:val="center"/>
            <w:rPr>
              <w:rFonts w:ascii="Arial" w:hAnsi="Arial" w:eastAsia="Arial" w:cs="Arial"/>
              <w:color w:val="000000"/>
              <w:sz w:val="18"/>
            </w:rPr>
          </w:pPr>
          <w:r>
            <w:rPr>
              <w:rFonts w:ascii="Arial" w:hAnsi="Arial" w:eastAsia="Arial" w:cs="Arial"/>
              <w:color w:val="000000"/>
              <w:sz w:val="18"/>
            </w:rPr>
            <w:t xml:space="preserve">             </w:t>
          </w:r>
        </w:p>
      </w:tc>
    </w:tr>
  </w:tbl>
  <w:p>
    <w:pPr>
      <w:tabs>
        <w:tab w:val="right" w:pos="10314"/>
      </w:tabs>
      <w:ind w:left="111" w:right="105"/>
      <w:jc w:val="center"/>
      <w:rPr>
        <w:rFonts w:ascii="Arial" w:hAnsi="Arial" w:eastAsia="Arial" w:cs="Arial"/>
        <w:color w:val="000000"/>
        <w:sz w:val="20"/>
      </w:rPr>
    </w:pPr>
    <w:r>
      <w:rPr>
        <w:rFonts w:ascii="Arial" w:hAnsi="Arial" w:eastAsia="Arial" w:cs="Arial"/>
        <w:color w:val="000000"/>
        <w:sz w:val="20"/>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11" w:type="dxa"/>
      <w:tblLayout w:type="fixed"/>
      <w:tblCellMar>
        <w:left w:w="0" w:type="dxa"/>
        <w:right w:w="0" w:type="dxa"/>
      </w:tblCellMar>
    </w:tblPr>
    <w:tblGrid>
      <w:gridCol w:w="3185"/>
      <w:gridCol w:w="3473"/>
      <w:gridCol w:w="3474"/>
    </w:tblGrid>
    <w:tr>
      <w:tc>
        <w:tcPr>
          <w:tcW w:w="3185" w:type="dxa"/>
          <w:shd w:val="clear" w:color="auto" w:fill="FFFFFF"/>
        </w:tcPr>
        <w:p>
          <w:pPr>
            <w:tabs>
              <w:tab w:val="left" w:pos="318"/>
              <w:tab w:val="right" w:pos="10314"/>
            </w:tabs>
            <w:spacing w:before="240"/>
            <w:ind w:left="108" w:right="108"/>
            <w:rPr/>
          </w:pPr>
          <w:r>
            <w:rPr>
              <w:noProof/>
            </w:rPr>
            <w:drawing>
              <wp:inline distT="0" distB="0" distL="0" distR="0">
                <wp:extent cx="166687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4" w:type="dxa"/>
          <w:shd w:val="clear" w:color="auto" w:fill="FFFFFF"/>
        </w:tcPr>
        <w:p>
          <w:pPr>
            <w:tabs>
              <w:tab w:val="right" w:pos="10314"/>
            </w:tabs>
            <w:spacing w:before="240"/>
            <w:ind w:left="108" w:right="108"/>
            <w:jc w:val="center"/>
            <w:rPr>
              <w:rFonts w:ascii="Arial" w:hAnsi="Arial" w:eastAsia="Arial" w:cs="Arial"/>
              <w:color w:val="000000"/>
              <w:sz w:val="18"/>
            </w:rPr>
          </w:pPr>
          <w:r>
            <w:rPr>
              <w:rFonts w:ascii="Arial" w:hAnsi="Arial" w:eastAsia="Arial" w:cs="Arial"/>
              <w:color w:val="000000"/>
              <w:sz w:val="18"/>
            </w:rPr>
            <w:t xml:space="preserve">            </w:t>
          </w:r>
        </w:p>
      </w:tc>
    </w:tr>
  </w:tbl>
  <w:p>
    <w:pPr>
      <w:tabs>
        <w:tab w:val="right" w:pos="10314"/>
      </w:tabs>
      <w:spacing w:before="240"/>
      <w:ind w:left="111" w:right="105"/>
      <w:rPr>
        <w:rFonts w:ascii="Arial" w:hAnsi="Arial" w:eastAsia="Arial" w:cs="Arial"/>
        <w:color w:val="000000"/>
        <w:sz w:val="18"/>
      </w:rPr>
    </w:pPr>
    <w:r>
      <w:rPr>
        <w:rFonts w:ascii="Arial" w:hAnsi="Arial" w:eastAsia="Arial" w:cs="Arial"/>
        <w:color w:val="000000"/>
        <w:sz w:val="18"/>
      </w:rPr>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08"/>
        <w:tab w:val="right" w:pos="10312"/>
      </w:tabs>
      <w:ind w:left="111" w:right="105"/>
      <w:rPr>
        <w:rFonts w:ascii="Arial" w:hAnsi="Arial" w:eastAsia="Arial" w:cs="Arial"/>
        <w:color w:val="000000"/>
        <w:sz w:val="18"/>
      </w:rPr>
    </w:pPr>
    <w:r>
      <w:rPr>
        <w:rFonts w:ascii="Arial" w:hAnsi="Arial" w:eastAsia="Arial" w:cs="Arial"/>
        <w:color w:val="000000"/>
        <w:sz w:val="18"/>
      </w:rPr>
      <w:t>Small Rural Services 35030 Small Rural - HACC-PYP</w:t>
    </w:r>
    <w:r>
      <w:rPr>
        <w:rFonts w:ascii="Arial" w:hAnsi="Arial" w:eastAsia="Arial" w:cs="Arial"/>
        <w:color w:val="000000"/>
        <w:sz w:val="18"/>
      </w:rPr>
      <w:tab/>
    </w:r>
    <w:r>
      <w:rPr>
        <w:rFonts w:ascii="Arial" w:hAnsi="Arial" w:eastAsia="Arial" w:cs="Arial"/>
        <w:color w:val="000000"/>
        <w:sz w:val="18"/>
      </w:rPr>
      <w:fldChar w:fldCharType="begin"/>
    </w:r>
    <w:r>
      <w:rPr>
        <w:rFonts w:ascii="Arial" w:hAnsi="Arial" w:eastAsia="Arial" w:cs="Arial"/>
        <w:color w:val="000000"/>
        <w:sz w:val="18"/>
      </w:rPr>
      <w:instrText xml:space="preserve"> PAGE   \* MERGEFORMAT </w:instrText>
    </w:r>
    <w:r>
      <w:rPr>
        <w:rFonts w:ascii="Arial" w:hAnsi="Arial" w:eastAsia="Arial" w:cs="Arial"/>
        <w:color w:val="000000"/>
        <w:sz w:val="18"/>
      </w:rPr>
      <w:fldChar w:fldCharType="separate"/>
    </w:r>
    <w:r>
      <w:rPr>
        <w:rFonts w:ascii="Arial" w:hAnsi="Arial" w:eastAsia="Arial" w:cs="Arial"/>
        <w:color w:val="000000"/>
        <w:sz w:val="18"/>
      </w:rPr>
      <w:t>1</w:t>
    </w:r>
    <w:r>
      <w:rPr>
        <w:rFonts w:ascii="Arial" w:hAnsi="Arial" w:eastAsia="Arial" w:cs="Arial"/>
        <w:color w:val="000000"/>
        <w:sz w:val="18"/>
      </w:rPr>
      <w:fldChar w:fldCharType="end"/>
    </w:r>
  </w:p>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2">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3">
    <w:multiLevelType w:val="hybridMultilevel"/>
    <w:lvl w:ilvl="0">
      <w:start w:val="1"/>
      <w:numFmt w:val="bullet"/>
      <w:lvlText w:val=""/>
      <w:lvlJc w:val="start"/>
      <w:pPr>
        <w:ind w:left="392" w:hanging="284"/>
      </w:pPr>
      <w:rPr>
        <w:rFonts w:ascii="Symbol" w:hAnsi="Symbol" w:eastAsia="Symbol" w:cs="Symbol" w:hint="default"/>
        <w:color w:val="000000"/>
        <w:sz w:val="24"/>
      </w:rPr>
    </w:lvl>
    <w:lvl w:ilvl="1">
      <w:start w:val="1"/>
      <w:numFmt w:val="bullet"/>
      <w:lvlText w:val=""/>
      <w:lvlJc w:val="start"/>
      <w:pPr>
        <w:ind w:left="392" w:hanging="284"/>
      </w:pPr>
      <w:rPr>
        <w:rFonts w:ascii="Symbol" w:hAnsi="Symbol" w:eastAsia="Symbol" w:cs="Symbol" w:hint="default"/>
        <w:color w:val="000000"/>
        <w:sz w:val="24"/>
      </w:rPr>
    </w:lvl>
    <w:lvl w:ilvl="2">
      <w:start w:val="1"/>
      <w:numFmt w:val="bullet"/>
      <w:lvlText w:val="–"/>
      <w:lvlJc w:val="start"/>
      <w:pPr>
        <w:ind w:left="675" w:hanging="283"/>
      </w:pPr>
      <w:rPr>
        <w:rFonts w:ascii="Calibri" w:hAnsi="Calibri" w:eastAsia="Calibri" w:cs="Calibri" w:hint="default"/>
        <w:color w:val="000000"/>
        <w:sz w:val="24"/>
      </w:rPr>
    </w:lvl>
    <w:lvl w:ilvl="3">
      <w:start w:val="1"/>
      <w:numFmt w:val="bullet"/>
      <w:lvlText w:val="–"/>
      <w:lvlJc w:val="start"/>
      <w:pPr>
        <w:ind w:left="675" w:hanging="283"/>
      </w:pPr>
      <w:rPr>
        <w:rFonts w:ascii="Calibri" w:hAnsi="Calibri" w:eastAsia="Calibri" w:cs="Calibri" w:hint="default"/>
        <w:color w:val="000000"/>
        <w:sz w:val="24"/>
      </w:rPr>
    </w:lvl>
    <w:lvl w:ilvl="4">
      <w:start w:val="1"/>
      <w:numFmt w:val="bullet"/>
      <w:lvlText w:val=""/>
      <w:lvlJc w:val="start"/>
      <w:pPr>
        <w:ind w:left="788" w:hanging="283"/>
      </w:pPr>
      <w:rPr>
        <w:rFonts w:ascii="Symbol" w:hAnsi="Symbol" w:eastAsia="Symbol" w:cs="Symbol" w:hint="default"/>
        <w:color w:val="000000"/>
        <w:sz w:val="24"/>
      </w:rPr>
    </w:lvl>
    <w:lvl w:ilvl="5">
      <w:start w:val="1"/>
      <w:numFmt w:val="bullet"/>
      <w:lvlText w:val=""/>
      <w:lvlJc w:val="start"/>
      <w:pPr>
        <w:ind w:left="788" w:hanging="283"/>
      </w:pPr>
      <w:rPr>
        <w:rFonts w:ascii="Symbol" w:hAnsi="Symbol" w:eastAsia="Symbol" w:cs="Symbol" w:hint="default"/>
        <w:color w:val="000000"/>
        <w:sz w:val="24"/>
      </w:rPr>
    </w:lvl>
    <w:lvl w:ilvl="6">
      <w:start w:val="1"/>
      <w:numFmt w:val="bullet"/>
      <w:lvlText w:val=""/>
      <w:lvlJc w:val="start"/>
      <w:pPr>
        <w:ind w:left="335" w:hanging="227"/>
      </w:pPr>
      <w:rPr>
        <w:rFonts w:ascii="Symbol" w:hAnsi="Symbol" w:eastAsia="Symbol" w:cs="Symbol"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abstractNum w:abstractNumId="4">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5">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6">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7">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8">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9">
    <w:multiLevelType w:val="hybridMultilevel"/>
    <w:lvl w:ilvl="0">
      <w:start w:val="1"/>
      <w:numFmt w:val="decimal"/>
      <w:lvlText w:val="%1."/>
      <w:lvlJc w:val="start"/>
      <w:pPr>
        <w:ind w:left="468" w:hanging="360"/>
      </w:pPr>
      <w:rPr>
        <w:rFonts w:ascii="Calibri" w:hAnsi="Calibri" w:eastAsia="Calibri" w:cs="Calibri" w:hint="default"/>
        <w:color w:val="000000"/>
        <w:sz w:val="24"/>
      </w:rPr>
    </w:lvl>
    <w:lvl w:ilvl="1">
      <w:start w:val="1"/>
      <w:numFmt w:val="lowerLetter"/>
      <w:lvlText w:val="%2."/>
      <w:lvlJc w:val="start"/>
      <w:pPr>
        <w:ind w:left="1188" w:hanging="360"/>
      </w:pPr>
      <w:rPr>
        <w:rFonts w:ascii="Calibri" w:hAnsi="Calibri" w:eastAsia="Calibri" w:cs="Calibri" w:hint="default"/>
        <w:color w:val="000000"/>
        <w:sz w:val="24"/>
      </w:rPr>
    </w:lvl>
    <w:lvl w:ilvl="2">
      <w:start w:val="1"/>
      <w:numFmt w:val="lowerRoman"/>
      <w:lvlText w:val="%3."/>
      <w:lvlJc w:val="end"/>
      <w:pPr>
        <w:ind w:left="1908" w:hanging="180"/>
      </w:pPr>
      <w:rPr>
        <w:rFonts w:ascii="Calibri" w:hAnsi="Calibri" w:eastAsia="Calibri" w:cs="Calibri" w:hint="default"/>
        <w:color w:val="000000"/>
        <w:sz w:val="24"/>
      </w:rPr>
    </w:lvl>
    <w:lvl w:ilvl="3">
      <w:start w:val="1"/>
      <w:numFmt w:val="decimal"/>
      <w:lvlText w:val="%4."/>
      <w:lvlJc w:val="start"/>
      <w:pPr>
        <w:ind w:left="2628" w:hanging="360"/>
      </w:pPr>
      <w:rPr>
        <w:rFonts w:ascii="Calibri" w:hAnsi="Calibri" w:eastAsia="Calibri" w:cs="Calibri" w:hint="default"/>
        <w:color w:val="000000"/>
        <w:sz w:val="24"/>
      </w:rPr>
    </w:lvl>
    <w:lvl w:ilvl="4">
      <w:start w:val="1"/>
      <w:numFmt w:val="lowerLetter"/>
      <w:lvlText w:val="%5."/>
      <w:lvlJc w:val="start"/>
      <w:pPr>
        <w:ind w:left="3348" w:hanging="360"/>
      </w:pPr>
      <w:rPr>
        <w:rFonts w:ascii="Calibri" w:hAnsi="Calibri" w:eastAsia="Calibri" w:cs="Calibri" w:hint="default"/>
        <w:color w:val="000000"/>
        <w:sz w:val="24"/>
      </w:rPr>
    </w:lvl>
    <w:lvl w:ilvl="5">
      <w:start w:val="1"/>
      <w:numFmt w:val="lowerRoman"/>
      <w:lvlText w:val="%6."/>
      <w:lvlJc w:val="end"/>
      <w:pPr>
        <w:ind w:left="4068" w:hanging="180"/>
      </w:pPr>
      <w:rPr>
        <w:rFonts w:ascii="Calibri" w:hAnsi="Calibri" w:eastAsia="Calibri" w:cs="Calibri" w:hint="default"/>
        <w:color w:val="000000"/>
        <w:sz w:val="24"/>
      </w:rPr>
    </w:lvl>
    <w:lvl w:ilvl="6">
      <w:start w:val="1"/>
      <w:numFmt w:val="decimal"/>
      <w:lvlText w:val="%7."/>
      <w:lvlJc w:val="start"/>
      <w:pPr>
        <w:ind w:left="4788" w:hanging="360"/>
      </w:pPr>
      <w:rPr>
        <w:rFonts w:ascii="Calibri" w:hAnsi="Calibri" w:eastAsia="Calibri" w:cs="Calibri" w:hint="default"/>
        <w:color w:val="000000"/>
        <w:sz w:val="24"/>
      </w:rPr>
    </w:lvl>
    <w:lvl w:ilvl="7">
      <w:start w:val="1"/>
      <w:numFmt w:val="lowerLetter"/>
      <w:lvlText w:val="%8."/>
      <w:lvlJc w:val="start"/>
      <w:pPr>
        <w:ind w:left="5508" w:hanging="360"/>
      </w:pPr>
      <w:rPr>
        <w:rFonts w:ascii="Calibri" w:hAnsi="Calibri" w:eastAsia="Calibri" w:cs="Calibri" w:hint="default"/>
        <w:color w:val="000000"/>
        <w:sz w:val="24"/>
      </w:rPr>
    </w:lvl>
    <w:lvl w:ilvl="8">
      <w:start w:val="1"/>
      <w:numFmt w:val="lowerRoman"/>
      <w:lvlText w:val="%9."/>
      <w:lvlJc w:val="end"/>
      <w:pPr>
        <w:ind w:left="6228" w:hanging="180"/>
      </w:pPr>
      <w:rPr>
        <w:rFonts w:ascii="Calibri" w:hAnsi="Calibri" w:eastAsia="Calibri" w:cs="Calibri" w:hint="default"/>
        <w:color w:val="000000"/>
        <w:sz w:val="24"/>
      </w:rPr>
    </w:lvl>
  </w:abstractNum>
  <w:abstractNum w:abstractNumId="1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1">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12">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3">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4">
    <w:multiLevelType w:val="hybridMultilevel"/>
    <w:lvl w:ilvl="0">
      <w:start w:val="1"/>
      <w:numFmt w:val="bullet"/>
      <w:lvlText w:val="•"/>
      <w:lvlJc w:val="start"/>
      <w:pPr>
        <w:ind w:left="392" w:hanging="284"/>
      </w:pPr>
      <w:rPr>
        <w:rFonts w:ascii="Calibri" w:hAnsi="Calibri" w:eastAsia="Calibri" w:cs="Calibri" w:hint="default"/>
        <w:color w:val="000000"/>
        <w:sz w:val="20"/>
      </w:rPr>
    </w:lvl>
    <w:lvl w:ilvl="1">
      <w:start w:val="1"/>
      <w:numFmt w:val="bullet"/>
      <w:lvlText w:val="•"/>
      <w:lvlJc w:val="start"/>
      <w:pPr>
        <w:ind w:left="392" w:hanging="284"/>
      </w:pPr>
      <w:rPr>
        <w:rFonts w:ascii="Calibri" w:hAnsi="Calibri" w:eastAsia="Calibri" w:cs="Calibri" w:hint="default"/>
        <w:color w:val="000000"/>
        <w:sz w:val="24"/>
      </w:rPr>
    </w:lvl>
    <w:lvl w:ilvl="2">
      <w:start w:val="1"/>
      <w:numFmt w:val="bullet"/>
      <w:lvlText w:val="–"/>
      <w:lvlJc w:val="start"/>
      <w:pPr>
        <w:ind w:left="675" w:hanging="283"/>
      </w:pPr>
      <w:rPr>
        <w:rFonts w:ascii="Arial" w:hAnsi="Arial" w:eastAsia="Arial" w:cs="Arial" w:hint="default"/>
        <w:color w:val="000000"/>
        <w:sz w:val="24"/>
      </w:rPr>
    </w:lvl>
    <w:lvl w:ilvl="3">
      <w:start w:val="1"/>
      <w:numFmt w:val="bullet"/>
      <w:lvlText w:val="–"/>
      <w:lvlJc w:val="start"/>
      <w:pPr>
        <w:ind w:left="675" w:hanging="283"/>
      </w:pPr>
      <w:rPr>
        <w:rFonts w:ascii="Arial" w:hAnsi="Arial" w:eastAsia="Arial" w:cs="Arial" w:hint="default"/>
        <w:color w:val="000000"/>
        <w:sz w:val="24"/>
      </w:rPr>
    </w:lvl>
    <w:lvl w:ilvl="4">
      <w:start w:val="1"/>
      <w:numFmt w:val="bullet"/>
      <w:lvlText w:val="•"/>
      <w:lvlJc w:val="start"/>
      <w:pPr>
        <w:ind w:left="788" w:hanging="283"/>
      </w:pPr>
      <w:rPr>
        <w:rFonts w:ascii="Calibri" w:hAnsi="Calibri" w:eastAsia="Calibri" w:cs="Calibri" w:hint="default"/>
        <w:color w:val="000000"/>
        <w:sz w:val="24"/>
      </w:rPr>
    </w:lvl>
    <w:lvl w:ilvl="5">
      <w:start w:val="1"/>
      <w:numFmt w:val="bullet"/>
      <w:lvlText w:val="•"/>
      <w:lvlJc w:val="start"/>
      <w:pPr>
        <w:ind w:left="788" w:hanging="283"/>
      </w:pPr>
      <w:rPr>
        <w:rFonts w:ascii="Calibri" w:hAnsi="Calibri" w:eastAsia="Calibri" w:cs="Calibri" w:hint="default"/>
        <w:color w:val="000000"/>
        <w:sz w:val="24"/>
      </w:rPr>
    </w:lvl>
    <w:lvl w:ilvl="6">
      <w:start w:val="1"/>
      <w:numFmt w:val="bullet"/>
      <w:lvlText w:val="•"/>
      <w:lvlJc w:val="start"/>
      <w:pPr>
        <w:ind w:left="335" w:hanging="227"/>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num w:numId="19">
    <w:abstractNumId w:val="13"/>
  </w:num>
  <w:num w:numId="18">
    <w:abstractNumId w:val="14"/>
  </w:num>
  <w:num w:numId="17">
    <w:abstractNumId w:val="0"/>
  </w:num>
  <w:num w:numId="16">
    <w:abstractNumId w:val="6"/>
  </w:num>
  <w:num w:numId="15">
    <w:abstractNumId w:val="4"/>
  </w:num>
  <w:num w:numId="14">
    <w:abstractNumId w:val="1"/>
  </w:num>
  <w:num w:numId="13">
    <w:abstractNumId w:val="8"/>
  </w:num>
  <w:num w:numId="12">
    <w:abstractNumId w:val="12"/>
  </w:num>
  <w:num w:numId="11">
    <w:abstractNumId w:val="5"/>
  </w:num>
  <w:num w:numId="10">
    <w:abstractNumId w:val="9"/>
  </w:num>
  <w:num w:numId="9">
    <w:abstractNumId w:val="10"/>
  </w:num>
  <w:num w:numId="8">
    <w:abstractNumId w:val="7"/>
  </w:num>
  <w:num w:numId="7">
    <w:abstractNumId w:val="14"/>
  </w:num>
  <w:num w:numId="6">
    <w:abstractNumId w:val="2"/>
  </w:num>
  <w:num w:numId="5">
    <w:abstractNumId w:val="2"/>
  </w:num>
  <w:num w:numId="4">
    <w:abstractNumId w:val="2"/>
  </w:num>
  <w:num w:numId="3">
    <w:abstractNumId w:val="11"/>
  </w:num>
  <w:num w:numId="2">
    <w:abstractNumId w:val="2"/>
  </w: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