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7CD40"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1BBF66E2" wp14:editId="18DA9F21">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5A99DBED"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AAD2699" w14:textId="77777777" w:rsidTr="00CF4148">
        <w:trPr>
          <w:trHeight w:val="1418"/>
        </w:trPr>
        <w:tc>
          <w:tcPr>
            <w:tcW w:w="7825" w:type="dxa"/>
            <w:vAlign w:val="bottom"/>
          </w:tcPr>
          <w:p w14:paraId="5B96FE78" w14:textId="544E382F" w:rsidR="00AD784C" w:rsidRPr="00161AA0" w:rsidRDefault="00275355" w:rsidP="00EC20FF">
            <w:pPr>
              <w:pStyle w:val="Documenttitle"/>
            </w:pPr>
            <w:r>
              <w:t xml:space="preserve">Better Futures </w:t>
            </w:r>
            <w:r w:rsidR="00BF78A8">
              <w:t>eligibility and referral</w:t>
            </w:r>
          </w:p>
        </w:tc>
      </w:tr>
      <w:tr w:rsidR="000B2117" w14:paraId="16CCABBD" w14:textId="77777777" w:rsidTr="009C1CB1">
        <w:trPr>
          <w:trHeight w:val="1247"/>
        </w:trPr>
        <w:tc>
          <w:tcPr>
            <w:tcW w:w="7825" w:type="dxa"/>
          </w:tcPr>
          <w:p w14:paraId="6FAE8FB9" w14:textId="04F09C93" w:rsidR="000B2117" w:rsidRPr="00A1389F" w:rsidRDefault="00275355" w:rsidP="00CF4148">
            <w:pPr>
              <w:pStyle w:val="Documentsubtitle"/>
            </w:pPr>
            <w:r>
              <w:t>Practice advice</w:t>
            </w:r>
            <w:r w:rsidR="00B2217A">
              <w:t xml:space="preserve"> updated December 2021</w:t>
            </w:r>
          </w:p>
        </w:tc>
      </w:tr>
      <w:tr w:rsidR="00CF4148" w14:paraId="26B4770B" w14:textId="77777777" w:rsidTr="00CF4148">
        <w:trPr>
          <w:trHeight w:val="284"/>
        </w:trPr>
        <w:tc>
          <w:tcPr>
            <w:tcW w:w="7825" w:type="dxa"/>
          </w:tcPr>
          <w:p w14:paraId="44E52B21" w14:textId="77777777" w:rsidR="00CF4148" w:rsidRPr="00250DC4" w:rsidRDefault="0014180A" w:rsidP="00CF4148">
            <w:pPr>
              <w:pStyle w:val="Bannermarking"/>
            </w:pPr>
            <w:fldSimple w:instr=" FILLIN  &quot;Type the protective marking&quot; \d OFFICIAL \o  \* MERGEFORMAT ">
              <w:r w:rsidR="00275355">
                <w:t>OFFICIAL</w:t>
              </w:r>
            </w:fldSimple>
          </w:p>
        </w:tc>
      </w:tr>
    </w:tbl>
    <w:p w14:paraId="7447A39B" w14:textId="77777777" w:rsidR="00AD784C" w:rsidRPr="00B57329" w:rsidRDefault="00AD784C" w:rsidP="002365B4">
      <w:pPr>
        <w:pStyle w:val="TOCheadingfactsheet"/>
      </w:pPr>
      <w:r w:rsidRPr="00B57329">
        <w:t>Contents</w:t>
      </w:r>
    </w:p>
    <w:p w14:paraId="1915F8F2" w14:textId="237BEB58" w:rsidR="008B005C"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91079047" w:history="1">
        <w:r w:rsidR="008B005C" w:rsidRPr="00EF5A29">
          <w:rPr>
            <w:rStyle w:val="Hyperlink"/>
          </w:rPr>
          <w:t>Purpose</w:t>
        </w:r>
        <w:r w:rsidR="008B005C">
          <w:rPr>
            <w:webHidden/>
          </w:rPr>
          <w:tab/>
        </w:r>
        <w:r w:rsidR="008B005C">
          <w:rPr>
            <w:webHidden/>
          </w:rPr>
          <w:fldChar w:fldCharType="begin"/>
        </w:r>
        <w:r w:rsidR="008B005C">
          <w:rPr>
            <w:webHidden/>
          </w:rPr>
          <w:instrText xml:space="preserve"> PAGEREF _Toc91079047 \h </w:instrText>
        </w:r>
        <w:r w:rsidR="008B005C">
          <w:rPr>
            <w:webHidden/>
          </w:rPr>
        </w:r>
        <w:r w:rsidR="008B005C">
          <w:rPr>
            <w:webHidden/>
          </w:rPr>
          <w:fldChar w:fldCharType="separate"/>
        </w:r>
        <w:r w:rsidR="008B005C">
          <w:rPr>
            <w:webHidden/>
          </w:rPr>
          <w:t>1</w:t>
        </w:r>
        <w:r w:rsidR="008B005C">
          <w:rPr>
            <w:webHidden/>
          </w:rPr>
          <w:fldChar w:fldCharType="end"/>
        </w:r>
      </w:hyperlink>
    </w:p>
    <w:p w14:paraId="7AFC0F63" w14:textId="02CABA8E" w:rsidR="008B005C" w:rsidRDefault="00961C1A">
      <w:pPr>
        <w:pStyle w:val="TOC2"/>
        <w:rPr>
          <w:rFonts w:asciiTheme="minorHAnsi" w:eastAsiaTheme="minorEastAsia" w:hAnsiTheme="minorHAnsi" w:cstheme="minorBidi"/>
          <w:sz w:val="22"/>
          <w:szCs w:val="22"/>
          <w:lang w:eastAsia="en-AU"/>
        </w:rPr>
      </w:pPr>
      <w:hyperlink w:anchor="_Toc91079048" w:history="1">
        <w:r w:rsidR="008B005C" w:rsidRPr="00EF5A29">
          <w:rPr>
            <w:rStyle w:val="Hyperlink"/>
          </w:rPr>
          <w:t>Audience</w:t>
        </w:r>
        <w:r w:rsidR="008B005C">
          <w:rPr>
            <w:webHidden/>
          </w:rPr>
          <w:tab/>
        </w:r>
        <w:r w:rsidR="008B005C">
          <w:rPr>
            <w:webHidden/>
          </w:rPr>
          <w:fldChar w:fldCharType="begin"/>
        </w:r>
        <w:r w:rsidR="008B005C">
          <w:rPr>
            <w:webHidden/>
          </w:rPr>
          <w:instrText xml:space="preserve"> PAGEREF _Toc91079048 \h </w:instrText>
        </w:r>
        <w:r w:rsidR="008B005C">
          <w:rPr>
            <w:webHidden/>
          </w:rPr>
        </w:r>
        <w:r w:rsidR="008B005C">
          <w:rPr>
            <w:webHidden/>
          </w:rPr>
          <w:fldChar w:fldCharType="separate"/>
        </w:r>
        <w:r w:rsidR="008B005C">
          <w:rPr>
            <w:webHidden/>
          </w:rPr>
          <w:t>1</w:t>
        </w:r>
        <w:r w:rsidR="008B005C">
          <w:rPr>
            <w:webHidden/>
          </w:rPr>
          <w:fldChar w:fldCharType="end"/>
        </w:r>
      </w:hyperlink>
    </w:p>
    <w:p w14:paraId="32E74100" w14:textId="52589C67" w:rsidR="008B005C" w:rsidRDefault="00961C1A">
      <w:pPr>
        <w:pStyle w:val="TOC2"/>
        <w:rPr>
          <w:rFonts w:asciiTheme="minorHAnsi" w:eastAsiaTheme="minorEastAsia" w:hAnsiTheme="minorHAnsi" w:cstheme="minorBidi"/>
          <w:sz w:val="22"/>
          <w:szCs w:val="22"/>
          <w:lang w:eastAsia="en-AU"/>
        </w:rPr>
      </w:pPr>
      <w:hyperlink w:anchor="_Toc91079049" w:history="1">
        <w:r w:rsidR="008B005C" w:rsidRPr="00EF5A29">
          <w:rPr>
            <w:rStyle w:val="Hyperlink"/>
          </w:rPr>
          <w:t>Introduction</w:t>
        </w:r>
        <w:r w:rsidR="008B005C">
          <w:rPr>
            <w:webHidden/>
          </w:rPr>
          <w:tab/>
        </w:r>
        <w:r w:rsidR="008B005C">
          <w:rPr>
            <w:webHidden/>
          </w:rPr>
          <w:fldChar w:fldCharType="begin"/>
        </w:r>
        <w:r w:rsidR="008B005C">
          <w:rPr>
            <w:webHidden/>
          </w:rPr>
          <w:instrText xml:space="preserve"> PAGEREF _Toc91079049 \h </w:instrText>
        </w:r>
        <w:r w:rsidR="008B005C">
          <w:rPr>
            <w:webHidden/>
          </w:rPr>
        </w:r>
        <w:r w:rsidR="008B005C">
          <w:rPr>
            <w:webHidden/>
          </w:rPr>
          <w:fldChar w:fldCharType="separate"/>
        </w:r>
        <w:r w:rsidR="008B005C">
          <w:rPr>
            <w:webHidden/>
          </w:rPr>
          <w:t>1</w:t>
        </w:r>
        <w:r w:rsidR="008B005C">
          <w:rPr>
            <w:webHidden/>
          </w:rPr>
          <w:fldChar w:fldCharType="end"/>
        </w:r>
      </w:hyperlink>
    </w:p>
    <w:p w14:paraId="6CB57689" w14:textId="633DF7AB" w:rsidR="008B005C" w:rsidRDefault="00961C1A">
      <w:pPr>
        <w:pStyle w:val="TOC2"/>
        <w:rPr>
          <w:rFonts w:asciiTheme="minorHAnsi" w:eastAsiaTheme="minorEastAsia" w:hAnsiTheme="minorHAnsi" w:cstheme="minorBidi"/>
          <w:sz w:val="22"/>
          <w:szCs w:val="22"/>
          <w:lang w:eastAsia="en-AU"/>
        </w:rPr>
      </w:pPr>
      <w:hyperlink w:anchor="_Toc91079050" w:history="1">
        <w:r w:rsidR="008B005C" w:rsidRPr="00EF5A29">
          <w:rPr>
            <w:rStyle w:val="Hyperlink"/>
          </w:rPr>
          <w:t>Transition Planning</w:t>
        </w:r>
        <w:r w:rsidR="008B005C">
          <w:rPr>
            <w:webHidden/>
          </w:rPr>
          <w:tab/>
        </w:r>
        <w:r w:rsidR="008B005C">
          <w:rPr>
            <w:webHidden/>
          </w:rPr>
          <w:fldChar w:fldCharType="begin"/>
        </w:r>
        <w:r w:rsidR="008B005C">
          <w:rPr>
            <w:webHidden/>
          </w:rPr>
          <w:instrText xml:space="preserve"> PAGEREF _Toc91079050 \h </w:instrText>
        </w:r>
        <w:r w:rsidR="008B005C">
          <w:rPr>
            <w:webHidden/>
          </w:rPr>
        </w:r>
        <w:r w:rsidR="008B005C">
          <w:rPr>
            <w:webHidden/>
          </w:rPr>
          <w:fldChar w:fldCharType="separate"/>
        </w:r>
        <w:r w:rsidR="008B005C">
          <w:rPr>
            <w:webHidden/>
          </w:rPr>
          <w:t>2</w:t>
        </w:r>
        <w:r w:rsidR="008B005C">
          <w:rPr>
            <w:webHidden/>
          </w:rPr>
          <w:fldChar w:fldCharType="end"/>
        </w:r>
      </w:hyperlink>
    </w:p>
    <w:p w14:paraId="0891684C" w14:textId="4CB0AE2A" w:rsidR="008B005C" w:rsidRDefault="00961C1A">
      <w:pPr>
        <w:pStyle w:val="TOC2"/>
        <w:rPr>
          <w:rFonts w:asciiTheme="minorHAnsi" w:eastAsiaTheme="minorEastAsia" w:hAnsiTheme="minorHAnsi" w:cstheme="minorBidi"/>
          <w:sz w:val="22"/>
          <w:szCs w:val="22"/>
          <w:lang w:eastAsia="en-AU"/>
        </w:rPr>
      </w:pPr>
      <w:hyperlink w:anchor="_Toc91079051" w:history="1">
        <w:r w:rsidR="008B005C" w:rsidRPr="00EF5A29">
          <w:rPr>
            <w:rStyle w:val="Hyperlink"/>
          </w:rPr>
          <w:t>Eligibility for Better Futures</w:t>
        </w:r>
        <w:r w:rsidR="008B005C">
          <w:rPr>
            <w:webHidden/>
          </w:rPr>
          <w:tab/>
        </w:r>
        <w:r w:rsidR="008B005C">
          <w:rPr>
            <w:webHidden/>
          </w:rPr>
          <w:fldChar w:fldCharType="begin"/>
        </w:r>
        <w:r w:rsidR="008B005C">
          <w:rPr>
            <w:webHidden/>
          </w:rPr>
          <w:instrText xml:space="preserve"> PAGEREF _Toc91079051 \h </w:instrText>
        </w:r>
        <w:r w:rsidR="008B005C">
          <w:rPr>
            <w:webHidden/>
          </w:rPr>
        </w:r>
        <w:r w:rsidR="008B005C">
          <w:rPr>
            <w:webHidden/>
          </w:rPr>
          <w:fldChar w:fldCharType="separate"/>
        </w:r>
        <w:r w:rsidR="008B005C">
          <w:rPr>
            <w:webHidden/>
          </w:rPr>
          <w:t>2</w:t>
        </w:r>
        <w:r w:rsidR="008B005C">
          <w:rPr>
            <w:webHidden/>
          </w:rPr>
          <w:fldChar w:fldCharType="end"/>
        </w:r>
      </w:hyperlink>
    </w:p>
    <w:p w14:paraId="4D5AEF45" w14:textId="4E677451" w:rsidR="008B005C" w:rsidRDefault="00961C1A">
      <w:pPr>
        <w:pStyle w:val="TOC2"/>
        <w:rPr>
          <w:rFonts w:asciiTheme="minorHAnsi" w:eastAsiaTheme="minorEastAsia" w:hAnsiTheme="minorHAnsi" w:cstheme="minorBidi"/>
          <w:sz w:val="22"/>
          <w:szCs w:val="22"/>
          <w:lang w:eastAsia="en-AU"/>
        </w:rPr>
      </w:pPr>
      <w:hyperlink w:anchor="_Toc91079052" w:history="1">
        <w:r w:rsidR="008B005C" w:rsidRPr="00EF5A29">
          <w:rPr>
            <w:rStyle w:val="Hyperlink"/>
          </w:rPr>
          <w:t>Referral to Better Futures</w:t>
        </w:r>
        <w:r w:rsidR="008B005C">
          <w:rPr>
            <w:webHidden/>
          </w:rPr>
          <w:tab/>
        </w:r>
        <w:r w:rsidR="008B005C">
          <w:rPr>
            <w:webHidden/>
          </w:rPr>
          <w:fldChar w:fldCharType="begin"/>
        </w:r>
        <w:r w:rsidR="008B005C">
          <w:rPr>
            <w:webHidden/>
          </w:rPr>
          <w:instrText xml:space="preserve"> PAGEREF _Toc91079052 \h </w:instrText>
        </w:r>
        <w:r w:rsidR="008B005C">
          <w:rPr>
            <w:webHidden/>
          </w:rPr>
        </w:r>
        <w:r w:rsidR="008B005C">
          <w:rPr>
            <w:webHidden/>
          </w:rPr>
          <w:fldChar w:fldCharType="separate"/>
        </w:r>
        <w:r w:rsidR="008B005C">
          <w:rPr>
            <w:webHidden/>
          </w:rPr>
          <w:t>3</w:t>
        </w:r>
        <w:r w:rsidR="008B005C">
          <w:rPr>
            <w:webHidden/>
          </w:rPr>
          <w:fldChar w:fldCharType="end"/>
        </w:r>
      </w:hyperlink>
    </w:p>
    <w:p w14:paraId="349A04BB" w14:textId="437EF490" w:rsidR="008B005C" w:rsidRDefault="00961C1A">
      <w:pPr>
        <w:pStyle w:val="TOC2"/>
        <w:rPr>
          <w:rFonts w:asciiTheme="minorHAnsi" w:eastAsiaTheme="minorEastAsia" w:hAnsiTheme="minorHAnsi" w:cstheme="minorBidi"/>
          <w:sz w:val="22"/>
          <w:szCs w:val="22"/>
          <w:lang w:eastAsia="en-AU"/>
        </w:rPr>
      </w:pPr>
      <w:hyperlink w:anchor="_Toc91079053" w:history="1">
        <w:r w:rsidR="008B005C" w:rsidRPr="00EF5A29">
          <w:rPr>
            <w:rStyle w:val="Hyperlink"/>
            <w:rFonts w:eastAsia="Calibri"/>
          </w:rPr>
          <w:t>Additional information</w:t>
        </w:r>
        <w:r w:rsidR="008B005C">
          <w:rPr>
            <w:webHidden/>
          </w:rPr>
          <w:tab/>
        </w:r>
        <w:r w:rsidR="008B005C">
          <w:rPr>
            <w:webHidden/>
          </w:rPr>
          <w:fldChar w:fldCharType="begin"/>
        </w:r>
        <w:r w:rsidR="008B005C">
          <w:rPr>
            <w:webHidden/>
          </w:rPr>
          <w:instrText xml:space="preserve"> PAGEREF _Toc91079053 \h </w:instrText>
        </w:r>
        <w:r w:rsidR="008B005C">
          <w:rPr>
            <w:webHidden/>
          </w:rPr>
        </w:r>
        <w:r w:rsidR="008B005C">
          <w:rPr>
            <w:webHidden/>
          </w:rPr>
          <w:fldChar w:fldCharType="separate"/>
        </w:r>
        <w:r w:rsidR="008B005C">
          <w:rPr>
            <w:webHidden/>
          </w:rPr>
          <w:t>4</w:t>
        </w:r>
        <w:r w:rsidR="008B005C">
          <w:rPr>
            <w:webHidden/>
          </w:rPr>
          <w:fldChar w:fldCharType="end"/>
        </w:r>
      </w:hyperlink>
    </w:p>
    <w:p w14:paraId="46DE7A04" w14:textId="13B44B89" w:rsidR="007173CA" w:rsidRDefault="00AD784C" w:rsidP="00D079AA">
      <w:pPr>
        <w:pStyle w:val="Body"/>
      </w:pPr>
      <w:r>
        <w:fldChar w:fldCharType="end"/>
      </w:r>
    </w:p>
    <w:p w14:paraId="5FFBC777"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47EA9A4F" w14:textId="77777777" w:rsidR="00853AAA" w:rsidRPr="005F0437" w:rsidRDefault="00853AAA" w:rsidP="00853AAA">
      <w:pPr>
        <w:pStyle w:val="Heading2"/>
      </w:pPr>
      <w:bookmarkStart w:id="0" w:name="_Toc17193103"/>
      <w:bookmarkStart w:id="1" w:name="_Toc27560359"/>
      <w:bookmarkStart w:id="2" w:name="_Toc28093436"/>
      <w:bookmarkStart w:id="3" w:name="_Toc91079047"/>
      <w:bookmarkStart w:id="4" w:name="_Toc13581751"/>
      <w:bookmarkStart w:id="5" w:name="_Toc440566509"/>
      <w:r w:rsidRPr="005F0437">
        <w:t>Purpose</w:t>
      </w:r>
      <w:bookmarkEnd w:id="0"/>
      <w:bookmarkEnd w:id="1"/>
      <w:bookmarkEnd w:id="2"/>
      <w:bookmarkEnd w:id="3"/>
    </w:p>
    <w:p w14:paraId="0E2EABAF" w14:textId="77777777" w:rsidR="00853AAA" w:rsidRDefault="00853AAA" w:rsidP="00853AAA">
      <w:pPr>
        <w:pStyle w:val="DHHSbody"/>
      </w:pPr>
      <w:bookmarkStart w:id="6" w:name="_Hlk27427925"/>
      <w:r>
        <w:t>Better Futures is a new service and practice model designed to improve outcomes for young people transitioning from care to supported independence, up to the age of 21. It is guided by a Better Futures (Advantaged Thinking) practice framework and support is tailored to meet the individual needs of young people</w:t>
      </w:r>
      <w:bookmarkEnd w:id="6"/>
      <w:r>
        <w:t xml:space="preserve">. </w:t>
      </w:r>
    </w:p>
    <w:p w14:paraId="2F7D0A07" w14:textId="77777777" w:rsidR="00853AAA" w:rsidRPr="009E36A7" w:rsidRDefault="00853AAA" w:rsidP="00853AAA">
      <w:pPr>
        <w:pStyle w:val="DHHSbody"/>
      </w:pPr>
      <w:r w:rsidRPr="0090678A">
        <w:t>T</w:t>
      </w:r>
      <w:r>
        <w:t>his practice advice</w:t>
      </w:r>
      <w:r w:rsidRPr="0090678A">
        <w:t xml:space="preserve"> outline</w:t>
      </w:r>
      <w:r>
        <w:t>s</w:t>
      </w:r>
      <w:r w:rsidRPr="0090678A">
        <w:t xml:space="preserve"> the eligibility criteria and referral process for young people</w:t>
      </w:r>
      <w:r>
        <w:t xml:space="preserve"> living in care services (formerly out-of-home care) who are on specific orders and</w:t>
      </w:r>
      <w:r w:rsidRPr="0090678A">
        <w:t xml:space="preserve"> referred to the Better Futures service</w:t>
      </w:r>
      <w:r>
        <w:t>.</w:t>
      </w:r>
    </w:p>
    <w:p w14:paraId="6AF683E2" w14:textId="77777777" w:rsidR="00853AAA" w:rsidRPr="005F0437" w:rsidRDefault="00853AAA" w:rsidP="00853AAA">
      <w:pPr>
        <w:pStyle w:val="Heading2"/>
      </w:pPr>
      <w:bookmarkStart w:id="7" w:name="_Toc17193104"/>
      <w:bookmarkStart w:id="8" w:name="_Toc27560360"/>
      <w:bookmarkStart w:id="9" w:name="_Toc28093437"/>
      <w:bookmarkStart w:id="10" w:name="_Toc91079048"/>
      <w:r w:rsidRPr="005F0437">
        <w:t>Audience</w:t>
      </w:r>
      <w:bookmarkEnd w:id="7"/>
      <w:bookmarkEnd w:id="8"/>
      <w:bookmarkEnd w:id="9"/>
      <w:bookmarkEnd w:id="10"/>
    </w:p>
    <w:p w14:paraId="0E2E7109" w14:textId="6EFBD061" w:rsidR="00853AAA" w:rsidRDefault="00853AAA" w:rsidP="00853AAA">
      <w:pPr>
        <w:pStyle w:val="DHHSbody"/>
        <w:rPr>
          <w:bCs/>
        </w:rPr>
      </w:pPr>
      <w:bookmarkStart w:id="11" w:name="_Hlk27431136"/>
      <w:r w:rsidRPr="005314F7">
        <w:t xml:space="preserve">Better Futures </w:t>
      </w:r>
      <w:r>
        <w:t>workers</w:t>
      </w:r>
      <w:r w:rsidRPr="005314F7">
        <w:t xml:space="preserve">, the Department of </w:t>
      </w:r>
      <w:bookmarkStart w:id="12" w:name="_Hlk89024490"/>
      <w:r>
        <w:t>Families, Fairness and Housing</w:t>
      </w:r>
      <w:bookmarkEnd w:id="12"/>
      <w:r w:rsidR="005A275D">
        <w:t xml:space="preserve"> </w:t>
      </w:r>
      <w:r w:rsidRPr="005314F7">
        <w:t>(the department) child protection case managers, case managers delivering contracted case management in community service organisations</w:t>
      </w:r>
      <w:r>
        <w:t>,</w:t>
      </w:r>
      <w:r w:rsidRPr="005314F7">
        <w:t xml:space="preserve"> and case managers </w:t>
      </w:r>
      <w:r w:rsidRPr="005314F7">
        <w:rPr>
          <w:lang w:val="en"/>
        </w:rPr>
        <w:t>in Aboriginal Community Controlled Organisations (ACCOs)</w:t>
      </w:r>
      <w:r>
        <w:rPr>
          <w:lang w:val="en"/>
        </w:rPr>
        <w:t>,</w:t>
      </w:r>
      <w:r w:rsidRPr="005314F7">
        <w:rPr>
          <w:bCs/>
        </w:rPr>
        <w:t xml:space="preserve"> Agency Performance </w:t>
      </w:r>
      <w:r>
        <w:rPr>
          <w:bCs/>
        </w:rPr>
        <w:t xml:space="preserve">and </w:t>
      </w:r>
      <w:r w:rsidRPr="005314F7">
        <w:rPr>
          <w:bCs/>
        </w:rPr>
        <w:t>System Support</w:t>
      </w:r>
      <w:r>
        <w:rPr>
          <w:bCs/>
        </w:rPr>
        <w:t xml:space="preserve"> (APSS) advisers and other organisations working with young people.</w:t>
      </w:r>
      <w:r w:rsidRPr="005314F7">
        <w:rPr>
          <w:bCs/>
        </w:rPr>
        <w:t xml:space="preserve"> </w:t>
      </w:r>
      <w:bookmarkEnd w:id="11"/>
    </w:p>
    <w:p w14:paraId="26B32A88" w14:textId="77777777" w:rsidR="00853AAA" w:rsidRPr="005F0437" w:rsidRDefault="00853AAA" w:rsidP="00853AAA">
      <w:pPr>
        <w:pStyle w:val="Heading2"/>
      </w:pPr>
      <w:bookmarkStart w:id="13" w:name="_Toc17193105"/>
      <w:bookmarkStart w:id="14" w:name="_Toc27560361"/>
      <w:bookmarkStart w:id="15" w:name="_Toc28093438"/>
      <w:bookmarkStart w:id="16" w:name="_Toc91079049"/>
      <w:r w:rsidRPr="005F0437">
        <w:t>Introduction</w:t>
      </w:r>
      <w:bookmarkEnd w:id="13"/>
      <w:bookmarkEnd w:id="14"/>
      <w:bookmarkEnd w:id="15"/>
      <w:bookmarkEnd w:id="16"/>
      <w:r w:rsidRPr="005F0437">
        <w:t xml:space="preserve"> </w:t>
      </w:r>
    </w:p>
    <w:p w14:paraId="42736917" w14:textId="77777777" w:rsidR="00853AAA" w:rsidRDefault="00853AAA" w:rsidP="00853AAA">
      <w:pPr>
        <w:pStyle w:val="DHHSbody"/>
        <w:rPr>
          <w:lang w:eastAsia="en-AU"/>
        </w:rPr>
      </w:pPr>
      <w:bookmarkStart w:id="17" w:name="_Hlk89026247"/>
      <w:bookmarkStart w:id="18" w:name="_Hlk89024619"/>
      <w:r>
        <w:t xml:space="preserve">Better Futures </w:t>
      </w:r>
      <w:r w:rsidRPr="00F4021B">
        <w:rPr>
          <w:lang w:eastAsia="en-AU"/>
        </w:rPr>
        <w:t>aims to</w:t>
      </w:r>
      <w:r>
        <w:rPr>
          <w:lang w:eastAsia="en-AU"/>
        </w:rPr>
        <w:t xml:space="preserve"> support young people achieve successful and independent adult lives; helping them to have an active voice in decisions about their future and guiding their transition to adulthood and independent living </w:t>
      </w:r>
      <w:r w:rsidRPr="00F4021B">
        <w:rPr>
          <w:lang w:eastAsia="en-AU"/>
        </w:rPr>
        <w:t>across a range of life areas</w:t>
      </w:r>
      <w:r>
        <w:rPr>
          <w:lang w:eastAsia="en-AU"/>
        </w:rPr>
        <w:t>, including:</w:t>
      </w:r>
    </w:p>
    <w:p w14:paraId="60936E58" w14:textId="77777777" w:rsidR="00853AAA" w:rsidRDefault="00853AAA" w:rsidP="00853AAA">
      <w:pPr>
        <w:pStyle w:val="DHHSbullet1"/>
        <w:numPr>
          <w:ilvl w:val="0"/>
          <w:numId w:val="7"/>
        </w:numPr>
        <w:rPr>
          <w:lang w:eastAsia="en-AU"/>
        </w:rPr>
      </w:pPr>
      <w:r w:rsidRPr="00F4021B">
        <w:rPr>
          <w:lang w:eastAsia="en-AU"/>
        </w:rPr>
        <w:t>housin</w:t>
      </w:r>
      <w:r>
        <w:rPr>
          <w:lang w:eastAsia="en-AU"/>
        </w:rPr>
        <w:t>g</w:t>
      </w:r>
    </w:p>
    <w:p w14:paraId="12FD21C1" w14:textId="77777777" w:rsidR="00853AAA" w:rsidRDefault="00853AAA" w:rsidP="00853AAA">
      <w:pPr>
        <w:pStyle w:val="DHHSbullet1"/>
        <w:numPr>
          <w:ilvl w:val="0"/>
          <w:numId w:val="7"/>
        </w:numPr>
        <w:rPr>
          <w:lang w:eastAsia="en-AU"/>
        </w:rPr>
      </w:pPr>
      <w:r w:rsidRPr="00F4021B">
        <w:rPr>
          <w:lang w:eastAsia="en-AU"/>
        </w:rPr>
        <w:t>health and wellbeing</w:t>
      </w:r>
    </w:p>
    <w:p w14:paraId="14049F4A" w14:textId="77777777" w:rsidR="00853AAA" w:rsidRDefault="00853AAA" w:rsidP="00853AAA">
      <w:pPr>
        <w:pStyle w:val="DHHSbullet1"/>
        <w:numPr>
          <w:ilvl w:val="0"/>
          <w:numId w:val="7"/>
        </w:numPr>
        <w:rPr>
          <w:lang w:eastAsia="en-AU"/>
        </w:rPr>
      </w:pPr>
      <w:r w:rsidRPr="00F4021B">
        <w:rPr>
          <w:lang w:eastAsia="en-AU"/>
        </w:rPr>
        <w:t>education</w:t>
      </w:r>
    </w:p>
    <w:p w14:paraId="105F99E0" w14:textId="77777777" w:rsidR="00853AAA" w:rsidRDefault="00853AAA" w:rsidP="00853AAA">
      <w:pPr>
        <w:pStyle w:val="DHHSbullet1"/>
        <w:numPr>
          <w:ilvl w:val="0"/>
          <w:numId w:val="7"/>
        </w:numPr>
        <w:rPr>
          <w:lang w:eastAsia="en-AU"/>
        </w:rPr>
      </w:pPr>
      <w:r w:rsidRPr="00F4021B">
        <w:rPr>
          <w:lang w:eastAsia="en-AU"/>
        </w:rPr>
        <w:t xml:space="preserve">employment, and </w:t>
      </w:r>
    </w:p>
    <w:p w14:paraId="3E9EDE7F" w14:textId="77777777" w:rsidR="00853AAA" w:rsidRDefault="00853AAA" w:rsidP="00853AAA">
      <w:pPr>
        <w:pStyle w:val="DHHSbullet1"/>
        <w:numPr>
          <w:ilvl w:val="0"/>
          <w:numId w:val="7"/>
        </w:numPr>
        <w:rPr>
          <w:lang w:eastAsia="en-AU"/>
        </w:rPr>
      </w:pPr>
      <w:r w:rsidRPr="00F4021B">
        <w:rPr>
          <w:lang w:eastAsia="en-AU"/>
        </w:rPr>
        <w:t>community and cultural connections.</w:t>
      </w:r>
      <w:r>
        <w:rPr>
          <w:lang w:eastAsia="en-AU"/>
        </w:rPr>
        <w:t xml:space="preserve"> </w:t>
      </w:r>
    </w:p>
    <w:p w14:paraId="6FCA89D9" w14:textId="77777777" w:rsidR="00853AAA" w:rsidRDefault="00853AAA" w:rsidP="00853AAA">
      <w:pPr>
        <w:pStyle w:val="DHHSbody"/>
        <w:rPr>
          <w:lang w:eastAsia="en-AU"/>
        </w:rPr>
      </w:pPr>
      <w:bookmarkStart w:id="19" w:name="_Hlk89025136"/>
      <w:bookmarkEnd w:id="17"/>
      <w:bookmarkEnd w:id="18"/>
      <w:r>
        <w:rPr>
          <w:lang w:eastAsia="en-AU"/>
        </w:rPr>
        <w:t>These five life areas are referred to as “offers” under the Better Futures Advantaged Thinking Practice Framework.</w:t>
      </w:r>
    </w:p>
    <w:bookmarkEnd w:id="19"/>
    <w:p w14:paraId="48173042" w14:textId="77777777" w:rsidR="00853AAA" w:rsidRDefault="00853AAA" w:rsidP="00853AAA">
      <w:pPr>
        <w:pStyle w:val="DHHSbody"/>
        <w:rPr>
          <w:lang w:eastAsia="en-AU"/>
        </w:rPr>
      </w:pPr>
      <w:r w:rsidRPr="00ED621A">
        <w:t>Young people are eligible for Better Futures support from 15 years and 9 months until their 21st birthday.</w:t>
      </w:r>
    </w:p>
    <w:p w14:paraId="3CA33981" w14:textId="0A55C10F" w:rsidR="00853AAA" w:rsidRDefault="00853AAA" w:rsidP="00853AAA">
      <w:pPr>
        <w:pStyle w:val="DHHSbody"/>
        <w:rPr>
          <w:lang w:eastAsia="en-AU"/>
        </w:rPr>
      </w:pPr>
      <w:bookmarkStart w:id="20" w:name="_Hlk89025104"/>
      <w:r>
        <w:rPr>
          <w:lang w:eastAsia="en-AU"/>
        </w:rPr>
        <w:t xml:space="preserve">The model promotes early referrals at </w:t>
      </w:r>
      <w:r>
        <w:t xml:space="preserve">15 years and 9 months </w:t>
      </w:r>
      <w:r>
        <w:rPr>
          <w:lang w:eastAsia="en-AU"/>
        </w:rPr>
        <w:t>ensuring all eligible young people are aware of and are linked to a post care support service.</w:t>
      </w:r>
      <w:r w:rsidR="005A275D">
        <w:rPr>
          <w:lang w:eastAsia="en-AU"/>
        </w:rPr>
        <w:t xml:space="preserve"> </w:t>
      </w:r>
      <w:r>
        <w:rPr>
          <w:lang w:eastAsia="en-AU"/>
        </w:rPr>
        <w:t>Early referrals also provide Better Futures the opportunity to offer secondary consultations to care teams in the development and implementation of</w:t>
      </w:r>
      <w:r w:rsidR="005A275D">
        <w:rPr>
          <w:lang w:eastAsia="en-AU"/>
        </w:rPr>
        <w:t xml:space="preserve"> </w:t>
      </w:r>
      <w:r>
        <w:rPr>
          <w:lang w:eastAsia="en-AU"/>
        </w:rPr>
        <w:t>the 15+ Care and Transition Plans.</w:t>
      </w:r>
      <w:r w:rsidR="005A275D">
        <w:rPr>
          <w:lang w:eastAsia="en-AU"/>
        </w:rPr>
        <w:t xml:space="preserve"> </w:t>
      </w:r>
    </w:p>
    <w:p w14:paraId="5CE1E86C" w14:textId="77777777" w:rsidR="00853AAA" w:rsidRDefault="00853AAA" w:rsidP="00853AAA">
      <w:pPr>
        <w:pStyle w:val="DHHSbody"/>
      </w:pPr>
      <w:r>
        <w:t>When young people are in care and still some time away from transitioning to independence, the primary role of Better Futures is likely to be the provision of secondary consultation to case managers and care teams and facilitating access to flexible funding to support the implementation of the 15+ Care and Transition Plan. As y</w:t>
      </w:r>
      <w:r w:rsidRPr="004F78E9">
        <w:t>oung people</w:t>
      </w:r>
      <w:r>
        <w:t xml:space="preserve"> near the point of leaving care (approximately six months prior to cessation of their order), their </w:t>
      </w:r>
      <w:r>
        <w:lastRenderedPageBreak/>
        <w:t>circumstances are reviewed, and the Better Futures service response may intensify to ensure their smooth transition from care.</w:t>
      </w:r>
      <w:r w:rsidRPr="004F78E9">
        <w:t xml:space="preserve"> </w:t>
      </w:r>
    </w:p>
    <w:p w14:paraId="619E59EA" w14:textId="77777777" w:rsidR="00853AAA" w:rsidRPr="00F4021B" w:rsidRDefault="00853AAA" w:rsidP="00853AAA">
      <w:pPr>
        <w:pStyle w:val="DHHSbody"/>
        <w:rPr>
          <w:lang w:eastAsia="en-AU"/>
        </w:rPr>
      </w:pPr>
      <w:r w:rsidRPr="00F4021B">
        <w:rPr>
          <w:lang w:eastAsia="en-AU"/>
        </w:rPr>
        <w:t>Better Futures</w:t>
      </w:r>
      <w:r>
        <w:rPr>
          <w:lang w:eastAsia="en-AU"/>
        </w:rPr>
        <w:t xml:space="preserve"> service response</w:t>
      </w:r>
      <w:r w:rsidRPr="00F4021B">
        <w:rPr>
          <w:lang w:eastAsia="en-AU"/>
        </w:rPr>
        <w:t xml:space="preserve"> includes:</w:t>
      </w:r>
    </w:p>
    <w:p w14:paraId="12EC4851" w14:textId="77777777" w:rsidR="00853AAA" w:rsidRPr="00F4021B" w:rsidRDefault="00853AAA" w:rsidP="00853AAA">
      <w:pPr>
        <w:pStyle w:val="DHHSbullet1"/>
        <w:numPr>
          <w:ilvl w:val="0"/>
          <w:numId w:val="7"/>
        </w:numPr>
        <w:rPr>
          <w:lang w:eastAsia="en-AU"/>
        </w:rPr>
      </w:pPr>
      <w:r>
        <w:rPr>
          <w:lang w:eastAsia="en-AU"/>
        </w:rPr>
        <w:t>d</w:t>
      </w:r>
      <w:r w:rsidRPr="00F4021B">
        <w:rPr>
          <w:lang w:eastAsia="en-AU"/>
        </w:rPr>
        <w:t>irect case work support</w:t>
      </w:r>
      <w:r>
        <w:rPr>
          <w:lang w:eastAsia="en-AU"/>
        </w:rPr>
        <w:t xml:space="preserve"> (</w:t>
      </w:r>
      <w:r w:rsidRPr="006F2E0C">
        <w:t>leve</w:t>
      </w:r>
      <w:r>
        <w:t>l</w:t>
      </w:r>
      <w:r w:rsidRPr="006F2E0C">
        <w:t>s of support</w:t>
      </w:r>
      <w:r>
        <w:t xml:space="preserve"> will flex up and down according to their needs, existing support networks and the transition goals identified)</w:t>
      </w:r>
    </w:p>
    <w:p w14:paraId="0D9F0AE5" w14:textId="77777777" w:rsidR="00853AAA" w:rsidRPr="00190729" w:rsidRDefault="00853AAA" w:rsidP="00853AAA">
      <w:pPr>
        <w:pStyle w:val="DHHSbullet1"/>
        <w:numPr>
          <w:ilvl w:val="0"/>
          <w:numId w:val="7"/>
        </w:numPr>
        <w:rPr>
          <w:lang w:eastAsia="en-AU"/>
        </w:rPr>
      </w:pPr>
      <w:r w:rsidRPr="00190729">
        <w:rPr>
          <w:lang w:eastAsia="en-AU"/>
        </w:rPr>
        <w:t>information and advice</w:t>
      </w:r>
    </w:p>
    <w:p w14:paraId="2971A0E6" w14:textId="77777777" w:rsidR="00853AAA" w:rsidRPr="00190729" w:rsidRDefault="00853AAA" w:rsidP="00853AAA">
      <w:pPr>
        <w:pStyle w:val="DHHSbullet1"/>
        <w:numPr>
          <w:ilvl w:val="0"/>
          <w:numId w:val="7"/>
        </w:numPr>
        <w:rPr>
          <w:lang w:eastAsia="en-AU"/>
        </w:rPr>
      </w:pPr>
      <w:r w:rsidRPr="00190729">
        <w:rPr>
          <w:lang w:eastAsia="en-AU"/>
        </w:rPr>
        <w:t xml:space="preserve">access to flexible funding </w:t>
      </w:r>
      <w:r w:rsidRPr="00190729">
        <w:t>to facilitate the young person’s access to housing, education, employment, health and wellbeing support</w:t>
      </w:r>
    </w:p>
    <w:p w14:paraId="073669C1" w14:textId="77777777" w:rsidR="00853AAA" w:rsidRPr="00190729" w:rsidRDefault="00853AAA" w:rsidP="00853AAA">
      <w:pPr>
        <w:pStyle w:val="DHHSbullet1"/>
        <w:numPr>
          <w:ilvl w:val="0"/>
          <w:numId w:val="7"/>
        </w:numPr>
        <w:rPr>
          <w:lang w:eastAsia="en-AU"/>
        </w:rPr>
      </w:pPr>
      <w:r w:rsidRPr="00190729">
        <w:rPr>
          <w:lang w:eastAsia="en-AU"/>
        </w:rPr>
        <w:t xml:space="preserve">community connections, </w:t>
      </w:r>
      <w:r w:rsidRPr="00190729">
        <w:t>and</w:t>
      </w:r>
    </w:p>
    <w:p w14:paraId="4D83CE8E" w14:textId="77777777" w:rsidR="00853AAA" w:rsidRPr="00190729" w:rsidRDefault="00853AAA" w:rsidP="00853AAA">
      <w:pPr>
        <w:pStyle w:val="DHHSbullet1"/>
        <w:numPr>
          <w:ilvl w:val="0"/>
          <w:numId w:val="7"/>
        </w:numPr>
      </w:pPr>
      <w:r w:rsidRPr="00190729">
        <w:t>Home Stretch.</w:t>
      </w:r>
    </w:p>
    <w:p w14:paraId="5497F553" w14:textId="77777777" w:rsidR="00853AAA" w:rsidRDefault="00853AAA" w:rsidP="00853AAA">
      <w:pPr>
        <w:pStyle w:val="Heading2"/>
      </w:pPr>
      <w:bookmarkStart w:id="21" w:name="_Toc91079050"/>
      <w:bookmarkEnd w:id="20"/>
      <w:r>
        <w:t>Transition Planning</w:t>
      </w:r>
      <w:bookmarkEnd w:id="21"/>
    </w:p>
    <w:p w14:paraId="64AB65E4" w14:textId="37519291" w:rsidR="00853AAA" w:rsidRDefault="00853AAA" w:rsidP="00853AAA">
      <w:pPr>
        <w:pStyle w:val="DHHSbody"/>
      </w:pPr>
      <w:r>
        <w:t xml:space="preserve">Preparing </w:t>
      </w:r>
      <w:r w:rsidRPr="00592E04">
        <w:t xml:space="preserve">young people </w:t>
      </w:r>
      <w:r>
        <w:t xml:space="preserve">to </w:t>
      </w:r>
      <w:r w:rsidRPr="00592E04">
        <w:t>transition from care to independence is</w:t>
      </w:r>
      <w:r>
        <w:t xml:space="preserve"> a critical</w:t>
      </w:r>
      <w:r w:rsidRPr="00592E04">
        <w:t xml:space="preserve"> part of</w:t>
      </w:r>
      <w:r>
        <w:t xml:space="preserve"> </w:t>
      </w:r>
      <w:r w:rsidRPr="00592E04">
        <w:t>case planning</w:t>
      </w:r>
      <w:r>
        <w:t>, with all</w:t>
      </w:r>
      <w:r w:rsidRPr="00592E04">
        <w:t xml:space="preserve"> care team</w:t>
      </w:r>
      <w:r>
        <w:t xml:space="preserve"> members</w:t>
      </w:r>
      <w:r w:rsidRPr="00592E04">
        <w:t xml:space="preserve"> shar</w:t>
      </w:r>
      <w:r>
        <w:t>ing</w:t>
      </w:r>
      <w:r w:rsidRPr="00592E04">
        <w:t xml:space="preserve"> responsibility for preparing young pe</w:t>
      </w:r>
      <w:r>
        <w:t>ople to transition to independence. Young people should have an active voice in the planning process and should be supported to articulate their needs, goals and aspirations.</w:t>
      </w:r>
      <w:r w:rsidR="005A275D">
        <w:t xml:space="preserve"> </w:t>
      </w:r>
    </w:p>
    <w:p w14:paraId="1E70B585" w14:textId="77777777" w:rsidR="00853AAA" w:rsidRPr="0090678A" w:rsidRDefault="00853AAA" w:rsidP="00853AAA">
      <w:pPr>
        <w:pStyle w:val="DHHSbody"/>
        <w:rPr>
          <w:rFonts w:eastAsiaTheme="minorHAnsi"/>
          <w:b/>
          <w:bCs/>
          <w:sz w:val="24"/>
          <w:szCs w:val="24"/>
        </w:rPr>
      </w:pPr>
      <w:r>
        <w:rPr>
          <w:lang w:eastAsia="en-AU"/>
        </w:rPr>
        <w:t>From 15 years of age, y</w:t>
      </w:r>
      <w:r w:rsidRPr="0090678A">
        <w:rPr>
          <w:lang w:eastAsia="en-AU"/>
        </w:rPr>
        <w:t xml:space="preserve">oung people </w:t>
      </w:r>
      <w:r>
        <w:rPr>
          <w:lang w:eastAsia="en-AU"/>
        </w:rPr>
        <w:t>should have</w:t>
      </w:r>
      <w:r w:rsidRPr="0090678A">
        <w:rPr>
          <w:lang w:eastAsia="en-AU"/>
        </w:rPr>
        <w:t>:</w:t>
      </w:r>
    </w:p>
    <w:p w14:paraId="64F0730D" w14:textId="77777777" w:rsidR="00853AAA" w:rsidRPr="0090678A" w:rsidRDefault="00853AAA" w:rsidP="00853AAA">
      <w:pPr>
        <w:pStyle w:val="DHHSbullet1"/>
        <w:numPr>
          <w:ilvl w:val="0"/>
          <w:numId w:val="7"/>
        </w:numPr>
        <w:spacing w:after="120"/>
        <w:rPr>
          <w:lang w:eastAsia="en-AU"/>
        </w:rPr>
      </w:pPr>
      <w:r w:rsidRPr="0090678A">
        <w:rPr>
          <w:lang w:eastAsia="en-AU"/>
        </w:rPr>
        <w:t>ongoing opportunities over time to develop independent living skills</w:t>
      </w:r>
    </w:p>
    <w:p w14:paraId="777A9B5A" w14:textId="77777777" w:rsidR="00853AAA" w:rsidRPr="0090678A" w:rsidRDefault="00853AAA" w:rsidP="00853AAA">
      <w:pPr>
        <w:pStyle w:val="DHHSbullet1"/>
        <w:numPr>
          <w:ilvl w:val="0"/>
          <w:numId w:val="7"/>
        </w:numPr>
        <w:spacing w:after="120"/>
        <w:rPr>
          <w:lang w:eastAsia="en-AU"/>
        </w:rPr>
      </w:pPr>
      <w:r w:rsidRPr="0090678A">
        <w:rPr>
          <w:lang w:eastAsia="en-AU"/>
        </w:rPr>
        <w:t>involvement in decision making</w:t>
      </w:r>
    </w:p>
    <w:p w14:paraId="35A6BF89" w14:textId="77777777" w:rsidR="00853AAA" w:rsidRPr="0090678A" w:rsidRDefault="00853AAA" w:rsidP="00853AAA">
      <w:pPr>
        <w:pStyle w:val="DHHSbullet1"/>
        <w:numPr>
          <w:ilvl w:val="0"/>
          <w:numId w:val="7"/>
        </w:numPr>
        <w:spacing w:after="120"/>
        <w:rPr>
          <w:lang w:eastAsia="en-AU"/>
        </w:rPr>
      </w:pPr>
      <w:r w:rsidRPr="0090678A">
        <w:rPr>
          <w:lang w:eastAsia="en-AU"/>
        </w:rPr>
        <w:t>a 15</w:t>
      </w:r>
      <w:r>
        <w:rPr>
          <w:lang w:eastAsia="en-AU"/>
        </w:rPr>
        <w:t xml:space="preserve"> </w:t>
      </w:r>
      <w:r w:rsidRPr="0090678A">
        <w:rPr>
          <w:lang w:eastAsia="en-AU"/>
        </w:rPr>
        <w:t>+</w:t>
      </w:r>
      <w:r>
        <w:rPr>
          <w:lang w:eastAsia="en-AU"/>
        </w:rPr>
        <w:t xml:space="preserve"> c</w:t>
      </w:r>
      <w:r w:rsidRPr="0090678A">
        <w:rPr>
          <w:lang w:eastAsia="en-AU"/>
        </w:rPr>
        <w:t xml:space="preserve">are and </w:t>
      </w:r>
      <w:r>
        <w:rPr>
          <w:lang w:eastAsia="en-AU"/>
        </w:rPr>
        <w:t>t</w:t>
      </w:r>
      <w:r w:rsidRPr="0090678A">
        <w:rPr>
          <w:lang w:eastAsia="en-AU"/>
        </w:rPr>
        <w:t xml:space="preserve">ransition plan </w:t>
      </w:r>
    </w:p>
    <w:p w14:paraId="590EBDB7" w14:textId="77777777" w:rsidR="00853AAA" w:rsidRDefault="00853AAA" w:rsidP="00853AAA">
      <w:pPr>
        <w:pStyle w:val="DHHSbullet1"/>
        <w:numPr>
          <w:ilvl w:val="0"/>
          <w:numId w:val="7"/>
        </w:numPr>
        <w:spacing w:after="120"/>
        <w:rPr>
          <w:lang w:eastAsia="en-AU"/>
        </w:rPr>
      </w:pPr>
      <w:r w:rsidRPr="0090678A">
        <w:rPr>
          <w:lang w:eastAsia="en-AU"/>
        </w:rPr>
        <w:t xml:space="preserve">essential documentation, </w:t>
      </w:r>
      <w:r>
        <w:rPr>
          <w:lang w:eastAsia="en-AU"/>
        </w:rPr>
        <w:t xml:space="preserve">identification, </w:t>
      </w:r>
      <w:r w:rsidRPr="0090678A">
        <w:rPr>
          <w:lang w:eastAsia="en-AU"/>
        </w:rPr>
        <w:t>possessions and life records</w:t>
      </w:r>
    </w:p>
    <w:p w14:paraId="2590F23E" w14:textId="77777777" w:rsidR="00853AAA" w:rsidRDefault="00853AAA" w:rsidP="00853AAA">
      <w:pPr>
        <w:pStyle w:val="DHHSbullet1"/>
        <w:numPr>
          <w:ilvl w:val="0"/>
          <w:numId w:val="7"/>
        </w:numPr>
        <w:spacing w:after="120"/>
        <w:rPr>
          <w:lang w:eastAsia="en-AU"/>
        </w:rPr>
      </w:pPr>
      <w:r>
        <w:rPr>
          <w:lang w:eastAsia="en-AU"/>
        </w:rPr>
        <w:t>a cultural plan (where relevant)</w:t>
      </w:r>
    </w:p>
    <w:p w14:paraId="44AA096B" w14:textId="77777777" w:rsidR="00853AAA" w:rsidRDefault="00853AAA" w:rsidP="00853AAA">
      <w:pPr>
        <w:pStyle w:val="DHHSbody"/>
        <w:rPr>
          <w:rFonts w:cs="Arial"/>
          <w:lang w:eastAsia="en-AU"/>
        </w:rPr>
      </w:pPr>
      <w:r>
        <w:rPr>
          <w:lang w:eastAsia="en-AU"/>
        </w:rPr>
        <w:t xml:space="preserve">For more information on case planning for young people aged 15 years plus, refer to </w:t>
      </w:r>
      <w:r w:rsidRPr="00F17054">
        <w:rPr>
          <w:i/>
          <w:lang w:eastAsia="en-AU"/>
        </w:rPr>
        <w:t>Leaving care</w:t>
      </w:r>
      <w:r>
        <w:rPr>
          <w:lang w:eastAsia="en-AU"/>
        </w:rPr>
        <w:t xml:space="preserve"> in the </w:t>
      </w:r>
      <w:hyperlink r:id="rId16" w:history="1">
        <w:r w:rsidRPr="00AF6EB3">
          <w:rPr>
            <w:rFonts w:eastAsia="Times New Roman" w:cs="Arial"/>
          </w:rPr>
          <w:t>Child Protection Manual</w:t>
        </w:r>
      </w:hyperlink>
      <w:r>
        <w:rPr>
          <w:lang w:eastAsia="en-AU"/>
        </w:rPr>
        <w:t xml:space="preserve"> &lt;</w:t>
      </w:r>
      <w:r w:rsidRPr="00F41B34">
        <w:rPr>
          <w:rFonts w:cs="Arial"/>
          <w:lang w:eastAsia="en-AU"/>
        </w:rPr>
        <w:t>https://www.cpmanual.vic.gov.au/</w:t>
      </w:r>
      <w:r>
        <w:rPr>
          <w:rFonts w:cs="Arial"/>
          <w:lang w:eastAsia="en-AU"/>
        </w:rPr>
        <w:t>&gt;.</w:t>
      </w:r>
    </w:p>
    <w:p w14:paraId="4A381FFE" w14:textId="77777777" w:rsidR="00853AAA" w:rsidRDefault="00853AAA" w:rsidP="00853AAA">
      <w:pPr>
        <w:pStyle w:val="DHHSbody"/>
        <w:rPr>
          <w:shd w:val="clear" w:color="auto" w:fill="FFFFFF"/>
        </w:rPr>
      </w:pPr>
      <w:r w:rsidRPr="00592E04">
        <w:rPr>
          <w:shd w:val="clear" w:color="auto" w:fill="FFFFFF"/>
        </w:rPr>
        <w:t xml:space="preserve">The </w:t>
      </w:r>
      <w:r w:rsidRPr="00592E04">
        <w:rPr>
          <w:i/>
          <w:shd w:val="clear" w:color="auto" w:fill="FFFFFF"/>
        </w:rPr>
        <w:t>Children,</w:t>
      </w:r>
      <w:r>
        <w:rPr>
          <w:i/>
          <w:shd w:val="clear" w:color="auto" w:fill="FFFFFF"/>
        </w:rPr>
        <w:t xml:space="preserve"> </w:t>
      </w:r>
      <w:r w:rsidRPr="00592E04">
        <w:rPr>
          <w:i/>
          <w:shd w:val="clear" w:color="auto" w:fill="FFFFFF"/>
        </w:rPr>
        <w:t>Youth and Families Act 2005</w:t>
      </w:r>
      <w:r w:rsidRPr="00592E04">
        <w:rPr>
          <w:shd w:val="clear" w:color="auto" w:fill="FFFFFF"/>
        </w:rPr>
        <w:t xml:space="preserve">, establishes cultural support as essential for Aboriginal children in </w:t>
      </w:r>
      <w:r w:rsidRPr="006F13EA">
        <w:rPr>
          <w:shd w:val="clear" w:color="auto" w:fill="FFFFFF"/>
        </w:rPr>
        <w:t xml:space="preserve">care services </w:t>
      </w:r>
      <w:r w:rsidRPr="00592E04">
        <w:rPr>
          <w:shd w:val="clear" w:color="auto" w:fill="FFFFFF"/>
        </w:rPr>
        <w:t>to maintain and strengthen their Aboriginal identity, and encourage their connection to their Aboriginal culture and community</w:t>
      </w:r>
      <w:r w:rsidRPr="00847D58">
        <w:rPr>
          <w:shd w:val="clear" w:color="auto" w:fill="FFFFFF"/>
        </w:rPr>
        <w:t xml:space="preserve">. </w:t>
      </w:r>
      <w:r>
        <w:rPr>
          <w:shd w:val="clear" w:color="auto" w:fill="FFFFFF"/>
        </w:rPr>
        <w:t xml:space="preserve">The development of cultural plans with Aboriginal young people is a critical component of care team planning. </w:t>
      </w:r>
    </w:p>
    <w:p w14:paraId="6630301C" w14:textId="77777777" w:rsidR="00853AAA" w:rsidRPr="009E36A7" w:rsidRDefault="00853AAA" w:rsidP="00190729">
      <w:pPr>
        <w:pStyle w:val="DHHSbody"/>
        <w:rPr>
          <w:color w:val="000000"/>
          <w:lang w:eastAsia="en-AU"/>
        </w:rPr>
      </w:pPr>
      <w:r>
        <w:rPr>
          <w:lang w:eastAsia="en-AU"/>
        </w:rPr>
        <w:t xml:space="preserve">For more information about cultural plans, refer to </w:t>
      </w:r>
      <w:r w:rsidRPr="00AF6EB3">
        <w:rPr>
          <w:i/>
          <w:lang w:eastAsia="en-AU"/>
        </w:rPr>
        <w:t>Cultural plans</w:t>
      </w:r>
      <w:r>
        <w:rPr>
          <w:lang w:eastAsia="en-AU"/>
        </w:rPr>
        <w:t xml:space="preserve"> in the </w:t>
      </w:r>
      <w:hyperlink r:id="rId17" w:history="1">
        <w:r w:rsidRPr="00DC3CEC">
          <w:rPr>
            <w:rStyle w:val="Hyperlink"/>
            <w:rFonts w:cs="Arial"/>
            <w:lang w:eastAsia="en-AU"/>
          </w:rPr>
          <w:t>Child Protection Manual</w:t>
        </w:r>
      </w:hyperlink>
      <w:r>
        <w:rPr>
          <w:lang w:eastAsia="en-AU"/>
        </w:rPr>
        <w:t xml:space="preserve"> &lt;</w:t>
      </w:r>
      <w:r w:rsidRPr="00F41B34">
        <w:rPr>
          <w:lang w:eastAsia="en-AU"/>
        </w:rPr>
        <w:t>https://www.cpmanual.vic.gov.au</w:t>
      </w:r>
      <w:r>
        <w:rPr>
          <w:lang w:eastAsia="en-AU"/>
        </w:rPr>
        <w:t xml:space="preserve"> &gt;.</w:t>
      </w:r>
    </w:p>
    <w:p w14:paraId="61B27E08" w14:textId="77777777" w:rsidR="00853AAA" w:rsidRPr="005F0437" w:rsidRDefault="00853AAA" w:rsidP="00853AAA">
      <w:pPr>
        <w:pStyle w:val="Heading2"/>
      </w:pPr>
      <w:bookmarkStart w:id="22" w:name="_Toc17193106"/>
      <w:bookmarkStart w:id="23" w:name="_Toc27560362"/>
      <w:bookmarkStart w:id="24" w:name="_Toc28093439"/>
      <w:bookmarkStart w:id="25" w:name="_Toc91079051"/>
      <w:bookmarkStart w:id="26" w:name="_Hlk16508858"/>
      <w:r w:rsidRPr="005F0437">
        <w:t>Eligibility for Better Futures</w:t>
      </w:r>
      <w:bookmarkEnd w:id="22"/>
      <w:bookmarkEnd w:id="23"/>
      <w:bookmarkEnd w:id="24"/>
      <w:bookmarkEnd w:id="25"/>
    </w:p>
    <w:bookmarkEnd w:id="26"/>
    <w:p w14:paraId="1799ED46" w14:textId="77777777" w:rsidR="00853AAA" w:rsidRDefault="00853AAA" w:rsidP="00853AAA">
      <w:pPr>
        <w:pStyle w:val="DHHSbody"/>
      </w:pPr>
      <w:r w:rsidRPr="00533945">
        <w:t xml:space="preserve">In Victoria, the </w:t>
      </w:r>
      <w:r w:rsidRPr="00D154B8">
        <w:rPr>
          <w:i/>
        </w:rPr>
        <w:t>Children Youth and Families Act 2005</w:t>
      </w:r>
      <w:r w:rsidRPr="00533945">
        <w:t xml:space="preserve"> (section 16) establishes a responsibility</w:t>
      </w:r>
      <w:r>
        <w:t xml:space="preserve"> for the Secretary to provide or arrange the provision of services to assist in supporting a person under the age of 21 years to gain the capacity to make the transition to independent living where;</w:t>
      </w:r>
    </w:p>
    <w:p w14:paraId="07304D48" w14:textId="77777777" w:rsidR="00853AAA" w:rsidRDefault="00853AAA" w:rsidP="00853AAA">
      <w:pPr>
        <w:pStyle w:val="DHHSbullet1"/>
        <w:numPr>
          <w:ilvl w:val="0"/>
          <w:numId w:val="7"/>
        </w:numPr>
      </w:pPr>
      <w:r>
        <w:t xml:space="preserve">the Secretary has had parental responsibility for the person; and </w:t>
      </w:r>
    </w:p>
    <w:p w14:paraId="63117522" w14:textId="77777777" w:rsidR="00853AAA" w:rsidRDefault="00853AAA" w:rsidP="008B005C">
      <w:pPr>
        <w:pStyle w:val="DHHSbullet1"/>
        <w:numPr>
          <w:ilvl w:val="0"/>
          <w:numId w:val="7"/>
        </w:numPr>
      </w:pPr>
      <w:r>
        <w:t xml:space="preserve">on the Secretary’s responsibility ending, the person is of an age, or intends, to live independently. </w:t>
      </w:r>
    </w:p>
    <w:p w14:paraId="2FC7791C" w14:textId="77777777" w:rsidR="00853AAA" w:rsidRDefault="00853AAA" w:rsidP="00853AAA">
      <w:pPr>
        <w:pStyle w:val="DHHSbody"/>
      </w:pPr>
      <w:bookmarkStart w:id="27" w:name="_Hlk89026373"/>
      <w:r>
        <w:t xml:space="preserve">Young people in foster care, kinship care, residential care are eligible for Better Futures </w:t>
      </w:r>
      <w:r>
        <w:rPr>
          <w:lang w:eastAsia="en-AU"/>
        </w:rPr>
        <w:t xml:space="preserve">from </w:t>
      </w:r>
      <w:r>
        <w:t xml:space="preserve">15 years and 9 months if they are </w:t>
      </w:r>
      <w:r w:rsidRPr="00533945">
        <w:t>subject to</w:t>
      </w:r>
      <w:r w:rsidRPr="005F2572">
        <w:t xml:space="preserve"> a</w:t>
      </w:r>
      <w:r>
        <w:t>:</w:t>
      </w:r>
    </w:p>
    <w:p w14:paraId="127E0642" w14:textId="77777777" w:rsidR="00853AAA" w:rsidRDefault="00853AAA" w:rsidP="00853AAA">
      <w:pPr>
        <w:pStyle w:val="DHHSbullet1"/>
        <w:numPr>
          <w:ilvl w:val="0"/>
          <w:numId w:val="7"/>
        </w:numPr>
      </w:pPr>
      <w:r w:rsidRPr="00533945">
        <w:t xml:space="preserve"> </w:t>
      </w:r>
      <w:r w:rsidRPr="00AB1BF9">
        <w:t>family reunification order</w:t>
      </w:r>
      <w:r w:rsidRPr="00533945">
        <w:t xml:space="preserve">, </w:t>
      </w:r>
    </w:p>
    <w:p w14:paraId="07C2D8B6" w14:textId="77777777" w:rsidR="00853AAA" w:rsidRDefault="00853AAA" w:rsidP="00853AAA">
      <w:pPr>
        <w:pStyle w:val="DHHSbullet1"/>
        <w:numPr>
          <w:ilvl w:val="0"/>
          <w:numId w:val="7"/>
        </w:numPr>
      </w:pPr>
      <w:r w:rsidRPr="00533945">
        <w:t xml:space="preserve">a </w:t>
      </w:r>
      <w:r w:rsidRPr="00AB1BF9">
        <w:t>care by Secretary order</w:t>
      </w:r>
      <w:r>
        <w:t>,</w:t>
      </w:r>
      <w:r w:rsidRPr="00533945">
        <w:t xml:space="preserve"> </w:t>
      </w:r>
      <w:r>
        <w:t>or</w:t>
      </w:r>
    </w:p>
    <w:p w14:paraId="59008393" w14:textId="77777777" w:rsidR="00853AAA" w:rsidRDefault="00853AAA" w:rsidP="00853AAA">
      <w:pPr>
        <w:pStyle w:val="DHHSbullet1"/>
        <w:numPr>
          <w:ilvl w:val="0"/>
          <w:numId w:val="7"/>
        </w:numPr>
      </w:pPr>
      <w:r w:rsidRPr="00533945">
        <w:t xml:space="preserve">a </w:t>
      </w:r>
      <w:r w:rsidRPr="00AB1BF9">
        <w:t>long-term care order</w:t>
      </w:r>
      <w:r>
        <w:t>.</w:t>
      </w:r>
      <w:bookmarkStart w:id="28" w:name="_Hlk80868705"/>
    </w:p>
    <w:p w14:paraId="03C486DB" w14:textId="0D24774E" w:rsidR="00853AAA" w:rsidRDefault="00853AAA" w:rsidP="00853AAA">
      <w:pPr>
        <w:pStyle w:val="DHHSbody"/>
      </w:pPr>
      <w:r>
        <w:t>Young people subject to a permanent care order</w:t>
      </w:r>
      <w:r w:rsidRPr="00533945">
        <w:t xml:space="preserve"> on</w:t>
      </w:r>
      <w:r>
        <w:t xml:space="preserve"> or </w:t>
      </w:r>
      <w:r w:rsidRPr="00AB1BF9">
        <w:t>after the age of 15 years and 9 months</w:t>
      </w:r>
      <w:r>
        <w:t xml:space="preserve"> are also eligible for Better Futures.</w:t>
      </w:r>
      <w:r w:rsidR="005A275D">
        <w:t xml:space="preserve"> </w:t>
      </w:r>
    </w:p>
    <w:bookmarkEnd w:id="27"/>
    <w:bookmarkEnd w:id="28"/>
    <w:p w14:paraId="25763AFB" w14:textId="77777777" w:rsidR="00853AAA" w:rsidRDefault="00853AAA" w:rsidP="00853AAA">
      <w:pPr>
        <w:pStyle w:val="DHHSbody"/>
      </w:pPr>
      <w:r>
        <w:t>Young people on interim accommodation orders and family preservation orders are not eligible for Better Futures.</w:t>
      </w:r>
    </w:p>
    <w:p w14:paraId="43C1643C" w14:textId="77777777" w:rsidR="00853AAA" w:rsidRPr="005F0437" w:rsidRDefault="00853AAA" w:rsidP="00853AAA">
      <w:pPr>
        <w:pStyle w:val="Heading2"/>
      </w:pPr>
      <w:bookmarkStart w:id="29" w:name="_Toc17193107"/>
      <w:bookmarkStart w:id="30" w:name="_Toc27560363"/>
      <w:bookmarkStart w:id="31" w:name="_Toc28093440"/>
      <w:bookmarkStart w:id="32" w:name="_Toc91079052"/>
      <w:r w:rsidRPr="005F0437">
        <w:t>Referral to Better Futures</w:t>
      </w:r>
      <w:bookmarkEnd w:id="29"/>
      <w:bookmarkEnd w:id="30"/>
      <w:bookmarkEnd w:id="31"/>
      <w:bookmarkEnd w:id="32"/>
    </w:p>
    <w:p w14:paraId="6D2F1C59" w14:textId="77777777" w:rsidR="00853AAA" w:rsidRPr="000415F6" w:rsidRDefault="00853AAA" w:rsidP="00853AAA">
      <w:pPr>
        <w:pStyle w:val="Heading3"/>
      </w:pPr>
      <w:bookmarkStart w:id="33" w:name="_Toc17193108"/>
      <w:bookmarkStart w:id="34" w:name="_Toc27560364"/>
      <w:bookmarkStart w:id="35" w:name="_Toc28093441"/>
      <w:r w:rsidRPr="000415F6">
        <w:t>Procedures for case managers</w:t>
      </w:r>
      <w:bookmarkEnd w:id="33"/>
      <w:bookmarkEnd w:id="34"/>
      <w:bookmarkEnd w:id="35"/>
    </w:p>
    <w:p w14:paraId="435F7845" w14:textId="77777777" w:rsidR="00853AAA" w:rsidRPr="00DC3CEC" w:rsidRDefault="00853AAA" w:rsidP="00853AAA">
      <w:pPr>
        <w:pStyle w:val="DHHSbullet1"/>
        <w:numPr>
          <w:ilvl w:val="0"/>
          <w:numId w:val="7"/>
        </w:numPr>
      </w:pPr>
      <w:r w:rsidRPr="00DC3CEC">
        <w:t xml:space="preserve">The child protection case manager/contracted case manager/Aboriginal Children Aboriginal Care (ACAC) case manager determines that a young person is eligible for a referral to Better Futures at 15 years and 9 months. </w:t>
      </w:r>
    </w:p>
    <w:p w14:paraId="4095C54F" w14:textId="77777777" w:rsidR="00853AAA" w:rsidRPr="00DC3CEC" w:rsidRDefault="00853AAA" w:rsidP="00853AAA">
      <w:pPr>
        <w:pStyle w:val="DHHSbullet1"/>
        <w:numPr>
          <w:ilvl w:val="0"/>
          <w:numId w:val="7"/>
        </w:numPr>
      </w:pPr>
      <w:r w:rsidRPr="00DC3CEC">
        <w:t xml:space="preserve">Case managers discuss a Better Futures referral with the young person, engaging them in the process and obtaining their verbal consent to the referral. Note, where consent cannot be obtained for practical reasons, referral to Better Futures should still proceed. </w:t>
      </w:r>
    </w:p>
    <w:p w14:paraId="4CBF4429" w14:textId="281AEC60" w:rsidR="00853AAA" w:rsidRPr="00DC3CEC" w:rsidRDefault="00853AAA" w:rsidP="00853AAA">
      <w:pPr>
        <w:pStyle w:val="DHHSbullet1"/>
        <w:numPr>
          <w:ilvl w:val="0"/>
          <w:numId w:val="7"/>
        </w:numPr>
      </w:pPr>
      <w:bookmarkStart w:id="36" w:name="_Hlk29901903"/>
      <w:r w:rsidRPr="00DC3CEC">
        <w:t>The case manager sends a Referral for Service via the Client Relationship Information System (CRIS) to the relevant Better Futures provider, attaching the 15+ care and transition plan and other relevant documentation (for example the cultural plan, the client overview document, areas of concern, the actions table from the case plan, the placement referral document, care and placement plan, assessment and progress record, essential information record, health or education assessments, individual education plan, an NDIS plan, meeting minutes, or contracted case management quarterly reports).</w:t>
      </w:r>
      <w:r w:rsidR="005A275D">
        <w:t xml:space="preserve"> </w:t>
      </w:r>
    </w:p>
    <w:p w14:paraId="60A6B847" w14:textId="77777777" w:rsidR="00853AAA" w:rsidRPr="00DC3CEC" w:rsidRDefault="00853AAA" w:rsidP="00853AAA">
      <w:pPr>
        <w:pStyle w:val="DHHSbullet1"/>
        <w:numPr>
          <w:ilvl w:val="0"/>
          <w:numId w:val="7"/>
        </w:numPr>
      </w:pPr>
      <w:r w:rsidRPr="00DC3CEC">
        <w:t>You should also include information regarding security alerts or safety risks.</w:t>
      </w:r>
    </w:p>
    <w:p w14:paraId="76F85E65" w14:textId="77777777" w:rsidR="00853AAA" w:rsidRPr="00CF5F96" w:rsidRDefault="00853AAA" w:rsidP="00853AAA">
      <w:pPr>
        <w:pStyle w:val="Heading3"/>
      </w:pPr>
      <w:bookmarkStart w:id="37" w:name="_Toc17193109"/>
      <w:bookmarkStart w:id="38" w:name="_Toc27560365"/>
      <w:bookmarkStart w:id="39" w:name="_Toc28093442"/>
      <w:bookmarkEnd w:id="36"/>
      <w:r w:rsidRPr="00CF5F96">
        <w:t xml:space="preserve">Procedures for Better Futures </w:t>
      </w:r>
      <w:bookmarkEnd w:id="37"/>
      <w:r w:rsidRPr="00CF5F96">
        <w:t>providers</w:t>
      </w:r>
      <w:bookmarkEnd w:id="38"/>
      <w:bookmarkEnd w:id="39"/>
    </w:p>
    <w:p w14:paraId="314A4A65" w14:textId="77777777" w:rsidR="00853AAA" w:rsidRDefault="00853AAA" w:rsidP="00853AAA">
      <w:pPr>
        <w:pStyle w:val="DHHSbullet1"/>
        <w:numPr>
          <w:ilvl w:val="0"/>
          <w:numId w:val="7"/>
        </w:numPr>
        <w:spacing w:after="120"/>
      </w:pPr>
      <w:r w:rsidRPr="0090678A">
        <w:t>Depending on</w:t>
      </w:r>
      <w:r>
        <w:t xml:space="preserve"> Better Futures</w:t>
      </w:r>
      <w:r w:rsidRPr="0090678A">
        <w:t xml:space="preserve"> local </w:t>
      </w:r>
      <w:r>
        <w:t>a</w:t>
      </w:r>
      <w:r w:rsidRPr="0090678A">
        <w:t>rea</w:t>
      </w:r>
      <w:r>
        <w:t xml:space="preserve"> implementation</w:t>
      </w:r>
      <w:r w:rsidRPr="0090678A">
        <w:t xml:space="preserve"> arrangements</w:t>
      </w:r>
      <w:r>
        <w:t xml:space="preserve"> referrals are accepted on CRISSP by:</w:t>
      </w:r>
    </w:p>
    <w:p w14:paraId="0A14C85B" w14:textId="77777777" w:rsidR="00853AAA" w:rsidRPr="00625AEB" w:rsidRDefault="00853AAA" w:rsidP="00625AEB">
      <w:pPr>
        <w:pStyle w:val="Bullet2"/>
      </w:pPr>
      <w:r w:rsidRPr="00625AEB">
        <w:t>a nominated Better Futures provider/s who is the central point for referrals for Better Futures in that area/s; or</w:t>
      </w:r>
    </w:p>
    <w:p w14:paraId="5A56FF5B" w14:textId="21971F3F" w:rsidR="00853AAA" w:rsidRPr="00625AEB" w:rsidRDefault="00853AAA" w:rsidP="00625AEB">
      <w:pPr>
        <w:pStyle w:val="Bullet2"/>
      </w:pPr>
      <w:r w:rsidRPr="00625AEB">
        <w:t>an ACCO for Aboriginal young people; or</w:t>
      </w:r>
      <w:r w:rsidR="005A275D" w:rsidRPr="00625AEB">
        <w:t xml:space="preserve"> </w:t>
      </w:r>
    </w:p>
    <w:p w14:paraId="568F3E05" w14:textId="77777777" w:rsidR="00853AAA" w:rsidRPr="00625AEB" w:rsidRDefault="00853AAA" w:rsidP="00625AEB">
      <w:pPr>
        <w:pStyle w:val="Bullet2"/>
      </w:pPr>
      <w:r w:rsidRPr="00625AEB">
        <w:t>a Better Futures provider who is the sole provider in the area; or</w:t>
      </w:r>
    </w:p>
    <w:p w14:paraId="504B183D" w14:textId="77777777" w:rsidR="00853AAA" w:rsidRPr="00625AEB" w:rsidRDefault="00853AAA" w:rsidP="00625AEB">
      <w:pPr>
        <w:pStyle w:val="Bullet2"/>
      </w:pPr>
      <w:r w:rsidRPr="00625AEB">
        <w:t>other agreed local arrangements.</w:t>
      </w:r>
    </w:p>
    <w:p w14:paraId="6BEDAE81" w14:textId="77777777" w:rsidR="00853AAA" w:rsidRDefault="00853AAA" w:rsidP="00853AAA">
      <w:pPr>
        <w:pStyle w:val="DHHSbullet1"/>
        <w:numPr>
          <w:ilvl w:val="0"/>
          <w:numId w:val="7"/>
        </w:numPr>
        <w:spacing w:after="120"/>
      </w:pPr>
      <w:r>
        <w:t>The Better Futures provider in receipt of a referral undertakes a</w:t>
      </w:r>
      <w:r w:rsidRPr="00F63DFB">
        <w:t xml:space="preserve">n initial </w:t>
      </w:r>
      <w:r>
        <w:t xml:space="preserve">screening to determine the likely required </w:t>
      </w:r>
      <w:r w:rsidRPr="00F63DFB">
        <w:t xml:space="preserve">Better Futures </w:t>
      </w:r>
      <w:r>
        <w:t>response based on information available.</w:t>
      </w:r>
    </w:p>
    <w:p w14:paraId="184C7C9B" w14:textId="77777777" w:rsidR="00853AAA" w:rsidRDefault="00853AAA" w:rsidP="00853AAA">
      <w:pPr>
        <w:pStyle w:val="DHHSbullet1"/>
        <w:numPr>
          <w:ilvl w:val="0"/>
          <w:numId w:val="7"/>
        </w:numPr>
        <w:spacing w:after="120"/>
      </w:pPr>
      <w:r>
        <w:t xml:space="preserve">The </w:t>
      </w:r>
      <w:r w:rsidRPr="0090678A">
        <w:t>Better Futures</w:t>
      </w:r>
      <w:r>
        <w:t xml:space="preserve"> provider</w:t>
      </w:r>
      <w:r w:rsidRPr="0090678A">
        <w:t xml:space="preserve"> initiate</w:t>
      </w:r>
      <w:r>
        <w:t>s</w:t>
      </w:r>
      <w:r w:rsidRPr="0090678A">
        <w:t xml:space="preserve"> contact with the referrer </w:t>
      </w:r>
      <w:r>
        <w:t>within five</w:t>
      </w:r>
      <w:r w:rsidRPr="0090678A">
        <w:t xml:space="preserve"> working days</w:t>
      </w:r>
      <w:r>
        <w:t xml:space="preserve"> to advise of Better Futures allocation and prioritisation processes.</w:t>
      </w:r>
    </w:p>
    <w:p w14:paraId="495515F5" w14:textId="77777777" w:rsidR="00853AAA" w:rsidRDefault="00853AAA" w:rsidP="00853AAA">
      <w:pPr>
        <w:pStyle w:val="DHHSbullet1"/>
        <w:numPr>
          <w:ilvl w:val="0"/>
          <w:numId w:val="7"/>
        </w:numPr>
        <w:spacing w:after="120"/>
      </w:pPr>
      <w:r>
        <w:t>The Better Futures provider seeks additional information from the referrer if required.</w:t>
      </w:r>
    </w:p>
    <w:p w14:paraId="60383510" w14:textId="662CBDBD" w:rsidR="00853AAA" w:rsidRDefault="00853AAA" w:rsidP="00853AAA">
      <w:pPr>
        <w:pStyle w:val="DHHSbullet1"/>
        <w:spacing w:after="120"/>
        <w:ind w:left="0" w:firstLine="0"/>
        <w:rPr>
          <w:i/>
        </w:rPr>
      </w:pPr>
      <w:r w:rsidRPr="00E10A22">
        <w:t xml:space="preserve">For more information </w:t>
      </w:r>
      <w:r>
        <w:t xml:space="preserve">on the </w:t>
      </w:r>
      <w:r w:rsidRPr="00E10A22">
        <w:t xml:space="preserve">Better Futures CRISSP referral process refer to </w:t>
      </w:r>
      <w:r w:rsidRPr="00625AEB">
        <w:rPr>
          <w:iCs/>
        </w:rPr>
        <w:t>CRIS/CRISSP User Guides</w:t>
      </w:r>
      <w:r>
        <w:t xml:space="preserve"> a</w:t>
      </w:r>
      <w:r w:rsidRPr="00E10A22">
        <w:t xml:space="preserve">nd </w:t>
      </w:r>
      <w:r w:rsidR="007C1F65">
        <w:t xml:space="preserve">for </w:t>
      </w:r>
      <w:r w:rsidR="00AB4754">
        <w:t>details</w:t>
      </w:r>
      <w:r w:rsidR="007C1F65">
        <w:t xml:space="preserve"> </w:t>
      </w:r>
      <w:r w:rsidR="00AB4754">
        <w:t>regarding</w:t>
      </w:r>
      <w:r w:rsidR="007C1F65">
        <w:t xml:space="preserve"> </w:t>
      </w:r>
      <w:r w:rsidR="004A5118">
        <w:t xml:space="preserve">other related </w:t>
      </w:r>
      <w:hyperlink r:id="rId18" w:history="1">
        <w:r w:rsidRPr="00625AEB">
          <w:rPr>
            <w:rStyle w:val="Hyperlink"/>
          </w:rPr>
          <w:t xml:space="preserve">Better Futures </w:t>
        </w:r>
        <w:r w:rsidR="00B74E58" w:rsidRPr="00625AEB">
          <w:rPr>
            <w:rStyle w:val="Hyperlink"/>
          </w:rPr>
          <w:t>practice advice</w:t>
        </w:r>
      </w:hyperlink>
      <w:r w:rsidR="009B5064" w:rsidRPr="00625AEB">
        <w:t xml:space="preserve"> documents</w:t>
      </w:r>
      <w:r w:rsidR="00292C04" w:rsidRPr="00625AEB">
        <w:t xml:space="preserve"> </w:t>
      </w:r>
      <w:r w:rsidR="00226E8E" w:rsidRPr="00625AEB">
        <w:t>go to</w:t>
      </w:r>
      <w:r w:rsidR="00292C04" w:rsidRPr="00625AEB">
        <w:t xml:space="preserve">: </w:t>
      </w:r>
      <w:r w:rsidR="009B5064" w:rsidRPr="00625AEB">
        <w:t>&lt;https://providers.dffh.vic.gov.au/better-futures&gt;</w:t>
      </w:r>
    </w:p>
    <w:p w14:paraId="67589794" w14:textId="77777777" w:rsidR="00853AAA" w:rsidRPr="000415F6" w:rsidRDefault="00853AAA" w:rsidP="00853AAA">
      <w:pPr>
        <w:pStyle w:val="Heading3"/>
      </w:pPr>
      <w:bookmarkStart w:id="40" w:name="_Toc27560366"/>
      <w:bookmarkStart w:id="41" w:name="_Toc28093443"/>
      <w:bookmarkStart w:id="42" w:name="_Toc17193111"/>
      <w:bookmarkStart w:id="43" w:name="_Toc17193205"/>
      <w:r w:rsidRPr="000415F6">
        <w:t xml:space="preserve">Better Futures referrals </w:t>
      </w:r>
      <w:bookmarkEnd w:id="40"/>
      <w:bookmarkEnd w:id="41"/>
      <w:r>
        <w:t>post order</w:t>
      </w:r>
      <w:r w:rsidRPr="000415F6">
        <w:t xml:space="preserve"> </w:t>
      </w:r>
    </w:p>
    <w:p w14:paraId="4CBBF0C4" w14:textId="77777777" w:rsidR="00853AAA" w:rsidRDefault="00853AAA" w:rsidP="00853AAA">
      <w:pPr>
        <w:pStyle w:val="DHHSbody"/>
      </w:pPr>
      <w:r w:rsidRPr="005E5CBF">
        <w:t xml:space="preserve">A young person may have left care some time ago </w:t>
      </w:r>
      <w:r>
        <w:t xml:space="preserve">or moved to a new location </w:t>
      </w:r>
      <w:r w:rsidRPr="005E5CBF">
        <w:t xml:space="preserve">and may not have established links with </w:t>
      </w:r>
      <w:r>
        <w:t>a Better Futures</w:t>
      </w:r>
      <w:r w:rsidRPr="005E5CBF">
        <w:t xml:space="preserve"> provider.</w:t>
      </w:r>
      <w:r>
        <w:t xml:space="preserve"> These young people might self-refer to Better Futures, and in these circumstances the provider should:</w:t>
      </w:r>
    </w:p>
    <w:p w14:paraId="61106D89" w14:textId="66AD0830" w:rsidR="00853AAA" w:rsidRDefault="00853AAA" w:rsidP="00853AAA">
      <w:pPr>
        <w:pStyle w:val="DHHSbullet1"/>
        <w:numPr>
          <w:ilvl w:val="0"/>
          <w:numId w:val="7"/>
        </w:numPr>
      </w:pPr>
      <w:r>
        <w:t>confirm the young person’s eligibility for Better Futures via CRISSP</w:t>
      </w:r>
      <w:r w:rsidR="005A275D">
        <w:t xml:space="preserve"> </w:t>
      </w:r>
    </w:p>
    <w:p w14:paraId="4E4714E8" w14:textId="77777777" w:rsidR="00853AAA" w:rsidRDefault="00853AAA" w:rsidP="00853AAA">
      <w:pPr>
        <w:pStyle w:val="DHHSbullet1"/>
        <w:numPr>
          <w:ilvl w:val="0"/>
          <w:numId w:val="7"/>
        </w:numPr>
      </w:pPr>
      <w:r w:rsidRPr="00FB5FCD">
        <w:t xml:space="preserve">create a new CRISSP case </w:t>
      </w:r>
      <w:r>
        <w:t xml:space="preserve">if the young person is determined eligible </w:t>
      </w:r>
    </w:p>
    <w:p w14:paraId="17F9F6F4" w14:textId="77777777" w:rsidR="00853AAA" w:rsidRDefault="00853AAA" w:rsidP="00853AAA">
      <w:pPr>
        <w:pStyle w:val="DHHSbullet1"/>
        <w:numPr>
          <w:ilvl w:val="0"/>
          <w:numId w:val="7"/>
        </w:numPr>
      </w:pPr>
      <w:r>
        <w:t xml:space="preserve">provide details of the referral at the local allocations meeting to ensure necessary records are updated. </w:t>
      </w:r>
    </w:p>
    <w:p w14:paraId="0E653612" w14:textId="52AC299A" w:rsidR="00275355" w:rsidRDefault="00275355" w:rsidP="00275355">
      <w:pPr>
        <w:pStyle w:val="Heading2"/>
        <w:rPr>
          <w:rFonts w:eastAsia="Calibri"/>
        </w:rPr>
      </w:pPr>
      <w:bookmarkStart w:id="44" w:name="_Toc28954502"/>
      <w:bookmarkStart w:id="45" w:name="_Toc28954591"/>
      <w:bookmarkStart w:id="46" w:name="_Toc28954672"/>
      <w:bookmarkStart w:id="47" w:name="_Toc30574068"/>
      <w:bookmarkStart w:id="48" w:name="_Toc91079053"/>
      <w:bookmarkEnd w:id="42"/>
      <w:bookmarkEnd w:id="43"/>
      <w:bookmarkEnd w:id="4"/>
      <w:r w:rsidRPr="00D9163C">
        <w:rPr>
          <w:rFonts w:eastAsia="Calibri"/>
        </w:rPr>
        <w:t>A</w:t>
      </w:r>
      <w:r>
        <w:rPr>
          <w:rFonts w:eastAsia="Calibri"/>
        </w:rPr>
        <w:t>dditional information</w:t>
      </w:r>
      <w:bookmarkEnd w:id="44"/>
      <w:bookmarkEnd w:id="45"/>
      <w:bookmarkEnd w:id="46"/>
      <w:bookmarkEnd w:id="47"/>
      <w:bookmarkEnd w:id="48"/>
    </w:p>
    <w:p w14:paraId="31C4DD93" w14:textId="5C11380C" w:rsidR="00275355" w:rsidRDefault="00275355" w:rsidP="00275355">
      <w:pPr>
        <w:pStyle w:val="DHHSbody"/>
      </w:pPr>
      <w:r>
        <w:t>Additional practice advice documents and information can be found on department’s website via the:</w:t>
      </w:r>
      <w:r w:rsidRPr="00DC5EA4">
        <w:t xml:space="preserve"> </w:t>
      </w:r>
    </w:p>
    <w:p w14:paraId="50078AA2" w14:textId="19D62902" w:rsidR="008B005C" w:rsidRDefault="00961C1A" w:rsidP="008B005C">
      <w:pPr>
        <w:pStyle w:val="DHHSbody"/>
      </w:pPr>
      <w:hyperlink r:id="rId19" w:history="1">
        <w:r w:rsidR="008B005C">
          <w:rPr>
            <w:rStyle w:val="Hyperlink"/>
          </w:rPr>
          <w:t>providers.dffh.vic.gov.au/better-futures</w:t>
        </w:r>
      </w:hyperlink>
      <w:r w:rsidR="005A275D">
        <w:rPr>
          <w:rStyle w:val="Hyperlink"/>
        </w:rPr>
        <w:t xml:space="preserve"> </w:t>
      </w:r>
      <w:r w:rsidR="008B005C">
        <w:rPr>
          <w:rStyle w:val="Hyperlink"/>
        </w:rPr>
        <w:t>&lt;</w:t>
      </w:r>
      <w:r w:rsidR="008B005C" w:rsidRPr="009A7151">
        <w:t>https://providers.dffh.vic.gov.au/better-futures</w:t>
      </w:r>
      <w:r w:rsidR="008B005C">
        <w:t>&gt;</w:t>
      </w:r>
    </w:p>
    <w:p w14:paraId="4C5E47A3" w14:textId="583EB8D0" w:rsidR="008B005C" w:rsidRDefault="00961C1A" w:rsidP="008B005C">
      <w:pPr>
        <w:pStyle w:val="DHHSbody"/>
      </w:pPr>
      <w:hyperlink r:id="rId20" w:history="1">
        <w:r w:rsidR="008B005C" w:rsidRPr="009A7151">
          <w:rPr>
            <w:rStyle w:val="Hyperlink"/>
          </w:rPr>
          <w:t>providers.dffh.vic.gov.au/home-stretch</w:t>
        </w:r>
      </w:hyperlink>
      <w:r w:rsidR="005A275D">
        <w:t xml:space="preserve"> </w:t>
      </w:r>
      <w:r w:rsidR="008B005C">
        <w:rPr>
          <w:rStyle w:val="Hyperlink"/>
        </w:rPr>
        <w:t>&lt;</w:t>
      </w:r>
      <w:r w:rsidR="008B005C" w:rsidRPr="009A7151">
        <w:t>https://providers.dffh.vic.gov.au/home-stretch</w:t>
      </w:r>
      <w:r w:rsidR="008B005C">
        <w:t>&gt;</w:t>
      </w:r>
    </w:p>
    <w:p w14:paraId="57EF0970" w14:textId="7C80F457" w:rsidR="008B005C" w:rsidRDefault="00961C1A" w:rsidP="008B005C">
      <w:pPr>
        <w:pStyle w:val="DHHSbody"/>
      </w:pPr>
      <w:hyperlink r:id="rId21" w:history="1">
        <w:r w:rsidR="008B005C">
          <w:rPr>
            <w:rStyle w:val="Hyperlink"/>
          </w:rPr>
          <w:t>providers.dffh.vic.gov.au/leaving-care</w:t>
        </w:r>
      </w:hyperlink>
      <w:r w:rsidR="005A275D">
        <w:rPr>
          <w:rStyle w:val="Hyperlink"/>
        </w:rPr>
        <w:t xml:space="preserve"> </w:t>
      </w:r>
      <w:r w:rsidR="008B005C" w:rsidRPr="009A7151">
        <w:rPr>
          <w:rStyle w:val="Hyperlink"/>
          <w:color w:val="auto"/>
        </w:rPr>
        <w:t>&lt;https://providers.dffh.vic.gov.au/leaving-care&gt;</w:t>
      </w:r>
    </w:p>
    <w:p w14:paraId="0849E3A2" w14:textId="055F7929" w:rsidR="008B005C" w:rsidRDefault="00961C1A" w:rsidP="008B005C">
      <w:pPr>
        <w:pStyle w:val="DHHSbody"/>
      </w:pPr>
      <w:hyperlink r:id="rId22" w:history="1">
        <w:r w:rsidR="008B005C">
          <w:rPr>
            <w:rStyle w:val="Hyperlink"/>
          </w:rPr>
          <w:t>services.dffh.vic.gov.au/leaving-care</w:t>
        </w:r>
      </w:hyperlink>
      <w:r w:rsidR="005A275D">
        <w:rPr>
          <w:rStyle w:val="Hyperlink"/>
        </w:rPr>
        <w:t xml:space="preserve"> </w:t>
      </w:r>
      <w:r w:rsidR="008B005C">
        <w:rPr>
          <w:rStyle w:val="Hyperlink"/>
        </w:rPr>
        <w:t>&lt;</w:t>
      </w:r>
      <w:r w:rsidR="008B005C" w:rsidRPr="009A7151">
        <w:t>https://services.dffh.vic.gov.au/leaving-care</w:t>
      </w:r>
      <w:r w:rsidR="008B005C">
        <w:rPr>
          <w:rStyle w:val="Hyperlink"/>
        </w:rPr>
        <w:t>&gt;</w:t>
      </w:r>
    </w:p>
    <w:p w14:paraId="12BC10CF" w14:textId="49343067" w:rsidR="006727F6" w:rsidRDefault="00961C1A" w:rsidP="005A275D">
      <w:pPr>
        <w:pStyle w:val="DHHSbody"/>
        <w:spacing w:after="240"/>
      </w:pPr>
      <w:hyperlink r:id="rId23" w:history="1">
        <w:r w:rsidR="00275355" w:rsidRPr="00B915C6">
          <w:rPr>
            <w:rStyle w:val="Hyperlink"/>
          </w:rPr>
          <w:t>Funded Agency Channel</w:t>
        </w:r>
      </w:hyperlink>
      <w:r w:rsidR="00275355">
        <w:t xml:space="preserve"> </w:t>
      </w:r>
      <w:r w:rsidR="006727F6">
        <w:t>&lt;</w:t>
      </w:r>
      <w:hyperlink r:id="rId24" w:history="1">
        <w:r w:rsidR="006727F6" w:rsidRPr="006727F6">
          <w:t>https://fac.dhhs.vic.gov.au</w:t>
        </w:r>
      </w:hyperlink>
      <w:r w:rsidR="006727F6">
        <w:t>&gt;</w:t>
      </w:r>
    </w:p>
    <w:tbl>
      <w:tblPr>
        <w:tblStyle w:val="TableGrid"/>
        <w:tblW w:w="9781" w:type="dxa"/>
        <w:tblInd w:w="137" w:type="dxa"/>
        <w:tblLook w:val="0420" w:firstRow="1" w:lastRow="0" w:firstColumn="0" w:lastColumn="0" w:noHBand="0" w:noVBand="1"/>
      </w:tblPr>
      <w:tblGrid>
        <w:gridCol w:w="3256"/>
        <w:gridCol w:w="6525"/>
      </w:tblGrid>
      <w:tr w:rsidR="006727F6" w14:paraId="4BC9B7D8" w14:textId="77777777" w:rsidTr="00961C1A">
        <w:tc>
          <w:tcPr>
            <w:tcW w:w="3256" w:type="dxa"/>
          </w:tcPr>
          <w:p w14:paraId="11ACA6BF" w14:textId="77777777" w:rsidR="006727F6" w:rsidRPr="00961C1A" w:rsidRDefault="006727F6" w:rsidP="00C51538">
            <w:pPr>
              <w:pStyle w:val="DHHStabletext"/>
              <w:rPr>
                <w:b/>
                <w:bCs/>
              </w:rPr>
            </w:pPr>
            <w:r w:rsidRPr="00961C1A">
              <w:rPr>
                <w:b/>
                <w:bCs/>
              </w:rPr>
              <w:t>Subject</w:t>
            </w:r>
          </w:p>
        </w:tc>
        <w:tc>
          <w:tcPr>
            <w:tcW w:w="6525" w:type="dxa"/>
          </w:tcPr>
          <w:p w14:paraId="27859C4B" w14:textId="77777777" w:rsidR="006727F6" w:rsidRPr="00961C1A" w:rsidRDefault="006727F6" w:rsidP="00C51538">
            <w:pPr>
              <w:pStyle w:val="DHHStabletext"/>
              <w:rPr>
                <w:b/>
                <w:bCs/>
              </w:rPr>
            </w:pPr>
            <w:r w:rsidRPr="00961C1A">
              <w:rPr>
                <w:b/>
                <w:bCs/>
              </w:rPr>
              <w:t>Details</w:t>
            </w:r>
          </w:p>
        </w:tc>
      </w:tr>
      <w:tr w:rsidR="006727F6" w14:paraId="75728467" w14:textId="77777777" w:rsidTr="00961C1A">
        <w:tc>
          <w:tcPr>
            <w:tcW w:w="3256" w:type="dxa"/>
          </w:tcPr>
          <w:p w14:paraId="149EC811" w14:textId="77777777" w:rsidR="006727F6" w:rsidRDefault="006727F6" w:rsidP="00C51538">
            <w:pPr>
              <w:pStyle w:val="DHHStabletext"/>
            </w:pPr>
            <w:r>
              <w:t>Guide author</w:t>
            </w:r>
          </w:p>
        </w:tc>
        <w:tc>
          <w:tcPr>
            <w:tcW w:w="6525" w:type="dxa"/>
          </w:tcPr>
          <w:p w14:paraId="2A6DEB8D" w14:textId="77777777" w:rsidR="006727F6" w:rsidRDefault="006727F6"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55F23C9D" w14:textId="77777777" w:rsidR="006727F6" w:rsidRDefault="006727F6" w:rsidP="00C51538">
            <w:pPr>
              <w:pStyle w:val="DHHStabletext"/>
              <w:rPr>
                <w:rFonts w:cs="Arial"/>
                <w:color w:val="000000"/>
                <w:lang w:eastAsia="en-AU"/>
              </w:rPr>
            </w:pPr>
            <w:r>
              <w:rPr>
                <w:rFonts w:cs="Arial"/>
                <w:color w:val="000000"/>
                <w:lang w:eastAsia="en-AU"/>
              </w:rPr>
              <w:t>Children, Families, Communities and Disability Division</w:t>
            </w:r>
          </w:p>
          <w:p w14:paraId="490C3C4F" w14:textId="77777777" w:rsidR="006727F6" w:rsidRPr="00223D8A" w:rsidRDefault="006727F6" w:rsidP="00C51538">
            <w:pPr>
              <w:pStyle w:val="DHHStabletext"/>
              <w:rPr>
                <w:rFonts w:cs="Arial"/>
                <w:color w:val="000000"/>
              </w:rPr>
            </w:pPr>
            <w:r>
              <w:rPr>
                <w:rFonts w:cs="Arial"/>
                <w:color w:val="000000"/>
                <w:lang w:eastAsia="en-AU"/>
              </w:rPr>
              <w:t>Department of Families Fairness and Housing</w:t>
            </w:r>
          </w:p>
        </w:tc>
      </w:tr>
      <w:tr w:rsidR="006727F6" w14:paraId="10D85A25" w14:textId="77777777" w:rsidTr="00961C1A">
        <w:tc>
          <w:tcPr>
            <w:tcW w:w="3256" w:type="dxa"/>
          </w:tcPr>
          <w:p w14:paraId="454E5E3A" w14:textId="77777777" w:rsidR="006727F6" w:rsidRDefault="006727F6" w:rsidP="00C51538">
            <w:pPr>
              <w:pStyle w:val="DHHStabletext"/>
            </w:pPr>
            <w:r>
              <w:t xml:space="preserve">Authorised by </w:t>
            </w:r>
          </w:p>
        </w:tc>
        <w:tc>
          <w:tcPr>
            <w:tcW w:w="6525" w:type="dxa"/>
          </w:tcPr>
          <w:p w14:paraId="6A81A5D1" w14:textId="77777777" w:rsidR="006727F6" w:rsidRDefault="006727F6"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7F6640FE" w14:textId="69562522" w:rsidR="006727F6" w:rsidRPr="008B005C" w:rsidRDefault="006727F6" w:rsidP="00C51538">
            <w:pPr>
              <w:pStyle w:val="DHHStabletext"/>
              <w:rPr>
                <w:rFonts w:cs="Arial"/>
                <w:color w:val="000000"/>
                <w:lang w:eastAsia="en-AU"/>
              </w:rPr>
            </w:pPr>
            <w:r>
              <w:rPr>
                <w:rFonts w:cs="Arial"/>
                <w:color w:val="000000"/>
                <w:lang w:eastAsia="en-AU"/>
              </w:rPr>
              <w:t>Children, Families, Communities and Disability Division</w:t>
            </w:r>
          </w:p>
        </w:tc>
      </w:tr>
      <w:tr w:rsidR="006727F6" w14:paraId="5F488823" w14:textId="77777777" w:rsidTr="00961C1A">
        <w:tc>
          <w:tcPr>
            <w:tcW w:w="3256" w:type="dxa"/>
          </w:tcPr>
          <w:p w14:paraId="5706F94F" w14:textId="77777777" w:rsidR="006727F6" w:rsidRDefault="006727F6" w:rsidP="00C51538">
            <w:pPr>
              <w:pStyle w:val="DHHStabletext"/>
            </w:pPr>
            <w:r>
              <w:t>Guide created/last reviewed</w:t>
            </w:r>
          </w:p>
        </w:tc>
        <w:tc>
          <w:tcPr>
            <w:tcW w:w="6525" w:type="dxa"/>
          </w:tcPr>
          <w:p w14:paraId="41972A8F" w14:textId="37B0A1F4" w:rsidR="006727F6" w:rsidRDefault="00106C1B" w:rsidP="00C51538">
            <w:pPr>
              <w:pStyle w:val="DHHStabletext"/>
            </w:pPr>
            <w:r>
              <w:t>7</w:t>
            </w:r>
            <w:r w:rsidR="006727F6">
              <w:t xml:space="preserve"> December 2021</w:t>
            </w:r>
          </w:p>
        </w:tc>
      </w:tr>
      <w:tr w:rsidR="006727F6" w14:paraId="1F2CD829" w14:textId="77777777" w:rsidTr="00961C1A">
        <w:tc>
          <w:tcPr>
            <w:tcW w:w="3256" w:type="dxa"/>
          </w:tcPr>
          <w:p w14:paraId="7C9B9EE5" w14:textId="77777777" w:rsidR="006727F6" w:rsidRDefault="006727F6" w:rsidP="00C51538">
            <w:pPr>
              <w:pStyle w:val="DHHStabletext"/>
            </w:pPr>
            <w:r>
              <w:t xml:space="preserve">Version number </w:t>
            </w:r>
          </w:p>
        </w:tc>
        <w:tc>
          <w:tcPr>
            <w:tcW w:w="6525" w:type="dxa"/>
          </w:tcPr>
          <w:p w14:paraId="792BC4E1" w14:textId="0539C607" w:rsidR="006727F6" w:rsidRDefault="006727F6" w:rsidP="00C51538">
            <w:pPr>
              <w:pStyle w:val="DHHStabletext"/>
            </w:pPr>
            <w:r>
              <w:t>V</w:t>
            </w:r>
            <w:r w:rsidR="00B2217A">
              <w:t>2</w:t>
            </w:r>
          </w:p>
        </w:tc>
      </w:tr>
    </w:tbl>
    <w:p w14:paraId="0AAF69A6" w14:textId="77777777" w:rsidR="006727F6" w:rsidRDefault="006727F6" w:rsidP="00275355">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275355" w14:paraId="2BDCFA44" w14:textId="77777777" w:rsidTr="00C51538">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646AC03D" w14:textId="77777777" w:rsidR="00275355" w:rsidRDefault="00275355" w:rsidP="00275355">
            <w:pPr>
              <w:pStyle w:val="DHHSaccessibilitypara"/>
            </w:pPr>
            <w:bookmarkStart w:id="49" w:name="_Better_Futures"/>
            <w:bookmarkStart w:id="50" w:name="_Hlk27744962"/>
            <w:bookmarkEnd w:id="5"/>
            <w:bookmarkEnd w:id="49"/>
            <w:r>
              <w:t xml:space="preserve">To receive this publication in an accessible format email </w:t>
            </w:r>
            <w:hyperlink r:id="rId25" w:history="1">
              <w:r w:rsidRPr="00B132BA">
                <w:rPr>
                  <w:rStyle w:val="Hyperlink"/>
                </w:rPr>
                <w:t>Children and Families Policy Branch</w:t>
              </w:r>
            </w:hyperlink>
            <w:r>
              <w:rPr>
                <w:rStyle w:val="Hyperlink"/>
              </w:rPr>
              <w:t>,</w:t>
            </w:r>
            <w:r w:rsidRPr="004E3928">
              <w:t xml:space="preserve"> </w:t>
            </w:r>
            <w:hyperlink r:id="rId26" w:history="1">
              <w:r w:rsidRPr="005945A6">
                <w:rPr>
                  <w:rStyle w:val="DHHSbodyChar"/>
                </w:rPr>
                <w:t>ChildrenYouthFamilies@dffh.vic.gov.au</w:t>
              </w:r>
            </w:hyperlink>
          </w:p>
          <w:p w14:paraId="799FB43A" w14:textId="77777777" w:rsidR="00275355" w:rsidRDefault="00275355" w:rsidP="00C51538">
            <w:pPr>
              <w:pStyle w:val="DHHSbody"/>
            </w:pPr>
            <w:r>
              <w:t>Authorised and published by the Victorian Government, 1 Treasury Place, Melbourne.</w:t>
            </w:r>
          </w:p>
          <w:p w14:paraId="7ED21C63" w14:textId="2485E5BA" w:rsidR="00275355" w:rsidRDefault="00275355" w:rsidP="00C51538">
            <w:pPr>
              <w:pStyle w:val="DHHSbody"/>
            </w:pPr>
            <w:r>
              <w:t>© State of Victoria, Department of Families, Fairness and Housing December 2021.</w:t>
            </w:r>
          </w:p>
          <w:p w14:paraId="5D9803F7" w14:textId="6C7531C2" w:rsidR="00275355" w:rsidRDefault="008B005C" w:rsidP="00C51538">
            <w:pPr>
              <w:pStyle w:val="DHHSbody"/>
            </w:pPr>
            <w:r w:rsidRPr="00254F58">
              <w:rPr>
                <w:szCs w:val="19"/>
              </w:rPr>
              <w:t xml:space="preserve">Available at </w:t>
            </w:r>
            <w:hyperlink r:id="rId27" w:history="1">
              <w:r>
                <w:rPr>
                  <w:rStyle w:val="Hyperlink"/>
                </w:rPr>
                <w:t>providers.dffh.vic.gov.au/better-futures</w:t>
              </w:r>
            </w:hyperlink>
            <w:r w:rsidRPr="00341487">
              <w:t xml:space="preserve"> &lt;</w:t>
            </w:r>
            <w:r w:rsidRPr="00042201">
              <w:t>https://providers.dffh.vic.gov.au/better-futures&gt;</w:t>
            </w:r>
          </w:p>
        </w:tc>
      </w:tr>
      <w:bookmarkEnd w:id="50"/>
    </w:tbl>
    <w:p w14:paraId="284C8CB9" w14:textId="77777777" w:rsidR="00162CA9" w:rsidRDefault="00162CA9" w:rsidP="005A275D">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78357" w14:textId="77777777" w:rsidR="00275355" w:rsidRDefault="00275355">
      <w:r>
        <w:separator/>
      </w:r>
    </w:p>
    <w:p w14:paraId="27566AC9" w14:textId="77777777" w:rsidR="00275355" w:rsidRDefault="00275355"/>
  </w:endnote>
  <w:endnote w:type="continuationSeparator" w:id="0">
    <w:p w14:paraId="1EB2673C" w14:textId="77777777" w:rsidR="00275355" w:rsidRDefault="00275355">
      <w:r>
        <w:continuationSeparator/>
      </w:r>
    </w:p>
    <w:p w14:paraId="3D2F3573" w14:textId="77777777" w:rsidR="00275355" w:rsidRDefault="00275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15D8" w14:textId="77777777" w:rsidR="00961C1A" w:rsidRDefault="00961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0C73" w14:textId="77777777" w:rsidR="00E261B3" w:rsidRPr="00F65AA9" w:rsidRDefault="00242378" w:rsidP="00EF2C72">
    <w:pPr>
      <w:pStyle w:val="Footer"/>
    </w:pPr>
    <w:r>
      <w:rPr>
        <w:noProof/>
        <w:lang w:eastAsia="en-AU"/>
      </w:rPr>
      <w:drawing>
        <wp:anchor distT="0" distB="0" distL="114300" distR="114300" simplePos="0" relativeHeight="251665920" behindDoc="1" locked="1" layoutInCell="1" allowOverlap="1" wp14:anchorId="72212754" wp14:editId="7CEEB43A">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632" behindDoc="0" locked="0" layoutInCell="0" allowOverlap="1" wp14:anchorId="6C8518DE" wp14:editId="4917E9F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5B8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518D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E95B8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E96BA" w14:textId="77777777" w:rsidR="00E261B3" w:rsidRDefault="00E261B3">
    <w:pPr>
      <w:pStyle w:val="Footer"/>
    </w:pPr>
    <w:r>
      <w:rPr>
        <w:noProof/>
      </w:rPr>
      <mc:AlternateContent>
        <mc:Choice Requires="wps">
          <w:drawing>
            <wp:anchor distT="0" distB="0" distL="114300" distR="114300" simplePos="0" relativeHeight="251659776" behindDoc="0" locked="0" layoutInCell="0" allowOverlap="1" wp14:anchorId="3577A988" wp14:editId="4AAFA97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D3F01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77A98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3D3F01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01650" w14:textId="77777777" w:rsidR="00275355" w:rsidRDefault="00275355" w:rsidP="00207717">
      <w:pPr>
        <w:spacing w:before="120"/>
      </w:pPr>
      <w:r>
        <w:separator/>
      </w:r>
    </w:p>
  </w:footnote>
  <w:footnote w:type="continuationSeparator" w:id="0">
    <w:p w14:paraId="303C73C7" w14:textId="77777777" w:rsidR="00275355" w:rsidRDefault="00275355">
      <w:r>
        <w:continuationSeparator/>
      </w:r>
    </w:p>
    <w:p w14:paraId="1A325B4F" w14:textId="77777777" w:rsidR="00275355" w:rsidRDefault="002753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DCA6" w14:textId="77777777" w:rsidR="00961C1A" w:rsidRDefault="00961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539D3"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461A5" w14:textId="77777777" w:rsidR="00961C1A" w:rsidRDefault="00961C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AF7D3" w14:textId="3BB07676" w:rsidR="00E261B3" w:rsidRPr="0051568D" w:rsidRDefault="00257C94" w:rsidP="0017674D">
    <w:pPr>
      <w:pStyle w:val="Header"/>
    </w:pPr>
    <w:r>
      <w:rPr>
        <w:noProof/>
      </w:rPr>
      <w:drawing>
        <wp:anchor distT="0" distB="0" distL="114300" distR="114300" simplePos="0" relativeHeight="251666944" behindDoc="1" locked="1" layoutInCell="1" allowOverlap="1" wp14:anchorId="5004F2A7" wp14:editId="68DDC1E3">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75355">
      <w:t xml:space="preserve">Better Futures </w:t>
    </w:r>
    <w:r w:rsidR="00BF78A8">
      <w:t>eligibility and referral</w:t>
    </w:r>
    <w:r w:rsidR="00275355">
      <w:t xml:space="preserve"> </w:t>
    </w:r>
    <w:r w:rsidR="008B005C">
      <w:t xml:space="preserve">practice </w:t>
    </w:r>
    <w:r w:rsidR="00275355">
      <w:t xml:space="preserve">advice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55"/>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6C1B"/>
    <w:rsid w:val="0010714F"/>
    <w:rsid w:val="001120C5"/>
    <w:rsid w:val="00120BD3"/>
    <w:rsid w:val="00122FEA"/>
    <w:rsid w:val="001232BD"/>
    <w:rsid w:val="00124ED5"/>
    <w:rsid w:val="001276FA"/>
    <w:rsid w:val="0014180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729"/>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6E8E"/>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3F"/>
    <w:rsid w:val="002709BB"/>
    <w:rsid w:val="0027131C"/>
    <w:rsid w:val="00273BAC"/>
    <w:rsid w:val="00275355"/>
    <w:rsid w:val="002763B3"/>
    <w:rsid w:val="002802E3"/>
    <w:rsid w:val="0028213D"/>
    <w:rsid w:val="002862F1"/>
    <w:rsid w:val="00291373"/>
    <w:rsid w:val="00292C04"/>
    <w:rsid w:val="0029597D"/>
    <w:rsid w:val="002962C3"/>
    <w:rsid w:val="0029752B"/>
    <w:rsid w:val="002A05A6"/>
    <w:rsid w:val="002A0A9C"/>
    <w:rsid w:val="002A483C"/>
    <w:rsid w:val="002B0C7C"/>
    <w:rsid w:val="002B1729"/>
    <w:rsid w:val="002B36C7"/>
    <w:rsid w:val="002B4DD4"/>
    <w:rsid w:val="002B5277"/>
    <w:rsid w:val="002B5375"/>
    <w:rsid w:val="002B77C1"/>
    <w:rsid w:val="002B7FCD"/>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6881"/>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118"/>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275D"/>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5AEB"/>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27F6"/>
    <w:rsid w:val="00677574"/>
    <w:rsid w:val="00683878"/>
    <w:rsid w:val="0068454C"/>
    <w:rsid w:val="00691B62"/>
    <w:rsid w:val="006933B5"/>
    <w:rsid w:val="00693D14"/>
    <w:rsid w:val="00694488"/>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58B"/>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1F65"/>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AAA"/>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005C"/>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1C1A"/>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064"/>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B4754"/>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0420"/>
    <w:rsid w:val="00B21F90"/>
    <w:rsid w:val="00B2217A"/>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4E58"/>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8A8"/>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0A8D"/>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29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625AEB"/>
    <w:pPr>
      <w:numPr>
        <w:ilvl w:val="1"/>
        <w:numId w:val="7"/>
      </w:numPr>
      <w:spacing w:after="40"/>
    </w:pPr>
    <w:rPr>
      <w:sz w:val="20"/>
    </w:r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275355"/>
    <w:pPr>
      <w:spacing w:after="120" w:line="270" w:lineRule="atLeast"/>
    </w:pPr>
    <w:rPr>
      <w:rFonts w:ascii="Arial" w:eastAsia="Times" w:hAnsi="Arial"/>
      <w:lang w:eastAsia="en-US"/>
    </w:rPr>
  </w:style>
  <w:style w:type="paragraph" w:customStyle="1" w:styleId="DHHSbullet1">
    <w:name w:val="DHHS bullet 1"/>
    <w:basedOn w:val="DHHSbody"/>
    <w:qFormat/>
    <w:rsid w:val="00275355"/>
    <w:pPr>
      <w:spacing w:after="40"/>
      <w:ind w:left="284" w:hanging="284"/>
    </w:pPr>
  </w:style>
  <w:style w:type="paragraph" w:customStyle="1" w:styleId="DHHSaccessibilitypara">
    <w:name w:val="DHHS accessibility para"/>
    <w:uiPriority w:val="8"/>
    <w:rsid w:val="00275355"/>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275355"/>
    <w:pPr>
      <w:spacing w:after="40"/>
    </w:pPr>
  </w:style>
  <w:style w:type="paragraph" w:customStyle="1" w:styleId="DHHStablebullet">
    <w:name w:val="DHHS table bullet"/>
    <w:basedOn w:val="Normal"/>
    <w:uiPriority w:val="3"/>
    <w:qFormat/>
    <w:rsid w:val="00275355"/>
    <w:pPr>
      <w:spacing w:before="80" w:after="60" w:line="240" w:lineRule="auto"/>
      <w:ind w:left="227" w:hanging="227"/>
    </w:pPr>
    <w:rPr>
      <w:sz w:val="20"/>
    </w:rPr>
  </w:style>
  <w:style w:type="character" w:customStyle="1" w:styleId="DHHSbodyChar">
    <w:name w:val="DHHS body Char"/>
    <w:link w:val="DHHSbody"/>
    <w:locked/>
    <w:rsid w:val="00275355"/>
    <w:rPr>
      <w:rFonts w:ascii="Arial" w:eastAsia="Times" w:hAnsi="Arial"/>
      <w:lang w:eastAsia="en-US"/>
    </w:rPr>
  </w:style>
  <w:style w:type="paragraph" w:customStyle="1" w:styleId="DHHSbulletindent">
    <w:name w:val="DHHS bullet indent"/>
    <w:basedOn w:val="DHHSbody"/>
    <w:uiPriority w:val="4"/>
    <w:rsid w:val="00275355"/>
    <w:pPr>
      <w:spacing w:after="40"/>
    </w:pPr>
  </w:style>
  <w:style w:type="paragraph" w:customStyle="1" w:styleId="DHHSbullet1lastline">
    <w:name w:val="DHHS bullet 1 last line"/>
    <w:basedOn w:val="DHHSbullet1"/>
    <w:qFormat/>
    <w:rsid w:val="00275355"/>
    <w:pPr>
      <w:spacing w:after="120"/>
      <w:ind w:left="567" w:hanging="283"/>
    </w:pPr>
  </w:style>
  <w:style w:type="paragraph" w:customStyle="1" w:styleId="DHHSbullet2lastline">
    <w:name w:val="DHHS bullet 2 last line"/>
    <w:basedOn w:val="DHHSbullet2"/>
    <w:uiPriority w:val="2"/>
    <w:qFormat/>
    <w:rsid w:val="00275355"/>
    <w:pPr>
      <w:spacing w:after="120"/>
    </w:pPr>
  </w:style>
  <w:style w:type="paragraph" w:customStyle="1" w:styleId="DHHSbulletindentlastline">
    <w:name w:val="DHHS bullet indent last line"/>
    <w:basedOn w:val="DHHSbody"/>
    <w:uiPriority w:val="4"/>
    <w:rsid w:val="00275355"/>
  </w:style>
  <w:style w:type="paragraph" w:customStyle="1" w:styleId="DHHStabletext">
    <w:name w:val="DHHS table text"/>
    <w:uiPriority w:val="3"/>
    <w:qFormat/>
    <w:rsid w:val="006727F6"/>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better-futures" TargetMode="External"/><Relationship Id="rId26" Type="http://schemas.openxmlformats.org/officeDocument/2006/relationships/hyperlink" Target="mailto:ChildrenYouthFamilies@dffh.vic.gov.au" TargetMode="External"/><Relationship Id="rId3" Type="http://schemas.openxmlformats.org/officeDocument/2006/relationships/styles" Target="styles.xml"/><Relationship Id="rId21" Type="http://schemas.openxmlformats.org/officeDocument/2006/relationships/hyperlink" Target="https://providers.dffh.vic.gov.au/leaving-car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pmanual.vic.gov.au" TargetMode="External"/><Relationship Id="rId25" Type="http://schemas.openxmlformats.org/officeDocument/2006/relationships/hyperlink" Target="mailto:Children%20and%20Families%20Policy%20Branch" TargetMode="External"/><Relationship Id="rId2" Type="http://schemas.openxmlformats.org/officeDocument/2006/relationships/numbering" Target="numbering.xml"/><Relationship Id="rId16" Type="http://schemas.openxmlformats.org/officeDocument/2006/relationships/hyperlink" Target="file:///C:/Users/Kcai1808/AppData/Local/Microsoft/Windows/INetCache/Content.Outlook/SWE5YKJR/Child%20Protection%20Manual" TargetMode="External"/><Relationship Id="rId20" Type="http://schemas.openxmlformats.org/officeDocument/2006/relationships/hyperlink" Target="https://providers.dffh.vic.gov.au/home-stret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fac.dhhs.vic.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fac.dhhs.vic.gov.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roviders.dffh.vic.gov.au/better-futur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ervices.dffh.vic.gov.au/leaving-care" TargetMode="External"/><Relationship Id="rId27" Type="http://schemas.openxmlformats.org/officeDocument/2006/relationships/hyperlink" Target="https://providers.dffh.vic.gov.au/better-futur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9451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2021-12-23T04:22:00Z</dcterms:created>
  <dcterms:modified xsi:type="dcterms:W3CDTF">2021-12-23T04:23:00Z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2021-12-23T04:23:55Z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33267af6-19ae-46d3-9951-58a2fa1aecee</vt:lpwstr>
  </property>
  <property fmtid="{D5CDD505-2E9C-101B-9397-08002B2CF9AE}" pid="8" name="MSIP_Label_43e64453-338c-4f93-8a4d-0039a0a41f2a_ContentBits">
    <vt:lpwstr>2</vt:lpwstr>
  </property>
</Properties>
</file>