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EC628"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140A3BD6" wp14:editId="67A64573">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5294D97A"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3722AA53" w14:textId="77777777" w:rsidTr="00CF4148">
        <w:trPr>
          <w:trHeight w:val="1418"/>
        </w:trPr>
        <w:tc>
          <w:tcPr>
            <w:tcW w:w="7825" w:type="dxa"/>
            <w:vAlign w:val="bottom"/>
          </w:tcPr>
          <w:p w14:paraId="3367FB5B" w14:textId="001B82EE" w:rsidR="00AD784C" w:rsidRPr="00161AA0" w:rsidRDefault="009B746A" w:rsidP="00EC20FF">
            <w:pPr>
              <w:pStyle w:val="Documenttitle"/>
            </w:pPr>
            <w:r>
              <w:t xml:space="preserve">Better Futures </w:t>
            </w:r>
            <w:r w:rsidR="00531A6C">
              <w:t>allocation and prioritisation</w:t>
            </w:r>
          </w:p>
        </w:tc>
      </w:tr>
      <w:tr w:rsidR="000B2117" w14:paraId="6BC9A2C1" w14:textId="77777777" w:rsidTr="009C1CB1">
        <w:trPr>
          <w:trHeight w:val="1247"/>
        </w:trPr>
        <w:tc>
          <w:tcPr>
            <w:tcW w:w="7825" w:type="dxa"/>
          </w:tcPr>
          <w:p w14:paraId="47ED0AF1" w14:textId="721FBF29" w:rsidR="000B2117" w:rsidRPr="00A1389F" w:rsidRDefault="009B746A" w:rsidP="00CF4148">
            <w:pPr>
              <w:pStyle w:val="Documentsubtitle"/>
            </w:pPr>
            <w:r>
              <w:t>Practice advice</w:t>
            </w:r>
            <w:r w:rsidR="00560923">
              <w:t xml:space="preserve"> updated December 2021</w:t>
            </w:r>
          </w:p>
        </w:tc>
      </w:tr>
      <w:tr w:rsidR="00CF4148" w14:paraId="0B5A84CD" w14:textId="77777777" w:rsidTr="00CF4148">
        <w:trPr>
          <w:trHeight w:val="284"/>
        </w:trPr>
        <w:tc>
          <w:tcPr>
            <w:tcW w:w="7825" w:type="dxa"/>
          </w:tcPr>
          <w:p w14:paraId="3175B2D6" w14:textId="77777777" w:rsidR="00CF4148" w:rsidRPr="00250DC4" w:rsidRDefault="00560923" w:rsidP="00CF4148">
            <w:pPr>
              <w:pStyle w:val="Bannermarking"/>
            </w:pPr>
            <w:fldSimple w:instr=" FILLIN  &quot;Type the protective marking&quot; \d OFFICIAL \o  \* MERGEFORMAT ">
              <w:r w:rsidR="001D544D">
                <w:t>OFFICIAL</w:t>
              </w:r>
            </w:fldSimple>
          </w:p>
        </w:tc>
      </w:tr>
    </w:tbl>
    <w:p w14:paraId="2AA563C5" w14:textId="77777777" w:rsidR="00AD784C" w:rsidRPr="00B57329" w:rsidRDefault="00AD784C" w:rsidP="002365B4">
      <w:pPr>
        <w:pStyle w:val="TOCheadingfactsheet"/>
      </w:pPr>
      <w:r w:rsidRPr="00B57329">
        <w:t>Contents</w:t>
      </w:r>
    </w:p>
    <w:p w14:paraId="52E387DC" w14:textId="4A57984A" w:rsidR="005F568E"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89733914" w:history="1">
        <w:r w:rsidR="005F568E" w:rsidRPr="00A771F2">
          <w:rPr>
            <w:rStyle w:val="Hyperlink"/>
          </w:rPr>
          <w:t>Purpose</w:t>
        </w:r>
        <w:r w:rsidR="005F568E">
          <w:rPr>
            <w:webHidden/>
          </w:rPr>
          <w:tab/>
        </w:r>
        <w:r w:rsidR="005F568E">
          <w:rPr>
            <w:webHidden/>
          </w:rPr>
          <w:fldChar w:fldCharType="begin"/>
        </w:r>
        <w:r w:rsidR="005F568E">
          <w:rPr>
            <w:webHidden/>
          </w:rPr>
          <w:instrText xml:space="preserve"> PAGEREF _Toc89733914 \h </w:instrText>
        </w:r>
        <w:r w:rsidR="005F568E">
          <w:rPr>
            <w:webHidden/>
          </w:rPr>
        </w:r>
        <w:r w:rsidR="005F568E">
          <w:rPr>
            <w:webHidden/>
          </w:rPr>
          <w:fldChar w:fldCharType="separate"/>
        </w:r>
        <w:r w:rsidR="005F568E">
          <w:rPr>
            <w:webHidden/>
          </w:rPr>
          <w:t>1</w:t>
        </w:r>
        <w:r w:rsidR="005F568E">
          <w:rPr>
            <w:webHidden/>
          </w:rPr>
          <w:fldChar w:fldCharType="end"/>
        </w:r>
      </w:hyperlink>
    </w:p>
    <w:p w14:paraId="7DDFF170" w14:textId="7BC09BCA" w:rsidR="005F568E" w:rsidRDefault="009B1A20">
      <w:pPr>
        <w:pStyle w:val="TOC2"/>
        <w:rPr>
          <w:rFonts w:asciiTheme="minorHAnsi" w:eastAsiaTheme="minorEastAsia" w:hAnsiTheme="minorHAnsi" w:cstheme="minorBidi"/>
          <w:sz w:val="22"/>
          <w:szCs w:val="22"/>
          <w:lang w:eastAsia="en-AU"/>
        </w:rPr>
      </w:pPr>
      <w:hyperlink w:anchor="_Toc89733915" w:history="1">
        <w:r w:rsidR="005F568E" w:rsidRPr="00A771F2">
          <w:rPr>
            <w:rStyle w:val="Hyperlink"/>
          </w:rPr>
          <w:t>Audience</w:t>
        </w:r>
        <w:r w:rsidR="005F568E">
          <w:rPr>
            <w:webHidden/>
          </w:rPr>
          <w:tab/>
        </w:r>
        <w:r w:rsidR="005F568E">
          <w:rPr>
            <w:webHidden/>
          </w:rPr>
          <w:fldChar w:fldCharType="begin"/>
        </w:r>
        <w:r w:rsidR="005F568E">
          <w:rPr>
            <w:webHidden/>
          </w:rPr>
          <w:instrText xml:space="preserve"> PAGEREF _Toc89733915 \h </w:instrText>
        </w:r>
        <w:r w:rsidR="005F568E">
          <w:rPr>
            <w:webHidden/>
          </w:rPr>
        </w:r>
        <w:r w:rsidR="005F568E">
          <w:rPr>
            <w:webHidden/>
          </w:rPr>
          <w:fldChar w:fldCharType="separate"/>
        </w:r>
        <w:r w:rsidR="005F568E">
          <w:rPr>
            <w:webHidden/>
          </w:rPr>
          <w:t>1</w:t>
        </w:r>
        <w:r w:rsidR="005F568E">
          <w:rPr>
            <w:webHidden/>
          </w:rPr>
          <w:fldChar w:fldCharType="end"/>
        </w:r>
      </w:hyperlink>
    </w:p>
    <w:p w14:paraId="133E52D2" w14:textId="5DABA816" w:rsidR="005F568E" w:rsidRDefault="009B1A20">
      <w:pPr>
        <w:pStyle w:val="TOC2"/>
        <w:rPr>
          <w:rFonts w:asciiTheme="minorHAnsi" w:eastAsiaTheme="minorEastAsia" w:hAnsiTheme="minorHAnsi" w:cstheme="minorBidi"/>
          <w:sz w:val="22"/>
          <w:szCs w:val="22"/>
          <w:lang w:eastAsia="en-AU"/>
        </w:rPr>
      </w:pPr>
      <w:hyperlink w:anchor="_Toc89733916" w:history="1">
        <w:r w:rsidR="005F568E" w:rsidRPr="00A771F2">
          <w:rPr>
            <w:rStyle w:val="Hyperlink"/>
          </w:rPr>
          <w:t>Introduction</w:t>
        </w:r>
        <w:r w:rsidR="005F568E">
          <w:rPr>
            <w:webHidden/>
          </w:rPr>
          <w:tab/>
        </w:r>
        <w:r w:rsidR="005F568E">
          <w:rPr>
            <w:webHidden/>
          </w:rPr>
          <w:fldChar w:fldCharType="begin"/>
        </w:r>
        <w:r w:rsidR="005F568E">
          <w:rPr>
            <w:webHidden/>
          </w:rPr>
          <w:instrText xml:space="preserve"> PAGEREF _Toc89733916 \h </w:instrText>
        </w:r>
        <w:r w:rsidR="005F568E">
          <w:rPr>
            <w:webHidden/>
          </w:rPr>
        </w:r>
        <w:r w:rsidR="005F568E">
          <w:rPr>
            <w:webHidden/>
          </w:rPr>
          <w:fldChar w:fldCharType="separate"/>
        </w:r>
        <w:r w:rsidR="005F568E">
          <w:rPr>
            <w:webHidden/>
          </w:rPr>
          <w:t>1</w:t>
        </w:r>
        <w:r w:rsidR="005F568E">
          <w:rPr>
            <w:webHidden/>
          </w:rPr>
          <w:fldChar w:fldCharType="end"/>
        </w:r>
      </w:hyperlink>
    </w:p>
    <w:p w14:paraId="58FC02F3" w14:textId="59DBC69A" w:rsidR="005F568E" w:rsidRDefault="009B1A20">
      <w:pPr>
        <w:pStyle w:val="TOC2"/>
        <w:rPr>
          <w:rFonts w:asciiTheme="minorHAnsi" w:eastAsiaTheme="minorEastAsia" w:hAnsiTheme="minorHAnsi" w:cstheme="minorBidi"/>
          <w:sz w:val="22"/>
          <w:szCs w:val="22"/>
          <w:lang w:eastAsia="en-AU"/>
        </w:rPr>
      </w:pPr>
      <w:hyperlink w:anchor="_Toc89733917" w:history="1">
        <w:r w:rsidR="005F568E" w:rsidRPr="00A771F2">
          <w:rPr>
            <w:rStyle w:val="Hyperlink"/>
          </w:rPr>
          <w:t>Referral to Better Futures</w:t>
        </w:r>
        <w:r w:rsidR="005F568E">
          <w:rPr>
            <w:webHidden/>
          </w:rPr>
          <w:tab/>
        </w:r>
        <w:r w:rsidR="005F568E">
          <w:rPr>
            <w:webHidden/>
          </w:rPr>
          <w:fldChar w:fldCharType="begin"/>
        </w:r>
        <w:r w:rsidR="005F568E">
          <w:rPr>
            <w:webHidden/>
          </w:rPr>
          <w:instrText xml:space="preserve"> PAGEREF _Toc89733917 \h </w:instrText>
        </w:r>
        <w:r w:rsidR="005F568E">
          <w:rPr>
            <w:webHidden/>
          </w:rPr>
        </w:r>
        <w:r w:rsidR="005F568E">
          <w:rPr>
            <w:webHidden/>
          </w:rPr>
          <w:fldChar w:fldCharType="separate"/>
        </w:r>
        <w:r w:rsidR="005F568E">
          <w:rPr>
            <w:webHidden/>
          </w:rPr>
          <w:t>2</w:t>
        </w:r>
        <w:r w:rsidR="005F568E">
          <w:rPr>
            <w:webHidden/>
          </w:rPr>
          <w:fldChar w:fldCharType="end"/>
        </w:r>
      </w:hyperlink>
    </w:p>
    <w:p w14:paraId="570A1B1D" w14:textId="66D6DA5B" w:rsidR="005F568E" w:rsidRDefault="009B1A20">
      <w:pPr>
        <w:pStyle w:val="TOC2"/>
        <w:rPr>
          <w:rFonts w:asciiTheme="minorHAnsi" w:eastAsiaTheme="minorEastAsia" w:hAnsiTheme="minorHAnsi" w:cstheme="minorBidi"/>
          <w:sz w:val="22"/>
          <w:szCs w:val="22"/>
          <w:lang w:eastAsia="en-AU"/>
        </w:rPr>
      </w:pPr>
      <w:hyperlink w:anchor="_Toc89733918" w:history="1">
        <w:r w:rsidR="005F568E" w:rsidRPr="00A771F2">
          <w:rPr>
            <w:rStyle w:val="Hyperlink"/>
          </w:rPr>
          <w:t>Better Futures procedures for allocation</w:t>
        </w:r>
        <w:r w:rsidR="005F568E">
          <w:rPr>
            <w:webHidden/>
          </w:rPr>
          <w:tab/>
        </w:r>
        <w:r w:rsidR="005F568E">
          <w:rPr>
            <w:webHidden/>
          </w:rPr>
          <w:fldChar w:fldCharType="begin"/>
        </w:r>
        <w:r w:rsidR="005F568E">
          <w:rPr>
            <w:webHidden/>
          </w:rPr>
          <w:instrText xml:space="preserve"> PAGEREF _Toc89733918 \h </w:instrText>
        </w:r>
        <w:r w:rsidR="005F568E">
          <w:rPr>
            <w:webHidden/>
          </w:rPr>
        </w:r>
        <w:r w:rsidR="005F568E">
          <w:rPr>
            <w:webHidden/>
          </w:rPr>
          <w:fldChar w:fldCharType="separate"/>
        </w:r>
        <w:r w:rsidR="005F568E">
          <w:rPr>
            <w:webHidden/>
          </w:rPr>
          <w:t>2</w:t>
        </w:r>
        <w:r w:rsidR="005F568E">
          <w:rPr>
            <w:webHidden/>
          </w:rPr>
          <w:fldChar w:fldCharType="end"/>
        </w:r>
      </w:hyperlink>
    </w:p>
    <w:p w14:paraId="39BF0486" w14:textId="754297FB" w:rsidR="005F568E" w:rsidRDefault="009B1A20">
      <w:pPr>
        <w:pStyle w:val="TOC2"/>
        <w:rPr>
          <w:rFonts w:asciiTheme="minorHAnsi" w:eastAsiaTheme="minorEastAsia" w:hAnsiTheme="minorHAnsi" w:cstheme="minorBidi"/>
          <w:sz w:val="22"/>
          <w:szCs w:val="22"/>
          <w:lang w:eastAsia="en-AU"/>
        </w:rPr>
      </w:pPr>
      <w:hyperlink w:anchor="_Toc89733919" w:history="1">
        <w:r w:rsidR="005F568E" w:rsidRPr="00A771F2">
          <w:rPr>
            <w:rStyle w:val="Hyperlink"/>
          </w:rPr>
          <w:t>Acceptance of referrals</w:t>
        </w:r>
        <w:r w:rsidR="005F568E">
          <w:rPr>
            <w:webHidden/>
          </w:rPr>
          <w:tab/>
        </w:r>
        <w:r w:rsidR="005F568E">
          <w:rPr>
            <w:webHidden/>
          </w:rPr>
          <w:fldChar w:fldCharType="begin"/>
        </w:r>
        <w:r w:rsidR="005F568E">
          <w:rPr>
            <w:webHidden/>
          </w:rPr>
          <w:instrText xml:space="preserve"> PAGEREF _Toc89733919 \h </w:instrText>
        </w:r>
        <w:r w:rsidR="005F568E">
          <w:rPr>
            <w:webHidden/>
          </w:rPr>
        </w:r>
        <w:r w:rsidR="005F568E">
          <w:rPr>
            <w:webHidden/>
          </w:rPr>
          <w:fldChar w:fldCharType="separate"/>
        </w:r>
        <w:r w:rsidR="005F568E">
          <w:rPr>
            <w:webHidden/>
          </w:rPr>
          <w:t>3</w:t>
        </w:r>
        <w:r w:rsidR="005F568E">
          <w:rPr>
            <w:webHidden/>
          </w:rPr>
          <w:fldChar w:fldCharType="end"/>
        </w:r>
      </w:hyperlink>
    </w:p>
    <w:p w14:paraId="701D4C1D" w14:textId="656E0DFC" w:rsidR="005F568E" w:rsidRDefault="009B1A20">
      <w:pPr>
        <w:pStyle w:val="TOC2"/>
        <w:rPr>
          <w:rFonts w:asciiTheme="minorHAnsi" w:eastAsiaTheme="minorEastAsia" w:hAnsiTheme="minorHAnsi" w:cstheme="minorBidi"/>
          <w:sz w:val="22"/>
          <w:szCs w:val="22"/>
          <w:lang w:eastAsia="en-AU"/>
        </w:rPr>
      </w:pPr>
      <w:hyperlink w:anchor="_Toc89733920" w:history="1">
        <w:r w:rsidR="005F568E" w:rsidRPr="00A771F2">
          <w:rPr>
            <w:rStyle w:val="Hyperlink"/>
          </w:rPr>
          <w:t>Prioritisation</w:t>
        </w:r>
        <w:r w:rsidR="005F568E">
          <w:rPr>
            <w:webHidden/>
          </w:rPr>
          <w:tab/>
        </w:r>
        <w:r w:rsidR="005F568E">
          <w:rPr>
            <w:webHidden/>
          </w:rPr>
          <w:fldChar w:fldCharType="begin"/>
        </w:r>
        <w:r w:rsidR="005F568E">
          <w:rPr>
            <w:webHidden/>
          </w:rPr>
          <w:instrText xml:space="preserve"> PAGEREF _Toc89733920 \h </w:instrText>
        </w:r>
        <w:r w:rsidR="005F568E">
          <w:rPr>
            <w:webHidden/>
          </w:rPr>
        </w:r>
        <w:r w:rsidR="005F568E">
          <w:rPr>
            <w:webHidden/>
          </w:rPr>
          <w:fldChar w:fldCharType="separate"/>
        </w:r>
        <w:r w:rsidR="005F568E">
          <w:rPr>
            <w:webHidden/>
          </w:rPr>
          <w:t>3</w:t>
        </w:r>
        <w:r w:rsidR="005F568E">
          <w:rPr>
            <w:webHidden/>
          </w:rPr>
          <w:fldChar w:fldCharType="end"/>
        </w:r>
      </w:hyperlink>
    </w:p>
    <w:p w14:paraId="2EFDE0A8" w14:textId="221331DD" w:rsidR="005F568E" w:rsidRDefault="009B1A20">
      <w:pPr>
        <w:pStyle w:val="TOC2"/>
        <w:rPr>
          <w:rFonts w:asciiTheme="minorHAnsi" w:eastAsiaTheme="minorEastAsia" w:hAnsiTheme="minorHAnsi" w:cstheme="minorBidi"/>
          <w:sz w:val="22"/>
          <w:szCs w:val="22"/>
          <w:lang w:eastAsia="en-AU"/>
        </w:rPr>
      </w:pPr>
      <w:hyperlink w:anchor="_Toc89733921" w:history="1">
        <w:r w:rsidR="005F568E" w:rsidRPr="00A771F2">
          <w:rPr>
            <w:rStyle w:val="Hyperlink"/>
            <w:rFonts w:eastAsia="Calibri"/>
          </w:rPr>
          <w:t>Additional information</w:t>
        </w:r>
        <w:r w:rsidR="005F568E">
          <w:rPr>
            <w:webHidden/>
          </w:rPr>
          <w:tab/>
        </w:r>
        <w:r w:rsidR="005F568E">
          <w:rPr>
            <w:webHidden/>
          </w:rPr>
          <w:fldChar w:fldCharType="begin"/>
        </w:r>
        <w:r w:rsidR="005F568E">
          <w:rPr>
            <w:webHidden/>
          </w:rPr>
          <w:instrText xml:space="preserve"> PAGEREF _Toc89733921 \h </w:instrText>
        </w:r>
        <w:r w:rsidR="005F568E">
          <w:rPr>
            <w:webHidden/>
          </w:rPr>
        </w:r>
        <w:r w:rsidR="005F568E">
          <w:rPr>
            <w:webHidden/>
          </w:rPr>
          <w:fldChar w:fldCharType="separate"/>
        </w:r>
        <w:r w:rsidR="005F568E">
          <w:rPr>
            <w:webHidden/>
          </w:rPr>
          <w:t>4</w:t>
        </w:r>
        <w:r w:rsidR="005F568E">
          <w:rPr>
            <w:webHidden/>
          </w:rPr>
          <w:fldChar w:fldCharType="end"/>
        </w:r>
      </w:hyperlink>
    </w:p>
    <w:p w14:paraId="2175915A" w14:textId="5CA06B11" w:rsidR="007173CA" w:rsidRDefault="00AD784C" w:rsidP="00D079AA">
      <w:pPr>
        <w:pStyle w:val="Body"/>
      </w:pPr>
      <w:r>
        <w:fldChar w:fldCharType="end"/>
      </w:r>
    </w:p>
    <w:p w14:paraId="3655DE98"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3804B7BE" w14:textId="77777777" w:rsidR="001D544D" w:rsidRPr="00D62329" w:rsidRDefault="001D544D" w:rsidP="001D544D">
      <w:pPr>
        <w:pStyle w:val="Heading2"/>
      </w:pPr>
      <w:bookmarkStart w:id="0" w:name="_Toc61024249"/>
      <w:bookmarkStart w:id="1" w:name="_Toc89733914"/>
      <w:r w:rsidRPr="00D62329">
        <w:t>Purpose</w:t>
      </w:r>
      <w:bookmarkEnd w:id="0"/>
      <w:bookmarkEnd w:id="1"/>
    </w:p>
    <w:p w14:paraId="360CC624" w14:textId="77777777" w:rsidR="0073747A" w:rsidRDefault="0073747A" w:rsidP="0073747A">
      <w:pPr>
        <w:pStyle w:val="DHHSbody"/>
      </w:pPr>
      <w:bookmarkStart w:id="2" w:name="_Hlk27427925"/>
      <w:bookmarkStart w:id="3" w:name="_Toc61024250"/>
      <w:bookmarkStart w:id="4" w:name="_Toc440566509"/>
      <w:r>
        <w:t>Better Futures is a new service and practice model designed to improve outcomes for young people transitioning from care to supported independence, up to the age of 21. It is guided by a Better Futures (Advantaged Thinking) practice framework and support is tailored to meet the individual needs of young people</w:t>
      </w:r>
      <w:bookmarkEnd w:id="2"/>
      <w:r>
        <w:t xml:space="preserve">. </w:t>
      </w:r>
    </w:p>
    <w:p w14:paraId="231A1FF5" w14:textId="77777777" w:rsidR="0073747A" w:rsidRPr="009E36A7" w:rsidRDefault="0073747A" w:rsidP="0073747A">
      <w:pPr>
        <w:pStyle w:val="DHHSbody"/>
      </w:pPr>
      <w:r w:rsidRPr="0090678A">
        <w:t>T</w:t>
      </w:r>
      <w:r>
        <w:t>his practice advice</w:t>
      </w:r>
      <w:r w:rsidRPr="0090678A">
        <w:t xml:space="preserve"> outline</w:t>
      </w:r>
      <w:r>
        <w:t>s</w:t>
      </w:r>
      <w:r w:rsidRPr="0090678A">
        <w:t xml:space="preserve"> the </w:t>
      </w:r>
      <w:r>
        <w:t xml:space="preserve">allocation and prioritisation </w:t>
      </w:r>
      <w:r w:rsidRPr="0090678A">
        <w:t>process</w:t>
      </w:r>
      <w:r>
        <w:t xml:space="preserve">es when eligible </w:t>
      </w:r>
      <w:r w:rsidRPr="0090678A">
        <w:t>young people</w:t>
      </w:r>
      <w:r>
        <w:t xml:space="preserve"> are </w:t>
      </w:r>
      <w:r w:rsidRPr="0090678A">
        <w:t>referred to Better Futures</w:t>
      </w:r>
      <w:r>
        <w:t>.</w:t>
      </w:r>
      <w:r w:rsidRPr="0090678A">
        <w:t xml:space="preserve"> </w:t>
      </w:r>
    </w:p>
    <w:p w14:paraId="6AC6508F" w14:textId="77777777" w:rsidR="00C2788F" w:rsidRPr="0066540B" w:rsidRDefault="00C2788F" w:rsidP="00C2788F">
      <w:pPr>
        <w:pStyle w:val="Heading2"/>
      </w:pPr>
      <w:bookmarkStart w:id="5" w:name="_Toc17193104"/>
      <w:bookmarkStart w:id="6" w:name="_Toc17193198"/>
      <w:bookmarkStart w:id="7" w:name="_Toc27744762"/>
      <w:bookmarkStart w:id="8" w:name="_Toc89733915"/>
      <w:bookmarkStart w:id="9" w:name="_Toc17193111"/>
      <w:bookmarkStart w:id="10" w:name="_Toc17193205"/>
      <w:bookmarkEnd w:id="3"/>
      <w:bookmarkEnd w:id="4"/>
      <w:r w:rsidRPr="0066540B">
        <w:t>Audience</w:t>
      </w:r>
      <w:bookmarkEnd w:id="5"/>
      <w:bookmarkEnd w:id="6"/>
      <w:bookmarkEnd w:id="7"/>
      <w:bookmarkEnd w:id="8"/>
    </w:p>
    <w:p w14:paraId="4803A0D6" w14:textId="77777777" w:rsidR="00C552D7" w:rsidRPr="00BE02F8" w:rsidRDefault="00C552D7" w:rsidP="00C552D7">
      <w:pPr>
        <w:pStyle w:val="DHHSbody"/>
      </w:pPr>
      <w:bookmarkStart w:id="11" w:name="_Hlk27431136"/>
      <w:bookmarkStart w:id="12" w:name="_Toc27744763"/>
      <w:r>
        <w:t>C</w:t>
      </w:r>
      <w:r w:rsidRPr="00BE02F8">
        <w:t xml:space="preserve">hild protection practitioners, </w:t>
      </w:r>
      <w:r w:rsidRPr="00BE02F8">
        <w:rPr>
          <w:rStyle w:val="Emphasis"/>
          <w:i w:val="0"/>
          <w:iCs w:val="0"/>
        </w:rPr>
        <w:t xml:space="preserve">community service organisations (CSOs) </w:t>
      </w:r>
      <w:r w:rsidRPr="00BE02F8">
        <w:t>contracted case managers, Aboriginal Children in Aboriginal Care (ACAC) case managers</w:t>
      </w:r>
      <w:r>
        <w:t xml:space="preserve"> (herein referred to as case managers)</w:t>
      </w:r>
      <w:r w:rsidRPr="00BE02F8">
        <w:t>, Better Futures workers, Agency Performance and System Support (APSS) advisers, divisional Better Futures</w:t>
      </w:r>
      <w:r>
        <w:t>/</w:t>
      </w:r>
      <w:r w:rsidRPr="00BE02F8">
        <w:t xml:space="preserve">Home Stretch senior project officers and other key workers supporting young people in scope of Better Futures. </w:t>
      </w:r>
      <w:bookmarkEnd w:id="11"/>
    </w:p>
    <w:p w14:paraId="0065BEA9" w14:textId="77777777" w:rsidR="00C2788F" w:rsidRPr="0066540B" w:rsidRDefault="00C2788F" w:rsidP="00C2788F">
      <w:pPr>
        <w:pStyle w:val="Heading2"/>
      </w:pPr>
      <w:bookmarkStart w:id="13" w:name="_Toc89733916"/>
      <w:r w:rsidRPr="0066540B">
        <w:t>Introduction</w:t>
      </w:r>
      <w:bookmarkEnd w:id="12"/>
      <w:bookmarkEnd w:id="13"/>
    </w:p>
    <w:p w14:paraId="5A501CD4" w14:textId="77777777" w:rsidR="00C2788F" w:rsidRDefault="00C2788F" w:rsidP="00C2788F">
      <w:pPr>
        <w:pStyle w:val="DHHSbody"/>
        <w:rPr>
          <w:lang w:eastAsia="en-AU"/>
        </w:rPr>
      </w:pPr>
      <w:bookmarkStart w:id="14" w:name="_Hlk27740844"/>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4E6EDD23" w14:textId="77777777" w:rsidR="00C2788F" w:rsidRDefault="00C2788F" w:rsidP="00C2788F">
      <w:pPr>
        <w:pStyle w:val="DHHSbullet1"/>
        <w:numPr>
          <w:ilvl w:val="0"/>
          <w:numId w:val="7"/>
        </w:numPr>
        <w:rPr>
          <w:lang w:eastAsia="en-AU"/>
        </w:rPr>
      </w:pPr>
      <w:r w:rsidRPr="00F4021B">
        <w:rPr>
          <w:lang w:eastAsia="en-AU"/>
        </w:rPr>
        <w:t>housin</w:t>
      </w:r>
      <w:r>
        <w:rPr>
          <w:lang w:eastAsia="en-AU"/>
        </w:rPr>
        <w:t>g</w:t>
      </w:r>
    </w:p>
    <w:p w14:paraId="0E267411" w14:textId="77777777" w:rsidR="00C2788F" w:rsidRDefault="00C2788F" w:rsidP="00C2788F">
      <w:pPr>
        <w:pStyle w:val="DHHSbullet1"/>
        <w:numPr>
          <w:ilvl w:val="0"/>
          <w:numId w:val="7"/>
        </w:numPr>
        <w:rPr>
          <w:lang w:eastAsia="en-AU"/>
        </w:rPr>
      </w:pPr>
      <w:r w:rsidRPr="00F4021B">
        <w:rPr>
          <w:lang w:eastAsia="en-AU"/>
        </w:rPr>
        <w:t>health and wellbeing</w:t>
      </w:r>
    </w:p>
    <w:p w14:paraId="743F5650" w14:textId="77777777" w:rsidR="00C2788F" w:rsidRDefault="00C2788F" w:rsidP="00C2788F">
      <w:pPr>
        <w:pStyle w:val="DHHSbullet1"/>
        <w:numPr>
          <w:ilvl w:val="0"/>
          <w:numId w:val="7"/>
        </w:numPr>
        <w:rPr>
          <w:lang w:eastAsia="en-AU"/>
        </w:rPr>
      </w:pPr>
      <w:r w:rsidRPr="00F4021B">
        <w:rPr>
          <w:lang w:eastAsia="en-AU"/>
        </w:rPr>
        <w:t>education</w:t>
      </w:r>
    </w:p>
    <w:p w14:paraId="3CDF265C" w14:textId="77777777" w:rsidR="00C2788F" w:rsidRDefault="00C2788F" w:rsidP="00C2788F">
      <w:pPr>
        <w:pStyle w:val="DHHSbullet1"/>
        <w:numPr>
          <w:ilvl w:val="0"/>
          <w:numId w:val="7"/>
        </w:numPr>
        <w:rPr>
          <w:lang w:eastAsia="en-AU"/>
        </w:rPr>
      </w:pPr>
      <w:r w:rsidRPr="00F4021B">
        <w:rPr>
          <w:lang w:eastAsia="en-AU"/>
        </w:rPr>
        <w:t xml:space="preserve">employment, and </w:t>
      </w:r>
    </w:p>
    <w:p w14:paraId="57CF7575" w14:textId="77777777" w:rsidR="00C2788F" w:rsidRDefault="00C2788F" w:rsidP="00C2788F">
      <w:pPr>
        <w:pStyle w:val="DHHSbullet1"/>
        <w:numPr>
          <w:ilvl w:val="0"/>
          <w:numId w:val="7"/>
        </w:numPr>
        <w:rPr>
          <w:lang w:eastAsia="en-AU"/>
        </w:rPr>
      </w:pPr>
      <w:r w:rsidRPr="00F4021B">
        <w:rPr>
          <w:lang w:eastAsia="en-AU"/>
        </w:rPr>
        <w:t>community and cultural connections.</w:t>
      </w:r>
      <w:r>
        <w:rPr>
          <w:lang w:eastAsia="en-AU"/>
        </w:rPr>
        <w:t xml:space="preserve"> </w:t>
      </w:r>
    </w:p>
    <w:p w14:paraId="4CD9E1C5" w14:textId="77777777" w:rsidR="00C2788F" w:rsidRDefault="00C2788F" w:rsidP="00C2788F">
      <w:pPr>
        <w:pStyle w:val="DHHSbullet1"/>
        <w:ind w:left="0" w:firstLine="0"/>
        <w:rPr>
          <w:lang w:eastAsia="en-AU"/>
        </w:rPr>
      </w:pPr>
      <w:r>
        <w:rPr>
          <w:lang w:eastAsia="en-AU"/>
        </w:rPr>
        <w:t>These five life areas are referred to as “offers” under the Better Futures Advantaged Thinking Practice Framework.</w:t>
      </w:r>
    </w:p>
    <w:p w14:paraId="54A15543" w14:textId="77777777" w:rsidR="00C2788F" w:rsidRDefault="00C2788F" w:rsidP="00C2788F">
      <w:pPr>
        <w:pStyle w:val="DHHSbody"/>
      </w:pPr>
      <w:r w:rsidRPr="00ED621A">
        <w:t>Young people are eligible for Better Futures support from 15 years and 9 months until their 21st birthday.</w:t>
      </w:r>
    </w:p>
    <w:p w14:paraId="4C50D80F" w14:textId="3FC21838" w:rsidR="00C2788F" w:rsidRDefault="00C2788F" w:rsidP="00C2788F">
      <w:pPr>
        <w:pStyle w:val="DHHSbody"/>
        <w:rPr>
          <w:lang w:eastAsia="en-AU"/>
        </w:rPr>
      </w:pPr>
      <w:r>
        <w:rPr>
          <w:lang w:eastAsia="en-AU"/>
        </w:rPr>
        <w:t xml:space="preserve">The model promotes early referrals at </w:t>
      </w:r>
      <w:r>
        <w:t xml:space="preserve">15 years and 9 months </w:t>
      </w:r>
      <w:r>
        <w:rPr>
          <w:lang w:eastAsia="en-AU"/>
        </w:rPr>
        <w:t>ensuring all eligible young people are aware of and are linked to a post care support service.</w:t>
      </w:r>
      <w:r w:rsidR="00AA0032">
        <w:rPr>
          <w:lang w:eastAsia="en-AU"/>
        </w:rPr>
        <w:t xml:space="preserve"> </w:t>
      </w:r>
      <w:r>
        <w:rPr>
          <w:lang w:eastAsia="en-AU"/>
        </w:rPr>
        <w:t>Early referrals also provide Better Futures the opportunity to offer secondary consultations to care teams in the development and implementation of</w:t>
      </w:r>
      <w:r w:rsidR="00AA0032">
        <w:rPr>
          <w:lang w:eastAsia="en-AU"/>
        </w:rPr>
        <w:t xml:space="preserve"> </w:t>
      </w:r>
      <w:r>
        <w:rPr>
          <w:lang w:eastAsia="en-AU"/>
        </w:rPr>
        <w:t>the 15+ Care and Transition Plans.</w:t>
      </w:r>
      <w:r w:rsidR="00AA0032">
        <w:rPr>
          <w:lang w:eastAsia="en-AU"/>
        </w:rPr>
        <w:t xml:space="preserve"> </w:t>
      </w:r>
    </w:p>
    <w:p w14:paraId="547DA6CB" w14:textId="77777777" w:rsidR="00C2788F" w:rsidRDefault="00C2788F" w:rsidP="00C2788F">
      <w:pPr>
        <w:pStyle w:val="DHHSbody"/>
      </w:pPr>
      <w:r>
        <w:t>When young people are in care and still some time away from transitioning to independence, the primary role of Better Futures is likely to be the provision of secondary consultation to case managers and care teams and facilitating access to flexible funding to support the implementation of the 15+ Care and Transition Plan. As y</w:t>
      </w:r>
      <w:r w:rsidRPr="004F78E9">
        <w:t>oung people</w:t>
      </w:r>
      <w:r>
        <w:t xml:space="preserve"> near the point of leaving care (approximately six months prior to cessation of their order), their </w:t>
      </w:r>
      <w:r>
        <w:lastRenderedPageBreak/>
        <w:t>circumstances are reviewed, and the Better Futures service response may intensify to ensure their smooth transition from care.</w:t>
      </w:r>
      <w:r w:rsidRPr="004F78E9">
        <w:t xml:space="preserve"> </w:t>
      </w:r>
    </w:p>
    <w:p w14:paraId="7374906F" w14:textId="77777777" w:rsidR="00C2788F" w:rsidRPr="00F4021B" w:rsidRDefault="00C2788F" w:rsidP="00C2788F">
      <w:pPr>
        <w:pStyle w:val="DHHSbody"/>
        <w:rPr>
          <w:lang w:eastAsia="en-AU"/>
        </w:rPr>
      </w:pPr>
      <w:r w:rsidRPr="00F4021B">
        <w:rPr>
          <w:lang w:eastAsia="en-AU"/>
        </w:rPr>
        <w:t>Better Futures</w:t>
      </w:r>
      <w:r>
        <w:rPr>
          <w:lang w:eastAsia="en-AU"/>
        </w:rPr>
        <w:t xml:space="preserve"> service response</w:t>
      </w:r>
      <w:r w:rsidRPr="00F4021B">
        <w:rPr>
          <w:lang w:eastAsia="en-AU"/>
        </w:rPr>
        <w:t xml:space="preserve"> includes:</w:t>
      </w:r>
    </w:p>
    <w:p w14:paraId="59D5F898" w14:textId="77777777" w:rsidR="00C2788F" w:rsidRPr="00F4021B" w:rsidRDefault="00C2788F" w:rsidP="00C2788F">
      <w:pPr>
        <w:pStyle w:val="DHHSbullet1"/>
        <w:numPr>
          <w:ilvl w:val="0"/>
          <w:numId w:val="7"/>
        </w:numPr>
        <w:rPr>
          <w:lang w:eastAsia="en-AU"/>
        </w:rPr>
      </w:pPr>
      <w:r>
        <w:rPr>
          <w:lang w:eastAsia="en-AU"/>
        </w:rPr>
        <w:t>d</w:t>
      </w:r>
      <w:r w:rsidRPr="00F4021B">
        <w:rPr>
          <w:lang w:eastAsia="en-AU"/>
        </w:rPr>
        <w:t>irect case work support</w:t>
      </w:r>
      <w:r>
        <w:rPr>
          <w:lang w:eastAsia="en-AU"/>
        </w:rPr>
        <w:t xml:space="preserve"> (</w:t>
      </w:r>
      <w:r w:rsidRPr="006F2E0C">
        <w:t>leve</w:t>
      </w:r>
      <w:r>
        <w:t>l</w:t>
      </w:r>
      <w:r w:rsidRPr="006F2E0C">
        <w:t>s of support</w:t>
      </w:r>
      <w:r>
        <w:t xml:space="preserve"> will flex up and down according to their needs, existing support networks and the transition goals identified)</w:t>
      </w:r>
    </w:p>
    <w:p w14:paraId="00AECC3E" w14:textId="77777777" w:rsidR="00C2788F" w:rsidRPr="00F4021B" w:rsidRDefault="00C2788F" w:rsidP="00C2788F">
      <w:pPr>
        <w:pStyle w:val="DHHSbullet1"/>
        <w:numPr>
          <w:ilvl w:val="0"/>
          <w:numId w:val="7"/>
        </w:numPr>
        <w:rPr>
          <w:lang w:eastAsia="en-AU"/>
        </w:rPr>
      </w:pPr>
      <w:r>
        <w:rPr>
          <w:lang w:eastAsia="en-AU"/>
        </w:rPr>
        <w:t>i</w:t>
      </w:r>
      <w:r w:rsidRPr="00F4021B">
        <w:rPr>
          <w:lang w:eastAsia="en-AU"/>
        </w:rPr>
        <w:t>nformation and advice</w:t>
      </w:r>
    </w:p>
    <w:p w14:paraId="4CDE2503" w14:textId="77777777" w:rsidR="00C2788F" w:rsidRPr="00C2788F" w:rsidRDefault="00C2788F" w:rsidP="00C2788F">
      <w:pPr>
        <w:pStyle w:val="DHHSbullet1"/>
        <w:numPr>
          <w:ilvl w:val="0"/>
          <w:numId w:val="7"/>
        </w:numPr>
        <w:rPr>
          <w:lang w:eastAsia="en-AU"/>
        </w:rPr>
      </w:pPr>
      <w:r>
        <w:rPr>
          <w:lang w:eastAsia="en-AU"/>
        </w:rPr>
        <w:t>a</w:t>
      </w:r>
      <w:r w:rsidRPr="00F4021B">
        <w:rPr>
          <w:lang w:eastAsia="en-AU"/>
        </w:rPr>
        <w:t>ccess t</w:t>
      </w:r>
      <w:r w:rsidRPr="00C2788F">
        <w:rPr>
          <w:lang w:eastAsia="en-AU"/>
        </w:rPr>
        <w:t xml:space="preserve">o flexible funding </w:t>
      </w:r>
      <w:r w:rsidRPr="00C2788F">
        <w:t>to facilitate the young person’s access to housing, education, employment, health and wellbeing support</w:t>
      </w:r>
    </w:p>
    <w:p w14:paraId="013ED0AB" w14:textId="77777777" w:rsidR="00C2788F" w:rsidRPr="00C2788F" w:rsidRDefault="00C2788F" w:rsidP="00C2788F">
      <w:pPr>
        <w:pStyle w:val="DHHSbullet1"/>
        <w:numPr>
          <w:ilvl w:val="0"/>
          <w:numId w:val="7"/>
        </w:numPr>
        <w:rPr>
          <w:lang w:eastAsia="en-AU"/>
        </w:rPr>
      </w:pPr>
      <w:r w:rsidRPr="00C2788F">
        <w:rPr>
          <w:lang w:eastAsia="en-AU"/>
        </w:rPr>
        <w:t xml:space="preserve">community connections, </w:t>
      </w:r>
      <w:r w:rsidRPr="00C2788F">
        <w:t>and</w:t>
      </w:r>
    </w:p>
    <w:p w14:paraId="61D7D043" w14:textId="77777777" w:rsidR="00C2788F" w:rsidRDefault="00C2788F" w:rsidP="00C2788F">
      <w:pPr>
        <w:pStyle w:val="DHHSbullet1"/>
        <w:numPr>
          <w:ilvl w:val="0"/>
          <w:numId w:val="7"/>
        </w:numPr>
      </w:pPr>
      <w:r w:rsidRPr="00C2788F">
        <w:t>Home Stretch</w:t>
      </w:r>
      <w:r w:rsidRPr="0004327A">
        <w:t>.</w:t>
      </w:r>
    </w:p>
    <w:p w14:paraId="348E88AD" w14:textId="77777777" w:rsidR="00C2788F" w:rsidRPr="0066540B" w:rsidRDefault="00C2788F" w:rsidP="00C2788F">
      <w:pPr>
        <w:pStyle w:val="Heading2"/>
      </w:pPr>
      <w:bookmarkStart w:id="15" w:name="_Toc17193107"/>
      <w:bookmarkStart w:id="16" w:name="_Toc17193201"/>
      <w:bookmarkStart w:id="17" w:name="_Toc27744764"/>
      <w:bookmarkStart w:id="18" w:name="_Toc89733917"/>
      <w:bookmarkStart w:id="19" w:name="_Hlk27741030"/>
      <w:bookmarkEnd w:id="14"/>
      <w:r w:rsidRPr="0066540B">
        <w:t>Referral to Better Futures</w:t>
      </w:r>
      <w:bookmarkEnd w:id="15"/>
      <w:bookmarkEnd w:id="16"/>
      <w:bookmarkEnd w:id="17"/>
      <w:bookmarkEnd w:id="18"/>
    </w:p>
    <w:bookmarkEnd w:id="19"/>
    <w:p w14:paraId="5B1E2D7D" w14:textId="77777777" w:rsidR="00C2788F" w:rsidRDefault="00C2788F" w:rsidP="00C2788F">
      <w:pPr>
        <w:pStyle w:val="DHHSbullet1"/>
      </w:pPr>
      <w:r w:rsidRPr="0090678A">
        <w:t>Depending on</w:t>
      </w:r>
      <w:r>
        <w:t xml:space="preserve"> Better Futures</w:t>
      </w:r>
      <w:r w:rsidRPr="0090678A">
        <w:t xml:space="preserve"> local </w:t>
      </w:r>
      <w:r>
        <w:t>a</w:t>
      </w:r>
      <w:r w:rsidRPr="0090678A">
        <w:t>rea</w:t>
      </w:r>
      <w:r>
        <w:t xml:space="preserve"> implementation</w:t>
      </w:r>
      <w:r w:rsidRPr="0090678A">
        <w:t xml:space="preserve"> arrangements</w:t>
      </w:r>
      <w:r>
        <w:t>, referrals are accepted by:</w:t>
      </w:r>
    </w:p>
    <w:p w14:paraId="2FC3E9AE" w14:textId="77777777" w:rsidR="00C2788F" w:rsidRDefault="00C2788F" w:rsidP="00C2788F">
      <w:pPr>
        <w:pStyle w:val="DHHSbullet2"/>
        <w:numPr>
          <w:ilvl w:val="0"/>
          <w:numId w:val="44"/>
        </w:numPr>
      </w:pPr>
      <w:r w:rsidRPr="00CB4235">
        <w:t xml:space="preserve">a nominated Better Futures </w:t>
      </w:r>
      <w:r>
        <w:t>provider/s who</w:t>
      </w:r>
      <w:r w:rsidRPr="00CB4235">
        <w:t xml:space="preserve"> </w:t>
      </w:r>
      <w:r>
        <w:t>is</w:t>
      </w:r>
      <w:r w:rsidRPr="00CB4235">
        <w:t xml:space="preserve"> the</w:t>
      </w:r>
      <w:r>
        <w:t xml:space="preserve"> central</w:t>
      </w:r>
      <w:r w:rsidRPr="00CB4235">
        <w:t xml:space="preserve"> point </w:t>
      </w:r>
      <w:r>
        <w:t xml:space="preserve">for </w:t>
      </w:r>
      <w:r w:rsidRPr="00CB4235">
        <w:t xml:space="preserve">referrals for Better Futures </w:t>
      </w:r>
      <w:r>
        <w:t>in that area/s; or</w:t>
      </w:r>
    </w:p>
    <w:p w14:paraId="09E886D0" w14:textId="77777777" w:rsidR="00C2788F" w:rsidRDefault="00C2788F" w:rsidP="00C2788F">
      <w:pPr>
        <w:pStyle w:val="DHHSbullet2"/>
        <w:numPr>
          <w:ilvl w:val="0"/>
          <w:numId w:val="44"/>
        </w:numPr>
      </w:pPr>
      <w:r>
        <w:t>an ACCO for Aboriginal young people; or</w:t>
      </w:r>
    </w:p>
    <w:p w14:paraId="3888A1CB" w14:textId="77777777" w:rsidR="00C2788F" w:rsidRDefault="00C2788F" w:rsidP="00C2788F">
      <w:pPr>
        <w:pStyle w:val="DHHSbullet2"/>
        <w:numPr>
          <w:ilvl w:val="0"/>
          <w:numId w:val="44"/>
        </w:numPr>
      </w:pPr>
      <w:r>
        <w:t xml:space="preserve">a </w:t>
      </w:r>
      <w:r w:rsidRPr="00CB4235">
        <w:t xml:space="preserve">Better Futures </w:t>
      </w:r>
      <w:r>
        <w:t>provider who is the sole provider operating in the area; or</w:t>
      </w:r>
    </w:p>
    <w:p w14:paraId="6CB3C67B" w14:textId="77777777" w:rsidR="00C2788F" w:rsidRDefault="00C2788F" w:rsidP="00C2788F">
      <w:pPr>
        <w:pStyle w:val="DHHSbullet2"/>
        <w:numPr>
          <w:ilvl w:val="0"/>
          <w:numId w:val="44"/>
        </w:numPr>
      </w:pPr>
      <w:r>
        <w:t>other agreed local arrangements.</w:t>
      </w:r>
    </w:p>
    <w:p w14:paraId="47D23F70" w14:textId="7DE03ABD" w:rsidR="00C2788F" w:rsidRPr="00DE45CD" w:rsidRDefault="00C2788F" w:rsidP="00C2788F">
      <w:pPr>
        <w:pStyle w:val="Heading2"/>
      </w:pPr>
      <w:bookmarkStart w:id="20" w:name="_Toc17193112"/>
      <w:bookmarkStart w:id="21" w:name="_Toc17193206"/>
      <w:bookmarkStart w:id="22" w:name="_Toc27744765"/>
      <w:bookmarkStart w:id="23" w:name="_Toc89733918"/>
      <w:r w:rsidRPr="00DE45CD">
        <w:t xml:space="preserve">Better Futures </w:t>
      </w:r>
      <w:bookmarkEnd w:id="20"/>
      <w:bookmarkEnd w:id="21"/>
      <w:r w:rsidRPr="00DE45CD">
        <w:t>procedures for allocation</w:t>
      </w:r>
      <w:bookmarkEnd w:id="22"/>
      <w:bookmarkEnd w:id="23"/>
    </w:p>
    <w:p w14:paraId="67D8951C" w14:textId="77777777" w:rsidR="00C2788F" w:rsidRPr="00E77BD9" w:rsidRDefault="00C2788F" w:rsidP="00C2788F">
      <w:pPr>
        <w:pStyle w:val="DHHSbody"/>
      </w:pPr>
      <w:r w:rsidRPr="00203E2D">
        <w:t xml:space="preserve">When a Better Futures </w:t>
      </w:r>
      <w:r>
        <w:t>provider/s</w:t>
      </w:r>
      <w:r w:rsidRPr="00203E2D">
        <w:t xml:space="preserve"> is responsible for accepting and coordinating referrals on behalf of other Better Futures </w:t>
      </w:r>
      <w:r>
        <w:t xml:space="preserve">providers </w:t>
      </w:r>
      <w:r w:rsidRPr="00203E2D">
        <w:t>in the area/s</w:t>
      </w:r>
      <w:r>
        <w:t>, the</w:t>
      </w:r>
      <w:r w:rsidRPr="00E77BD9">
        <w:t xml:space="preserve"> </w:t>
      </w:r>
      <w:r>
        <w:t>responsible</w:t>
      </w:r>
      <w:r w:rsidRPr="00E77BD9">
        <w:t xml:space="preserve"> </w:t>
      </w:r>
      <w:r>
        <w:t xml:space="preserve">provider/s </w:t>
      </w:r>
      <w:r w:rsidRPr="00E77BD9">
        <w:t>undertake</w:t>
      </w:r>
      <w:r>
        <w:t>s</w:t>
      </w:r>
      <w:r w:rsidRPr="00E77BD9">
        <w:t xml:space="preserve"> the following steps</w:t>
      </w:r>
      <w:r>
        <w:t>:</w:t>
      </w:r>
    </w:p>
    <w:p w14:paraId="7ADD42D0" w14:textId="77777777" w:rsidR="00C2788F" w:rsidRDefault="00C2788F" w:rsidP="00C2788F">
      <w:pPr>
        <w:pStyle w:val="DHHSbullet1"/>
        <w:numPr>
          <w:ilvl w:val="0"/>
          <w:numId w:val="7"/>
        </w:numPr>
      </w:pPr>
      <w:r w:rsidRPr="00E77BD9">
        <w:t>organise</w:t>
      </w:r>
      <w:r>
        <w:t>s</w:t>
      </w:r>
      <w:r w:rsidRPr="00E77BD9">
        <w:t xml:space="preserve"> an allocation</w:t>
      </w:r>
      <w:r>
        <w:t>s</w:t>
      </w:r>
      <w:r w:rsidRPr="00E77BD9">
        <w:t xml:space="preserve"> meeting</w:t>
      </w:r>
      <w:r>
        <w:rPr>
          <w:rStyle w:val="FootnoteReference"/>
        </w:rPr>
        <w:footnoteReference w:id="1"/>
      </w:r>
      <w:r w:rsidRPr="00E77BD9">
        <w:t xml:space="preserve"> with the other Better Futures </w:t>
      </w:r>
      <w:r>
        <w:t>providers in the partnership</w:t>
      </w:r>
      <w:r w:rsidRPr="00E77BD9">
        <w:t xml:space="preserve"> to discuss</w:t>
      </w:r>
      <w:r>
        <w:t xml:space="preserve"> </w:t>
      </w:r>
      <w:r w:rsidRPr="00E77BD9">
        <w:t>referrals</w:t>
      </w:r>
    </w:p>
    <w:p w14:paraId="15591821" w14:textId="77777777" w:rsidR="00C2788F" w:rsidRDefault="00C2788F" w:rsidP="00C2788F">
      <w:pPr>
        <w:pStyle w:val="DHHSbullet1"/>
        <w:numPr>
          <w:ilvl w:val="0"/>
          <w:numId w:val="7"/>
        </w:numPr>
      </w:pPr>
      <w:r>
        <w:t>organises virtual allocation meetings outside the scheduled meetings if earlier decisions are required</w:t>
      </w:r>
    </w:p>
    <w:p w14:paraId="15FF797D" w14:textId="77777777" w:rsidR="00C2788F" w:rsidRDefault="00C2788F" w:rsidP="00C2788F">
      <w:pPr>
        <w:pStyle w:val="DHHSbullet1"/>
        <w:numPr>
          <w:ilvl w:val="0"/>
          <w:numId w:val="7"/>
        </w:numPr>
      </w:pPr>
      <w:r w:rsidRPr="00E77BD9">
        <w:t>coordinate</w:t>
      </w:r>
      <w:r>
        <w:t>s and chairs</w:t>
      </w:r>
      <w:r w:rsidRPr="00E77BD9">
        <w:t xml:space="preserve"> the allocations meeting</w:t>
      </w:r>
      <w:r>
        <w:t xml:space="preserve">, </w:t>
      </w:r>
      <w:r w:rsidRPr="00E77BD9">
        <w:t xml:space="preserve">recording the decisions and actions on </w:t>
      </w:r>
      <w:r>
        <w:t>Client Relationship Information System for Service Providers (CRISSP)</w:t>
      </w:r>
    </w:p>
    <w:p w14:paraId="04E47F8A" w14:textId="77777777" w:rsidR="00C2788F" w:rsidRDefault="00C2788F" w:rsidP="0008369D">
      <w:pPr>
        <w:pStyle w:val="DHHSbullet1"/>
        <w:numPr>
          <w:ilvl w:val="0"/>
          <w:numId w:val="7"/>
        </w:numPr>
      </w:pPr>
      <w:r w:rsidRPr="00E77BD9">
        <w:t>allocate</w:t>
      </w:r>
      <w:r>
        <w:t>s referrals</w:t>
      </w:r>
      <w:r w:rsidRPr="00E77BD9">
        <w:t xml:space="preserve"> to the responsible Better Futures </w:t>
      </w:r>
      <w:r>
        <w:t>provider on CRISSP.</w:t>
      </w:r>
    </w:p>
    <w:p w14:paraId="4CFD7D6A" w14:textId="77777777" w:rsidR="00C2788F" w:rsidRPr="00E77BD9" w:rsidRDefault="00C2788F" w:rsidP="00C2788F">
      <w:pPr>
        <w:pStyle w:val="DHHSbody"/>
      </w:pPr>
      <w:bookmarkStart w:id="24" w:name="_Hlk16510156"/>
      <w:r>
        <w:t>Allocation decisions should take into account</w:t>
      </w:r>
      <w:r w:rsidRPr="00E77BD9">
        <w:t>:</w:t>
      </w:r>
    </w:p>
    <w:p w14:paraId="33C132C3" w14:textId="521B5FED" w:rsidR="00C2788F" w:rsidRDefault="00C2788F" w:rsidP="00C2788F">
      <w:pPr>
        <w:pStyle w:val="DHHSbullet1"/>
        <w:numPr>
          <w:ilvl w:val="0"/>
          <w:numId w:val="7"/>
        </w:numPr>
        <w:spacing w:after="120"/>
      </w:pPr>
      <w:r>
        <w:t xml:space="preserve">circumstances where a </w:t>
      </w:r>
      <w:r w:rsidRPr="00E77BD9">
        <w:t>young person already has links to a</w:t>
      </w:r>
      <w:r>
        <w:t xml:space="preserve"> Better</w:t>
      </w:r>
      <w:r w:rsidRPr="00E77BD9">
        <w:t xml:space="preserve"> Futures </w:t>
      </w:r>
      <w:r>
        <w:t>provider (</w:t>
      </w:r>
      <w:r w:rsidR="00D50EAD">
        <w:t>e.g.,</w:t>
      </w:r>
      <w:r>
        <w:t xml:space="preserve"> the Better Futures provider is also the placement provider)</w:t>
      </w:r>
    </w:p>
    <w:p w14:paraId="15C521DC" w14:textId="77777777" w:rsidR="00C2788F" w:rsidRDefault="00C2788F" w:rsidP="00C2788F">
      <w:pPr>
        <w:pStyle w:val="DHHSbullet1"/>
        <w:numPr>
          <w:ilvl w:val="0"/>
          <w:numId w:val="7"/>
        </w:numPr>
        <w:spacing w:after="120"/>
      </w:pPr>
      <w:r>
        <w:t xml:space="preserve">the young person </w:t>
      </w:r>
      <w:r w:rsidRPr="00E77BD9">
        <w:t xml:space="preserve">has </w:t>
      </w:r>
      <w:r>
        <w:t xml:space="preserve">established </w:t>
      </w:r>
      <w:r w:rsidRPr="00E77BD9">
        <w:t>connection</w:t>
      </w:r>
      <w:r>
        <w:t>s</w:t>
      </w:r>
      <w:r w:rsidRPr="00E77BD9">
        <w:t xml:space="preserve"> in </w:t>
      </w:r>
      <w:r>
        <w:t>a particular area which that provider services</w:t>
      </w:r>
    </w:p>
    <w:p w14:paraId="46B09F2E" w14:textId="77777777" w:rsidR="00C2788F" w:rsidRPr="00E77BD9" w:rsidRDefault="00C2788F" w:rsidP="00C2788F">
      <w:pPr>
        <w:pStyle w:val="DHHSbullet1"/>
        <w:numPr>
          <w:ilvl w:val="0"/>
          <w:numId w:val="7"/>
        </w:numPr>
        <w:spacing w:after="120"/>
      </w:pPr>
      <w:r>
        <w:t>capacity of the Better Futures provider to support connection to community and culture for Aboriginal young people</w:t>
      </w:r>
    </w:p>
    <w:p w14:paraId="00D792A3" w14:textId="77777777" w:rsidR="00C2788F" w:rsidRPr="00E77BD9" w:rsidRDefault="00C2788F" w:rsidP="00C2788F">
      <w:pPr>
        <w:pStyle w:val="DHHSbullet1"/>
        <w:numPr>
          <w:ilvl w:val="0"/>
          <w:numId w:val="7"/>
        </w:numPr>
        <w:spacing w:after="120"/>
      </w:pPr>
      <w:r w:rsidRPr="00E77BD9">
        <w:t xml:space="preserve">capacity of the Better Futures </w:t>
      </w:r>
      <w:r>
        <w:t xml:space="preserve">provider to accept the referral </w:t>
      </w:r>
    </w:p>
    <w:p w14:paraId="69213268" w14:textId="77777777" w:rsidR="00C2788F" w:rsidRDefault="00C2788F" w:rsidP="00C2788F">
      <w:pPr>
        <w:pStyle w:val="DHHSbullet1"/>
        <w:numPr>
          <w:ilvl w:val="0"/>
          <w:numId w:val="7"/>
        </w:numPr>
        <w:spacing w:after="120"/>
      </w:pPr>
      <w:r w:rsidRPr="00E77BD9">
        <w:t xml:space="preserve">the Better Futures </w:t>
      </w:r>
      <w:r>
        <w:t>provider</w:t>
      </w:r>
      <w:r w:rsidRPr="00E77BD9">
        <w:t xml:space="preserve"> has</w:t>
      </w:r>
      <w:r>
        <w:t xml:space="preserve"> expertise</w:t>
      </w:r>
      <w:r w:rsidRPr="00E77BD9">
        <w:t xml:space="preserve"> that will assist the young person’s goals and aspirations</w:t>
      </w:r>
      <w:r>
        <w:t xml:space="preserve"> - for example, in the areas of education, training and employment, and cultural safety.</w:t>
      </w:r>
    </w:p>
    <w:p w14:paraId="3997ACA7" w14:textId="77777777" w:rsidR="00C2788F" w:rsidRPr="00C61DB7" w:rsidRDefault="00C2788F" w:rsidP="002B0D00">
      <w:pPr>
        <w:pStyle w:val="DHHSbullet1"/>
        <w:ind w:left="0" w:firstLine="0"/>
      </w:pPr>
      <w:r w:rsidRPr="00C61DB7">
        <w:t>A Better Futures provider can accept all referrals for young people when they are the sole provider in an area.</w:t>
      </w:r>
    </w:p>
    <w:p w14:paraId="2601507B" w14:textId="77777777" w:rsidR="00C2788F" w:rsidRPr="0066540B" w:rsidRDefault="00C2788F" w:rsidP="00C2788F">
      <w:pPr>
        <w:pStyle w:val="Heading2"/>
      </w:pPr>
      <w:bookmarkStart w:id="25" w:name="_Toc27744766"/>
      <w:bookmarkStart w:id="26" w:name="_Toc89733919"/>
      <w:r w:rsidRPr="0066540B">
        <w:t>Acceptance of referrals</w:t>
      </w:r>
      <w:bookmarkEnd w:id="25"/>
      <w:bookmarkEnd w:id="26"/>
    </w:p>
    <w:p w14:paraId="1B795142" w14:textId="77777777" w:rsidR="00C2788F" w:rsidRDefault="00C2788F" w:rsidP="00C2788F">
      <w:pPr>
        <w:pStyle w:val="DHHSbullet1"/>
        <w:spacing w:after="120"/>
        <w:ind w:left="0" w:firstLine="0"/>
        <w:rPr>
          <w:rFonts w:cs="Arial"/>
        </w:rPr>
      </w:pPr>
      <w:r>
        <w:rPr>
          <w:rFonts w:cs="Arial"/>
        </w:rPr>
        <w:t>A Better Futures provider completes the following steps upon receipt of a referral:</w:t>
      </w:r>
    </w:p>
    <w:p w14:paraId="182F0AE6" w14:textId="77777777" w:rsidR="00C2788F" w:rsidRDefault="00C2788F" w:rsidP="00C2788F">
      <w:pPr>
        <w:pStyle w:val="DHHSbullet1"/>
        <w:numPr>
          <w:ilvl w:val="0"/>
          <w:numId w:val="7"/>
        </w:numPr>
        <w:spacing w:after="120"/>
      </w:pPr>
      <w:r>
        <w:t>confirms eligibility</w:t>
      </w:r>
    </w:p>
    <w:p w14:paraId="5FC1DCB0" w14:textId="77777777" w:rsidR="00C2788F" w:rsidRDefault="00C2788F" w:rsidP="00C2788F">
      <w:pPr>
        <w:pStyle w:val="DHHSbullet1"/>
        <w:numPr>
          <w:ilvl w:val="0"/>
          <w:numId w:val="7"/>
        </w:numPr>
        <w:spacing w:after="120"/>
      </w:pPr>
      <w:r w:rsidRPr="0090678A">
        <w:t>accept</w:t>
      </w:r>
      <w:r>
        <w:t xml:space="preserve">s </w:t>
      </w:r>
      <w:r w:rsidRPr="0090678A">
        <w:t>the referral on CRISSP</w:t>
      </w:r>
    </w:p>
    <w:p w14:paraId="2B3C428D" w14:textId="77777777" w:rsidR="00C2788F" w:rsidRDefault="00C2788F" w:rsidP="00C2788F">
      <w:pPr>
        <w:pStyle w:val="DHHSbullet1"/>
        <w:numPr>
          <w:ilvl w:val="0"/>
          <w:numId w:val="7"/>
        </w:numPr>
        <w:spacing w:after="120"/>
      </w:pPr>
      <w:r>
        <w:t>undertakes a</w:t>
      </w:r>
      <w:r w:rsidRPr="00F63DFB">
        <w:t xml:space="preserve">n initial </w:t>
      </w:r>
      <w:r>
        <w:t>assessment to determine the required service response, drawing on information provided by the referrer including:</w:t>
      </w:r>
    </w:p>
    <w:p w14:paraId="41D1E34E" w14:textId="77777777" w:rsidR="00C2788F" w:rsidRDefault="00C2788F" w:rsidP="00C2788F">
      <w:pPr>
        <w:pStyle w:val="DHHSbullet1"/>
        <w:numPr>
          <w:ilvl w:val="0"/>
          <w:numId w:val="42"/>
        </w:numPr>
        <w:spacing w:after="120"/>
      </w:pPr>
      <w:r>
        <w:t xml:space="preserve"> the</w:t>
      </w:r>
      <w:r w:rsidRPr="0090678A">
        <w:t xml:space="preserve"> 15+ </w:t>
      </w:r>
      <w:r>
        <w:t>c</w:t>
      </w:r>
      <w:r w:rsidRPr="0090678A">
        <w:t xml:space="preserve">are and </w:t>
      </w:r>
      <w:r>
        <w:t>t</w:t>
      </w:r>
      <w:r w:rsidRPr="0090678A">
        <w:t xml:space="preserve">ransition </w:t>
      </w:r>
      <w:r>
        <w:t>p</w:t>
      </w:r>
      <w:r w:rsidRPr="0090678A">
        <w:t>lan</w:t>
      </w:r>
      <w:r>
        <w:t xml:space="preserve"> </w:t>
      </w:r>
    </w:p>
    <w:p w14:paraId="2C09F723" w14:textId="77777777" w:rsidR="00C2788F" w:rsidRDefault="00C2788F" w:rsidP="00C2788F">
      <w:pPr>
        <w:pStyle w:val="DHHSbullet1"/>
        <w:numPr>
          <w:ilvl w:val="0"/>
          <w:numId w:val="42"/>
        </w:numPr>
        <w:spacing w:after="120"/>
      </w:pPr>
      <w:r>
        <w:t>the cultural plan (where relevant)</w:t>
      </w:r>
    </w:p>
    <w:p w14:paraId="155ABE5A" w14:textId="3BCADD66" w:rsidR="00C2788F" w:rsidRDefault="00C2788F" w:rsidP="00C2788F">
      <w:pPr>
        <w:pStyle w:val="DHHSbullet1"/>
        <w:numPr>
          <w:ilvl w:val="0"/>
          <w:numId w:val="42"/>
        </w:numPr>
        <w:spacing w:after="120"/>
      </w:pPr>
      <w:r w:rsidRPr="0090678A">
        <w:t xml:space="preserve">other documentation </w:t>
      </w:r>
      <w:r>
        <w:t xml:space="preserve">including the </w:t>
      </w:r>
      <w:r w:rsidR="00A70B72">
        <w:t>Client Relationship Information System (</w:t>
      </w:r>
      <w:r>
        <w:t>CRIS</w:t>
      </w:r>
      <w:r w:rsidR="00A70B72">
        <w:t>)</w:t>
      </w:r>
      <w:r>
        <w:t xml:space="preserve"> client overview, areas of concern, and </w:t>
      </w:r>
      <w:r w:rsidRPr="0090678A">
        <w:t xml:space="preserve">the </w:t>
      </w:r>
      <w:r>
        <w:t>a</w:t>
      </w:r>
      <w:r w:rsidRPr="0090678A">
        <w:t xml:space="preserve">ctions </w:t>
      </w:r>
      <w:r>
        <w:t>t</w:t>
      </w:r>
      <w:r w:rsidRPr="0090678A">
        <w:t xml:space="preserve">able (from </w:t>
      </w:r>
      <w:r>
        <w:t>the case plan</w:t>
      </w:r>
      <w:r w:rsidRPr="0090678A">
        <w:t>)</w:t>
      </w:r>
      <w:r>
        <w:t xml:space="preserve"> </w:t>
      </w:r>
    </w:p>
    <w:p w14:paraId="554544DB" w14:textId="77777777" w:rsidR="00C2788F" w:rsidRPr="0090678A" w:rsidRDefault="00C2788F" w:rsidP="00C2788F">
      <w:pPr>
        <w:pStyle w:val="DHHSbullet1"/>
        <w:numPr>
          <w:ilvl w:val="0"/>
          <w:numId w:val="42"/>
        </w:numPr>
        <w:spacing w:after="120"/>
      </w:pPr>
      <w:r>
        <w:t>any other critical information is to be included in the comments section of the CRIS referral such as security alerts or safety risks.</w:t>
      </w:r>
    </w:p>
    <w:p w14:paraId="5D6F6E4F" w14:textId="77777777" w:rsidR="00C2788F" w:rsidRDefault="00C2788F" w:rsidP="00C2788F">
      <w:pPr>
        <w:pStyle w:val="DHHSbullet1"/>
        <w:numPr>
          <w:ilvl w:val="0"/>
          <w:numId w:val="7"/>
        </w:numPr>
        <w:spacing w:after="120"/>
      </w:pPr>
      <w:r>
        <w:t>The allocated Better Futures worker then makes contact with the referrer and:</w:t>
      </w:r>
    </w:p>
    <w:p w14:paraId="16E7A3FE" w14:textId="77777777" w:rsidR="00C2788F" w:rsidRDefault="00C2788F" w:rsidP="00C2788F">
      <w:pPr>
        <w:pStyle w:val="DHHSbullet1"/>
        <w:numPr>
          <w:ilvl w:val="0"/>
          <w:numId w:val="43"/>
        </w:numPr>
        <w:spacing w:after="120"/>
      </w:pPr>
      <w:r>
        <w:t>seeks further information about the young person if required</w:t>
      </w:r>
    </w:p>
    <w:p w14:paraId="4F8B1233" w14:textId="77777777" w:rsidR="00C2788F" w:rsidRDefault="00C2788F" w:rsidP="00C2788F">
      <w:pPr>
        <w:pStyle w:val="DHHSbullet1"/>
        <w:numPr>
          <w:ilvl w:val="0"/>
          <w:numId w:val="43"/>
        </w:numPr>
        <w:spacing w:after="120"/>
      </w:pPr>
      <w:r>
        <w:t xml:space="preserve">clarifies roles and responsibilities </w:t>
      </w:r>
    </w:p>
    <w:p w14:paraId="254620F2" w14:textId="7594883E" w:rsidR="00C2788F" w:rsidRDefault="00C2788F" w:rsidP="00C2788F">
      <w:pPr>
        <w:pStyle w:val="DHHSbullet1"/>
        <w:numPr>
          <w:ilvl w:val="0"/>
          <w:numId w:val="43"/>
        </w:numPr>
        <w:spacing w:after="120"/>
      </w:pPr>
      <w:r>
        <w:t>agrees the level of support to be provided to the young person based on their circumstances, needs and capacity of the organisation to meet demand.</w:t>
      </w:r>
    </w:p>
    <w:p w14:paraId="0E6AA568" w14:textId="77777777" w:rsidR="00C2788F" w:rsidRPr="0066540B" w:rsidRDefault="00C2788F" w:rsidP="00C2788F">
      <w:pPr>
        <w:pStyle w:val="Heading2"/>
      </w:pPr>
      <w:bookmarkStart w:id="27" w:name="_Toc27744767"/>
      <w:bookmarkStart w:id="28" w:name="_Toc89733920"/>
      <w:bookmarkEnd w:id="24"/>
      <w:r w:rsidRPr="0066540B">
        <w:t>Prioritisation</w:t>
      </w:r>
      <w:bookmarkEnd w:id="27"/>
      <w:bookmarkEnd w:id="28"/>
    </w:p>
    <w:p w14:paraId="2C5830D1" w14:textId="77777777" w:rsidR="00C2788F" w:rsidRPr="00D50EAD" w:rsidRDefault="00C2788F" w:rsidP="00D50EAD">
      <w:pPr>
        <w:pStyle w:val="DHHSbody"/>
      </w:pPr>
      <w:r w:rsidRPr="00D50EAD">
        <w:t>A fundamental principle which guides Better Futures service delivery is that all young people transitioning from care should be able to receive a level of support commensurate with their needs, however current investment means there will be a need to prioritise referrals, and some young people who require active support will likely need to be placed on active hold or receive limited support. Where prioritisation is required due to an inability to meet all demand, the following factors should guide allocation decisions:</w:t>
      </w:r>
    </w:p>
    <w:p w14:paraId="4E5597F1" w14:textId="77777777" w:rsidR="00C2788F" w:rsidRDefault="00C2788F" w:rsidP="00C2788F">
      <w:pPr>
        <w:pStyle w:val="DHHSbody"/>
        <w:numPr>
          <w:ilvl w:val="0"/>
          <w:numId w:val="45"/>
        </w:numPr>
        <w:spacing w:line="240" w:lineRule="auto"/>
      </w:pPr>
      <w:r>
        <w:t>the young person is at risk of isolation when they transition from care and would benefit from opportunities to build sustainable community connections</w:t>
      </w:r>
    </w:p>
    <w:p w14:paraId="44B2E678" w14:textId="77777777" w:rsidR="00C2788F" w:rsidRDefault="00C2788F" w:rsidP="00C2788F">
      <w:pPr>
        <w:pStyle w:val="DHHSbody"/>
        <w:numPr>
          <w:ilvl w:val="0"/>
          <w:numId w:val="45"/>
        </w:numPr>
        <w:spacing w:line="240" w:lineRule="auto"/>
      </w:pPr>
      <w:r>
        <w:t xml:space="preserve">the young person is disengaged from education or employment and requires support to re-engage </w:t>
      </w:r>
    </w:p>
    <w:p w14:paraId="1E407558" w14:textId="77777777" w:rsidR="00C2788F" w:rsidRDefault="00C2788F" w:rsidP="00C2788F">
      <w:pPr>
        <w:pStyle w:val="DHHSbody"/>
        <w:numPr>
          <w:ilvl w:val="0"/>
          <w:numId w:val="45"/>
        </w:numPr>
        <w:spacing w:line="240" w:lineRule="auto"/>
      </w:pPr>
      <w:r>
        <w:t>the young person is Aboriginal and requires support with connection to community and culture</w:t>
      </w:r>
    </w:p>
    <w:p w14:paraId="29E26C17" w14:textId="77777777" w:rsidR="00C2788F" w:rsidRPr="00A81AC8" w:rsidRDefault="00C2788F" w:rsidP="00C2788F">
      <w:pPr>
        <w:pStyle w:val="DHHSbody"/>
        <w:numPr>
          <w:ilvl w:val="0"/>
          <w:numId w:val="45"/>
        </w:numPr>
      </w:pPr>
      <w:r w:rsidRPr="00A81AC8">
        <w:t>the young person has transitioned from care and is experiencing crisis requiring immediate support</w:t>
      </w:r>
    </w:p>
    <w:p w14:paraId="6E596DE4" w14:textId="2573C2CC" w:rsidR="0008369D" w:rsidRDefault="00C2788F" w:rsidP="00C2788F">
      <w:pPr>
        <w:pStyle w:val="DHHSbody"/>
        <w:numPr>
          <w:ilvl w:val="0"/>
          <w:numId w:val="45"/>
        </w:numPr>
      </w:pPr>
      <w:r w:rsidRPr="00A81AC8">
        <w:t>the young person is nearing the point of leaving care</w:t>
      </w:r>
      <w:r>
        <w:t xml:space="preserve"> or </w:t>
      </w:r>
      <w:r w:rsidRPr="00A81AC8">
        <w:t xml:space="preserve">has just left care, is highly motivated and wants to work on one or more goals requiring an increased level of support from Better Futures worker. </w:t>
      </w:r>
    </w:p>
    <w:p w14:paraId="6504CF3E" w14:textId="77777777" w:rsidR="0008369D" w:rsidRDefault="0008369D">
      <w:pPr>
        <w:spacing w:after="0" w:line="240" w:lineRule="auto"/>
        <w:rPr>
          <w:rFonts w:eastAsia="Times"/>
          <w:sz w:val="20"/>
        </w:rPr>
      </w:pPr>
      <w:r>
        <w:br w:type="page"/>
      </w:r>
    </w:p>
    <w:p w14:paraId="67B1C802" w14:textId="77777777" w:rsidR="009B746A" w:rsidRPr="00AF6EB3" w:rsidRDefault="009B746A" w:rsidP="009B746A">
      <w:pPr>
        <w:pStyle w:val="Heading2"/>
        <w:rPr>
          <w:rFonts w:eastAsia="Times"/>
        </w:rPr>
      </w:pPr>
      <w:bookmarkStart w:id="29" w:name="_Toc89733921"/>
      <w:r w:rsidRPr="00AF6EB3">
        <w:rPr>
          <w:rFonts w:eastAsia="Calibri"/>
        </w:rPr>
        <w:t>Additional information</w:t>
      </w:r>
      <w:bookmarkEnd w:id="29"/>
    </w:p>
    <w:bookmarkEnd w:id="9"/>
    <w:bookmarkEnd w:id="10"/>
    <w:p w14:paraId="15269C1D" w14:textId="26452267" w:rsidR="00050F40" w:rsidRDefault="00050F40" w:rsidP="00B456AC">
      <w:pPr>
        <w:pStyle w:val="DHHSbody"/>
      </w:pPr>
      <w:r w:rsidRPr="00B456AC">
        <w:t xml:space="preserve">See Better Futures Referral CRIS to CRISSP </w:t>
      </w:r>
      <w:r w:rsidR="004E4E2F" w:rsidRPr="00B456AC">
        <w:t>document</w:t>
      </w:r>
      <w:r w:rsidR="0008507F" w:rsidRPr="00B456AC">
        <w:t>s</w:t>
      </w:r>
      <w:r w:rsidR="004E4E2F" w:rsidRPr="00B456AC">
        <w:t xml:space="preserve"> </w:t>
      </w:r>
      <w:r w:rsidRPr="00B456AC">
        <w:t xml:space="preserve">for information on </w:t>
      </w:r>
      <w:r w:rsidR="00C646CB" w:rsidRPr="00B456AC">
        <w:t xml:space="preserve">the </w:t>
      </w:r>
      <w:r w:rsidR="0008507F" w:rsidRPr="00B456AC">
        <w:t xml:space="preserve">Better Futures </w:t>
      </w:r>
      <w:r w:rsidR="00C646CB" w:rsidRPr="00B456AC">
        <w:t>CRIS referral and the CRISSP acceptance process.</w:t>
      </w:r>
      <w:r w:rsidR="00AA0032">
        <w:t xml:space="preserve"> </w:t>
      </w:r>
      <w:r w:rsidR="0008507F" w:rsidRPr="00B456AC">
        <w:t>These documents are</w:t>
      </w:r>
      <w:r w:rsidRPr="00B456AC">
        <w:t xml:space="preserve"> accessible via the CRIS/SP Launch Page (4 </w:t>
      </w:r>
      <w:r w:rsidR="00D50EAD" w:rsidRPr="00B456AC">
        <w:t>Help! Ask</w:t>
      </w:r>
      <w:r w:rsidRPr="00B456AC">
        <w:t xml:space="preserve"> CRIS icon).</w:t>
      </w:r>
    </w:p>
    <w:p w14:paraId="552BF73B" w14:textId="50748BD5" w:rsidR="00B456AC" w:rsidRDefault="00B456AC" w:rsidP="00B456AC">
      <w:pPr>
        <w:pStyle w:val="DHHSbody"/>
      </w:pPr>
      <w:r>
        <w:t>Additional practice advice documents and information can be found on department’s website via the:</w:t>
      </w:r>
      <w:r w:rsidRPr="00DC5EA4">
        <w:t xml:space="preserve"> </w:t>
      </w:r>
    </w:p>
    <w:p w14:paraId="7BA7A0E5" w14:textId="169E65D0" w:rsidR="0008369D" w:rsidRDefault="009B1A20" w:rsidP="0008369D">
      <w:pPr>
        <w:pStyle w:val="DHHSbody"/>
      </w:pPr>
      <w:hyperlink r:id="rId16" w:history="1">
        <w:r w:rsidR="0008369D">
          <w:rPr>
            <w:rStyle w:val="Hyperlink"/>
          </w:rPr>
          <w:t>providers.dffh.vic.gov.au/better-futures</w:t>
        </w:r>
      </w:hyperlink>
      <w:r w:rsidR="00AA0032">
        <w:rPr>
          <w:rStyle w:val="Hyperlink"/>
        </w:rPr>
        <w:t xml:space="preserve"> </w:t>
      </w:r>
      <w:r w:rsidR="0008369D">
        <w:rPr>
          <w:rStyle w:val="Hyperlink"/>
        </w:rPr>
        <w:t>&lt;</w:t>
      </w:r>
      <w:r w:rsidR="0008369D" w:rsidRPr="009A7151">
        <w:t>https://providers.dffh.vic.gov.au/better-futures</w:t>
      </w:r>
      <w:r w:rsidR="0008369D">
        <w:t>&gt;</w:t>
      </w:r>
    </w:p>
    <w:p w14:paraId="68D45FC9" w14:textId="0DB88245" w:rsidR="0008369D" w:rsidRDefault="009B1A20" w:rsidP="0008369D">
      <w:pPr>
        <w:pStyle w:val="DHHSbody"/>
      </w:pPr>
      <w:hyperlink r:id="rId17" w:history="1">
        <w:r w:rsidR="0008369D" w:rsidRPr="009A7151">
          <w:rPr>
            <w:rStyle w:val="Hyperlink"/>
          </w:rPr>
          <w:t>providers.dffh.vic.gov.au/home-stretch</w:t>
        </w:r>
      </w:hyperlink>
      <w:r w:rsidR="00AA0032">
        <w:t xml:space="preserve"> </w:t>
      </w:r>
      <w:r w:rsidR="0008369D">
        <w:rPr>
          <w:rStyle w:val="Hyperlink"/>
        </w:rPr>
        <w:t>&lt;</w:t>
      </w:r>
      <w:r w:rsidR="0008369D" w:rsidRPr="009A7151">
        <w:t>https://providers.dffh.vic.gov.au/home-stretch</w:t>
      </w:r>
      <w:r w:rsidR="0008369D">
        <w:t>&gt;</w:t>
      </w:r>
    </w:p>
    <w:p w14:paraId="366B7FC1" w14:textId="17EAF184" w:rsidR="0008369D" w:rsidRDefault="009B1A20" w:rsidP="0008369D">
      <w:pPr>
        <w:pStyle w:val="DHHSbody"/>
      </w:pPr>
      <w:hyperlink r:id="rId18" w:history="1">
        <w:r w:rsidR="0008369D">
          <w:rPr>
            <w:rStyle w:val="Hyperlink"/>
          </w:rPr>
          <w:t>providers.dffh.vic.gov.au/leaving-care</w:t>
        </w:r>
      </w:hyperlink>
      <w:r w:rsidR="00AA0032">
        <w:rPr>
          <w:rStyle w:val="Hyperlink"/>
        </w:rPr>
        <w:t xml:space="preserve"> </w:t>
      </w:r>
      <w:r w:rsidR="0008369D" w:rsidRPr="009A7151">
        <w:rPr>
          <w:rStyle w:val="Hyperlink"/>
          <w:color w:val="auto"/>
        </w:rPr>
        <w:t>&lt;https://providers.dffh.vic.gov.au/leaving-care&gt;</w:t>
      </w:r>
    </w:p>
    <w:p w14:paraId="5510F1DE" w14:textId="1FF75FCF" w:rsidR="0008369D" w:rsidRDefault="009B1A20" w:rsidP="0008369D">
      <w:pPr>
        <w:pStyle w:val="DHHSbody"/>
      </w:pPr>
      <w:hyperlink r:id="rId19" w:history="1">
        <w:r w:rsidR="0008369D">
          <w:rPr>
            <w:rStyle w:val="Hyperlink"/>
          </w:rPr>
          <w:t>services.dffh.vic.gov.au/leaving-care</w:t>
        </w:r>
      </w:hyperlink>
      <w:r w:rsidR="00AA0032">
        <w:rPr>
          <w:rStyle w:val="Hyperlink"/>
        </w:rPr>
        <w:t xml:space="preserve"> </w:t>
      </w:r>
      <w:r w:rsidR="0008369D">
        <w:rPr>
          <w:rStyle w:val="Hyperlink"/>
        </w:rPr>
        <w:t>&lt;</w:t>
      </w:r>
      <w:r w:rsidR="0008369D" w:rsidRPr="009A7151">
        <w:t>https://services.dffh.vic.gov.au/leaving-care</w:t>
      </w:r>
      <w:r w:rsidR="0008369D">
        <w:rPr>
          <w:rStyle w:val="Hyperlink"/>
        </w:rPr>
        <w:t>&gt;</w:t>
      </w:r>
    </w:p>
    <w:p w14:paraId="72884AB0" w14:textId="56D60244" w:rsidR="009B746A" w:rsidRDefault="009B1A20" w:rsidP="009B746A">
      <w:pPr>
        <w:pStyle w:val="DHHSbody"/>
      </w:pPr>
      <w:hyperlink r:id="rId20" w:history="1">
        <w:r w:rsidR="009B746A" w:rsidRPr="00406825">
          <w:rPr>
            <w:rStyle w:val="Hyperlink"/>
            <w:color w:val="1F497D" w:themeColor="text2"/>
            <w:u w:val="none"/>
          </w:rPr>
          <w:t>Funded Agency Channel</w:t>
        </w:r>
      </w:hyperlink>
      <w:r w:rsidR="009B746A" w:rsidRPr="00406825">
        <w:t xml:space="preserve"> </w:t>
      </w:r>
      <w:r w:rsidR="0008369D">
        <w:t>&lt;</w:t>
      </w:r>
      <w:r w:rsidR="000F5930" w:rsidRPr="0008369D">
        <w:t>https://fac.dhhs.vic.gov.au</w:t>
      </w:r>
      <w:r w:rsidR="0008369D">
        <w:t>&gt;</w:t>
      </w:r>
    </w:p>
    <w:p w14:paraId="71A642D0" w14:textId="564DF12A" w:rsidR="009B746A" w:rsidRDefault="009B1A20" w:rsidP="00AA0032">
      <w:pPr>
        <w:pStyle w:val="DHHSbody"/>
        <w:spacing w:after="240"/>
      </w:pPr>
      <w:hyperlink r:id="rId21" w:history="1">
        <w:r w:rsidR="000F5930" w:rsidRPr="002B54CA">
          <w:rPr>
            <w:rStyle w:val="Hyperlink"/>
          </w:rPr>
          <w:t>Child Protection Manual</w:t>
        </w:r>
      </w:hyperlink>
      <w:r w:rsidR="002B54CA">
        <w:t xml:space="preserve"> &lt;</w:t>
      </w:r>
      <w:r w:rsidR="002B54CA" w:rsidRPr="002B54CA">
        <w:t>https://www.cpmanual.vic.gov.au</w:t>
      </w:r>
      <w:r w:rsidR="002B54CA">
        <w:t>&gt;</w:t>
      </w:r>
    </w:p>
    <w:tbl>
      <w:tblPr>
        <w:tblStyle w:val="TableGrid"/>
        <w:tblW w:w="9781" w:type="dxa"/>
        <w:tblInd w:w="137" w:type="dxa"/>
        <w:tblLook w:val="0420" w:firstRow="1" w:lastRow="0" w:firstColumn="0" w:lastColumn="0" w:noHBand="0" w:noVBand="1"/>
      </w:tblPr>
      <w:tblGrid>
        <w:gridCol w:w="3256"/>
        <w:gridCol w:w="6525"/>
      </w:tblGrid>
      <w:tr w:rsidR="009B746A" w14:paraId="43765800" w14:textId="77777777" w:rsidTr="00AA0032">
        <w:tc>
          <w:tcPr>
            <w:tcW w:w="3256" w:type="dxa"/>
          </w:tcPr>
          <w:p w14:paraId="125E0F97" w14:textId="77777777" w:rsidR="009B746A" w:rsidRPr="00AA0032" w:rsidRDefault="009B746A" w:rsidP="00C51538">
            <w:pPr>
              <w:pStyle w:val="DHHStabletext"/>
              <w:rPr>
                <w:b/>
                <w:bCs/>
              </w:rPr>
            </w:pPr>
            <w:r w:rsidRPr="00AA0032">
              <w:rPr>
                <w:b/>
                <w:bCs/>
              </w:rPr>
              <w:t>Subject</w:t>
            </w:r>
          </w:p>
        </w:tc>
        <w:tc>
          <w:tcPr>
            <w:tcW w:w="6525" w:type="dxa"/>
          </w:tcPr>
          <w:p w14:paraId="3D88C83B" w14:textId="77777777" w:rsidR="009B746A" w:rsidRPr="00AA0032" w:rsidRDefault="009B746A" w:rsidP="00C51538">
            <w:pPr>
              <w:pStyle w:val="DHHStabletext"/>
              <w:rPr>
                <w:b/>
                <w:bCs/>
              </w:rPr>
            </w:pPr>
            <w:r w:rsidRPr="00AA0032">
              <w:rPr>
                <w:b/>
                <w:bCs/>
              </w:rPr>
              <w:t>Details</w:t>
            </w:r>
          </w:p>
        </w:tc>
      </w:tr>
      <w:tr w:rsidR="009B746A" w14:paraId="60459166" w14:textId="77777777" w:rsidTr="00AA0032">
        <w:tc>
          <w:tcPr>
            <w:tcW w:w="3256" w:type="dxa"/>
          </w:tcPr>
          <w:p w14:paraId="2E1AC64D" w14:textId="77777777" w:rsidR="009B746A" w:rsidRDefault="009B746A" w:rsidP="00C51538">
            <w:pPr>
              <w:pStyle w:val="DHHStabletext"/>
            </w:pPr>
            <w:r>
              <w:t>Guide author</w:t>
            </w:r>
          </w:p>
        </w:tc>
        <w:tc>
          <w:tcPr>
            <w:tcW w:w="6525" w:type="dxa"/>
          </w:tcPr>
          <w:p w14:paraId="54364AB1" w14:textId="77777777" w:rsidR="009B746A" w:rsidRDefault="009B746A"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41DC5685" w14:textId="77777777" w:rsidR="009B746A" w:rsidRDefault="009B746A" w:rsidP="00C51538">
            <w:pPr>
              <w:pStyle w:val="DHHStabletext"/>
              <w:rPr>
                <w:rFonts w:cs="Arial"/>
                <w:color w:val="000000"/>
                <w:lang w:eastAsia="en-AU"/>
              </w:rPr>
            </w:pPr>
            <w:r>
              <w:rPr>
                <w:rFonts w:cs="Arial"/>
                <w:color w:val="000000"/>
                <w:lang w:eastAsia="en-AU"/>
              </w:rPr>
              <w:t>Children, Families, Communities and Disability Division</w:t>
            </w:r>
          </w:p>
          <w:p w14:paraId="3CF00D93" w14:textId="77777777" w:rsidR="009B746A" w:rsidRPr="00223D8A" w:rsidRDefault="009B746A" w:rsidP="00C51538">
            <w:pPr>
              <w:pStyle w:val="DHHStabletext"/>
              <w:rPr>
                <w:rFonts w:cs="Arial"/>
                <w:color w:val="000000"/>
              </w:rPr>
            </w:pPr>
            <w:r>
              <w:rPr>
                <w:rFonts w:cs="Arial"/>
                <w:color w:val="000000"/>
                <w:lang w:eastAsia="en-AU"/>
              </w:rPr>
              <w:t>Department of Families Fairness and Housing</w:t>
            </w:r>
          </w:p>
        </w:tc>
      </w:tr>
      <w:tr w:rsidR="009B746A" w14:paraId="50127171" w14:textId="77777777" w:rsidTr="00AA0032">
        <w:tc>
          <w:tcPr>
            <w:tcW w:w="3256" w:type="dxa"/>
          </w:tcPr>
          <w:p w14:paraId="67E7DD74" w14:textId="77777777" w:rsidR="009B746A" w:rsidRDefault="009B746A" w:rsidP="00C51538">
            <w:pPr>
              <w:pStyle w:val="DHHStabletext"/>
            </w:pPr>
            <w:r>
              <w:t xml:space="preserve">Authorised by </w:t>
            </w:r>
          </w:p>
        </w:tc>
        <w:tc>
          <w:tcPr>
            <w:tcW w:w="6525" w:type="dxa"/>
          </w:tcPr>
          <w:p w14:paraId="45279E75" w14:textId="77777777" w:rsidR="009B746A" w:rsidRDefault="009B746A"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62D2E7C6" w14:textId="1E202557" w:rsidR="009B746A" w:rsidRDefault="009B746A" w:rsidP="0008369D">
            <w:pPr>
              <w:pStyle w:val="DHHStabletext"/>
            </w:pPr>
            <w:r>
              <w:rPr>
                <w:rFonts w:cs="Arial"/>
                <w:color w:val="000000"/>
                <w:lang w:eastAsia="en-AU"/>
              </w:rPr>
              <w:t>Children, Families, Communities and Disability Division</w:t>
            </w:r>
          </w:p>
        </w:tc>
      </w:tr>
      <w:tr w:rsidR="009B746A" w14:paraId="1AB1296D" w14:textId="77777777" w:rsidTr="00AA0032">
        <w:tc>
          <w:tcPr>
            <w:tcW w:w="3256" w:type="dxa"/>
          </w:tcPr>
          <w:p w14:paraId="6E96E612" w14:textId="77777777" w:rsidR="009B746A" w:rsidRDefault="009B746A" w:rsidP="00C51538">
            <w:pPr>
              <w:pStyle w:val="DHHStabletext"/>
            </w:pPr>
            <w:r>
              <w:t>Guide created/last reviewed</w:t>
            </w:r>
          </w:p>
        </w:tc>
        <w:tc>
          <w:tcPr>
            <w:tcW w:w="6525" w:type="dxa"/>
          </w:tcPr>
          <w:p w14:paraId="2E054191" w14:textId="77777777" w:rsidR="009B746A" w:rsidRDefault="009B746A" w:rsidP="00C51538">
            <w:pPr>
              <w:pStyle w:val="DHHStabletext"/>
            </w:pPr>
            <w:r>
              <w:t>7 December 2021</w:t>
            </w:r>
          </w:p>
        </w:tc>
      </w:tr>
      <w:tr w:rsidR="009B746A" w14:paraId="65EC7D47" w14:textId="77777777" w:rsidTr="00AA0032">
        <w:tc>
          <w:tcPr>
            <w:tcW w:w="3256" w:type="dxa"/>
          </w:tcPr>
          <w:p w14:paraId="198EF498" w14:textId="77777777" w:rsidR="009B746A" w:rsidRDefault="009B746A" w:rsidP="00C51538">
            <w:pPr>
              <w:pStyle w:val="DHHStabletext"/>
            </w:pPr>
            <w:r>
              <w:t xml:space="preserve">Version number </w:t>
            </w:r>
          </w:p>
        </w:tc>
        <w:tc>
          <w:tcPr>
            <w:tcW w:w="6525" w:type="dxa"/>
          </w:tcPr>
          <w:p w14:paraId="1C4A3553" w14:textId="51903A24" w:rsidR="009B746A" w:rsidRDefault="009B746A" w:rsidP="00C51538">
            <w:pPr>
              <w:pStyle w:val="DHHStabletext"/>
            </w:pPr>
            <w:r>
              <w:t>V</w:t>
            </w:r>
            <w:r w:rsidR="00560923">
              <w:t>2</w:t>
            </w:r>
          </w:p>
        </w:tc>
      </w:tr>
    </w:tbl>
    <w:p w14:paraId="3C8EFB9D" w14:textId="77777777" w:rsidR="009B746A" w:rsidRPr="00823DE4" w:rsidRDefault="009B746A" w:rsidP="009B746A">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9B746A" w14:paraId="3A0A392F" w14:textId="77777777" w:rsidTr="00C5153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54578250" w14:textId="77777777" w:rsidR="009B746A" w:rsidRDefault="009B746A" w:rsidP="00C51538">
            <w:pPr>
              <w:pStyle w:val="DHHSaccessibilitypara"/>
            </w:pPr>
            <w:r>
              <w:t xml:space="preserve">To receive this publication in an accessible format email </w:t>
            </w:r>
            <w:hyperlink r:id="rId22" w:history="1">
              <w:r w:rsidRPr="00B132BA">
                <w:rPr>
                  <w:rStyle w:val="Hyperlink"/>
                </w:rPr>
                <w:t>Children and Families Policy Branch</w:t>
              </w:r>
            </w:hyperlink>
            <w:r>
              <w:rPr>
                <w:rStyle w:val="Hyperlink"/>
              </w:rPr>
              <w:t>,</w:t>
            </w:r>
            <w:r w:rsidRPr="004E3928">
              <w:t xml:space="preserve"> </w:t>
            </w:r>
            <w:hyperlink r:id="rId23" w:history="1">
              <w:r w:rsidRPr="005945A6">
                <w:rPr>
                  <w:rStyle w:val="DHHSbodyChar"/>
                </w:rPr>
                <w:t>ChildrenYouthFamilies@dffh.vic.gov.au</w:t>
              </w:r>
            </w:hyperlink>
          </w:p>
          <w:p w14:paraId="3C2F0D75" w14:textId="77777777" w:rsidR="009B746A" w:rsidRDefault="009B746A" w:rsidP="00C51538">
            <w:pPr>
              <w:pStyle w:val="DHHSaccessibilitypara"/>
            </w:pPr>
            <w:r w:rsidRPr="006947C0">
              <w:t>ISBN 978-1-76096-315-6 (online)</w:t>
            </w:r>
          </w:p>
          <w:p w14:paraId="74240589" w14:textId="77777777" w:rsidR="009B746A" w:rsidRDefault="009B746A" w:rsidP="00C51538">
            <w:pPr>
              <w:pStyle w:val="DHHSbody"/>
            </w:pPr>
            <w:r>
              <w:t>Authorised and published by the Victorian Government, 1 Treasury Place, Melbourne.</w:t>
            </w:r>
          </w:p>
          <w:p w14:paraId="24F55647" w14:textId="4116BAE6" w:rsidR="009B746A" w:rsidRDefault="009B746A" w:rsidP="00C51538">
            <w:pPr>
              <w:pStyle w:val="DHHSbody"/>
            </w:pPr>
            <w:r>
              <w:t>© State of Victoria, Department of Families, Fairness and Housing December 2021.</w:t>
            </w:r>
          </w:p>
          <w:p w14:paraId="72FB9EDB" w14:textId="7130AE84" w:rsidR="009B746A" w:rsidRDefault="0008369D" w:rsidP="00C51538">
            <w:pPr>
              <w:pStyle w:val="DHHSbody"/>
            </w:pPr>
            <w:r w:rsidRPr="00254F58">
              <w:rPr>
                <w:szCs w:val="19"/>
              </w:rPr>
              <w:t xml:space="preserve">Available at </w:t>
            </w:r>
            <w:hyperlink r:id="rId24" w:history="1">
              <w:r>
                <w:rPr>
                  <w:rStyle w:val="Hyperlink"/>
                </w:rPr>
                <w:t>providers.dffh.vic.gov.au/better-futures</w:t>
              </w:r>
            </w:hyperlink>
            <w:r w:rsidRPr="00341487">
              <w:t xml:space="preserve"> &lt;</w:t>
            </w:r>
            <w:r w:rsidRPr="00042201">
              <w:t>https://providers.dffh.vic.gov.au/better-futures&gt;</w:t>
            </w:r>
          </w:p>
        </w:tc>
      </w:tr>
    </w:tbl>
    <w:p w14:paraId="6FB5299C" w14:textId="77777777" w:rsidR="00162CA9" w:rsidRDefault="00162CA9" w:rsidP="009B746A">
      <w:pPr>
        <w:spacing w:line="276" w:lineRule="auto"/>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9D9B9" w14:textId="77777777" w:rsidR="001D544D" w:rsidRDefault="001D544D">
      <w:r>
        <w:separator/>
      </w:r>
    </w:p>
    <w:p w14:paraId="36725983" w14:textId="77777777" w:rsidR="001D544D" w:rsidRDefault="001D544D"/>
  </w:endnote>
  <w:endnote w:type="continuationSeparator" w:id="0">
    <w:p w14:paraId="5810DB82" w14:textId="77777777" w:rsidR="001D544D" w:rsidRDefault="001D544D">
      <w:r>
        <w:continuationSeparator/>
      </w:r>
    </w:p>
    <w:p w14:paraId="19C1DC80" w14:textId="77777777" w:rsidR="001D544D" w:rsidRDefault="001D5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9FCC" w14:textId="77777777" w:rsidR="009B1A20" w:rsidRDefault="009B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E188" w14:textId="77777777" w:rsidR="00E261B3" w:rsidRPr="00F65AA9" w:rsidRDefault="00242378" w:rsidP="00EF2C72">
    <w:pPr>
      <w:pStyle w:val="Footer"/>
    </w:pPr>
    <w:r>
      <w:rPr>
        <w:noProof/>
        <w:lang w:eastAsia="en-AU"/>
      </w:rPr>
      <w:drawing>
        <wp:anchor distT="0" distB="0" distL="114300" distR="114300" simplePos="0" relativeHeight="251665408" behindDoc="1" locked="1" layoutInCell="1" allowOverlap="1" wp14:anchorId="3B39C764" wp14:editId="32A32357">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378F9C8B" wp14:editId="1B75557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6387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8F9C8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376387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3DA7C"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7F5C8F51" wp14:editId="1CF31582">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195C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5C8F5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17195C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BD727" w14:textId="77777777" w:rsidR="001D544D" w:rsidRDefault="001D544D" w:rsidP="00207717">
      <w:pPr>
        <w:spacing w:before="120"/>
      </w:pPr>
      <w:r>
        <w:separator/>
      </w:r>
    </w:p>
  </w:footnote>
  <w:footnote w:type="continuationSeparator" w:id="0">
    <w:p w14:paraId="2E849585" w14:textId="77777777" w:rsidR="001D544D" w:rsidRDefault="001D544D">
      <w:r>
        <w:continuationSeparator/>
      </w:r>
    </w:p>
    <w:p w14:paraId="2F68D18E" w14:textId="77777777" w:rsidR="001D544D" w:rsidRDefault="001D544D"/>
  </w:footnote>
  <w:footnote w:id="1">
    <w:p w14:paraId="379FA119" w14:textId="77777777" w:rsidR="00C2788F" w:rsidRDefault="00C2788F" w:rsidP="00C2788F">
      <w:pPr>
        <w:pStyle w:val="FootnoteText"/>
      </w:pPr>
      <w:r>
        <w:rPr>
          <w:rStyle w:val="FootnoteReference"/>
        </w:rPr>
        <w:footnoteRef/>
      </w:r>
      <w:r>
        <w:t xml:space="preserve"> </w:t>
      </w:r>
      <w:r w:rsidRPr="00240312">
        <w:t>-</w:t>
      </w:r>
      <w:r w:rsidRPr="00240312">
        <w:tab/>
        <w:t>It is recommended that allocation meetings occur month</w:t>
      </w:r>
      <w:r>
        <w:t>ly (</w:t>
      </w:r>
      <w:r w:rsidRPr="00240312">
        <w:t>at a minimum</w:t>
      </w:r>
      <w:r>
        <w:t>)</w:t>
      </w:r>
      <w:r w:rsidRPr="00240312">
        <w:t xml:space="preserve"> to ensure timely responses to referrals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2D13" w14:textId="77777777" w:rsidR="009B1A20" w:rsidRDefault="009B1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D5F4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6803" w14:textId="77777777" w:rsidR="009B1A20" w:rsidRDefault="009B1A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78AA" w14:textId="1165236A" w:rsidR="00E261B3" w:rsidRPr="0051568D" w:rsidRDefault="00257C94" w:rsidP="0017674D">
    <w:pPr>
      <w:pStyle w:val="Header"/>
    </w:pPr>
    <w:r>
      <w:rPr>
        <w:noProof/>
      </w:rPr>
      <w:drawing>
        <wp:anchor distT="0" distB="0" distL="114300" distR="114300" simplePos="0" relativeHeight="251667456" behindDoc="1" locked="1" layoutInCell="1" allowOverlap="1" wp14:anchorId="348CD21A" wp14:editId="1964F9ED">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9B746A">
      <w:t xml:space="preserve">Better Futures </w:t>
    </w:r>
    <w:r w:rsidR="0073747A">
      <w:t>allocation and prioritisation</w:t>
    </w:r>
    <w:r w:rsidR="009B746A">
      <w:t xml:space="preserve"> practice advice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6D7ED7"/>
    <w:multiLevelType w:val="hybridMultilevel"/>
    <w:tmpl w:val="6636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DD0B78"/>
    <w:multiLevelType w:val="hybridMultilevel"/>
    <w:tmpl w:val="70BEC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014EF9"/>
    <w:multiLevelType w:val="hybridMultilevel"/>
    <w:tmpl w:val="FBB0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5D6ACE"/>
    <w:multiLevelType w:val="hybridMultilevel"/>
    <w:tmpl w:val="839EADFE"/>
    <w:lvl w:ilvl="0" w:tplc="76FAFA5C">
      <w:numFmt w:val="bullet"/>
      <w:lvlText w:val="-"/>
      <w:lvlJc w:val="left"/>
      <w:pPr>
        <w:ind w:left="1060" w:hanging="360"/>
      </w:pPr>
      <w:rPr>
        <w:rFonts w:ascii="Arial" w:eastAsia="Times" w:hAnsi="Arial" w:cs="Aria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0DB7718"/>
    <w:multiLevelType w:val="hybridMultilevel"/>
    <w:tmpl w:val="23EC6A72"/>
    <w:lvl w:ilvl="0" w:tplc="76FAFA5C">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25A6068"/>
    <w:multiLevelType w:val="hybridMultilevel"/>
    <w:tmpl w:val="D9146C3C"/>
    <w:lvl w:ilvl="0" w:tplc="40B85C22">
      <w:start w:val="18"/>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9"/>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1"/>
  </w:num>
  <w:num w:numId="25">
    <w:abstractNumId w:val="29"/>
  </w:num>
  <w:num w:numId="26">
    <w:abstractNumId w:val="23"/>
  </w:num>
  <w:num w:numId="27">
    <w:abstractNumId w:val="11"/>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8"/>
  </w:num>
  <w:num w:numId="42">
    <w:abstractNumId w:val="26"/>
  </w:num>
  <w:num w:numId="43">
    <w:abstractNumId w:val="22"/>
  </w:num>
  <w:num w:numId="44">
    <w:abstractNumId w:val="16"/>
  </w:num>
  <w:num w:numId="4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4D"/>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0F40"/>
    <w:rsid w:val="000527DD"/>
    <w:rsid w:val="000578B2"/>
    <w:rsid w:val="00060959"/>
    <w:rsid w:val="00060C8F"/>
    <w:rsid w:val="0006298A"/>
    <w:rsid w:val="000663CD"/>
    <w:rsid w:val="000733FE"/>
    <w:rsid w:val="00074219"/>
    <w:rsid w:val="00074ED5"/>
    <w:rsid w:val="0008369D"/>
    <w:rsid w:val="0008507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0F5930"/>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544D"/>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0D00"/>
    <w:rsid w:val="002B1729"/>
    <w:rsid w:val="002B36C7"/>
    <w:rsid w:val="002B4DD4"/>
    <w:rsid w:val="002B5277"/>
    <w:rsid w:val="002B5375"/>
    <w:rsid w:val="002B54CA"/>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62B0F"/>
    <w:rsid w:val="003716FD"/>
    <w:rsid w:val="0037204B"/>
    <w:rsid w:val="003744CF"/>
    <w:rsid w:val="00374717"/>
    <w:rsid w:val="0037676C"/>
    <w:rsid w:val="00381043"/>
    <w:rsid w:val="003829E5"/>
    <w:rsid w:val="00385F97"/>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19E"/>
    <w:rsid w:val="004743DD"/>
    <w:rsid w:val="00474CEA"/>
    <w:rsid w:val="00483968"/>
    <w:rsid w:val="004841BE"/>
    <w:rsid w:val="00484F86"/>
    <w:rsid w:val="00490746"/>
    <w:rsid w:val="00490852"/>
    <w:rsid w:val="00491C9C"/>
    <w:rsid w:val="00492701"/>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C2F"/>
    <w:rsid w:val="004E4649"/>
    <w:rsid w:val="004E4E2F"/>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1A6C"/>
    <w:rsid w:val="00536499"/>
    <w:rsid w:val="00542A03"/>
    <w:rsid w:val="00543903"/>
    <w:rsid w:val="00543F11"/>
    <w:rsid w:val="00546305"/>
    <w:rsid w:val="00547A95"/>
    <w:rsid w:val="0055119B"/>
    <w:rsid w:val="00560923"/>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568E"/>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747A"/>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5D7F"/>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47CEA"/>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1A20"/>
    <w:rsid w:val="009B2AE8"/>
    <w:rsid w:val="009B5622"/>
    <w:rsid w:val="009B59E9"/>
    <w:rsid w:val="009B70AA"/>
    <w:rsid w:val="009B746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0B72"/>
    <w:rsid w:val="00A7161C"/>
    <w:rsid w:val="00A77AA3"/>
    <w:rsid w:val="00A8236D"/>
    <w:rsid w:val="00A854EB"/>
    <w:rsid w:val="00A872E5"/>
    <w:rsid w:val="00A91406"/>
    <w:rsid w:val="00A96E65"/>
    <w:rsid w:val="00A96ECE"/>
    <w:rsid w:val="00A97C72"/>
    <w:rsid w:val="00AA0032"/>
    <w:rsid w:val="00AA052A"/>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15A"/>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456AC"/>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0A40"/>
    <w:rsid w:val="00BB7A10"/>
    <w:rsid w:val="00BC60BE"/>
    <w:rsid w:val="00BC7468"/>
    <w:rsid w:val="00BC7D4F"/>
    <w:rsid w:val="00BC7ED7"/>
    <w:rsid w:val="00BD2850"/>
    <w:rsid w:val="00BE02F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719"/>
    <w:rsid w:val="00C26588"/>
    <w:rsid w:val="00C2788F"/>
    <w:rsid w:val="00C27DE9"/>
    <w:rsid w:val="00C32989"/>
    <w:rsid w:val="00C33388"/>
    <w:rsid w:val="00C35484"/>
    <w:rsid w:val="00C4173A"/>
    <w:rsid w:val="00C50DED"/>
    <w:rsid w:val="00C52217"/>
    <w:rsid w:val="00C552D7"/>
    <w:rsid w:val="00C602FF"/>
    <w:rsid w:val="00C61174"/>
    <w:rsid w:val="00C6148F"/>
    <w:rsid w:val="00C61DB7"/>
    <w:rsid w:val="00C621B1"/>
    <w:rsid w:val="00C62F7A"/>
    <w:rsid w:val="00C63B9C"/>
    <w:rsid w:val="00C646CB"/>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5F1D"/>
    <w:rsid w:val="00CF2F50"/>
    <w:rsid w:val="00CF4148"/>
    <w:rsid w:val="00CF6198"/>
    <w:rsid w:val="00D02919"/>
    <w:rsid w:val="00D04C61"/>
    <w:rsid w:val="00D059FD"/>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0EAD"/>
    <w:rsid w:val="00D52D73"/>
    <w:rsid w:val="00D52E58"/>
    <w:rsid w:val="00D56B20"/>
    <w:rsid w:val="00D578B3"/>
    <w:rsid w:val="00D618F4"/>
    <w:rsid w:val="00D636AA"/>
    <w:rsid w:val="00D714CC"/>
    <w:rsid w:val="00D75EA7"/>
    <w:rsid w:val="00D81ADF"/>
    <w:rsid w:val="00D81F21"/>
    <w:rsid w:val="00D864F2"/>
    <w:rsid w:val="00D943F8"/>
    <w:rsid w:val="00D95470"/>
    <w:rsid w:val="00D96B55"/>
    <w:rsid w:val="00DA2619"/>
    <w:rsid w:val="00DA2E57"/>
    <w:rsid w:val="00DA3B53"/>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317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1F0"/>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0C6A"/>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D7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1D544D"/>
    <w:pPr>
      <w:spacing w:after="120" w:line="270" w:lineRule="atLeast"/>
    </w:pPr>
    <w:rPr>
      <w:rFonts w:ascii="Arial" w:eastAsia="Times" w:hAnsi="Arial"/>
      <w:lang w:eastAsia="en-US"/>
    </w:rPr>
  </w:style>
  <w:style w:type="paragraph" w:customStyle="1" w:styleId="DHHSbullet1">
    <w:name w:val="DHHS bullet 1"/>
    <w:basedOn w:val="DHHSbody"/>
    <w:qFormat/>
    <w:rsid w:val="001D544D"/>
    <w:pPr>
      <w:spacing w:after="40"/>
      <w:ind w:left="284" w:hanging="284"/>
    </w:pPr>
  </w:style>
  <w:style w:type="paragraph" w:customStyle="1" w:styleId="DHHSaccessibilitypara">
    <w:name w:val="DHHS accessibility para"/>
    <w:uiPriority w:val="8"/>
    <w:rsid w:val="001D544D"/>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1D544D"/>
    <w:pPr>
      <w:spacing w:after="40"/>
    </w:pPr>
  </w:style>
  <w:style w:type="paragraph" w:customStyle="1" w:styleId="DHHStablebullet">
    <w:name w:val="DHHS table bullet"/>
    <w:basedOn w:val="Normal"/>
    <w:uiPriority w:val="3"/>
    <w:qFormat/>
    <w:rsid w:val="001D544D"/>
    <w:pPr>
      <w:spacing w:before="80" w:after="60" w:line="240" w:lineRule="auto"/>
      <w:ind w:left="227" w:hanging="227"/>
    </w:pPr>
    <w:rPr>
      <w:sz w:val="20"/>
    </w:rPr>
  </w:style>
  <w:style w:type="character" w:customStyle="1" w:styleId="DHHSbodyChar">
    <w:name w:val="DHHS body Char"/>
    <w:link w:val="DHHSbody"/>
    <w:locked/>
    <w:rsid w:val="001D544D"/>
    <w:rPr>
      <w:rFonts w:ascii="Arial" w:eastAsia="Times" w:hAnsi="Arial"/>
      <w:lang w:eastAsia="en-US"/>
    </w:rPr>
  </w:style>
  <w:style w:type="paragraph" w:customStyle="1" w:styleId="DHHSbulletindent">
    <w:name w:val="DHHS bullet indent"/>
    <w:basedOn w:val="DHHSbody"/>
    <w:uiPriority w:val="4"/>
    <w:rsid w:val="001D544D"/>
    <w:pPr>
      <w:spacing w:after="40"/>
    </w:pPr>
  </w:style>
  <w:style w:type="paragraph" w:customStyle="1" w:styleId="DHHSbullet1lastline">
    <w:name w:val="DHHS bullet 1 last line"/>
    <w:basedOn w:val="DHHSbullet1"/>
    <w:qFormat/>
    <w:rsid w:val="001D544D"/>
    <w:pPr>
      <w:spacing w:after="120"/>
      <w:ind w:left="567" w:hanging="283"/>
    </w:pPr>
  </w:style>
  <w:style w:type="paragraph" w:customStyle="1" w:styleId="DHHSbullet2lastline">
    <w:name w:val="DHHS bullet 2 last line"/>
    <w:basedOn w:val="DHHSbullet2"/>
    <w:uiPriority w:val="2"/>
    <w:qFormat/>
    <w:rsid w:val="001D544D"/>
    <w:pPr>
      <w:spacing w:after="120"/>
    </w:pPr>
  </w:style>
  <w:style w:type="paragraph" w:customStyle="1" w:styleId="DHHSbulletindentlastline">
    <w:name w:val="DHHS bullet indent last line"/>
    <w:basedOn w:val="DHHSbody"/>
    <w:uiPriority w:val="4"/>
    <w:rsid w:val="001D544D"/>
  </w:style>
  <w:style w:type="paragraph" w:customStyle="1" w:styleId="DHHStabletext">
    <w:name w:val="DHHS table text"/>
    <w:uiPriority w:val="3"/>
    <w:qFormat/>
    <w:rsid w:val="009B746A"/>
    <w:pPr>
      <w:spacing w:before="80" w:after="60"/>
    </w:pPr>
    <w:rPr>
      <w:rFonts w:ascii="Arial" w:hAnsi="Arial"/>
      <w:lang w:eastAsia="en-US"/>
    </w:rPr>
  </w:style>
  <w:style w:type="character" w:styleId="Emphasis">
    <w:name w:val="Emphasis"/>
    <w:basedOn w:val="DefaultParagraphFont"/>
    <w:uiPriority w:val="20"/>
    <w:qFormat/>
    <w:rsid w:val="004E1C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leaving-ca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pmanual.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home-stret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viders.dffh.vic.gov.au/better-futures" TargetMode="External"/><Relationship Id="rId20" Type="http://schemas.openxmlformats.org/officeDocument/2006/relationships/hyperlink" Target="https://fac.dff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ffh.vic.gov.au/better-future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ChildrenYouthFamilies@dffh.vic.gov.au" TargetMode="External"/><Relationship Id="rId10" Type="http://schemas.openxmlformats.org/officeDocument/2006/relationships/header" Target="header2.xml"/><Relationship Id="rId19" Type="http://schemas.openxmlformats.org/officeDocument/2006/relationships/hyperlink" Target="https://services.dffh.vic.gov.au/leaving-ca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hildren%20and%20Families%20Policy%20Bran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8607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allocation and prioritisation</dc:title>
  <dc:subject/>
  <dc:creator/>
  <cp:keywords/>
  <cp:lastModifiedBy/>
  <cp:revision>1</cp:revision>
  <dcterms:created xsi:type="dcterms:W3CDTF">2021-12-23T04:12:00Z</dcterms:created>
  <dcterms:modified xsi:type="dcterms:W3CDTF">2021-12-23T04:13:00Z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2021-12-23T04:13:36Z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ccce1516-361c-40d4-82f2-fabeced5644b</vt:lpwstr>
  </property>
  <property fmtid="{D5CDD505-2E9C-101B-9397-08002B2CF9AE}" pid="8" name="MSIP_Label_43e64453-338c-4f93-8a4d-0039a0a41f2a_ContentBits">
    <vt:lpwstr>2</vt:lpwstr>
  </property>
</Properties>
</file>