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68986"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72CD63FD" wp14:editId="4C81D2CD">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77368D14"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60717F76" w14:textId="77777777" w:rsidTr="00CF4148">
        <w:trPr>
          <w:trHeight w:val="1418"/>
        </w:trPr>
        <w:tc>
          <w:tcPr>
            <w:tcW w:w="7825" w:type="dxa"/>
            <w:vAlign w:val="bottom"/>
          </w:tcPr>
          <w:p w14:paraId="02CF2956" w14:textId="3E836B11" w:rsidR="00AD784C" w:rsidRPr="00161AA0" w:rsidRDefault="0081798E" w:rsidP="00EC20FF">
            <w:pPr>
              <w:pStyle w:val="Documenttitle"/>
            </w:pPr>
            <w:r>
              <w:t>Better Futures roles and responsibilities</w:t>
            </w:r>
          </w:p>
        </w:tc>
      </w:tr>
      <w:tr w:rsidR="000B2117" w14:paraId="474E4DE1" w14:textId="77777777" w:rsidTr="009C1CB1">
        <w:trPr>
          <w:trHeight w:val="1247"/>
        </w:trPr>
        <w:tc>
          <w:tcPr>
            <w:tcW w:w="7825" w:type="dxa"/>
          </w:tcPr>
          <w:p w14:paraId="7D33CD0C" w14:textId="0A9CA0C8" w:rsidR="000B2117" w:rsidRPr="00A1389F" w:rsidRDefault="0081798E" w:rsidP="00CF4148">
            <w:pPr>
              <w:pStyle w:val="Documentsubtitle"/>
            </w:pPr>
            <w:r>
              <w:t xml:space="preserve">Practice </w:t>
            </w:r>
            <w:r w:rsidR="009D5ADA">
              <w:t>a</w:t>
            </w:r>
            <w:r>
              <w:t>dvice</w:t>
            </w:r>
            <w:r w:rsidR="0017686B">
              <w:t xml:space="preserve"> updated December 2021</w:t>
            </w:r>
          </w:p>
        </w:tc>
      </w:tr>
      <w:tr w:rsidR="00CF4148" w14:paraId="22A2248B" w14:textId="77777777" w:rsidTr="00CF4148">
        <w:trPr>
          <w:trHeight w:val="284"/>
        </w:trPr>
        <w:tc>
          <w:tcPr>
            <w:tcW w:w="7825" w:type="dxa"/>
          </w:tcPr>
          <w:p w14:paraId="220E88C8" w14:textId="77777777" w:rsidR="00CF4148" w:rsidRPr="00250DC4" w:rsidRDefault="002A7534" w:rsidP="00CF4148">
            <w:pPr>
              <w:pStyle w:val="Bannermarking"/>
            </w:pPr>
            <w:fldSimple w:instr=" FILLIN  &quot;Type the protective marking&quot; \d OFFICIAL \o  \* MERGEFORMAT ">
              <w:r w:rsidR="0081798E">
                <w:t>OFFICIAL</w:t>
              </w:r>
            </w:fldSimple>
          </w:p>
        </w:tc>
      </w:tr>
    </w:tbl>
    <w:p w14:paraId="4160B1B4" w14:textId="77777777" w:rsidR="00AD784C" w:rsidRPr="00B57329" w:rsidRDefault="00AD784C" w:rsidP="002365B4">
      <w:pPr>
        <w:pStyle w:val="TOCheadingfactsheet"/>
      </w:pPr>
      <w:r w:rsidRPr="00B57329">
        <w:t>Contents</w:t>
      </w:r>
    </w:p>
    <w:p w14:paraId="582CD4E9" w14:textId="45504593" w:rsidR="000D6178"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89734061" w:history="1">
        <w:r w:rsidR="000D6178" w:rsidRPr="00DF0F92">
          <w:rPr>
            <w:rStyle w:val="Hyperlink"/>
          </w:rPr>
          <w:t>Purpose</w:t>
        </w:r>
        <w:r w:rsidR="000D6178">
          <w:rPr>
            <w:webHidden/>
          </w:rPr>
          <w:tab/>
        </w:r>
        <w:r w:rsidR="000D6178">
          <w:rPr>
            <w:webHidden/>
          </w:rPr>
          <w:fldChar w:fldCharType="begin"/>
        </w:r>
        <w:r w:rsidR="000D6178">
          <w:rPr>
            <w:webHidden/>
          </w:rPr>
          <w:instrText xml:space="preserve"> PAGEREF _Toc89734061 \h </w:instrText>
        </w:r>
        <w:r w:rsidR="000D6178">
          <w:rPr>
            <w:webHidden/>
          </w:rPr>
        </w:r>
        <w:r w:rsidR="000D6178">
          <w:rPr>
            <w:webHidden/>
          </w:rPr>
          <w:fldChar w:fldCharType="separate"/>
        </w:r>
        <w:r w:rsidR="000D6178">
          <w:rPr>
            <w:webHidden/>
          </w:rPr>
          <w:t>1</w:t>
        </w:r>
        <w:r w:rsidR="000D6178">
          <w:rPr>
            <w:webHidden/>
          </w:rPr>
          <w:fldChar w:fldCharType="end"/>
        </w:r>
      </w:hyperlink>
    </w:p>
    <w:p w14:paraId="4AF0C6FC" w14:textId="024AFC9A" w:rsidR="000D6178" w:rsidRDefault="0050549D">
      <w:pPr>
        <w:pStyle w:val="TOC2"/>
        <w:rPr>
          <w:rFonts w:asciiTheme="minorHAnsi" w:eastAsiaTheme="minorEastAsia" w:hAnsiTheme="minorHAnsi" w:cstheme="minorBidi"/>
          <w:sz w:val="22"/>
          <w:szCs w:val="22"/>
          <w:lang w:eastAsia="en-AU"/>
        </w:rPr>
      </w:pPr>
      <w:hyperlink w:anchor="_Toc89734062" w:history="1">
        <w:r w:rsidR="000D6178" w:rsidRPr="00DF0F92">
          <w:rPr>
            <w:rStyle w:val="Hyperlink"/>
            <w:rFonts w:eastAsiaTheme="minorHAnsi"/>
          </w:rPr>
          <w:t>Audience</w:t>
        </w:r>
        <w:r w:rsidR="000D6178">
          <w:rPr>
            <w:webHidden/>
          </w:rPr>
          <w:tab/>
        </w:r>
        <w:r w:rsidR="000D6178">
          <w:rPr>
            <w:webHidden/>
          </w:rPr>
          <w:fldChar w:fldCharType="begin"/>
        </w:r>
        <w:r w:rsidR="000D6178">
          <w:rPr>
            <w:webHidden/>
          </w:rPr>
          <w:instrText xml:space="preserve"> PAGEREF _Toc89734062 \h </w:instrText>
        </w:r>
        <w:r w:rsidR="000D6178">
          <w:rPr>
            <w:webHidden/>
          </w:rPr>
        </w:r>
        <w:r w:rsidR="000D6178">
          <w:rPr>
            <w:webHidden/>
          </w:rPr>
          <w:fldChar w:fldCharType="separate"/>
        </w:r>
        <w:r w:rsidR="000D6178">
          <w:rPr>
            <w:webHidden/>
          </w:rPr>
          <w:t>1</w:t>
        </w:r>
        <w:r w:rsidR="000D6178">
          <w:rPr>
            <w:webHidden/>
          </w:rPr>
          <w:fldChar w:fldCharType="end"/>
        </w:r>
      </w:hyperlink>
    </w:p>
    <w:p w14:paraId="120E914F" w14:textId="3D43CDAC" w:rsidR="000D6178" w:rsidRDefault="0050549D">
      <w:pPr>
        <w:pStyle w:val="TOC2"/>
        <w:rPr>
          <w:rFonts w:asciiTheme="minorHAnsi" w:eastAsiaTheme="minorEastAsia" w:hAnsiTheme="minorHAnsi" w:cstheme="minorBidi"/>
          <w:sz w:val="22"/>
          <w:szCs w:val="22"/>
          <w:lang w:eastAsia="en-AU"/>
        </w:rPr>
      </w:pPr>
      <w:hyperlink w:anchor="_Toc89734063" w:history="1">
        <w:r w:rsidR="000D6178" w:rsidRPr="00DF0F92">
          <w:rPr>
            <w:rStyle w:val="Hyperlink"/>
            <w:rFonts w:eastAsiaTheme="minorHAnsi"/>
          </w:rPr>
          <w:t>Introduction</w:t>
        </w:r>
        <w:r w:rsidR="000D6178">
          <w:rPr>
            <w:webHidden/>
          </w:rPr>
          <w:tab/>
        </w:r>
        <w:r w:rsidR="000D6178">
          <w:rPr>
            <w:webHidden/>
          </w:rPr>
          <w:fldChar w:fldCharType="begin"/>
        </w:r>
        <w:r w:rsidR="000D6178">
          <w:rPr>
            <w:webHidden/>
          </w:rPr>
          <w:instrText xml:space="preserve"> PAGEREF _Toc89734063 \h </w:instrText>
        </w:r>
        <w:r w:rsidR="000D6178">
          <w:rPr>
            <w:webHidden/>
          </w:rPr>
        </w:r>
        <w:r w:rsidR="000D6178">
          <w:rPr>
            <w:webHidden/>
          </w:rPr>
          <w:fldChar w:fldCharType="separate"/>
        </w:r>
        <w:r w:rsidR="000D6178">
          <w:rPr>
            <w:webHidden/>
          </w:rPr>
          <w:t>1</w:t>
        </w:r>
        <w:r w:rsidR="000D6178">
          <w:rPr>
            <w:webHidden/>
          </w:rPr>
          <w:fldChar w:fldCharType="end"/>
        </w:r>
      </w:hyperlink>
    </w:p>
    <w:p w14:paraId="53E93C6B" w14:textId="56BBCDD8" w:rsidR="000D6178" w:rsidRDefault="0050549D">
      <w:pPr>
        <w:pStyle w:val="TOC2"/>
        <w:rPr>
          <w:rFonts w:asciiTheme="minorHAnsi" w:eastAsiaTheme="minorEastAsia" w:hAnsiTheme="minorHAnsi" w:cstheme="minorBidi"/>
          <w:sz w:val="22"/>
          <w:szCs w:val="22"/>
          <w:lang w:eastAsia="en-AU"/>
        </w:rPr>
      </w:pPr>
      <w:hyperlink w:anchor="_Toc89734064" w:history="1">
        <w:r w:rsidR="000D6178" w:rsidRPr="00DF0F92">
          <w:rPr>
            <w:rStyle w:val="Hyperlink"/>
          </w:rPr>
          <w:t>Early referral</w:t>
        </w:r>
        <w:r w:rsidR="000D6178">
          <w:rPr>
            <w:webHidden/>
          </w:rPr>
          <w:tab/>
        </w:r>
        <w:r w:rsidR="000D6178">
          <w:rPr>
            <w:webHidden/>
          </w:rPr>
          <w:fldChar w:fldCharType="begin"/>
        </w:r>
        <w:r w:rsidR="000D6178">
          <w:rPr>
            <w:webHidden/>
          </w:rPr>
          <w:instrText xml:space="preserve"> PAGEREF _Toc89734064 \h </w:instrText>
        </w:r>
        <w:r w:rsidR="000D6178">
          <w:rPr>
            <w:webHidden/>
          </w:rPr>
        </w:r>
        <w:r w:rsidR="000D6178">
          <w:rPr>
            <w:webHidden/>
          </w:rPr>
          <w:fldChar w:fldCharType="separate"/>
        </w:r>
        <w:r w:rsidR="000D6178">
          <w:rPr>
            <w:webHidden/>
          </w:rPr>
          <w:t>2</w:t>
        </w:r>
        <w:r w:rsidR="000D6178">
          <w:rPr>
            <w:webHidden/>
          </w:rPr>
          <w:fldChar w:fldCharType="end"/>
        </w:r>
      </w:hyperlink>
    </w:p>
    <w:p w14:paraId="35BFC1F8" w14:textId="1A3A4016" w:rsidR="000D6178" w:rsidRDefault="0050549D">
      <w:pPr>
        <w:pStyle w:val="TOC2"/>
        <w:rPr>
          <w:rFonts w:asciiTheme="minorHAnsi" w:eastAsiaTheme="minorEastAsia" w:hAnsiTheme="minorHAnsi" w:cstheme="minorBidi"/>
          <w:sz w:val="22"/>
          <w:szCs w:val="22"/>
          <w:lang w:eastAsia="en-AU"/>
        </w:rPr>
      </w:pPr>
      <w:hyperlink w:anchor="_Toc89734065" w:history="1">
        <w:r w:rsidR="000D6178" w:rsidRPr="00DF0F92">
          <w:rPr>
            <w:rStyle w:val="Hyperlink"/>
          </w:rPr>
          <w:t>Better Futures role</w:t>
        </w:r>
        <w:r w:rsidR="000D6178">
          <w:rPr>
            <w:webHidden/>
          </w:rPr>
          <w:tab/>
        </w:r>
        <w:r w:rsidR="000D6178">
          <w:rPr>
            <w:webHidden/>
          </w:rPr>
          <w:fldChar w:fldCharType="begin"/>
        </w:r>
        <w:r w:rsidR="000D6178">
          <w:rPr>
            <w:webHidden/>
          </w:rPr>
          <w:instrText xml:space="preserve"> PAGEREF _Toc89734065 \h </w:instrText>
        </w:r>
        <w:r w:rsidR="000D6178">
          <w:rPr>
            <w:webHidden/>
          </w:rPr>
        </w:r>
        <w:r w:rsidR="000D6178">
          <w:rPr>
            <w:webHidden/>
          </w:rPr>
          <w:fldChar w:fldCharType="separate"/>
        </w:r>
        <w:r w:rsidR="000D6178">
          <w:rPr>
            <w:webHidden/>
          </w:rPr>
          <w:t>3</w:t>
        </w:r>
        <w:r w:rsidR="000D6178">
          <w:rPr>
            <w:webHidden/>
          </w:rPr>
          <w:fldChar w:fldCharType="end"/>
        </w:r>
      </w:hyperlink>
    </w:p>
    <w:p w14:paraId="18810C8E" w14:textId="59A1F202" w:rsidR="000D6178" w:rsidRDefault="0050549D">
      <w:pPr>
        <w:pStyle w:val="TOC2"/>
        <w:rPr>
          <w:rFonts w:asciiTheme="minorHAnsi" w:eastAsiaTheme="minorEastAsia" w:hAnsiTheme="minorHAnsi" w:cstheme="minorBidi"/>
          <w:sz w:val="22"/>
          <w:szCs w:val="22"/>
          <w:lang w:eastAsia="en-AU"/>
        </w:rPr>
      </w:pPr>
      <w:hyperlink w:anchor="_Toc89734066" w:history="1">
        <w:r w:rsidR="000D6178" w:rsidRPr="00DF0F92">
          <w:rPr>
            <w:rStyle w:val="Hyperlink"/>
            <w:rFonts w:eastAsia="Calibri"/>
          </w:rPr>
          <w:t>Additional information</w:t>
        </w:r>
        <w:r w:rsidR="000D6178">
          <w:rPr>
            <w:webHidden/>
          </w:rPr>
          <w:tab/>
        </w:r>
        <w:r w:rsidR="000D6178">
          <w:rPr>
            <w:webHidden/>
          </w:rPr>
          <w:fldChar w:fldCharType="begin"/>
        </w:r>
        <w:r w:rsidR="000D6178">
          <w:rPr>
            <w:webHidden/>
          </w:rPr>
          <w:instrText xml:space="preserve"> PAGEREF _Toc89734066 \h </w:instrText>
        </w:r>
        <w:r w:rsidR="000D6178">
          <w:rPr>
            <w:webHidden/>
          </w:rPr>
        </w:r>
        <w:r w:rsidR="000D6178">
          <w:rPr>
            <w:webHidden/>
          </w:rPr>
          <w:fldChar w:fldCharType="separate"/>
        </w:r>
        <w:r w:rsidR="000D6178">
          <w:rPr>
            <w:webHidden/>
          </w:rPr>
          <w:t>5</w:t>
        </w:r>
        <w:r w:rsidR="000D6178">
          <w:rPr>
            <w:webHidden/>
          </w:rPr>
          <w:fldChar w:fldCharType="end"/>
        </w:r>
      </w:hyperlink>
    </w:p>
    <w:p w14:paraId="166D0165" w14:textId="29CB65AD" w:rsidR="007173CA" w:rsidRDefault="00AD784C" w:rsidP="00D079AA">
      <w:pPr>
        <w:pStyle w:val="Body"/>
      </w:pPr>
      <w:r>
        <w:fldChar w:fldCharType="end"/>
      </w:r>
    </w:p>
    <w:p w14:paraId="6EDB405A"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31756B23" w14:textId="77777777" w:rsidR="0081798E" w:rsidRPr="00F0175A" w:rsidRDefault="0081798E" w:rsidP="00077596">
      <w:pPr>
        <w:pStyle w:val="Heading1"/>
      </w:pPr>
      <w:bookmarkStart w:id="0" w:name="_Toc30573077"/>
      <w:bookmarkStart w:id="1" w:name="_Toc89734061"/>
      <w:r w:rsidRPr="00F0175A">
        <w:t>Purpose</w:t>
      </w:r>
      <w:bookmarkEnd w:id="0"/>
      <w:bookmarkEnd w:id="1"/>
      <w:r w:rsidRPr="00F0175A">
        <w:t xml:space="preserve"> </w:t>
      </w:r>
    </w:p>
    <w:p w14:paraId="009BE13B" w14:textId="77777777" w:rsidR="0081798E" w:rsidRPr="005C3714" w:rsidRDefault="0081798E" w:rsidP="0081798E">
      <w:pPr>
        <w:pStyle w:val="DHHSbody"/>
      </w:pPr>
      <w:bookmarkStart w:id="2" w:name="_Hlk27427925"/>
      <w:bookmarkStart w:id="3" w:name="_Toc440566509"/>
      <w:r>
        <w:t>Better Futures is a new service and practice model designed to improve outcomes for young people transitioning from care to supported independence, up to the age of 21. It is guided by a Better Futures (Advantaged Thinking) practice framework and support is tailored to meet the individual needs of young people</w:t>
      </w:r>
      <w:bookmarkEnd w:id="2"/>
      <w:r>
        <w:t xml:space="preserve">. </w:t>
      </w:r>
    </w:p>
    <w:p w14:paraId="771C3ACB" w14:textId="78802A30" w:rsidR="0081798E" w:rsidRDefault="0081798E" w:rsidP="0081798E">
      <w:pPr>
        <w:pStyle w:val="DHHSbody"/>
        <w:rPr>
          <w:rFonts w:eastAsiaTheme="minorHAnsi" w:cs="Arial"/>
        </w:rPr>
      </w:pPr>
      <w:r w:rsidRPr="0090678A">
        <w:rPr>
          <w:rFonts w:eastAsiaTheme="minorHAnsi" w:cs="Arial"/>
        </w:rPr>
        <w:t>T</w:t>
      </w:r>
      <w:r>
        <w:rPr>
          <w:rFonts w:eastAsiaTheme="minorHAnsi" w:cs="Arial"/>
        </w:rPr>
        <w:t>his practice advice</w:t>
      </w:r>
      <w:r w:rsidRPr="0090678A">
        <w:rPr>
          <w:rFonts w:eastAsiaTheme="minorHAnsi" w:cs="Arial"/>
        </w:rPr>
        <w:t xml:space="preserve"> outline</w:t>
      </w:r>
      <w:r>
        <w:rPr>
          <w:rFonts w:eastAsiaTheme="minorHAnsi" w:cs="Arial"/>
        </w:rPr>
        <w:t>s</w:t>
      </w:r>
      <w:r w:rsidRPr="0090678A">
        <w:rPr>
          <w:rFonts w:eastAsiaTheme="minorHAnsi" w:cs="Arial"/>
        </w:rPr>
        <w:t xml:space="preserve"> the</w:t>
      </w:r>
      <w:r>
        <w:rPr>
          <w:rFonts w:eastAsiaTheme="minorHAnsi" w:cs="Arial"/>
        </w:rPr>
        <w:t xml:space="preserve"> roles and responsibilities for Better Futures workers engaging with young people when they are transitioning from care. </w:t>
      </w:r>
    </w:p>
    <w:p w14:paraId="11087DF4" w14:textId="77777777" w:rsidR="0081798E" w:rsidRPr="00F0175A" w:rsidRDefault="0081798E" w:rsidP="00077596">
      <w:pPr>
        <w:pStyle w:val="Heading1"/>
      </w:pPr>
      <w:bookmarkStart w:id="4" w:name="_Toc30573078"/>
      <w:bookmarkStart w:id="5" w:name="_Toc89734062"/>
      <w:r w:rsidRPr="00F0175A">
        <w:t>Audience</w:t>
      </w:r>
      <w:bookmarkEnd w:id="4"/>
      <w:bookmarkEnd w:id="5"/>
    </w:p>
    <w:p w14:paraId="1821E9DD" w14:textId="77777777" w:rsidR="000D6178" w:rsidRPr="00BE02F8" w:rsidRDefault="000D6178" w:rsidP="000D6178">
      <w:pPr>
        <w:pStyle w:val="DHHSbody"/>
      </w:pPr>
      <w:bookmarkStart w:id="6" w:name="_Hlk27431136"/>
      <w:r>
        <w:t>C</w:t>
      </w:r>
      <w:r w:rsidRPr="00BE02F8">
        <w:t xml:space="preserve">hild protection practitioners, </w:t>
      </w:r>
      <w:r w:rsidRPr="000D6178">
        <w:rPr>
          <w:rStyle w:val="Emphasis"/>
          <w:i w:val="0"/>
          <w:iCs w:val="0"/>
        </w:rPr>
        <w:t>community service organisations (CSOs)</w:t>
      </w:r>
      <w:r w:rsidRPr="00BE02F8">
        <w:rPr>
          <w:rStyle w:val="Emphasis"/>
        </w:rPr>
        <w:t xml:space="preserve"> </w:t>
      </w:r>
      <w:r w:rsidRPr="00BE02F8">
        <w:t>contracted case managers, Aboriginal Children in Aboriginal Care (ACAC) case managers</w:t>
      </w:r>
      <w:r>
        <w:t xml:space="preserve"> (herein referred to as case managers)</w:t>
      </w:r>
      <w:r w:rsidRPr="00BE02F8">
        <w:t>, Better Futures workers, Agency Performance and System Support (APSS) advisers, divisional Better Futures</w:t>
      </w:r>
      <w:r>
        <w:t>/</w:t>
      </w:r>
      <w:r w:rsidRPr="00BE02F8">
        <w:t xml:space="preserve">Home Stretch senior project officers and other key workers supporting young people in scope of Better Futures. </w:t>
      </w:r>
      <w:bookmarkEnd w:id="6"/>
    </w:p>
    <w:p w14:paraId="3386639F" w14:textId="77777777" w:rsidR="0081798E" w:rsidRPr="00F0175A" w:rsidRDefault="0081798E" w:rsidP="00077596">
      <w:pPr>
        <w:pStyle w:val="Heading1"/>
      </w:pPr>
      <w:bookmarkStart w:id="7" w:name="_Toc30573079"/>
      <w:bookmarkStart w:id="8" w:name="_Toc89734063"/>
      <w:r w:rsidRPr="00F0175A">
        <w:t>Introduction</w:t>
      </w:r>
      <w:bookmarkEnd w:id="7"/>
      <w:bookmarkEnd w:id="8"/>
      <w:r w:rsidRPr="00F0175A">
        <w:t xml:space="preserve"> </w:t>
      </w:r>
      <w:bookmarkStart w:id="9" w:name="_Hlk16508858"/>
    </w:p>
    <w:p w14:paraId="45A8A666" w14:textId="77777777" w:rsidR="0081798E" w:rsidRDefault="0081798E" w:rsidP="0081798E">
      <w:pPr>
        <w:pStyle w:val="DHHSbody"/>
        <w:rPr>
          <w:lang w:eastAsia="en-AU"/>
        </w:rPr>
      </w:pPr>
      <w:bookmarkStart w:id="10" w:name="_Hlk89026247"/>
      <w:bookmarkStart w:id="11" w:name="_Hlk89024619"/>
      <w:r>
        <w:t xml:space="preserve">Better Futures </w:t>
      </w:r>
      <w:r w:rsidRPr="00F4021B">
        <w:rPr>
          <w:lang w:eastAsia="en-AU"/>
        </w:rPr>
        <w:t>aims to</w:t>
      </w:r>
      <w:r>
        <w:rPr>
          <w:lang w:eastAsia="en-AU"/>
        </w:rPr>
        <w:t xml:space="preserve"> support young people achieve successful and independent adult lives; helping them to have an active voice in decisions about their future and guiding their transition to adulthood and independent living </w:t>
      </w:r>
      <w:r w:rsidRPr="00F4021B">
        <w:rPr>
          <w:lang w:eastAsia="en-AU"/>
        </w:rPr>
        <w:t>across a range of life areas</w:t>
      </w:r>
      <w:r>
        <w:rPr>
          <w:lang w:eastAsia="en-AU"/>
        </w:rPr>
        <w:t>, including:</w:t>
      </w:r>
    </w:p>
    <w:p w14:paraId="72047683" w14:textId="77777777" w:rsidR="0081798E" w:rsidRDefault="0081798E" w:rsidP="0081798E">
      <w:pPr>
        <w:pStyle w:val="DHHSbullet1"/>
        <w:numPr>
          <w:ilvl w:val="0"/>
          <w:numId w:val="7"/>
        </w:numPr>
        <w:rPr>
          <w:lang w:eastAsia="en-AU"/>
        </w:rPr>
      </w:pPr>
      <w:r w:rsidRPr="00F4021B">
        <w:rPr>
          <w:lang w:eastAsia="en-AU"/>
        </w:rPr>
        <w:t>housin</w:t>
      </w:r>
      <w:r>
        <w:rPr>
          <w:lang w:eastAsia="en-AU"/>
        </w:rPr>
        <w:t>g</w:t>
      </w:r>
    </w:p>
    <w:p w14:paraId="3043692A" w14:textId="77777777" w:rsidR="0081798E" w:rsidRDefault="0081798E" w:rsidP="0081798E">
      <w:pPr>
        <w:pStyle w:val="DHHSbullet1"/>
        <w:numPr>
          <w:ilvl w:val="0"/>
          <w:numId w:val="7"/>
        </w:numPr>
        <w:rPr>
          <w:lang w:eastAsia="en-AU"/>
        </w:rPr>
      </w:pPr>
      <w:r w:rsidRPr="00F4021B">
        <w:rPr>
          <w:lang w:eastAsia="en-AU"/>
        </w:rPr>
        <w:t>health and wellbeing</w:t>
      </w:r>
    </w:p>
    <w:p w14:paraId="2526478D" w14:textId="77777777" w:rsidR="0081798E" w:rsidRDefault="0081798E" w:rsidP="0081798E">
      <w:pPr>
        <w:pStyle w:val="DHHSbullet1"/>
        <w:numPr>
          <w:ilvl w:val="0"/>
          <w:numId w:val="7"/>
        </w:numPr>
        <w:rPr>
          <w:lang w:eastAsia="en-AU"/>
        </w:rPr>
      </w:pPr>
      <w:r w:rsidRPr="00F4021B">
        <w:rPr>
          <w:lang w:eastAsia="en-AU"/>
        </w:rPr>
        <w:t>education</w:t>
      </w:r>
    </w:p>
    <w:p w14:paraId="4893B727" w14:textId="77777777" w:rsidR="0081798E" w:rsidRDefault="0081798E" w:rsidP="0081798E">
      <w:pPr>
        <w:pStyle w:val="DHHSbullet1"/>
        <w:numPr>
          <w:ilvl w:val="0"/>
          <w:numId w:val="7"/>
        </w:numPr>
        <w:rPr>
          <w:lang w:eastAsia="en-AU"/>
        </w:rPr>
      </w:pPr>
      <w:r w:rsidRPr="00F4021B">
        <w:rPr>
          <w:lang w:eastAsia="en-AU"/>
        </w:rPr>
        <w:t xml:space="preserve">employment, and </w:t>
      </w:r>
    </w:p>
    <w:p w14:paraId="65E61F38" w14:textId="77777777" w:rsidR="0081798E" w:rsidRDefault="0081798E" w:rsidP="0081798E">
      <w:pPr>
        <w:pStyle w:val="DHHSbullet1"/>
        <w:numPr>
          <w:ilvl w:val="0"/>
          <w:numId w:val="7"/>
        </w:numPr>
        <w:rPr>
          <w:lang w:eastAsia="en-AU"/>
        </w:rPr>
      </w:pPr>
      <w:r w:rsidRPr="00F4021B">
        <w:rPr>
          <w:lang w:eastAsia="en-AU"/>
        </w:rPr>
        <w:t>community and cultural connections.</w:t>
      </w:r>
      <w:r>
        <w:rPr>
          <w:lang w:eastAsia="en-AU"/>
        </w:rPr>
        <w:t xml:space="preserve"> </w:t>
      </w:r>
    </w:p>
    <w:bookmarkEnd w:id="10"/>
    <w:bookmarkEnd w:id="11"/>
    <w:p w14:paraId="48488F32" w14:textId="77777777" w:rsidR="0081798E" w:rsidRDefault="0081798E" w:rsidP="0081798E">
      <w:pPr>
        <w:pStyle w:val="DHHSbody"/>
        <w:rPr>
          <w:lang w:eastAsia="en-AU"/>
        </w:rPr>
      </w:pPr>
      <w:r>
        <w:rPr>
          <w:lang w:eastAsia="en-AU"/>
        </w:rPr>
        <w:t>These five life areas are referred to as “offers” under the Better Futures Advantaged Thinking Practice Framework.</w:t>
      </w:r>
    </w:p>
    <w:p w14:paraId="22AA4190" w14:textId="77777777" w:rsidR="0081798E" w:rsidRDefault="0081798E" w:rsidP="0081798E">
      <w:pPr>
        <w:pStyle w:val="DHHSbody"/>
      </w:pPr>
      <w:r>
        <w:t>Eligible young people can access Better Futures from 15 years and 9 months until their 21</w:t>
      </w:r>
      <w:r w:rsidRPr="00B04DAE">
        <w:rPr>
          <w:vertAlign w:val="superscript"/>
        </w:rPr>
        <w:t>st</w:t>
      </w:r>
      <w:r>
        <w:t xml:space="preserve"> birthday. The Better Futures service response includes:</w:t>
      </w:r>
    </w:p>
    <w:p w14:paraId="78A20754" w14:textId="77777777" w:rsidR="0081798E" w:rsidRPr="002F6FFE" w:rsidRDefault="0081798E" w:rsidP="0081798E">
      <w:pPr>
        <w:pStyle w:val="DHHSbody"/>
        <w:numPr>
          <w:ilvl w:val="0"/>
          <w:numId w:val="42"/>
        </w:numPr>
      </w:pPr>
      <w:r w:rsidRPr="002F6FFE">
        <w:t>case work support (levels of support will flex up and down according to their needs, existing support networks and the transition goals identified)</w:t>
      </w:r>
    </w:p>
    <w:p w14:paraId="7B000F6F" w14:textId="77777777" w:rsidR="0081798E" w:rsidRPr="002F6FFE" w:rsidRDefault="0081798E" w:rsidP="0081798E">
      <w:pPr>
        <w:pStyle w:val="DHHSbody"/>
        <w:numPr>
          <w:ilvl w:val="0"/>
          <w:numId w:val="42"/>
        </w:numPr>
      </w:pPr>
      <w:r w:rsidRPr="002F6FFE">
        <w:t>information and advice</w:t>
      </w:r>
    </w:p>
    <w:p w14:paraId="4C5D0125" w14:textId="77777777" w:rsidR="0081798E" w:rsidRPr="002F6FFE" w:rsidRDefault="0081798E" w:rsidP="0081798E">
      <w:pPr>
        <w:pStyle w:val="DHHSbody"/>
        <w:numPr>
          <w:ilvl w:val="0"/>
          <w:numId w:val="42"/>
        </w:numPr>
      </w:pPr>
      <w:r w:rsidRPr="002F6FFE">
        <w:t xml:space="preserve">access to flexible funding </w:t>
      </w:r>
      <w:r>
        <w:t>(</w:t>
      </w:r>
      <w:r w:rsidRPr="002F6FFE">
        <w:t>to facilitate the young person’s access to housing, education, employment, health and wellbeing support</w:t>
      </w:r>
      <w:r>
        <w:t>)</w:t>
      </w:r>
    </w:p>
    <w:p w14:paraId="2701D0F8" w14:textId="77777777" w:rsidR="0081798E" w:rsidRPr="002F6FFE" w:rsidRDefault="0081798E" w:rsidP="0081798E">
      <w:pPr>
        <w:pStyle w:val="DHHSbody"/>
        <w:numPr>
          <w:ilvl w:val="0"/>
          <w:numId w:val="42"/>
        </w:numPr>
      </w:pPr>
      <w:r w:rsidRPr="002F6FFE">
        <w:lastRenderedPageBreak/>
        <w:t>community connections, and</w:t>
      </w:r>
    </w:p>
    <w:p w14:paraId="0BBA7C7C" w14:textId="77777777" w:rsidR="0081798E" w:rsidRDefault="0081798E" w:rsidP="0081798E">
      <w:pPr>
        <w:pStyle w:val="DHHSbody"/>
        <w:numPr>
          <w:ilvl w:val="0"/>
          <w:numId w:val="42"/>
        </w:numPr>
      </w:pPr>
      <w:r w:rsidRPr="002F6FFE">
        <w:t>Home Stretch.</w:t>
      </w:r>
    </w:p>
    <w:p w14:paraId="0C4651FB" w14:textId="77777777" w:rsidR="0081798E" w:rsidRDefault="0081798E" w:rsidP="0081798E">
      <w:pPr>
        <w:pStyle w:val="DHHSbody"/>
      </w:pPr>
      <w:r>
        <w:t xml:space="preserve">The </w:t>
      </w:r>
      <w:hyperlink r:id="rId16" w:history="1">
        <w:r w:rsidRPr="00B915C6">
          <w:rPr>
            <w:rStyle w:val="Hyperlink"/>
          </w:rPr>
          <w:t>Child Protection Manual</w:t>
        </w:r>
      </w:hyperlink>
      <w:r w:rsidRPr="00B04DAE">
        <w:rPr>
          <w:i/>
        </w:rPr>
        <w:t xml:space="preserve"> Leaving Care advice</w:t>
      </w:r>
      <w:r>
        <w:t xml:space="preserve"> </w:t>
      </w:r>
      <w:r>
        <w:rPr>
          <w:lang w:eastAsia="en-AU"/>
        </w:rPr>
        <w:t>&lt;</w:t>
      </w:r>
      <w:r w:rsidRPr="00F41B34">
        <w:rPr>
          <w:rFonts w:cs="Arial"/>
          <w:lang w:eastAsia="en-AU"/>
        </w:rPr>
        <w:t>https://www.cpmanual.vic.gov.au/</w:t>
      </w:r>
      <w:r>
        <w:rPr>
          <w:rFonts w:cs="Arial"/>
          <w:lang w:eastAsia="en-AU"/>
        </w:rPr>
        <w:t xml:space="preserve">&gt; </w:t>
      </w:r>
      <w:r>
        <w:t xml:space="preserve">describes the shared responsibility care team members have </w:t>
      </w:r>
      <w:r w:rsidRPr="00592E04">
        <w:t>for preparing young pe</w:t>
      </w:r>
      <w:r>
        <w:t>ople to transition to independence. Young people should be supported to have an active voice in their planning for transition and to articulate their individual support needs, goals and aspirations.</w:t>
      </w:r>
    </w:p>
    <w:p w14:paraId="00C3AEC1" w14:textId="77777777" w:rsidR="0081798E" w:rsidRPr="0090678A" w:rsidRDefault="0081798E" w:rsidP="001F0C38">
      <w:pPr>
        <w:pStyle w:val="DHHSbody"/>
        <w:rPr>
          <w:rFonts w:eastAsiaTheme="minorHAnsi"/>
          <w:b/>
          <w:bCs/>
          <w:sz w:val="24"/>
          <w:szCs w:val="24"/>
        </w:rPr>
      </w:pPr>
      <w:r w:rsidRPr="0090678A">
        <w:rPr>
          <w:lang w:eastAsia="en-AU"/>
        </w:rPr>
        <w:t>This means ensuring young people leaving care have:</w:t>
      </w:r>
    </w:p>
    <w:p w14:paraId="6E13C7CD" w14:textId="77777777" w:rsidR="0081798E" w:rsidRPr="0090678A" w:rsidRDefault="0081798E" w:rsidP="0081798E">
      <w:pPr>
        <w:pStyle w:val="DHHSbullet1"/>
        <w:numPr>
          <w:ilvl w:val="0"/>
          <w:numId w:val="7"/>
        </w:numPr>
        <w:rPr>
          <w:lang w:eastAsia="en-AU"/>
        </w:rPr>
      </w:pPr>
      <w:r w:rsidRPr="0090678A">
        <w:rPr>
          <w:lang w:eastAsia="en-AU"/>
        </w:rPr>
        <w:t>ongoing opportunities over time to develop independent living skills</w:t>
      </w:r>
    </w:p>
    <w:p w14:paraId="07E4EB54" w14:textId="77777777" w:rsidR="0081798E" w:rsidRPr="0090678A" w:rsidRDefault="0081798E" w:rsidP="0081798E">
      <w:pPr>
        <w:pStyle w:val="DHHSbullet1"/>
        <w:numPr>
          <w:ilvl w:val="0"/>
          <w:numId w:val="7"/>
        </w:numPr>
        <w:rPr>
          <w:lang w:eastAsia="en-AU"/>
        </w:rPr>
      </w:pPr>
      <w:r w:rsidRPr="0090678A">
        <w:rPr>
          <w:lang w:eastAsia="en-AU"/>
        </w:rPr>
        <w:t>involvement in decision making</w:t>
      </w:r>
    </w:p>
    <w:p w14:paraId="7424AB16" w14:textId="77777777" w:rsidR="0081798E" w:rsidRPr="0090678A" w:rsidRDefault="0081798E" w:rsidP="0081798E">
      <w:pPr>
        <w:pStyle w:val="DHHSbullet1"/>
        <w:numPr>
          <w:ilvl w:val="0"/>
          <w:numId w:val="7"/>
        </w:numPr>
        <w:rPr>
          <w:lang w:eastAsia="en-AU"/>
        </w:rPr>
      </w:pPr>
      <w:r>
        <w:rPr>
          <w:lang w:eastAsia="en-AU"/>
        </w:rPr>
        <w:t xml:space="preserve">contribute to </w:t>
      </w:r>
      <w:r w:rsidRPr="0090678A">
        <w:rPr>
          <w:lang w:eastAsia="en-AU"/>
        </w:rPr>
        <w:t xml:space="preserve">a 15+ </w:t>
      </w:r>
      <w:r>
        <w:rPr>
          <w:lang w:eastAsia="en-AU"/>
        </w:rPr>
        <w:t>c</w:t>
      </w:r>
      <w:r w:rsidRPr="0090678A">
        <w:rPr>
          <w:lang w:eastAsia="en-AU"/>
        </w:rPr>
        <w:t xml:space="preserve">are and </w:t>
      </w:r>
      <w:r>
        <w:rPr>
          <w:lang w:eastAsia="en-AU"/>
        </w:rPr>
        <w:t>t</w:t>
      </w:r>
      <w:r w:rsidRPr="0090678A">
        <w:rPr>
          <w:lang w:eastAsia="en-AU"/>
        </w:rPr>
        <w:t xml:space="preserve">ransition </w:t>
      </w:r>
      <w:r>
        <w:rPr>
          <w:lang w:eastAsia="en-AU"/>
        </w:rPr>
        <w:t>p</w:t>
      </w:r>
      <w:r w:rsidRPr="0090678A">
        <w:rPr>
          <w:lang w:eastAsia="en-AU"/>
        </w:rPr>
        <w:t xml:space="preserve">lan </w:t>
      </w:r>
    </w:p>
    <w:p w14:paraId="3DC46653" w14:textId="77777777" w:rsidR="0081798E" w:rsidRDefault="0081798E" w:rsidP="0081798E">
      <w:pPr>
        <w:pStyle w:val="DHHSbullet1"/>
        <w:numPr>
          <w:ilvl w:val="0"/>
          <w:numId w:val="7"/>
        </w:numPr>
        <w:rPr>
          <w:lang w:eastAsia="en-AU"/>
        </w:rPr>
      </w:pPr>
      <w:r>
        <w:rPr>
          <w:lang w:eastAsia="en-AU"/>
        </w:rPr>
        <w:t xml:space="preserve">have all </w:t>
      </w:r>
      <w:r w:rsidRPr="0090678A">
        <w:rPr>
          <w:lang w:eastAsia="en-AU"/>
        </w:rPr>
        <w:t xml:space="preserve">essential documentation, </w:t>
      </w:r>
      <w:r>
        <w:rPr>
          <w:lang w:eastAsia="en-AU"/>
        </w:rPr>
        <w:t xml:space="preserve">identification, </w:t>
      </w:r>
      <w:r w:rsidRPr="0090678A">
        <w:rPr>
          <w:lang w:eastAsia="en-AU"/>
        </w:rPr>
        <w:t>possessions and life records</w:t>
      </w:r>
    </w:p>
    <w:p w14:paraId="32965765" w14:textId="77777777" w:rsidR="0081798E" w:rsidRDefault="0081798E" w:rsidP="0081798E">
      <w:pPr>
        <w:pStyle w:val="DHHSbullet1"/>
        <w:numPr>
          <w:ilvl w:val="0"/>
          <w:numId w:val="7"/>
        </w:numPr>
        <w:rPr>
          <w:lang w:eastAsia="en-AU"/>
        </w:rPr>
      </w:pPr>
      <w:r>
        <w:rPr>
          <w:lang w:eastAsia="en-AU"/>
        </w:rPr>
        <w:t>have a cultural plan (where relevant)</w:t>
      </w:r>
    </w:p>
    <w:p w14:paraId="4CA37DFB" w14:textId="77777777" w:rsidR="0081798E" w:rsidRPr="00CF37E5" w:rsidRDefault="0081798E" w:rsidP="0081798E">
      <w:pPr>
        <w:pStyle w:val="DHHSbody"/>
        <w:rPr>
          <w:rFonts w:cs="Arial"/>
        </w:rPr>
      </w:pPr>
      <w:r w:rsidRPr="00CF37E5">
        <w:rPr>
          <w:rFonts w:cs="Arial"/>
        </w:rPr>
        <w:t>The</w:t>
      </w:r>
      <w:r>
        <w:rPr>
          <w:rFonts w:cs="Arial"/>
        </w:rPr>
        <w:t xml:space="preserve"> case manager leads development of the young person’s 15+ care and transition plan in consultation with the care team. The </w:t>
      </w:r>
      <w:r w:rsidRPr="00CF37E5">
        <w:rPr>
          <w:rFonts w:cs="Arial"/>
        </w:rPr>
        <w:t>Better Futures worker does not assume lead responsibility for case work</w:t>
      </w:r>
      <w:r>
        <w:rPr>
          <w:rFonts w:cs="Arial"/>
        </w:rPr>
        <w:t xml:space="preserve"> support</w:t>
      </w:r>
      <w:r w:rsidRPr="00CF37E5">
        <w:rPr>
          <w:rFonts w:cs="Arial"/>
        </w:rPr>
        <w:t xml:space="preserve"> </w:t>
      </w:r>
      <w:r w:rsidRPr="001B3927">
        <w:rPr>
          <w:rFonts w:cs="Arial"/>
          <w:lang w:val="en"/>
        </w:rPr>
        <w:t>whilst the young person is subject to a statutory order.</w:t>
      </w:r>
      <w:r>
        <w:rPr>
          <w:rFonts w:cs="Arial"/>
          <w:lang w:val="en"/>
        </w:rPr>
        <w:t xml:space="preserve"> </w:t>
      </w:r>
    </w:p>
    <w:p w14:paraId="5384DD6A" w14:textId="02D843AF" w:rsidR="0081798E" w:rsidRDefault="0081798E" w:rsidP="0081798E">
      <w:pPr>
        <w:pStyle w:val="DHHSbody"/>
        <w:rPr>
          <w:rFonts w:cs="Arial"/>
          <w:lang w:eastAsia="en-AU"/>
        </w:rPr>
      </w:pPr>
      <w:bookmarkStart w:id="12" w:name="_Toc5878826"/>
      <w:r>
        <w:rPr>
          <w:lang w:eastAsia="en-AU"/>
        </w:rPr>
        <w:t xml:space="preserve">For more information on case planning for young people aged 15 years plus, refer to </w:t>
      </w:r>
      <w:r w:rsidRPr="00F17054">
        <w:rPr>
          <w:i/>
          <w:lang w:eastAsia="en-AU"/>
        </w:rPr>
        <w:t>Leaving care</w:t>
      </w:r>
      <w:r>
        <w:rPr>
          <w:lang w:eastAsia="en-AU"/>
        </w:rPr>
        <w:t xml:space="preserve"> in the </w:t>
      </w:r>
      <w:hyperlink r:id="rId17" w:history="1">
        <w:r w:rsidRPr="003B482B">
          <w:rPr>
            <w:rStyle w:val="Hyperlink"/>
            <w:rFonts w:eastAsia="Times New Roman" w:cs="Arial"/>
          </w:rPr>
          <w:t>Child Protection Manual</w:t>
        </w:r>
      </w:hyperlink>
      <w:r w:rsidR="009D5ADA">
        <w:rPr>
          <w:rFonts w:eastAsia="Times New Roman" w:cs="Arial"/>
        </w:rPr>
        <w:t xml:space="preserve"> </w:t>
      </w:r>
      <w:r w:rsidR="003B482B">
        <w:rPr>
          <w:lang w:eastAsia="en-AU"/>
        </w:rPr>
        <w:t>&lt;</w:t>
      </w:r>
      <w:r w:rsidR="003B482B" w:rsidRPr="003B482B">
        <w:rPr>
          <w:rFonts w:cs="Arial"/>
          <w:lang w:eastAsia="en-AU"/>
        </w:rPr>
        <w:t>https://www.cpmanual.vic.gov.au/policies-and-procedures/out-home-care/leaving-care</w:t>
      </w:r>
      <w:r w:rsidR="003B482B">
        <w:rPr>
          <w:rStyle w:val="Hyperlink"/>
          <w:rFonts w:cs="Arial"/>
          <w:lang w:eastAsia="en-AU"/>
        </w:rPr>
        <w:t>&gt;</w:t>
      </w:r>
    </w:p>
    <w:p w14:paraId="1BD2E1F1" w14:textId="77777777" w:rsidR="0081798E" w:rsidRPr="00F0175A" w:rsidRDefault="0081798E" w:rsidP="00077596">
      <w:pPr>
        <w:pStyle w:val="Heading1"/>
      </w:pPr>
      <w:bookmarkStart w:id="13" w:name="_Toc30573080"/>
      <w:bookmarkStart w:id="14" w:name="_Toc89734064"/>
      <w:r w:rsidRPr="00F0175A">
        <w:t xml:space="preserve">Early </w:t>
      </w:r>
      <w:r>
        <w:t>r</w:t>
      </w:r>
      <w:r w:rsidRPr="00F0175A">
        <w:t>eferral</w:t>
      </w:r>
      <w:bookmarkEnd w:id="12"/>
      <w:bookmarkEnd w:id="13"/>
      <w:bookmarkEnd w:id="14"/>
      <w:r w:rsidRPr="00F0175A">
        <w:t xml:space="preserve"> </w:t>
      </w:r>
    </w:p>
    <w:p w14:paraId="04329C1E" w14:textId="4349E3F4" w:rsidR="0081798E" w:rsidRDefault="0081798E" w:rsidP="0081798E">
      <w:pPr>
        <w:pStyle w:val="DHHSbody"/>
      </w:pPr>
      <w:r w:rsidRPr="00CF37E5">
        <w:t>Yo</w:t>
      </w:r>
      <w:r>
        <w:t>u</w:t>
      </w:r>
      <w:r w:rsidRPr="00CF37E5">
        <w:t xml:space="preserve">ng people are referred to Better Futures at </w:t>
      </w:r>
      <w:r w:rsidRPr="00CF37E5">
        <w:rPr>
          <w:b/>
        </w:rPr>
        <w:t>15 years and 9 months</w:t>
      </w:r>
      <w:r w:rsidRPr="00CF37E5">
        <w:t xml:space="preserve"> by their case managers (</w:t>
      </w:r>
      <w:r w:rsidR="00730D17">
        <w:t>child protection</w:t>
      </w:r>
      <w:r w:rsidR="00CD2EA5">
        <w:t xml:space="preserve"> practitioner</w:t>
      </w:r>
      <w:r>
        <w:t>,</w:t>
      </w:r>
      <w:r w:rsidRPr="00CF37E5">
        <w:t xml:space="preserve"> contracted</w:t>
      </w:r>
      <w:r>
        <w:t>, or Aboriginal Children Aboriginal Care</w:t>
      </w:r>
      <w:r w:rsidR="00CD2EA5">
        <w:t xml:space="preserve"> case manager</w:t>
      </w:r>
      <w:r w:rsidRPr="00CF37E5">
        <w:t>) via the Client Relationship Information System</w:t>
      </w:r>
      <w:r>
        <w:t xml:space="preserve"> for </w:t>
      </w:r>
      <w:r w:rsidRPr="00CF37E5">
        <w:t>Service Providers (CRISSP)</w:t>
      </w:r>
      <w:bookmarkStart w:id="15" w:name="_Toc5878827"/>
      <w:r>
        <w:t>.</w:t>
      </w:r>
    </w:p>
    <w:p w14:paraId="249BDBE7" w14:textId="77777777" w:rsidR="0081798E" w:rsidRDefault="0081798E" w:rsidP="0081798E">
      <w:pPr>
        <w:pStyle w:val="DHHSbody"/>
      </w:pPr>
      <w:r w:rsidRPr="00CF37E5">
        <w:rPr>
          <w:rFonts w:cs="Arial"/>
        </w:rPr>
        <w:t>When the young person is in care and still some time away from transitioning to independence, the primary role of Better Futures will be to provide secondary consultation to case managers and care teams.</w:t>
      </w:r>
    </w:p>
    <w:p w14:paraId="0A4FFED1" w14:textId="77777777" w:rsidR="0081798E" w:rsidRDefault="0081798E" w:rsidP="0081798E">
      <w:pPr>
        <w:pStyle w:val="DHHSbody"/>
        <w:rPr>
          <w:rFonts w:cs="Arial"/>
        </w:rPr>
      </w:pPr>
      <w:r>
        <w:rPr>
          <w:rFonts w:cs="Arial"/>
        </w:rPr>
        <w:t>Early referrals support Better Futures workers to:</w:t>
      </w:r>
    </w:p>
    <w:p w14:paraId="39EF5FDC" w14:textId="77777777" w:rsidR="0081798E" w:rsidRPr="00E33D75" w:rsidRDefault="0081798E" w:rsidP="0081798E">
      <w:pPr>
        <w:pStyle w:val="DHHSbullet1"/>
        <w:numPr>
          <w:ilvl w:val="0"/>
          <w:numId w:val="7"/>
        </w:numPr>
      </w:pPr>
      <w:r>
        <w:t>develop knowledge about, and relationships with, young people</w:t>
      </w:r>
    </w:p>
    <w:p w14:paraId="2F3D3CC9" w14:textId="77777777" w:rsidR="0081798E" w:rsidRDefault="0081798E" w:rsidP="0081798E">
      <w:pPr>
        <w:pStyle w:val="DHHSbullet1"/>
        <w:numPr>
          <w:ilvl w:val="0"/>
          <w:numId w:val="7"/>
        </w:numPr>
      </w:pPr>
      <w:r>
        <w:t>consult and add value through networks, contacts and expertise to contribute to a strong foundation for young people as they transition from care</w:t>
      </w:r>
    </w:p>
    <w:p w14:paraId="5B51B7E5" w14:textId="77777777" w:rsidR="0081798E" w:rsidRDefault="0081798E" w:rsidP="0081798E">
      <w:pPr>
        <w:pStyle w:val="DHHSbullet1"/>
        <w:numPr>
          <w:ilvl w:val="0"/>
          <w:numId w:val="7"/>
        </w:numPr>
      </w:pPr>
      <w:r>
        <w:t>consult and contribute towards the development of 15+ Care and Transition Plans</w:t>
      </w:r>
    </w:p>
    <w:p w14:paraId="6908B3F7" w14:textId="77777777" w:rsidR="0081798E" w:rsidRPr="00CF37E5" w:rsidRDefault="0081798E" w:rsidP="0081798E">
      <w:pPr>
        <w:pStyle w:val="DHHSbullet1"/>
        <w:numPr>
          <w:ilvl w:val="0"/>
          <w:numId w:val="7"/>
        </w:numPr>
      </w:pPr>
      <w:r>
        <w:t>facilitate access to flexible funding to support and prepare young people as they transition from care to adulthood.</w:t>
      </w:r>
    </w:p>
    <w:p w14:paraId="0DECFA87" w14:textId="77777777" w:rsidR="0081798E" w:rsidRPr="00F0175A" w:rsidRDefault="0081798E" w:rsidP="00077596">
      <w:pPr>
        <w:pStyle w:val="Heading1"/>
      </w:pPr>
      <w:bookmarkStart w:id="16" w:name="_Toc30573081"/>
      <w:bookmarkStart w:id="17" w:name="_Toc89734065"/>
      <w:r w:rsidRPr="00F0175A">
        <w:t xml:space="preserve">Better Futures </w:t>
      </w:r>
      <w:bookmarkEnd w:id="15"/>
      <w:r>
        <w:t>r</w:t>
      </w:r>
      <w:r w:rsidRPr="00F0175A">
        <w:t>ole</w:t>
      </w:r>
      <w:bookmarkEnd w:id="16"/>
      <w:bookmarkEnd w:id="17"/>
    </w:p>
    <w:p w14:paraId="5753C0D1" w14:textId="77777777" w:rsidR="0081798E" w:rsidRPr="00857526" w:rsidRDefault="0081798E" w:rsidP="0081798E">
      <w:pPr>
        <w:pStyle w:val="DHHSbody"/>
      </w:pPr>
      <w:r>
        <w:t xml:space="preserve">The level of support offered by Better Futures is </w:t>
      </w:r>
      <w:r w:rsidRPr="00857526">
        <w:t>dependent upon the circumstances of young pe</w:t>
      </w:r>
      <w:r>
        <w:t>ople, their needs and existing support systems, and is provided i</w:t>
      </w:r>
      <w:r w:rsidRPr="00857526">
        <w:t>n the context of the</w:t>
      </w:r>
      <w:r>
        <w:t xml:space="preserve">ir </w:t>
      </w:r>
      <w:r w:rsidRPr="00857526">
        <w:t xml:space="preserve">current care status – </w:t>
      </w:r>
      <w:r>
        <w:t>that is, whether</w:t>
      </w:r>
      <w:r w:rsidRPr="00857526">
        <w:t xml:space="preserve"> the</w:t>
      </w:r>
      <w:r>
        <w:t xml:space="preserve">y are </w:t>
      </w:r>
      <w:r w:rsidRPr="00857526">
        <w:t xml:space="preserve">in care OR </w:t>
      </w:r>
      <w:r>
        <w:t xml:space="preserve">have left care. </w:t>
      </w:r>
    </w:p>
    <w:p w14:paraId="4318FF79" w14:textId="77777777" w:rsidR="0081798E" w:rsidRDefault="0081798E" w:rsidP="0081798E">
      <w:pPr>
        <w:pStyle w:val="DHHSbody"/>
      </w:pPr>
      <w:r w:rsidRPr="00857526">
        <w:t>Young people may</w:t>
      </w:r>
      <w:r>
        <w:t xml:space="preserve"> receive </w:t>
      </w:r>
      <w:r>
        <w:rPr>
          <w:b/>
        </w:rPr>
        <w:t>l</w:t>
      </w:r>
      <w:r w:rsidRPr="000D35BA">
        <w:rPr>
          <w:b/>
        </w:rPr>
        <w:t xml:space="preserve">imited </w:t>
      </w:r>
      <w:r>
        <w:rPr>
          <w:b/>
        </w:rPr>
        <w:t>s</w:t>
      </w:r>
      <w:r w:rsidRPr="000D35BA">
        <w:rPr>
          <w:b/>
        </w:rPr>
        <w:t>upport</w:t>
      </w:r>
      <w:r>
        <w:rPr>
          <w:b/>
        </w:rPr>
        <w:t>, a</w:t>
      </w:r>
      <w:r w:rsidRPr="000D35BA">
        <w:rPr>
          <w:b/>
        </w:rPr>
        <w:t xml:space="preserve">ctive </w:t>
      </w:r>
      <w:r>
        <w:rPr>
          <w:b/>
        </w:rPr>
        <w:t>s</w:t>
      </w:r>
      <w:r w:rsidRPr="000D35BA">
        <w:rPr>
          <w:b/>
        </w:rPr>
        <w:t>upport</w:t>
      </w:r>
      <w:r>
        <w:rPr>
          <w:b/>
        </w:rPr>
        <w:t xml:space="preserve"> </w:t>
      </w:r>
      <w:r w:rsidRPr="000212A8">
        <w:t>or be placed on</w:t>
      </w:r>
      <w:r>
        <w:rPr>
          <w:b/>
        </w:rPr>
        <w:t xml:space="preserve"> active hold</w:t>
      </w:r>
      <w:r>
        <w:t xml:space="preserve">. </w:t>
      </w:r>
      <w:r w:rsidRPr="00857526">
        <w:t>These levels of support</w:t>
      </w:r>
      <w:r>
        <w:t xml:space="preserve"> are likely to flex up and down over time changing in line with the young person’s needs. The level of support is determined by the Better Futures worker in consultation with the young person and/or the care team.</w:t>
      </w:r>
    </w:p>
    <w:p w14:paraId="310D8DDD" w14:textId="77777777" w:rsidR="0081798E" w:rsidRDefault="0081798E" w:rsidP="0081798E">
      <w:pPr>
        <w:pStyle w:val="DHHSbody"/>
      </w:pPr>
      <w:r>
        <w:t>Limited support may include:</w:t>
      </w:r>
    </w:p>
    <w:p w14:paraId="70082702" w14:textId="77777777" w:rsidR="0081798E" w:rsidRDefault="0081798E" w:rsidP="0081798E">
      <w:pPr>
        <w:pStyle w:val="DHHSbullet1"/>
        <w:numPr>
          <w:ilvl w:val="0"/>
          <w:numId w:val="7"/>
        </w:numPr>
      </w:pPr>
      <w:r>
        <w:t>assisting a young person with one-off practical support such as access to flexible funding</w:t>
      </w:r>
    </w:p>
    <w:p w14:paraId="03CD5BC3" w14:textId="77777777" w:rsidR="0081798E" w:rsidRDefault="0081798E" w:rsidP="0081798E">
      <w:pPr>
        <w:pStyle w:val="DHHSbullet1lastline"/>
        <w:numPr>
          <w:ilvl w:val="1"/>
          <w:numId w:val="7"/>
        </w:numPr>
        <w:ind w:left="284" w:hanging="284"/>
      </w:pPr>
      <w:r>
        <w:t>information, advice and/or assistance with referrals to other support networks.</w:t>
      </w:r>
    </w:p>
    <w:p w14:paraId="7845E7D5" w14:textId="77777777" w:rsidR="0081798E" w:rsidRPr="001E4201" w:rsidRDefault="0081798E" w:rsidP="0081798E">
      <w:pPr>
        <w:pStyle w:val="DHHSbody"/>
      </w:pPr>
      <w:r w:rsidRPr="001E4201">
        <w:t xml:space="preserve">Active </w:t>
      </w:r>
      <w:r>
        <w:t>s</w:t>
      </w:r>
      <w:r w:rsidRPr="001E4201">
        <w:t>upport may include:</w:t>
      </w:r>
    </w:p>
    <w:p w14:paraId="2CDBC5B9" w14:textId="77777777" w:rsidR="0081798E" w:rsidRDefault="0081798E" w:rsidP="0081798E">
      <w:pPr>
        <w:pStyle w:val="DHHSbullet1"/>
        <w:numPr>
          <w:ilvl w:val="0"/>
          <w:numId w:val="7"/>
        </w:numPr>
      </w:pPr>
      <w:r>
        <w:t>assisting a young person to achieve goals across the key service offers of housing and living skills, education, employment, health and wellbeing and community connections</w:t>
      </w:r>
    </w:p>
    <w:p w14:paraId="063D210E" w14:textId="77777777" w:rsidR="0081798E" w:rsidRDefault="0081798E" w:rsidP="0081798E">
      <w:pPr>
        <w:pStyle w:val="DHHSbullet1"/>
        <w:numPr>
          <w:ilvl w:val="0"/>
          <w:numId w:val="7"/>
        </w:numPr>
      </w:pPr>
      <w:r>
        <w:t xml:space="preserve">supporting an Aboriginal young person with connection to culture and community </w:t>
      </w:r>
    </w:p>
    <w:p w14:paraId="7229B734" w14:textId="77777777" w:rsidR="0081798E" w:rsidRDefault="0081798E" w:rsidP="0081798E">
      <w:pPr>
        <w:pStyle w:val="DHHSbullet1lastline"/>
        <w:numPr>
          <w:ilvl w:val="1"/>
          <w:numId w:val="7"/>
        </w:numPr>
        <w:ind w:left="284" w:hanging="284"/>
      </w:pPr>
      <w:r>
        <w:t>supporting independent living skills.</w:t>
      </w:r>
    </w:p>
    <w:p w14:paraId="45662AAB" w14:textId="77777777" w:rsidR="0081798E" w:rsidRDefault="0081798E" w:rsidP="0081798E">
      <w:pPr>
        <w:pStyle w:val="DHHSbody"/>
      </w:pPr>
      <w:r>
        <w:t>Young people on active hold can expect:</w:t>
      </w:r>
    </w:p>
    <w:p w14:paraId="72137D6D" w14:textId="2F326093" w:rsidR="0081798E" w:rsidRPr="0005454C" w:rsidRDefault="0081798E" w:rsidP="0081798E">
      <w:pPr>
        <w:pStyle w:val="DHHSbullet1"/>
        <w:numPr>
          <w:ilvl w:val="0"/>
          <w:numId w:val="7"/>
        </w:numPr>
      </w:pPr>
      <w:r w:rsidRPr="0005454C">
        <w:t xml:space="preserve">a quarterly check-in (in person or via telephone) from the Better Futures provider. </w:t>
      </w:r>
    </w:p>
    <w:p w14:paraId="7020C99A" w14:textId="77777777" w:rsidR="0081798E" w:rsidRPr="00F87557" w:rsidRDefault="0081798E" w:rsidP="00077596">
      <w:pPr>
        <w:pStyle w:val="Heading2"/>
        <w:rPr>
          <w:u w:val="single"/>
        </w:rPr>
      </w:pPr>
      <w:bookmarkStart w:id="18" w:name="_Toc30573082"/>
      <w:r w:rsidRPr="00F87557">
        <w:t>Better Futures for a young person in care</w:t>
      </w:r>
      <w:bookmarkEnd w:id="18"/>
      <w:r w:rsidRPr="00F87557">
        <w:t xml:space="preserve"> </w:t>
      </w:r>
    </w:p>
    <w:p w14:paraId="34E319C0" w14:textId="77777777" w:rsidR="0081798E" w:rsidRDefault="0081798E" w:rsidP="0081798E">
      <w:pPr>
        <w:pStyle w:val="DHHSbody"/>
      </w:pPr>
      <w:r>
        <w:t>While t</w:t>
      </w:r>
      <w:r w:rsidRPr="00857526">
        <w:t>he young person</w:t>
      </w:r>
      <w:r>
        <w:t xml:space="preserve"> is</w:t>
      </w:r>
      <w:r w:rsidRPr="00857526">
        <w:t xml:space="preserve"> in care</w:t>
      </w:r>
      <w:r>
        <w:t>, they</w:t>
      </w:r>
      <w:r w:rsidRPr="00857526">
        <w:t xml:space="preserve"> ha</w:t>
      </w:r>
      <w:r>
        <w:t>ve</w:t>
      </w:r>
      <w:r w:rsidRPr="00857526">
        <w:t xml:space="preserve"> a case manager and </w:t>
      </w:r>
      <w:r>
        <w:t xml:space="preserve">a </w:t>
      </w:r>
      <w:r w:rsidRPr="00857526">
        <w:t>care team of professionals</w:t>
      </w:r>
      <w:r>
        <w:t xml:space="preserve"> who are responsible for</w:t>
      </w:r>
      <w:r w:rsidRPr="00857526">
        <w:t xml:space="preserve"> </w:t>
      </w:r>
      <w:r>
        <w:t>supporting their transition to independence based on identified goals in their 15+ care</w:t>
      </w:r>
      <w:r w:rsidRPr="00857526">
        <w:t xml:space="preserve"> and </w:t>
      </w:r>
      <w:r>
        <w:t>t</w:t>
      </w:r>
      <w:r w:rsidRPr="00857526">
        <w:t xml:space="preserve">ransition </w:t>
      </w:r>
      <w:r>
        <w:t>p</w:t>
      </w:r>
      <w:r w:rsidRPr="00857526">
        <w:t>lan</w:t>
      </w:r>
      <w:r>
        <w:t xml:space="preserve">. </w:t>
      </w:r>
    </w:p>
    <w:p w14:paraId="075F9785" w14:textId="77777777" w:rsidR="0081798E" w:rsidRDefault="0081798E" w:rsidP="0081798E">
      <w:pPr>
        <w:pStyle w:val="DHHSbody"/>
      </w:pPr>
      <w:r w:rsidRPr="00857526">
        <w:t>The L</w:t>
      </w:r>
      <w:r>
        <w:t>ooking After Children (L</w:t>
      </w:r>
      <w:r w:rsidRPr="00857526">
        <w:t>AC</w:t>
      </w:r>
      <w:r>
        <w:t>)</w:t>
      </w:r>
      <w:r w:rsidRPr="00857526">
        <w:t xml:space="preserve"> domains align strongly with the Better Future</w:t>
      </w:r>
      <w:r>
        <w:t>s</w:t>
      </w:r>
      <w:r w:rsidRPr="00857526">
        <w:t xml:space="preserve"> </w:t>
      </w:r>
      <w:r>
        <w:t xml:space="preserve">offers </w:t>
      </w:r>
      <w:r w:rsidRPr="00857526">
        <w:t>of housing</w:t>
      </w:r>
      <w:r>
        <w:t xml:space="preserve"> and living skills</w:t>
      </w:r>
      <w:r w:rsidRPr="00857526">
        <w:t>, education, employment</w:t>
      </w:r>
      <w:r>
        <w:t xml:space="preserve">, </w:t>
      </w:r>
      <w:r w:rsidRPr="00857526">
        <w:t>health and</w:t>
      </w:r>
      <w:r>
        <w:t xml:space="preserve"> </w:t>
      </w:r>
      <w:r w:rsidRPr="00857526">
        <w:t>wellbeing</w:t>
      </w:r>
      <w:r>
        <w:t>,</w:t>
      </w:r>
      <w:r w:rsidRPr="00857526">
        <w:t xml:space="preserve"> and community connections</w:t>
      </w:r>
      <w:r>
        <w:t xml:space="preserve"> (see below):</w:t>
      </w:r>
    </w:p>
    <w:tbl>
      <w:tblPr>
        <w:tblStyle w:val="TableGrid"/>
        <w:tblW w:w="0" w:type="auto"/>
        <w:tblLook w:val="0420" w:firstRow="1" w:lastRow="0" w:firstColumn="0" w:lastColumn="0" w:noHBand="0" w:noVBand="1"/>
      </w:tblPr>
      <w:tblGrid>
        <w:gridCol w:w="5097"/>
        <w:gridCol w:w="5097"/>
      </w:tblGrid>
      <w:tr w:rsidR="0081798E" w14:paraId="2CED2BF4" w14:textId="77777777" w:rsidTr="009D5ADA">
        <w:tc>
          <w:tcPr>
            <w:tcW w:w="5097" w:type="dxa"/>
          </w:tcPr>
          <w:p w14:paraId="794488B4" w14:textId="77777777" w:rsidR="0081798E" w:rsidRDefault="0081798E" w:rsidP="003B482B">
            <w:pPr>
              <w:pStyle w:val="Tablecolhead"/>
            </w:pPr>
            <w:r>
              <w:t>LAC Domain</w:t>
            </w:r>
          </w:p>
        </w:tc>
        <w:tc>
          <w:tcPr>
            <w:tcW w:w="5097" w:type="dxa"/>
          </w:tcPr>
          <w:p w14:paraId="553D54DB" w14:textId="77777777" w:rsidR="0081798E" w:rsidRDefault="0081798E" w:rsidP="003B482B">
            <w:pPr>
              <w:pStyle w:val="Tablecolhead"/>
            </w:pPr>
            <w:r>
              <w:t>Better Futures Offer</w:t>
            </w:r>
          </w:p>
        </w:tc>
      </w:tr>
      <w:tr w:rsidR="0081798E" w14:paraId="3AE35800" w14:textId="77777777" w:rsidTr="009D5ADA">
        <w:tc>
          <w:tcPr>
            <w:tcW w:w="5097" w:type="dxa"/>
          </w:tcPr>
          <w:p w14:paraId="21BBF3AD" w14:textId="77777777" w:rsidR="0081798E" w:rsidRDefault="0081798E" w:rsidP="003B482B">
            <w:pPr>
              <w:pStyle w:val="Tabletext"/>
            </w:pPr>
            <w:r>
              <w:t>Health</w:t>
            </w:r>
          </w:p>
          <w:p w14:paraId="42800AFD" w14:textId="77777777" w:rsidR="0081798E" w:rsidRDefault="0081798E" w:rsidP="003B482B">
            <w:pPr>
              <w:pStyle w:val="Tabletext"/>
            </w:pPr>
            <w:r>
              <w:t xml:space="preserve">Emotional and Behavioural Development </w:t>
            </w:r>
          </w:p>
        </w:tc>
        <w:tc>
          <w:tcPr>
            <w:tcW w:w="5097" w:type="dxa"/>
          </w:tcPr>
          <w:p w14:paraId="45326F44" w14:textId="77777777" w:rsidR="0081798E" w:rsidRDefault="0081798E" w:rsidP="003B482B">
            <w:pPr>
              <w:pStyle w:val="Tabletext"/>
            </w:pPr>
            <w:r>
              <w:t>Health and Wellbeing</w:t>
            </w:r>
          </w:p>
        </w:tc>
      </w:tr>
      <w:tr w:rsidR="0081798E" w14:paraId="4734784F" w14:textId="77777777" w:rsidTr="009D5ADA">
        <w:tc>
          <w:tcPr>
            <w:tcW w:w="5097" w:type="dxa"/>
          </w:tcPr>
          <w:p w14:paraId="3EB3B8BD" w14:textId="77777777" w:rsidR="0081798E" w:rsidRDefault="0081798E" w:rsidP="003B482B">
            <w:pPr>
              <w:pStyle w:val="Tabletext"/>
            </w:pPr>
            <w:r>
              <w:t>Education</w:t>
            </w:r>
          </w:p>
        </w:tc>
        <w:tc>
          <w:tcPr>
            <w:tcW w:w="5097" w:type="dxa"/>
          </w:tcPr>
          <w:p w14:paraId="0FC3021B" w14:textId="77777777" w:rsidR="0081798E" w:rsidRDefault="0081798E" w:rsidP="003B482B">
            <w:pPr>
              <w:pStyle w:val="Tabletext"/>
            </w:pPr>
            <w:r>
              <w:t>Education</w:t>
            </w:r>
          </w:p>
        </w:tc>
      </w:tr>
      <w:tr w:rsidR="0081798E" w14:paraId="713F8F63" w14:textId="77777777" w:rsidTr="009D5ADA">
        <w:tc>
          <w:tcPr>
            <w:tcW w:w="5097" w:type="dxa"/>
          </w:tcPr>
          <w:p w14:paraId="42F858DF" w14:textId="77777777" w:rsidR="0081798E" w:rsidRDefault="0081798E" w:rsidP="003B482B">
            <w:pPr>
              <w:pStyle w:val="Tabletext"/>
            </w:pPr>
            <w:r>
              <w:t>Social Presentation</w:t>
            </w:r>
          </w:p>
        </w:tc>
        <w:tc>
          <w:tcPr>
            <w:tcW w:w="5097" w:type="dxa"/>
          </w:tcPr>
          <w:p w14:paraId="4C764B9C" w14:textId="77777777" w:rsidR="0081798E" w:rsidRDefault="0081798E" w:rsidP="003B482B">
            <w:pPr>
              <w:pStyle w:val="Tabletext"/>
            </w:pPr>
            <w:r>
              <w:t>Employment</w:t>
            </w:r>
          </w:p>
        </w:tc>
      </w:tr>
      <w:tr w:rsidR="0081798E" w14:paraId="44ECB32D" w14:textId="77777777" w:rsidTr="009D5ADA">
        <w:tc>
          <w:tcPr>
            <w:tcW w:w="5097" w:type="dxa"/>
          </w:tcPr>
          <w:p w14:paraId="2E6CC280" w14:textId="77777777" w:rsidR="0081798E" w:rsidRDefault="0081798E" w:rsidP="003B482B">
            <w:pPr>
              <w:pStyle w:val="Tabletext"/>
            </w:pPr>
            <w:r>
              <w:t>Family and Social Relationships</w:t>
            </w:r>
          </w:p>
          <w:p w14:paraId="1D6E73F5" w14:textId="77777777" w:rsidR="0081798E" w:rsidRDefault="0081798E" w:rsidP="003B482B">
            <w:pPr>
              <w:pStyle w:val="Tabletext"/>
            </w:pPr>
            <w:r>
              <w:t>Identity</w:t>
            </w:r>
          </w:p>
        </w:tc>
        <w:tc>
          <w:tcPr>
            <w:tcW w:w="5097" w:type="dxa"/>
          </w:tcPr>
          <w:p w14:paraId="31632E1C" w14:textId="77777777" w:rsidR="0081798E" w:rsidRDefault="0081798E" w:rsidP="003B482B">
            <w:pPr>
              <w:pStyle w:val="Tabletext"/>
            </w:pPr>
            <w:r>
              <w:t xml:space="preserve">Community Connections </w:t>
            </w:r>
          </w:p>
        </w:tc>
      </w:tr>
      <w:tr w:rsidR="0081798E" w14:paraId="25D25583" w14:textId="77777777" w:rsidTr="009D5ADA">
        <w:tc>
          <w:tcPr>
            <w:tcW w:w="5097" w:type="dxa"/>
          </w:tcPr>
          <w:p w14:paraId="47A2985E" w14:textId="77777777" w:rsidR="0081798E" w:rsidRDefault="0081798E" w:rsidP="003B482B">
            <w:pPr>
              <w:pStyle w:val="Tabletext"/>
            </w:pPr>
            <w:r>
              <w:t>Self-Care Skills</w:t>
            </w:r>
          </w:p>
        </w:tc>
        <w:tc>
          <w:tcPr>
            <w:tcW w:w="5097" w:type="dxa"/>
          </w:tcPr>
          <w:p w14:paraId="43BC31E1" w14:textId="77777777" w:rsidR="0081798E" w:rsidRDefault="0081798E" w:rsidP="003B482B">
            <w:pPr>
              <w:pStyle w:val="Tabletext"/>
            </w:pPr>
            <w:r>
              <w:t>Housing and Living Skills</w:t>
            </w:r>
          </w:p>
        </w:tc>
      </w:tr>
    </w:tbl>
    <w:p w14:paraId="11275517" w14:textId="77777777" w:rsidR="0081798E" w:rsidRPr="00857526" w:rsidRDefault="0081798E" w:rsidP="003B482B">
      <w:pPr>
        <w:pStyle w:val="DHHSbody"/>
      </w:pPr>
      <w:r w:rsidRPr="00857526">
        <w:t>The</w:t>
      </w:r>
      <w:r>
        <w:t xml:space="preserve"> Better Futures</w:t>
      </w:r>
      <w:r w:rsidRPr="00857526">
        <w:t xml:space="preserve"> worker</w:t>
      </w:r>
      <w:r>
        <w:t xml:space="preserve"> may</w:t>
      </w:r>
      <w:r w:rsidRPr="00857526">
        <w:t xml:space="preserve"> support care team</w:t>
      </w:r>
      <w:r>
        <w:t>s</w:t>
      </w:r>
      <w:r w:rsidRPr="00857526">
        <w:t>, including the young person where appropriate, to identify goals and actions</w:t>
      </w:r>
      <w:r>
        <w:t xml:space="preserve"> for inclusion in the 15+ care and transition plan.</w:t>
      </w:r>
    </w:p>
    <w:p w14:paraId="2CF8064F" w14:textId="77777777" w:rsidR="0081798E" w:rsidRPr="00857526" w:rsidRDefault="0081798E" w:rsidP="003B482B">
      <w:pPr>
        <w:pStyle w:val="DHHSbody"/>
      </w:pPr>
      <w:r w:rsidRPr="00857526">
        <w:t>When the young person is in care and still some time away from transitioning to independence, it is likely the</w:t>
      </w:r>
      <w:r>
        <w:t xml:space="preserve"> </w:t>
      </w:r>
      <w:r w:rsidRPr="00857526">
        <w:t>primary role of Better Futures will be to provide secondary consultation to case managers and care teams</w:t>
      </w:r>
      <w:r>
        <w:t xml:space="preserve"> via the active hold level of support</w:t>
      </w:r>
      <w:r w:rsidRPr="00857526">
        <w:t xml:space="preserve">. </w:t>
      </w:r>
      <w:r>
        <w:t>Resourcing limitations</w:t>
      </w:r>
      <w:r w:rsidRPr="00857526">
        <w:t xml:space="preserve"> mean that Better Futures </w:t>
      </w:r>
      <w:r>
        <w:t>workers are not able to</w:t>
      </w:r>
      <w:r w:rsidRPr="00857526">
        <w:t xml:space="preserve"> attend </w:t>
      </w:r>
      <w:r>
        <w:t xml:space="preserve">all </w:t>
      </w:r>
      <w:r w:rsidRPr="00857526">
        <w:t xml:space="preserve">care team meetings for all young people. </w:t>
      </w:r>
    </w:p>
    <w:p w14:paraId="4216CBF5" w14:textId="77777777" w:rsidR="0081798E" w:rsidRPr="00857526" w:rsidRDefault="0081798E" w:rsidP="003B482B">
      <w:pPr>
        <w:pStyle w:val="DHHSbody"/>
      </w:pPr>
      <w:r w:rsidRPr="00857526">
        <w:t>In limited circumstances, Better Futures worke</w:t>
      </w:r>
      <w:r>
        <w:t xml:space="preserve">rs may </w:t>
      </w:r>
      <w:r w:rsidRPr="00857526">
        <w:t xml:space="preserve">provide </w:t>
      </w:r>
      <w:r>
        <w:t xml:space="preserve">limited support or active support </w:t>
      </w:r>
      <w:r w:rsidRPr="00857526">
        <w:t xml:space="preserve">to a young person in care. This is likely to be in </w:t>
      </w:r>
      <w:r>
        <w:t xml:space="preserve">circumstances where a young person requires support to </w:t>
      </w:r>
      <w:r w:rsidRPr="00857526">
        <w:t>engage</w:t>
      </w:r>
      <w:r>
        <w:t xml:space="preserve"> or </w:t>
      </w:r>
      <w:r w:rsidRPr="00857526">
        <w:t xml:space="preserve">re-engage with education, training </w:t>
      </w:r>
      <w:r>
        <w:t>and/</w:t>
      </w:r>
      <w:r w:rsidRPr="00857526">
        <w:t xml:space="preserve">or employment, or to support community connections where assessment shows that a young person is at risk of social isolation </w:t>
      </w:r>
      <w:r>
        <w:t xml:space="preserve">when transitioning from </w:t>
      </w:r>
      <w:r w:rsidRPr="00857526">
        <w:t>care</w:t>
      </w:r>
      <w:r>
        <w:t>.</w:t>
      </w:r>
    </w:p>
    <w:p w14:paraId="7F9B45E0" w14:textId="77777777" w:rsidR="0081798E" w:rsidRPr="00857526" w:rsidRDefault="0081798E" w:rsidP="003B482B">
      <w:pPr>
        <w:pStyle w:val="DHHSbody"/>
      </w:pPr>
      <w:r w:rsidRPr="00857526">
        <w:t>Support from Better Futures gradually increase</w:t>
      </w:r>
      <w:r>
        <w:t>s</w:t>
      </w:r>
      <w:r w:rsidRPr="00857526">
        <w:t xml:space="preserve"> as young pe</w:t>
      </w:r>
      <w:r>
        <w:t xml:space="preserve">ople near leaving care age, </w:t>
      </w:r>
      <w:r w:rsidRPr="00857526">
        <w:t>usually from about six months prior</w:t>
      </w:r>
      <w:r>
        <w:t xml:space="preserve"> to the cessation of an order. Some young people may not require this if sustainable support post care has been secured. </w:t>
      </w:r>
    </w:p>
    <w:p w14:paraId="02D49458" w14:textId="77777777" w:rsidR="0081798E" w:rsidRPr="001E4201" w:rsidRDefault="0081798E" w:rsidP="00077596">
      <w:pPr>
        <w:pStyle w:val="Heading2"/>
      </w:pPr>
      <w:bookmarkStart w:id="19" w:name="_Toc30573083"/>
      <w:r w:rsidRPr="001E4201">
        <w:t>Secondary consultation</w:t>
      </w:r>
      <w:bookmarkEnd w:id="19"/>
    </w:p>
    <w:p w14:paraId="304BB216" w14:textId="77777777" w:rsidR="0081798E" w:rsidRPr="00857526" w:rsidRDefault="0081798E" w:rsidP="0081798E">
      <w:pPr>
        <w:pStyle w:val="DHHSbody"/>
      </w:pPr>
      <w:r w:rsidRPr="00857526">
        <w:t>A Better Futures worker provides secondary consultation to care team</w:t>
      </w:r>
      <w:r>
        <w:t>s</w:t>
      </w:r>
      <w:r w:rsidRPr="00857526">
        <w:t>, lending expertise to the transition planning process. The level of secondary consultation is determined by the Better Futures provider’s capacity and the circumstances of the young person.</w:t>
      </w:r>
    </w:p>
    <w:p w14:paraId="62FBBFB9" w14:textId="77777777" w:rsidR="0081798E" w:rsidRPr="00857526" w:rsidRDefault="0081798E" w:rsidP="0081798E">
      <w:pPr>
        <w:pStyle w:val="DHHSbody"/>
      </w:pPr>
      <w:r w:rsidRPr="00857526">
        <w:t>Secondary consultation can be offered through varying means</w:t>
      </w:r>
      <w:r>
        <w:t xml:space="preserve"> including</w:t>
      </w:r>
      <w:r w:rsidRPr="00857526">
        <w:t>:</w:t>
      </w:r>
    </w:p>
    <w:p w14:paraId="6EF702DB" w14:textId="77777777" w:rsidR="0081798E" w:rsidRPr="00857526" w:rsidRDefault="0081798E" w:rsidP="0081798E">
      <w:pPr>
        <w:pStyle w:val="DHHSbullet1"/>
        <w:numPr>
          <w:ilvl w:val="0"/>
          <w:numId w:val="7"/>
        </w:numPr>
        <w:rPr>
          <w:b/>
          <w:u w:val="single"/>
        </w:rPr>
      </w:pPr>
      <w:r>
        <w:t xml:space="preserve">the </w:t>
      </w:r>
      <w:r w:rsidRPr="00857526">
        <w:t>Better Futures worker attend</w:t>
      </w:r>
      <w:r>
        <w:t>ing a</w:t>
      </w:r>
      <w:r w:rsidRPr="00857526">
        <w:t xml:space="preserve"> care team</w:t>
      </w:r>
      <w:r>
        <w:t xml:space="preserve"> meeting</w:t>
      </w:r>
      <w:r w:rsidRPr="00857526">
        <w:t xml:space="preserve"> </w:t>
      </w:r>
      <w:r>
        <w:t xml:space="preserve">and identifying opportunities </w:t>
      </w:r>
      <w:r w:rsidRPr="00857526">
        <w:t>across housing</w:t>
      </w:r>
      <w:r>
        <w:t xml:space="preserve"> and living skills</w:t>
      </w:r>
      <w:r w:rsidRPr="00857526">
        <w:t>, education, employment</w:t>
      </w:r>
      <w:r>
        <w:t xml:space="preserve"> and training, health and wellbeing,</w:t>
      </w:r>
      <w:r w:rsidRPr="00857526">
        <w:t xml:space="preserve"> and community connections</w:t>
      </w:r>
      <w:r>
        <w:t xml:space="preserve"> - it is important these discussions occur in accordance with the young person’s 15+ care and transition plan and the young person’s support needs, goals and aspirations</w:t>
      </w:r>
    </w:p>
    <w:p w14:paraId="153585EB" w14:textId="77777777" w:rsidR="0081798E" w:rsidRPr="00857526" w:rsidRDefault="0081798E" w:rsidP="0081798E">
      <w:pPr>
        <w:pStyle w:val="DHHSbullet1"/>
        <w:numPr>
          <w:ilvl w:val="0"/>
          <w:numId w:val="7"/>
        </w:numPr>
        <w:rPr>
          <w:b/>
          <w:u w:val="single"/>
        </w:rPr>
      </w:pPr>
      <w:bookmarkStart w:id="20" w:name="_Hlk20172385"/>
      <w:r>
        <w:t>i</w:t>
      </w:r>
      <w:r w:rsidRPr="00857526">
        <w:t>ntroducin</w:t>
      </w:r>
      <w:r>
        <w:t>g</w:t>
      </w:r>
      <w:r w:rsidRPr="00857526">
        <w:t xml:space="preserve"> the </w:t>
      </w:r>
      <w:r w:rsidRPr="00857526">
        <w:rPr>
          <w:b/>
        </w:rPr>
        <w:t>Advantage</w:t>
      </w:r>
      <w:r>
        <w:rPr>
          <w:b/>
        </w:rPr>
        <w:t>d</w:t>
      </w:r>
      <w:r w:rsidRPr="00857526">
        <w:rPr>
          <w:b/>
        </w:rPr>
        <w:t xml:space="preserve"> Thinking</w:t>
      </w:r>
      <w:r w:rsidRPr="00857526">
        <w:rPr>
          <w:rStyle w:val="FootnoteReference"/>
          <w:b/>
        </w:rPr>
        <w:footnoteReference w:id="1"/>
      </w:r>
      <w:r w:rsidRPr="00857526">
        <w:t xml:space="preserve"> resources and tools in the care team setting to assist planning and encourage the involvement of the young person in voicing their goals and aspirations</w:t>
      </w:r>
      <w:bookmarkEnd w:id="20"/>
    </w:p>
    <w:p w14:paraId="415F53AD" w14:textId="77777777" w:rsidR="0081798E" w:rsidRPr="00614149" w:rsidRDefault="0081798E" w:rsidP="0081798E">
      <w:pPr>
        <w:pStyle w:val="DHHSbullet1"/>
        <w:numPr>
          <w:ilvl w:val="0"/>
          <w:numId w:val="7"/>
        </w:numPr>
        <w:rPr>
          <w:b/>
          <w:u w:val="single"/>
        </w:rPr>
      </w:pPr>
      <w:r>
        <w:t>p</w:t>
      </w:r>
      <w:r w:rsidRPr="00857526">
        <w:t>roviding advice about</w:t>
      </w:r>
      <w:r>
        <w:t xml:space="preserve"> specific</w:t>
      </w:r>
      <w:r w:rsidRPr="00857526">
        <w:t xml:space="preserve"> opportunities t</w:t>
      </w:r>
      <w:r>
        <w:t>hat a</w:t>
      </w:r>
      <w:r w:rsidRPr="00857526">
        <w:t xml:space="preserve"> young person</w:t>
      </w:r>
      <w:r>
        <w:t xml:space="preserve"> may be interested in, such as engaging in education, work experience or joining a sporting club</w:t>
      </w:r>
    </w:p>
    <w:p w14:paraId="0119DC62" w14:textId="77777777" w:rsidR="0081798E" w:rsidRPr="00614149" w:rsidRDefault="0081798E" w:rsidP="0081798E">
      <w:pPr>
        <w:pStyle w:val="DHHSbullet1"/>
        <w:numPr>
          <w:ilvl w:val="0"/>
          <w:numId w:val="7"/>
        </w:numPr>
        <w:rPr>
          <w:b/>
          <w:u w:val="single"/>
        </w:rPr>
      </w:pPr>
      <w:r>
        <w:t>supporting access to community connections and mentoring</w:t>
      </w:r>
    </w:p>
    <w:p w14:paraId="5828487C" w14:textId="77777777" w:rsidR="0081798E" w:rsidRPr="00BD1D89" w:rsidRDefault="0081798E" w:rsidP="0081798E">
      <w:pPr>
        <w:pStyle w:val="DHHSbullet1"/>
        <w:numPr>
          <w:ilvl w:val="0"/>
          <w:numId w:val="7"/>
        </w:numPr>
        <w:rPr>
          <w:b/>
          <w:u w:val="single"/>
        </w:rPr>
      </w:pPr>
      <w:r>
        <w:t>p</w:t>
      </w:r>
      <w:r w:rsidRPr="00857526">
        <w:t>rovid</w:t>
      </w:r>
      <w:r>
        <w:t>ing</w:t>
      </w:r>
      <w:r w:rsidRPr="00857526">
        <w:t xml:space="preserve"> </w:t>
      </w:r>
      <w:r>
        <w:t xml:space="preserve">information and </w:t>
      </w:r>
      <w:r w:rsidRPr="00857526">
        <w:t xml:space="preserve">advice about Home Stretch </w:t>
      </w:r>
      <w:r>
        <w:t>(for more information on Home Stretch refer to Home Stretch Practice Advice)</w:t>
      </w:r>
    </w:p>
    <w:p w14:paraId="1C718F52" w14:textId="77777777" w:rsidR="0081798E" w:rsidRPr="00BD1D89" w:rsidRDefault="0081798E" w:rsidP="0081798E">
      <w:pPr>
        <w:pStyle w:val="DHHSbullet1"/>
        <w:numPr>
          <w:ilvl w:val="0"/>
          <w:numId w:val="7"/>
        </w:numPr>
        <w:rPr>
          <w:b/>
          <w:u w:val="single"/>
        </w:rPr>
      </w:pPr>
      <w:r>
        <w:t>providing advice about opportunities to c</w:t>
      </w:r>
      <w:r w:rsidRPr="00BD1D89">
        <w:t>onnect Aboriginal young people to their culture</w:t>
      </w:r>
      <w:r>
        <w:t xml:space="preserve"> and community and advocating for c</w:t>
      </w:r>
      <w:r w:rsidRPr="00BD1D89">
        <w:t xml:space="preserve">ultural </w:t>
      </w:r>
      <w:r>
        <w:t>p</w:t>
      </w:r>
      <w:r w:rsidRPr="00BD1D89">
        <w:t xml:space="preserve">lans </w:t>
      </w:r>
      <w:r>
        <w:t xml:space="preserve">to be </w:t>
      </w:r>
      <w:r w:rsidRPr="00BD1D89">
        <w:t>central to transition planning.</w:t>
      </w:r>
    </w:p>
    <w:p w14:paraId="4B940CAA" w14:textId="77777777" w:rsidR="0081798E" w:rsidRPr="001E4201" w:rsidRDefault="0081798E" w:rsidP="00077596">
      <w:pPr>
        <w:pStyle w:val="Heading1"/>
      </w:pPr>
      <w:bookmarkStart w:id="21" w:name="_Toc16503133"/>
      <w:bookmarkStart w:id="22" w:name="_Toc30573084"/>
      <w:r w:rsidRPr="001E4201">
        <w:t xml:space="preserve">Better Futures for a young person </w:t>
      </w:r>
      <w:bookmarkEnd w:id="21"/>
      <w:r w:rsidRPr="001E4201">
        <w:t>post care</w:t>
      </w:r>
      <w:bookmarkEnd w:id="22"/>
    </w:p>
    <w:p w14:paraId="09B6A15D" w14:textId="77777777" w:rsidR="0081798E" w:rsidRDefault="0081798E" w:rsidP="0081798E">
      <w:pPr>
        <w:pStyle w:val="DHHSbody"/>
      </w:pPr>
      <w:r w:rsidRPr="009C457D">
        <w:t>Support from Better Futures gradually increases as young people near leaving care age, usually from about six months prior to the cessation of an order</w:t>
      </w:r>
      <w:r>
        <w:t xml:space="preserve">, with support continuing </w:t>
      </w:r>
      <w:r w:rsidRPr="00857526">
        <w:t>until</w:t>
      </w:r>
      <w:r>
        <w:t xml:space="preserve"> the young person turns 21 years of age.</w:t>
      </w:r>
    </w:p>
    <w:p w14:paraId="3E592AD4" w14:textId="77777777" w:rsidR="0081798E" w:rsidRDefault="0081798E" w:rsidP="0081798E">
      <w:pPr>
        <w:pStyle w:val="DHHSbody"/>
      </w:pPr>
      <w:r>
        <w:t xml:space="preserve">This increased involvement may include the Better Futures worker starting to work directly with the young person, </w:t>
      </w:r>
      <w:r w:rsidRPr="00857526">
        <w:t>encourag</w:t>
      </w:r>
      <w:r>
        <w:t>ing</w:t>
      </w:r>
      <w:r w:rsidRPr="00857526">
        <w:t xml:space="preserve"> </w:t>
      </w:r>
      <w:r>
        <w:t>them to identify their goals and how they think they can be achieved. Examples of this include: accompanying young people to appointments; linking them into the community; supporting the development of living skills; and facilitating access to employment and training opportunities.</w:t>
      </w:r>
      <w:r w:rsidRPr="00857526">
        <w:t xml:space="preserve"> </w:t>
      </w:r>
    </w:p>
    <w:p w14:paraId="7DCCC9C6" w14:textId="77777777" w:rsidR="0081798E" w:rsidRDefault="0081798E" w:rsidP="0081798E">
      <w:pPr>
        <w:pStyle w:val="DHHSbody"/>
        <w:spacing w:after="0" w:line="276" w:lineRule="auto"/>
      </w:pPr>
      <w:r w:rsidRPr="00857526">
        <w:t>The Better Futures worker can provide the young person with</w:t>
      </w:r>
      <w:r>
        <w:t xml:space="preserve"> flexible levels of </w:t>
      </w:r>
      <w:r w:rsidRPr="00857526">
        <w:t>support</w:t>
      </w:r>
      <w:r>
        <w:t>, and a</w:t>
      </w:r>
      <w:r w:rsidRPr="00857526">
        <w:t xml:space="preserve">ccess to flexible funding </w:t>
      </w:r>
      <w:r>
        <w:t>(see below).</w:t>
      </w:r>
    </w:p>
    <w:p w14:paraId="3465AB10" w14:textId="77777777" w:rsidR="0081798E" w:rsidRPr="001E4201" w:rsidRDefault="0081798E" w:rsidP="00077596">
      <w:pPr>
        <w:pStyle w:val="Heading2"/>
      </w:pPr>
      <w:bookmarkStart w:id="23" w:name="_Toc30573085"/>
      <w:r w:rsidRPr="001E4201">
        <w:t>Flexible levels of case work support</w:t>
      </w:r>
      <w:bookmarkEnd w:id="23"/>
      <w:r w:rsidRPr="001E4201">
        <w:t xml:space="preserve"> </w:t>
      </w:r>
    </w:p>
    <w:p w14:paraId="3B6061A6" w14:textId="77777777" w:rsidR="0081798E" w:rsidRDefault="0081798E" w:rsidP="0081798E">
      <w:pPr>
        <w:pStyle w:val="DHHSbody"/>
        <w:rPr>
          <w:rFonts w:cs="Arial"/>
        </w:rPr>
      </w:pPr>
      <w:r>
        <w:t xml:space="preserve">Young people who have left care are provided </w:t>
      </w:r>
      <w:r w:rsidRPr="00857526">
        <w:t xml:space="preserve">with </w:t>
      </w:r>
      <w:r>
        <w:t>flexible</w:t>
      </w:r>
      <w:r w:rsidRPr="00857526">
        <w:t xml:space="preserve"> level</w:t>
      </w:r>
      <w:r>
        <w:t>s</w:t>
      </w:r>
      <w:r w:rsidRPr="00857526">
        <w:t xml:space="preserve"> of support </w:t>
      </w:r>
      <w:r>
        <w:t xml:space="preserve">depending on </w:t>
      </w:r>
      <w:r w:rsidRPr="00857526">
        <w:t>their needs, circumstances</w:t>
      </w:r>
      <w:r>
        <w:t xml:space="preserve"> and </w:t>
      </w:r>
      <w:r w:rsidRPr="00857526">
        <w:t>existing support systems</w:t>
      </w:r>
      <w:r>
        <w:t xml:space="preserve">, which often change over time. </w:t>
      </w:r>
      <w:r w:rsidRPr="00857526">
        <w:t>Young people may receive</w:t>
      </w:r>
      <w:r>
        <w:t xml:space="preserve"> limited support, </w:t>
      </w:r>
      <w:r w:rsidRPr="00857526">
        <w:t>or</w:t>
      </w:r>
      <w:r>
        <w:t xml:space="preserve"> active support, and this may include</w:t>
      </w:r>
      <w:r>
        <w:rPr>
          <w:rFonts w:cs="Arial"/>
        </w:rPr>
        <w:t>:</w:t>
      </w:r>
    </w:p>
    <w:p w14:paraId="7B8EF92A" w14:textId="77777777" w:rsidR="0081798E" w:rsidRDefault="0081798E" w:rsidP="0081798E">
      <w:pPr>
        <w:pStyle w:val="DHHSbullet1"/>
        <w:numPr>
          <w:ilvl w:val="0"/>
          <w:numId w:val="7"/>
        </w:numPr>
      </w:pPr>
      <w:r>
        <w:t>s</w:t>
      </w:r>
      <w:r w:rsidRPr="00FA14DB">
        <w:t>upport to engage in education, training and/or employment</w:t>
      </w:r>
    </w:p>
    <w:p w14:paraId="36F9B49F" w14:textId="77777777" w:rsidR="0081798E" w:rsidRPr="008B21D0" w:rsidRDefault="0081798E" w:rsidP="0081798E">
      <w:pPr>
        <w:pStyle w:val="DHHSbullet1"/>
        <w:numPr>
          <w:ilvl w:val="0"/>
          <w:numId w:val="7"/>
        </w:numPr>
      </w:pPr>
      <w:r>
        <w:t xml:space="preserve">linkages and referrals to specialist supports if required, such as counselling and drug and alcohol services </w:t>
      </w:r>
    </w:p>
    <w:p w14:paraId="2493150D" w14:textId="77777777" w:rsidR="0081798E" w:rsidRDefault="0081798E" w:rsidP="0081798E">
      <w:pPr>
        <w:pStyle w:val="DHHSbullet1"/>
        <w:numPr>
          <w:ilvl w:val="0"/>
          <w:numId w:val="7"/>
        </w:numPr>
      </w:pPr>
      <w:r>
        <w:t>support to identify suitable and safe housing options</w:t>
      </w:r>
    </w:p>
    <w:p w14:paraId="399B4CAB" w14:textId="77777777" w:rsidR="0081798E" w:rsidRDefault="0081798E" w:rsidP="0081798E">
      <w:pPr>
        <w:pStyle w:val="DHHSbullet1"/>
        <w:numPr>
          <w:ilvl w:val="0"/>
          <w:numId w:val="7"/>
        </w:numPr>
      </w:pPr>
      <w:r>
        <w:t>c</w:t>
      </w:r>
      <w:r w:rsidRPr="00FA14DB">
        <w:t>onnection to community and building networks of support</w:t>
      </w:r>
      <w:r>
        <w:t xml:space="preserve"> outside of the care system</w:t>
      </w:r>
    </w:p>
    <w:p w14:paraId="15D917C3" w14:textId="77777777" w:rsidR="0081798E" w:rsidRPr="00FA14DB" w:rsidRDefault="0081798E" w:rsidP="0081798E">
      <w:pPr>
        <w:pStyle w:val="DHHSbullet1lastline"/>
        <w:numPr>
          <w:ilvl w:val="1"/>
          <w:numId w:val="7"/>
        </w:numPr>
        <w:ind w:left="284" w:hanging="284"/>
      </w:pPr>
      <w:r>
        <w:t xml:space="preserve">support in times of crisis. </w:t>
      </w:r>
    </w:p>
    <w:p w14:paraId="44714CEF" w14:textId="77777777" w:rsidR="0081798E" w:rsidRPr="00E24D36" w:rsidRDefault="0081798E" w:rsidP="0081798E">
      <w:pPr>
        <w:pStyle w:val="DHHSbody"/>
      </w:pPr>
      <w:r w:rsidRPr="00E24D36">
        <w:t xml:space="preserve">A </w:t>
      </w:r>
      <w:r>
        <w:t xml:space="preserve">young person who has left care </w:t>
      </w:r>
      <w:r w:rsidRPr="00E24D36">
        <w:t xml:space="preserve">may be placed on </w:t>
      </w:r>
      <w:r>
        <w:t>a</w:t>
      </w:r>
      <w:r w:rsidRPr="00E24D36">
        <w:t xml:space="preserve">ctive </w:t>
      </w:r>
      <w:r>
        <w:t>h</w:t>
      </w:r>
      <w:r w:rsidRPr="00E24D36">
        <w:t xml:space="preserve">old, where they will receive a </w:t>
      </w:r>
      <w:r>
        <w:t>quarterly</w:t>
      </w:r>
      <w:r w:rsidRPr="00E24D36">
        <w:t xml:space="preserve"> check-in</w:t>
      </w:r>
      <w:r>
        <w:t xml:space="preserve"> to see how they are going.</w:t>
      </w:r>
    </w:p>
    <w:p w14:paraId="49A15666" w14:textId="77777777" w:rsidR="0081798E" w:rsidRPr="00F2602E" w:rsidRDefault="0081798E" w:rsidP="0081798E">
      <w:pPr>
        <w:pStyle w:val="DHHSbody"/>
        <w:rPr>
          <w:i/>
        </w:rPr>
      </w:pPr>
      <w:r>
        <w:t xml:space="preserve">Levels of support - whether limited support, active support or active hold - will be in accordance with the young person’s 15+ care and transition plan, and as the young person transitions from care towards independence, the Better Futures support plan, incorporating regular review and progress points involving the active voice of the young person. </w:t>
      </w:r>
      <w:r w:rsidRPr="00F57C08">
        <w:t>For more information on</w:t>
      </w:r>
      <w:r>
        <w:t xml:space="preserve"> l</w:t>
      </w:r>
      <w:r w:rsidRPr="00F57C08">
        <w:t>evels of</w:t>
      </w:r>
      <w:r>
        <w:t xml:space="preserve"> s</w:t>
      </w:r>
      <w:r w:rsidRPr="00F57C08">
        <w:t xml:space="preserve">upport refer to </w:t>
      </w:r>
      <w:r w:rsidRPr="00F2602E">
        <w:rPr>
          <w:i/>
        </w:rPr>
        <w:t>Better Futures - Levels of Support Practice Advice.</w:t>
      </w:r>
    </w:p>
    <w:p w14:paraId="4D7C5E45" w14:textId="77777777" w:rsidR="0081798E" w:rsidRPr="001E4201" w:rsidRDefault="0081798E" w:rsidP="00077596">
      <w:pPr>
        <w:pStyle w:val="Heading1"/>
      </w:pPr>
      <w:bookmarkStart w:id="24" w:name="_Toc5878833"/>
      <w:bookmarkStart w:id="25" w:name="_Toc16599207"/>
      <w:bookmarkStart w:id="26" w:name="_Toc30573086"/>
      <w:r w:rsidRPr="001E4201">
        <w:t>Flexible funding</w:t>
      </w:r>
      <w:bookmarkEnd w:id="24"/>
      <w:bookmarkEnd w:id="25"/>
      <w:bookmarkEnd w:id="26"/>
    </w:p>
    <w:p w14:paraId="37396764" w14:textId="2D1874C6" w:rsidR="0017686B" w:rsidRDefault="0081798E" w:rsidP="0081798E">
      <w:pPr>
        <w:pStyle w:val="DHHSbody"/>
      </w:pPr>
      <w:r>
        <w:t>Y</w:t>
      </w:r>
      <w:r w:rsidRPr="00857526">
        <w:t>oung pe</w:t>
      </w:r>
      <w:r>
        <w:t xml:space="preserve">ople </w:t>
      </w:r>
      <w:r w:rsidRPr="00857526">
        <w:t>will have access to</w:t>
      </w:r>
      <w:r>
        <w:t xml:space="preserve"> Better Futures (and where applicable Home Stretch)</w:t>
      </w:r>
      <w:r w:rsidRPr="00857526">
        <w:t xml:space="preserve"> flexible funding </w:t>
      </w:r>
      <w:r>
        <w:t xml:space="preserve">through their Better Futures worker </w:t>
      </w:r>
      <w:r w:rsidRPr="00857526">
        <w:t>to support their goals for independence. Better Futures flexible funding</w:t>
      </w:r>
      <w:r>
        <w:t xml:space="preserve"> is</w:t>
      </w:r>
      <w:r w:rsidRPr="00857526">
        <w:t xml:space="preserve"> used to support the achievement of goals that directly relate to </w:t>
      </w:r>
      <w:r>
        <w:t xml:space="preserve">the young person’s </w:t>
      </w:r>
      <w:r w:rsidRPr="00857526">
        <w:t>transition from care. These funds do not replace other discretionary funding, such as the Commonwealth Transition to Independent Living Allowance (TILA).</w:t>
      </w:r>
      <w:r>
        <w:t xml:space="preserve"> </w:t>
      </w:r>
    </w:p>
    <w:p w14:paraId="1E449EAF" w14:textId="77777777" w:rsidR="0017686B" w:rsidRDefault="0017686B">
      <w:pPr>
        <w:spacing w:after="0" w:line="240" w:lineRule="auto"/>
        <w:rPr>
          <w:rFonts w:eastAsia="Times"/>
          <w:sz w:val="20"/>
        </w:rPr>
      </w:pPr>
      <w:r>
        <w:br w:type="page"/>
      </w:r>
    </w:p>
    <w:p w14:paraId="30403781" w14:textId="77777777" w:rsidR="0081798E" w:rsidRPr="0024261A" w:rsidRDefault="0081798E" w:rsidP="00077596">
      <w:pPr>
        <w:pStyle w:val="Heading1"/>
      </w:pPr>
      <w:bookmarkStart w:id="27" w:name="_Toc30573087"/>
      <w:bookmarkStart w:id="28" w:name="_Toc89734066"/>
      <w:r w:rsidRPr="0024261A">
        <w:t>Additional information</w:t>
      </w:r>
      <w:bookmarkEnd w:id="27"/>
      <w:bookmarkEnd w:id="28"/>
    </w:p>
    <w:p w14:paraId="2AF8C963" w14:textId="2609D057" w:rsidR="0081798E" w:rsidRDefault="0081798E" w:rsidP="0081798E">
      <w:pPr>
        <w:pStyle w:val="DHHSbullet2lastline"/>
      </w:pPr>
      <w:r>
        <w:t>Supporting documentation and</w:t>
      </w:r>
      <w:r w:rsidRPr="00AB4C11">
        <w:t xml:space="preserve"> </w:t>
      </w:r>
      <w:r>
        <w:t xml:space="preserve">publications </w:t>
      </w:r>
      <w:r w:rsidRPr="00620C4A">
        <w:rPr>
          <w:rFonts w:cs="Arial"/>
          <w:lang w:eastAsia="ko-KR"/>
        </w:rPr>
        <w:t xml:space="preserve">may be accessed </w:t>
      </w:r>
      <w:r>
        <w:rPr>
          <w:rFonts w:cs="Arial"/>
          <w:lang w:eastAsia="ko-KR"/>
        </w:rPr>
        <w:t xml:space="preserve">via the </w:t>
      </w:r>
      <w:r w:rsidR="0080507C">
        <w:rPr>
          <w:rFonts w:cs="Arial"/>
          <w:color w:val="000000"/>
          <w:lang w:eastAsia="en-AU"/>
        </w:rPr>
        <w:t>Department of Families Fairness and Housing</w:t>
      </w:r>
      <w:r w:rsidR="0080507C">
        <w:rPr>
          <w:rFonts w:cs="Arial"/>
          <w:lang w:eastAsia="ko-KR"/>
        </w:rPr>
        <w:t xml:space="preserve"> </w:t>
      </w:r>
      <w:r w:rsidR="00487133">
        <w:rPr>
          <w:rFonts w:cs="Arial"/>
          <w:lang w:eastAsia="ko-KR"/>
        </w:rPr>
        <w:t>(</w:t>
      </w:r>
      <w:r>
        <w:rPr>
          <w:rFonts w:cs="Arial"/>
          <w:lang w:eastAsia="ko-KR"/>
        </w:rPr>
        <w:t>DFFH</w:t>
      </w:r>
      <w:r w:rsidR="00487133">
        <w:rPr>
          <w:rFonts w:cs="Arial"/>
          <w:lang w:eastAsia="ko-KR"/>
        </w:rPr>
        <w:t>)</w:t>
      </w:r>
      <w:r>
        <w:rPr>
          <w:rFonts w:cs="Arial"/>
          <w:lang w:eastAsia="ko-KR"/>
        </w:rPr>
        <w:t xml:space="preserve"> website</w:t>
      </w:r>
      <w:r>
        <w:t>:</w:t>
      </w:r>
    </w:p>
    <w:p w14:paraId="04B00C16" w14:textId="77777777" w:rsidR="003B482B" w:rsidRDefault="0050549D" w:rsidP="003B482B">
      <w:pPr>
        <w:pStyle w:val="DHHSbody"/>
      </w:pPr>
      <w:hyperlink r:id="rId18" w:history="1">
        <w:r w:rsidR="003B482B">
          <w:rPr>
            <w:rStyle w:val="Hyperlink"/>
          </w:rPr>
          <w:t>providers.dffh.vic.gov.au/better-futures</w:t>
        </w:r>
      </w:hyperlink>
      <w:r w:rsidR="003B482B">
        <w:t xml:space="preserve"> &lt;h</w:t>
      </w:r>
      <w:r w:rsidR="003B482B" w:rsidRPr="009A7151">
        <w:t>ttps://providers.dffh.vic.gov.au/better-futures</w:t>
      </w:r>
      <w:r w:rsidR="003B482B">
        <w:t>&gt;</w:t>
      </w:r>
    </w:p>
    <w:p w14:paraId="70CC62BC" w14:textId="77777777" w:rsidR="003B482B" w:rsidRDefault="0050549D" w:rsidP="003B482B">
      <w:pPr>
        <w:pStyle w:val="DHHSbody"/>
      </w:pPr>
      <w:hyperlink r:id="rId19" w:history="1">
        <w:r w:rsidR="003B482B" w:rsidRPr="009A7151">
          <w:rPr>
            <w:rStyle w:val="Hyperlink"/>
          </w:rPr>
          <w:t>providers.dffh.vic.gov.au/home-stretch</w:t>
        </w:r>
      </w:hyperlink>
      <w:r w:rsidR="003B482B">
        <w:t xml:space="preserve"> &lt;h</w:t>
      </w:r>
      <w:r w:rsidR="003B482B" w:rsidRPr="009A7151">
        <w:t>ttps://providers.dffh.vic.gov.au/home-stretch</w:t>
      </w:r>
      <w:r w:rsidR="003B482B">
        <w:t>&gt;</w:t>
      </w:r>
    </w:p>
    <w:p w14:paraId="6BF4AFB8" w14:textId="20EAF298" w:rsidR="003B482B" w:rsidRPr="00C5000B" w:rsidRDefault="0050549D" w:rsidP="003B482B">
      <w:pPr>
        <w:pStyle w:val="DHHSbody"/>
      </w:pPr>
      <w:hyperlink r:id="rId20" w:history="1">
        <w:r w:rsidR="003B482B">
          <w:rPr>
            <w:rStyle w:val="Hyperlink"/>
          </w:rPr>
          <w:t>providers.dffh.vic.gov.au/leaving-care</w:t>
        </w:r>
      </w:hyperlink>
      <w:r w:rsidR="009D5ADA">
        <w:rPr>
          <w:rStyle w:val="Hyperlink"/>
          <w:color w:val="auto"/>
          <w:u w:val="none"/>
        </w:rPr>
        <w:t xml:space="preserve"> </w:t>
      </w:r>
      <w:r w:rsidR="003B482B">
        <w:rPr>
          <w:rStyle w:val="Hyperlink"/>
          <w:color w:val="auto"/>
          <w:u w:val="none"/>
        </w:rPr>
        <w:t>&lt;</w:t>
      </w:r>
      <w:r w:rsidR="003B482B" w:rsidRPr="00C5000B">
        <w:rPr>
          <w:rStyle w:val="Hyperlink"/>
          <w:color w:val="auto"/>
          <w:u w:val="none"/>
        </w:rPr>
        <w:t>https://providers.dffh.vic.gov.au/leaving-care&gt;</w:t>
      </w:r>
    </w:p>
    <w:p w14:paraId="25061590" w14:textId="185C9A6A" w:rsidR="003B482B" w:rsidRDefault="0050549D" w:rsidP="003B482B">
      <w:pPr>
        <w:pStyle w:val="DHHSbody"/>
      </w:pPr>
      <w:hyperlink r:id="rId21" w:history="1">
        <w:r w:rsidR="003B482B">
          <w:rPr>
            <w:rStyle w:val="Hyperlink"/>
          </w:rPr>
          <w:t>services.dffh.vic.gov.au/leaving-care</w:t>
        </w:r>
      </w:hyperlink>
      <w:r w:rsidR="009D5ADA">
        <w:t xml:space="preserve"> </w:t>
      </w:r>
      <w:r w:rsidR="003B482B">
        <w:t>&lt;https</w:t>
      </w:r>
      <w:r w:rsidR="003B482B" w:rsidRPr="009A7151">
        <w:t>://services.dffh.vic.gov.au/leaving-care</w:t>
      </w:r>
      <w:r w:rsidR="003B482B">
        <w:rPr>
          <w:rStyle w:val="Hyperlink"/>
        </w:rPr>
        <w:t>&gt;</w:t>
      </w:r>
    </w:p>
    <w:p w14:paraId="7576088E" w14:textId="49884F61" w:rsidR="003B482B" w:rsidRDefault="0050549D" w:rsidP="009D5ADA">
      <w:pPr>
        <w:pStyle w:val="DHHSbody"/>
        <w:spacing w:after="240"/>
      </w:pPr>
      <w:hyperlink r:id="rId22" w:history="1">
        <w:r w:rsidR="003B482B" w:rsidRPr="00B915C6">
          <w:rPr>
            <w:rStyle w:val="Hyperlink"/>
          </w:rPr>
          <w:t>Funded Agency Channel</w:t>
        </w:r>
      </w:hyperlink>
      <w:r w:rsidR="003B482B">
        <w:t xml:space="preserve"> &lt;</w:t>
      </w:r>
      <w:hyperlink r:id="rId23" w:history="1">
        <w:r w:rsidR="003B482B" w:rsidRPr="006727F6">
          <w:t>https://fac.dhhs.vic.gov.au</w:t>
        </w:r>
      </w:hyperlink>
      <w:r w:rsidR="003B482B">
        <w:t>&gt;</w:t>
      </w:r>
    </w:p>
    <w:tbl>
      <w:tblPr>
        <w:tblStyle w:val="TableGrid"/>
        <w:tblW w:w="9639" w:type="dxa"/>
        <w:tblInd w:w="137" w:type="dxa"/>
        <w:tblLook w:val="0420" w:firstRow="1" w:lastRow="0" w:firstColumn="0" w:lastColumn="0" w:noHBand="0" w:noVBand="1"/>
      </w:tblPr>
      <w:tblGrid>
        <w:gridCol w:w="3256"/>
        <w:gridCol w:w="6383"/>
      </w:tblGrid>
      <w:tr w:rsidR="0081798E" w14:paraId="5FC785A3" w14:textId="77777777" w:rsidTr="009D5ADA">
        <w:tc>
          <w:tcPr>
            <w:tcW w:w="3256" w:type="dxa"/>
          </w:tcPr>
          <w:p w14:paraId="1286A559" w14:textId="77777777" w:rsidR="0081798E" w:rsidRPr="009D5ADA" w:rsidRDefault="0081798E" w:rsidP="00C51538">
            <w:pPr>
              <w:pStyle w:val="DHHStabletext"/>
              <w:rPr>
                <w:b/>
                <w:bCs/>
              </w:rPr>
            </w:pPr>
            <w:r w:rsidRPr="009D5ADA">
              <w:rPr>
                <w:b/>
                <w:bCs/>
              </w:rPr>
              <w:t>Subject</w:t>
            </w:r>
          </w:p>
        </w:tc>
        <w:tc>
          <w:tcPr>
            <w:tcW w:w="6383" w:type="dxa"/>
          </w:tcPr>
          <w:p w14:paraId="5281FCAE" w14:textId="77777777" w:rsidR="0081798E" w:rsidRPr="009D5ADA" w:rsidRDefault="0081798E" w:rsidP="00C51538">
            <w:pPr>
              <w:pStyle w:val="DHHStabletext"/>
              <w:rPr>
                <w:b/>
                <w:bCs/>
              </w:rPr>
            </w:pPr>
            <w:r w:rsidRPr="009D5ADA">
              <w:rPr>
                <w:b/>
                <w:bCs/>
              </w:rPr>
              <w:t>Details</w:t>
            </w:r>
          </w:p>
        </w:tc>
      </w:tr>
      <w:tr w:rsidR="0081798E" w14:paraId="1CDE7A53" w14:textId="77777777" w:rsidTr="009D5ADA">
        <w:tc>
          <w:tcPr>
            <w:tcW w:w="3256" w:type="dxa"/>
          </w:tcPr>
          <w:p w14:paraId="045EA3AC" w14:textId="77777777" w:rsidR="0081798E" w:rsidRDefault="0081798E" w:rsidP="00C51538">
            <w:pPr>
              <w:pStyle w:val="DHHStabletext"/>
            </w:pPr>
            <w:r>
              <w:t>Guide author</w:t>
            </w:r>
          </w:p>
        </w:tc>
        <w:tc>
          <w:tcPr>
            <w:tcW w:w="6383" w:type="dxa"/>
          </w:tcPr>
          <w:p w14:paraId="3DB9AEB6" w14:textId="77777777" w:rsidR="0081798E" w:rsidRDefault="0081798E"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177062EC" w14:textId="77777777" w:rsidR="0081798E" w:rsidRDefault="0081798E" w:rsidP="00C51538">
            <w:pPr>
              <w:pStyle w:val="DHHStabletext"/>
              <w:rPr>
                <w:rFonts w:cs="Arial"/>
                <w:color w:val="000000"/>
                <w:lang w:eastAsia="en-AU"/>
              </w:rPr>
            </w:pPr>
            <w:r>
              <w:rPr>
                <w:rFonts w:cs="Arial"/>
                <w:color w:val="000000"/>
                <w:lang w:eastAsia="en-AU"/>
              </w:rPr>
              <w:t>Children, Families, Communities and Disability Division</w:t>
            </w:r>
          </w:p>
          <w:p w14:paraId="4D8FB34D" w14:textId="77777777" w:rsidR="0081798E" w:rsidRPr="00223D8A" w:rsidRDefault="0081798E" w:rsidP="00C51538">
            <w:pPr>
              <w:pStyle w:val="DHHStabletext"/>
              <w:rPr>
                <w:rFonts w:cs="Arial"/>
                <w:color w:val="000000"/>
              </w:rPr>
            </w:pPr>
            <w:r>
              <w:rPr>
                <w:rFonts w:cs="Arial"/>
                <w:color w:val="000000"/>
                <w:lang w:eastAsia="en-AU"/>
              </w:rPr>
              <w:t>Department of Families Fairness and Housing</w:t>
            </w:r>
          </w:p>
        </w:tc>
      </w:tr>
      <w:tr w:rsidR="0081798E" w14:paraId="61C5B133" w14:textId="77777777" w:rsidTr="009D5ADA">
        <w:tc>
          <w:tcPr>
            <w:tcW w:w="3256" w:type="dxa"/>
          </w:tcPr>
          <w:p w14:paraId="1E078477" w14:textId="77777777" w:rsidR="0081798E" w:rsidRDefault="0081798E" w:rsidP="00C51538">
            <w:pPr>
              <w:pStyle w:val="DHHStabletext"/>
            </w:pPr>
            <w:r>
              <w:t xml:space="preserve">Authorised by </w:t>
            </w:r>
          </w:p>
        </w:tc>
        <w:tc>
          <w:tcPr>
            <w:tcW w:w="6383" w:type="dxa"/>
          </w:tcPr>
          <w:p w14:paraId="2171998E" w14:textId="77777777" w:rsidR="0081798E" w:rsidRDefault="0081798E"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4CF157E4" w14:textId="2A930C40" w:rsidR="0081798E" w:rsidRPr="003B482B" w:rsidRDefault="0081798E" w:rsidP="00C51538">
            <w:pPr>
              <w:pStyle w:val="DHHStabletext"/>
              <w:rPr>
                <w:rFonts w:cs="Arial"/>
                <w:color w:val="000000"/>
                <w:lang w:eastAsia="en-AU"/>
              </w:rPr>
            </w:pPr>
            <w:r>
              <w:rPr>
                <w:rFonts w:cs="Arial"/>
                <w:color w:val="000000"/>
                <w:lang w:eastAsia="en-AU"/>
              </w:rPr>
              <w:t>Children, Families, Communities and Disability Division</w:t>
            </w:r>
          </w:p>
        </w:tc>
      </w:tr>
      <w:tr w:rsidR="0081798E" w14:paraId="45794176" w14:textId="77777777" w:rsidTr="009D5ADA">
        <w:tc>
          <w:tcPr>
            <w:tcW w:w="3256" w:type="dxa"/>
          </w:tcPr>
          <w:p w14:paraId="782BD687" w14:textId="77777777" w:rsidR="0081798E" w:rsidRDefault="0081798E" w:rsidP="00C51538">
            <w:pPr>
              <w:pStyle w:val="DHHStabletext"/>
            </w:pPr>
            <w:r>
              <w:t>Guide created/last reviewed</w:t>
            </w:r>
          </w:p>
        </w:tc>
        <w:tc>
          <w:tcPr>
            <w:tcW w:w="6383" w:type="dxa"/>
          </w:tcPr>
          <w:p w14:paraId="44D1F38D" w14:textId="77777777" w:rsidR="0081798E" w:rsidRDefault="0081798E" w:rsidP="00C51538">
            <w:pPr>
              <w:pStyle w:val="DHHStabletext"/>
            </w:pPr>
            <w:r>
              <w:t>6 December 2021</w:t>
            </w:r>
          </w:p>
        </w:tc>
      </w:tr>
      <w:tr w:rsidR="0081798E" w14:paraId="05F5844B" w14:textId="77777777" w:rsidTr="009D5ADA">
        <w:tc>
          <w:tcPr>
            <w:tcW w:w="3256" w:type="dxa"/>
          </w:tcPr>
          <w:p w14:paraId="57D13285" w14:textId="77777777" w:rsidR="0081798E" w:rsidRDefault="0081798E" w:rsidP="00C51538">
            <w:pPr>
              <w:pStyle w:val="DHHStabletext"/>
            </w:pPr>
            <w:r>
              <w:t xml:space="preserve">Version number </w:t>
            </w:r>
          </w:p>
        </w:tc>
        <w:tc>
          <w:tcPr>
            <w:tcW w:w="6383" w:type="dxa"/>
          </w:tcPr>
          <w:p w14:paraId="0F8BEC50" w14:textId="33839B9C" w:rsidR="0081798E" w:rsidRDefault="0081798E" w:rsidP="00C51538">
            <w:pPr>
              <w:pStyle w:val="DHHStabletext"/>
            </w:pPr>
            <w:r>
              <w:t>V</w:t>
            </w:r>
            <w:r w:rsidR="0017686B">
              <w:t>2</w:t>
            </w:r>
          </w:p>
        </w:tc>
      </w:tr>
    </w:tbl>
    <w:p w14:paraId="36E0F2CF" w14:textId="77777777" w:rsidR="0081798E" w:rsidRDefault="0081798E" w:rsidP="0081798E">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81798E" w14:paraId="5BA51C93" w14:textId="77777777" w:rsidTr="00C51538">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6ECFC690" w14:textId="77777777" w:rsidR="0081798E" w:rsidRDefault="0081798E" w:rsidP="00C51538">
            <w:pPr>
              <w:pStyle w:val="DHHSaccessibilitypara"/>
            </w:pPr>
            <w:bookmarkStart w:id="29" w:name="_Better_Futures"/>
            <w:bookmarkEnd w:id="3"/>
            <w:bookmarkEnd w:id="9"/>
            <w:bookmarkEnd w:id="29"/>
            <w:r>
              <w:t>To receive this publication in an accessible format email</w:t>
            </w:r>
            <w:r w:rsidRPr="00427FB4">
              <w:t xml:space="preserve"> </w:t>
            </w:r>
            <w:hyperlink r:id="rId24" w:history="1">
              <w:r w:rsidRPr="00427FB4">
                <w:rPr>
                  <w:rStyle w:val="Hyperlink"/>
                </w:rPr>
                <w:t>Children and Families Policy Branch</w:t>
              </w:r>
            </w:hyperlink>
            <w:r w:rsidRPr="004E3928">
              <w:t xml:space="preserve"> </w:t>
            </w:r>
            <w:r>
              <w:t>&lt;</w:t>
            </w:r>
            <w:r w:rsidRPr="00427FB4">
              <w:rPr>
                <w:rStyle w:val="DHHSbodyChar"/>
              </w:rPr>
              <w:t>ChildrenYouthFamilies@dffh.vic.gov.au</w:t>
            </w:r>
            <w:r>
              <w:t>&gt;</w:t>
            </w:r>
          </w:p>
          <w:p w14:paraId="34017A93" w14:textId="77777777" w:rsidR="0081798E" w:rsidRDefault="0081798E" w:rsidP="00C51538">
            <w:pPr>
              <w:pStyle w:val="DHHSbody"/>
            </w:pPr>
            <w:r>
              <w:t>Authorised and published by the Victorian Government, 1 Treasury Place, Melbourne.</w:t>
            </w:r>
          </w:p>
          <w:p w14:paraId="37C82169" w14:textId="5ABE963F" w:rsidR="0081798E" w:rsidRDefault="0081798E" w:rsidP="00C51538">
            <w:pPr>
              <w:pStyle w:val="DHHSbody"/>
            </w:pPr>
            <w:r>
              <w:t>© State of Victoria, Department of Families, Fairness and Housing December 2021.</w:t>
            </w:r>
          </w:p>
          <w:p w14:paraId="13B681FA" w14:textId="43D66C20" w:rsidR="0081798E" w:rsidRPr="00B915C6" w:rsidRDefault="003B482B" w:rsidP="00C51538">
            <w:pPr>
              <w:pStyle w:val="DHHSbody"/>
            </w:pPr>
            <w:r w:rsidRPr="00254F58">
              <w:rPr>
                <w:szCs w:val="19"/>
              </w:rPr>
              <w:t xml:space="preserve">Available at </w:t>
            </w:r>
            <w:hyperlink r:id="rId25" w:history="1">
              <w:r>
                <w:rPr>
                  <w:rStyle w:val="Hyperlink"/>
                </w:rPr>
                <w:t>providers.dffh.vic.gov.au/better-futures</w:t>
              </w:r>
            </w:hyperlink>
            <w:r w:rsidRPr="00341487">
              <w:t xml:space="preserve"> &lt;</w:t>
            </w:r>
            <w:r w:rsidRPr="00042201">
              <w:t>https://providers.dffh.vic.gov.au/better-futures&gt;</w:t>
            </w:r>
          </w:p>
        </w:tc>
      </w:tr>
    </w:tbl>
    <w:p w14:paraId="68461B8D" w14:textId="77777777" w:rsidR="0081798E" w:rsidRPr="00906490" w:rsidRDefault="0081798E" w:rsidP="0017686B">
      <w:pPr>
        <w:pStyle w:val="DHHSbody"/>
      </w:pPr>
    </w:p>
    <w:sectPr w:rsidR="0081798E" w:rsidRPr="00906490"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04238" w14:textId="77777777" w:rsidR="0081798E" w:rsidRDefault="0081798E">
      <w:r>
        <w:separator/>
      </w:r>
    </w:p>
    <w:p w14:paraId="105919D7" w14:textId="77777777" w:rsidR="0081798E" w:rsidRDefault="0081798E"/>
  </w:endnote>
  <w:endnote w:type="continuationSeparator" w:id="0">
    <w:p w14:paraId="6B07D70E" w14:textId="77777777" w:rsidR="0081798E" w:rsidRDefault="0081798E">
      <w:r>
        <w:continuationSeparator/>
      </w:r>
    </w:p>
    <w:p w14:paraId="26D22A66" w14:textId="77777777" w:rsidR="0081798E" w:rsidRDefault="00817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435CF" w14:textId="77777777" w:rsidR="0050549D" w:rsidRDefault="00505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F4693" w14:textId="77777777" w:rsidR="00E261B3" w:rsidRPr="00F65AA9" w:rsidRDefault="00242378" w:rsidP="00EF2C72">
    <w:pPr>
      <w:pStyle w:val="Footer"/>
    </w:pPr>
    <w:r>
      <w:rPr>
        <w:noProof/>
        <w:lang w:eastAsia="en-AU"/>
      </w:rPr>
      <w:drawing>
        <wp:anchor distT="0" distB="0" distL="114300" distR="114300" simplePos="0" relativeHeight="251666432" behindDoc="1" locked="1" layoutInCell="1" allowOverlap="1" wp14:anchorId="360AF975" wp14:editId="5E10C788">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2096" behindDoc="0" locked="0" layoutInCell="0" allowOverlap="1" wp14:anchorId="44C397EE" wp14:editId="1EA8520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D2325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C397E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8D2325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658BC"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3A601589" wp14:editId="132702B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01352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60158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0B01352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B39D4" w14:textId="77777777" w:rsidR="0081798E" w:rsidRDefault="0081798E" w:rsidP="00207717">
      <w:pPr>
        <w:spacing w:before="120"/>
      </w:pPr>
      <w:r>
        <w:separator/>
      </w:r>
    </w:p>
  </w:footnote>
  <w:footnote w:type="continuationSeparator" w:id="0">
    <w:p w14:paraId="33B1649D" w14:textId="77777777" w:rsidR="0081798E" w:rsidRDefault="0081798E">
      <w:r>
        <w:continuationSeparator/>
      </w:r>
    </w:p>
    <w:p w14:paraId="376DB121" w14:textId="77777777" w:rsidR="0081798E" w:rsidRDefault="0081798E"/>
  </w:footnote>
  <w:footnote w:id="1">
    <w:p w14:paraId="649BDC7E" w14:textId="77777777" w:rsidR="0081798E" w:rsidRDefault="0081798E" w:rsidP="0081798E">
      <w:pPr>
        <w:pStyle w:val="FootnoteText"/>
      </w:pPr>
      <w:r>
        <w:rPr>
          <w:rStyle w:val="FootnoteReference"/>
        </w:rPr>
        <w:footnoteRef/>
      </w:r>
      <w:r>
        <w:t xml:space="preserve"> Better Futures (Advantaged Thinking) Framework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BEC28" w14:textId="77777777" w:rsidR="0050549D" w:rsidRDefault="00505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8089C"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DAFF5" w14:textId="77777777" w:rsidR="0050549D" w:rsidRDefault="005054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2C008" w14:textId="7684F1A5" w:rsidR="00E261B3" w:rsidRPr="0051568D" w:rsidRDefault="00257C94" w:rsidP="0017674D">
    <w:pPr>
      <w:pStyle w:val="Header"/>
    </w:pPr>
    <w:r>
      <w:rPr>
        <w:noProof/>
      </w:rPr>
      <w:drawing>
        <wp:anchor distT="0" distB="0" distL="114300" distR="114300" simplePos="0" relativeHeight="251669504" behindDoc="1" locked="1" layoutInCell="1" allowOverlap="1" wp14:anchorId="5A9ECC37" wp14:editId="190D2F40">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0D6178">
      <w:t>Better Futures roles and responsibilities practice advice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2F28C6"/>
    <w:multiLevelType w:val="hybridMultilevel"/>
    <w:tmpl w:val="8D6CEB5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014EF9"/>
    <w:multiLevelType w:val="hybridMultilevel"/>
    <w:tmpl w:val="FBB04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num>
  <w:num w:numId="25">
    <w:abstractNumId w:val="26"/>
  </w:num>
  <w:num w:numId="26">
    <w:abstractNumId w:val="22"/>
  </w:num>
  <w:num w:numId="27">
    <w:abstractNumId w:val="12"/>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6"/>
  </w:num>
  <w:num w:numId="4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8E"/>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7596"/>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6178"/>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686B"/>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0C38"/>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A7534"/>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482B"/>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87133"/>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549D"/>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0D17"/>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07C"/>
    <w:rsid w:val="0080587B"/>
    <w:rsid w:val="00806468"/>
    <w:rsid w:val="008119CA"/>
    <w:rsid w:val="008130C4"/>
    <w:rsid w:val="008155F0"/>
    <w:rsid w:val="00816735"/>
    <w:rsid w:val="0081798E"/>
    <w:rsid w:val="00820141"/>
    <w:rsid w:val="00820E0C"/>
    <w:rsid w:val="00823275"/>
    <w:rsid w:val="0082366F"/>
    <w:rsid w:val="00827B37"/>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4F3C"/>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09D8"/>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5ADA"/>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2A56"/>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2EA5"/>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3F1"/>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A710F"/>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E7B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81798E"/>
    <w:pPr>
      <w:spacing w:after="120" w:line="270" w:lineRule="atLeast"/>
    </w:pPr>
    <w:rPr>
      <w:rFonts w:ascii="Arial" w:eastAsia="Times" w:hAnsi="Arial"/>
      <w:lang w:eastAsia="en-US"/>
    </w:rPr>
  </w:style>
  <w:style w:type="paragraph" w:customStyle="1" w:styleId="DHHSbullet1">
    <w:name w:val="DHHS bullet 1"/>
    <w:basedOn w:val="DHHSbody"/>
    <w:qFormat/>
    <w:rsid w:val="0081798E"/>
    <w:pPr>
      <w:spacing w:after="40"/>
      <w:ind w:left="284" w:hanging="284"/>
    </w:pPr>
  </w:style>
  <w:style w:type="paragraph" w:customStyle="1" w:styleId="DHHStabletext">
    <w:name w:val="DHHS table text"/>
    <w:uiPriority w:val="3"/>
    <w:qFormat/>
    <w:rsid w:val="0081798E"/>
    <w:pPr>
      <w:spacing w:before="80" w:after="60"/>
    </w:pPr>
    <w:rPr>
      <w:rFonts w:ascii="Arial" w:hAnsi="Arial"/>
      <w:lang w:eastAsia="en-US"/>
    </w:rPr>
  </w:style>
  <w:style w:type="paragraph" w:customStyle="1" w:styleId="DHHSaccessibilitypara">
    <w:name w:val="DHHS accessibility para"/>
    <w:uiPriority w:val="8"/>
    <w:rsid w:val="0081798E"/>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81798E"/>
    <w:pPr>
      <w:spacing w:after="40"/>
    </w:pPr>
  </w:style>
  <w:style w:type="paragraph" w:customStyle="1" w:styleId="DHHStablebullet">
    <w:name w:val="DHHS table bullet"/>
    <w:basedOn w:val="DHHStabletext"/>
    <w:uiPriority w:val="3"/>
    <w:qFormat/>
    <w:rsid w:val="0081798E"/>
    <w:pPr>
      <w:ind w:left="227" w:hanging="227"/>
    </w:pPr>
  </w:style>
  <w:style w:type="character" w:customStyle="1" w:styleId="DHHSbodyChar">
    <w:name w:val="DHHS body Char"/>
    <w:link w:val="DHHSbody"/>
    <w:locked/>
    <w:rsid w:val="0081798E"/>
    <w:rPr>
      <w:rFonts w:ascii="Arial" w:eastAsia="Times" w:hAnsi="Arial"/>
      <w:lang w:eastAsia="en-US"/>
    </w:rPr>
  </w:style>
  <w:style w:type="paragraph" w:customStyle="1" w:styleId="DHHStablecolhead">
    <w:name w:val="DHHS table col head"/>
    <w:uiPriority w:val="3"/>
    <w:qFormat/>
    <w:rsid w:val="0081798E"/>
    <w:pPr>
      <w:spacing w:before="80" w:after="60"/>
    </w:pPr>
    <w:rPr>
      <w:rFonts w:ascii="Arial" w:hAnsi="Arial"/>
      <w:b/>
      <w:color w:val="87189D"/>
      <w:lang w:eastAsia="en-US"/>
    </w:rPr>
  </w:style>
  <w:style w:type="paragraph" w:customStyle="1" w:styleId="DHHSbulletindent">
    <w:name w:val="DHHS bullet indent"/>
    <w:basedOn w:val="DHHSbody"/>
    <w:uiPriority w:val="4"/>
    <w:rsid w:val="0081798E"/>
    <w:pPr>
      <w:spacing w:after="40"/>
    </w:pPr>
  </w:style>
  <w:style w:type="paragraph" w:customStyle="1" w:styleId="DHHSbullet1lastline">
    <w:name w:val="DHHS bullet 1 last line"/>
    <w:basedOn w:val="DHHSbullet1"/>
    <w:qFormat/>
    <w:rsid w:val="0081798E"/>
    <w:pPr>
      <w:spacing w:after="120"/>
      <w:ind w:left="567" w:hanging="283"/>
    </w:pPr>
  </w:style>
  <w:style w:type="paragraph" w:customStyle="1" w:styleId="DHHSbullet2lastline">
    <w:name w:val="DHHS bullet 2 last line"/>
    <w:basedOn w:val="DHHSbullet2"/>
    <w:qFormat/>
    <w:rsid w:val="0081798E"/>
    <w:pPr>
      <w:spacing w:after="120"/>
    </w:pPr>
  </w:style>
  <w:style w:type="paragraph" w:customStyle="1" w:styleId="DHHSbulletindentlastline">
    <w:name w:val="DHHS bullet indent last line"/>
    <w:basedOn w:val="DHHSbody"/>
    <w:uiPriority w:val="4"/>
    <w:rsid w:val="0081798E"/>
  </w:style>
  <w:style w:type="paragraph" w:customStyle="1" w:styleId="DHHSbodyaftertablefigure">
    <w:name w:val="DHHS body after table/figure"/>
    <w:basedOn w:val="DHHSbody"/>
    <w:next w:val="DHHSbody"/>
    <w:uiPriority w:val="1"/>
    <w:rsid w:val="0081798E"/>
    <w:pPr>
      <w:spacing w:before="240"/>
    </w:pPr>
  </w:style>
  <w:style w:type="character" w:styleId="Emphasis">
    <w:name w:val="Emphasis"/>
    <w:basedOn w:val="DefaultParagraphFont"/>
    <w:uiPriority w:val="20"/>
    <w:qFormat/>
    <w:rsid w:val="000D61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ffh.vic.gov.au/better-futur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ervices.dffh.vic.gov.au/leaving-car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pmanual.vic.gov.au/policies-and-procedures/out-home-care/leaving-care" TargetMode="External"/><Relationship Id="rId25" Type="http://schemas.openxmlformats.org/officeDocument/2006/relationships/hyperlink" Target="https://providers.dffh.vic.gov.au/better-futures" TargetMode="External"/><Relationship Id="rId2" Type="http://schemas.openxmlformats.org/officeDocument/2006/relationships/numbering" Target="numbering.xml"/><Relationship Id="rId16" Type="http://schemas.openxmlformats.org/officeDocument/2006/relationships/hyperlink" Target="https://www.cpmanual.vic.gov.au/" TargetMode="External"/><Relationship Id="rId20" Type="http://schemas.openxmlformats.org/officeDocument/2006/relationships/hyperlink" Target="https://providers.dffh.vic.gov.au/leaving-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hildrenYouthFamilies@dffh.vic.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fac.dhhs.vic.gov.au" TargetMode="External"/><Relationship Id="rId10" Type="http://schemas.openxmlformats.org/officeDocument/2006/relationships/header" Target="header2.xml"/><Relationship Id="rId19" Type="http://schemas.openxmlformats.org/officeDocument/2006/relationships/hyperlink" Target="https://providers.dffh.vic.gov.au/home-stretc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fac.dhhs.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1806</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13696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Futures roles and responsibilities practice advice</dc:title>
  <dc:subject/>
  <dc:creator/>
  <cp:keywords/>
  <cp:lastModifiedBy/>
  <cp:revision>1</cp:revision>
  <dcterms:created xsi:type="dcterms:W3CDTF">2021-12-23T05:09:00Z</dcterms:created>
  <dcterms:modified xsi:type="dcterms:W3CDTF">2021-12-23T05:10:00Z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2021-12-23T05:10:07Z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35b9480c-d0d2-4eb8-9062-ee81f81622dc</vt:lpwstr>
  </property>
  <property fmtid="{D5CDD505-2E9C-101B-9397-08002B2CF9AE}" pid="8" name="MSIP_Label_43e64453-338c-4f93-8a4d-0039a0a41f2a_ContentBits">
    <vt:lpwstr>2</vt:lpwstr>
  </property>
</Properties>
</file>