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F853D" w14:textId="77777777" w:rsidR="0074696E" w:rsidRPr="004C6EEE" w:rsidRDefault="00F1694F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7F83C01A" wp14:editId="73F0F85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1495" cy="1907540"/>
            <wp:effectExtent l="0" t="0" r="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91495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76075" w14:textId="77777777" w:rsidR="00A62D44" w:rsidRPr="004C6EEE" w:rsidRDefault="00A62D44" w:rsidP="004C6EEE">
      <w:pPr>
        <w:pStyle w:val="Sectionbreakfirstpage"/>
        <w:sectPr w:rsidR="00A62D44" w:rsidRPr="004C6EEE" w:rsidSect="00FD2A22">
          <w:headerReference w:type="default" r:id="rId9"/>
          <w:footerReference w:type="default" r:id="rId10"/>
          <w:footerReference w:type="first" r:id="rId11"/>
          <w:pgSz w:w="16838" w:h="11906" w:orient="landscape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63CAF466" w14:textId="77777777" w:rsidTr="00502603">
        <w:trPr>
          <w:trHeight w:val="1304"/>
        </w:trPr>
        <w:tc>
          <w:tcPr>
            <w:tcW w:w="11907" w:type="dxa"/>
            <w:vAlign w:val="bottom"/>
          </w:tcPr>
          <w:p w14:paraId="7C1C4689" w14:textId="70C599D8" w:rsidR="00AD784C" w:rsidRPr="00161AA0" w:rsidRDefault="004C3FA2" w:rsidP="00CE12AF">
            <w:pPr>
              <w:pStyle w:val="Documenttitle"/>
            </w:pPr>
            <w:r>
              <w:t>Food Relief Taskforce Action Plan</w:t>
            </w:r>
          </w:p>
        </w:tc>
      </w:tr>
      <w:tr w:rsidR="00CE12AF" w14:paraId="5DCE926A" w14:textId="77777777" w:rsidTr="00502603">
        <w:trPr>
          <w:trHeight w:val="1191"/>
        </w:trPr>
        <w:tc>
          <w:tcPr>
            <w:tcW w:w="11907" w:type="dxa"/>
          </w:tcPr>
          <w:p w14:paraId="7C0EC5FE" w14:textId="02849014" w:rsidR="00CE12AF" w:rsidRPr="00A1389F" w:rsidRDefault="004C3FA2" w:rsidP="00CE12AF">
            <w:pPr>
              <w:pStyle w:val="Documentsubtitle"/>
            </w:pPr>
            <w:r>
              <w:t>Priority actions and timeframe</w:t>
            </w:r>
          </w:p>
        </w:tc>
      </w:tr>
    </w:tbl>
    <w:p w14:paraId="23D62EA3" w14:textId="24FB137D" w:rsidR="007173CA" w:rsidRDefault="007173CA" w:rsidP="00D079AA">
      <w:pPr>
        <w:pStyle w:val="Body"/>
      </w:pPr>
    </w:p>
    <w:p w14:paraId="6AC7DD48" w14:textId="77777777" w:rsidR="00580394" w:rsidRPr="00B519CD" w:rsidRDefault="00580394" w:rsidP="007173CA">
      <w:pPr>
        <w:pStyle w:val="Body"/>
        <w:sectPr w:rsidR="00580394" w:rsidRPr="00B519CD" w:rsidSect="00FD2A22">
          <w:headerReference w:type="default" r:id="rId12"/>
          <w:type w:val="continuous"/>
          <w:pgSz w:w="16838" w:h="11906" w:orient="landscape" w:code="9"/>
          <w:pgMar w:top="1418" w:right="851" w:bottom="1418" w:left="851" w:header="680" w:footer="851" w:gutter="0"/>
          <w:cols w:space="340"/>
          <w:titlePg/>
          <w:docGrid w:linePitch="360"/>
        </w:sectPr>
      </w:pPr>
    </w:p>
    <w:p w14:paraId="5F8A191E" w14:textId="6CA9484C" w:rsidR="004C3FA2" w:rsidRDefault="004C3FA2" w:rsidP="004C3FA2">
      <w:pPr>
        <w:pStyle w:val="Body"/>
        <w:rPr>
          <w:rFonts w:cs="Arial"/>
          <w:szCs w:val="21"/>
        </w:rPr>
      </w:pPr>
      <w:bookmarkStart w:id="0" w:name="_Hlk41913885"/>
      <w:r>
        <w:rPr>
          <w:rFonts w:cs="Arial"/>
          <w:szCs w:val="21"/>
        </w:rPr>
        <w:t xml:space="preserve">The Taskforce has identified </w:t>
      </w:r>
      <w:r w:rsidRPr="00961A83">
        <w:rPr>
          <w:rFonts w:cs="Arial"/>
          <w:szCs w:val="21"/>
        </w:rPr>
        <w:t>priority actions</w:t>
      </w:r>
      <w:r>
        <w:rPr>
          <w:rFonts w:cs="Arial"/>
          <w:szCs w:val="21"/>
        </w:rPr>
        <w:t xml:space="preserve"> focusing on</w:t>
      </w:r>
      <w:r w:rsidRPr="00961A83">
        <w:rPr>
          <w:rFonts w:cs="Arial"/>
          <w:szCs w:val="21"/>
        </w:rPr>
        <w:t xml:space="preserve"> immediate</w:t>
      </w:r>
      <w:r>
        <w:rPr>
          <w:rFonts w:cs="Arial"/>
          <w:szCs w:val="21"/>
        </w:rPr>
        <w:t xml:space="preserve"> and</w:t>
      </w:r>
      <w:r w:rsidRPr="00961A83">
        <w:rPr>
          <w:rFonts w:cs="Arial"/>
          <w:szCs w:val="21"/>
        </w:rPr>
        <w:t xml:space="preserve"> short-term goals</w:t>
      </w:r>
      <w:r>
        <w:rPr>
          <w:rFonts w:cs="Arial"/>
          <w:szCs w:val="21"/>
        </w:rPr>
        <w:t>,</w:t>
      </w:r>
      <w:r w:rsidRPr="00961A83">
        <w:rPr>
          <w:rFonts w:cs="Arial"/>
          <w:szCs w:val="21"/>
        </w:rPr>
        <w:t xml:space="preserve"> through to year-long </w:t>
      </w:r>
      <w:r>
        <w:rPr>
          <w:rFonts w:cs="Arial"/>
          <w:szCs w:val="21"/>
        </w:rPr>
        <w:t>projects</w:t>
      </w:r>
      <w:r w:rsidRPr="00961A83">
        <w:rPr>
          <w:rFonts w:cs="Arial"/>
          <w:szCs w:val="21"/>
        </w:rPr>
        <w:t>. In addition, the Taskforce will have the role of providing advice and recommendations to the Minister for Disability, Ageing and Carers throughout its period of operation.</w:t>
      </w:r>
    </w:p>
    <w:p w14:paraId="62B680DD" w14:textId="188D238F" w:rsidR="004C3FA2" w:rsidRDefault="004C3FA2" w:rsidP="004C3FA2">
      <w:pPr>
        <w:pStyle w:val="Tablecaption"/>
      </w:pPr>
      <w:bookmarkStart w:id="1" w:name="_Hlk37240926"/>
      <w:bookmarkEnd w:id="0"/>
      <w:r>
        <w:t>Priority projects and timeframe for completion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2256"/>
        <w:gridCol w:w="4290"/>
        <w:gridCol w:w="4290"/>
        <w:gridCol w:w="4290"/>
      </w:tblGrid>
      <w:tr w:rsidR="004C3FA2" w:rsidRPr="004D099D" w14:paraId="0B429E32" w14:textId="77777777" w:rsidTr="002560E4">
        <w:trPr>
          <w:tblHeader/>
        </w:trPr>
        <w:tc>
          <w:tcPr>
            <w:tcW w:w="746" w:type="pct"/>
            <w:shd w:val="clear" w:color="auto" w:fill="009FAE"/>
          </w:tcPr>
          <w:p w14:paraId="0E7A8983" w14:textId="77777777" w:rsidR="004C3FA2" w:rsidRPr="00782B6F" w:rsidRDefault="004C3FA2" w:rsidP="006A0A85">
            <w:pPr>
              <w:pStyle w:val="Tablecolhead"/>
              <w:jc w:val="center"/>
              <w:rPr>
                <w:color w:val="auto"/>
              </w:rPr>
            </w:pPr>
            <w:r w:rsidRPr="00782B6F">
              <w:rPr>
                <w:color w:val="auto"/>
              </w:rPr>
              <w:t>Strategic priority</w:t>
            </w:r>
          </w:p>
        </w:tc>
        <w:tc>
          <w:tcPr>
            <w:tcW w:w="1418" w:type="pct"/>
            <w:shd w:val="clear" w:color="auto" w:fill="009FAE"/>
          </w:tcPr>
          <w:p w14:paraId="0DFA174C" w14:textId="77777777" w:rsidR="004C3FA2" w:rsidRPr="00782B6F" w:rsidRDefault="004C3FA2" w:rsidP="006A0A85">
            <w:pPr>
              <w:pStyle w:val="Tablecolhead"/>
              <w:jc w:val="center"/>
              <w:rPr>
                <w:color w:val="auto"/>
              </w:rPr>
            </w:pPr>
            <w:r w:rsidRPr="00782B6F">
              <w:rPr>
                <w:color w:val="auto"/>
              </w:rPr>
              <w:t>3 months</w:t>
            </w:r>
          </w:p>
          <w:p w14:paraId="4E5C74A2" w14:textId="77777777" w:rsidR="004C3FA2" w:rsidRPr="00782B6F" w:rsidRDefault="004C3FA2" w:rsidP="006A0A85">
            <w:pPr>
              <w:pStyle w:val="Tablecolhead"/>
              <w:jc w:val="center"/>
              <w:rPr>
                <w:color w:val="auto"/>
              </w:rPr>
            </w:pPr>
            <w:r w:rsidRPr="00782B6F">
              <w:rPr>
                <w:color w:val="auto"/>
              </w:rPr>
              <w:t>(September 2021)</w:t>
            </w:r>
          </w:p>
        </w:tc>
        <w:tc>
          <w:tcPr>
            <w:tcW w:w="1418" w:type="pct"/>
            <w:shd w:val="clear" w:color="auto" w:fill="009FAE"/>
          </w:tcPr>
          <w:p w14:paraId="4BF34344" w14:textId="77777777" w:rsidR="004C3FA2" w:rsidRPr="00782B6F" w:rsidRDefault="004C3FA2" w:rsidP="006A0A85">
            <w:pPr>
              <w:pStyle w:val="Tablecolhead"/>
              <w:jc w:val="center"/>
              <w:rPr>
                <w:color w:val="auto"/>
              </w:rPr>
            </w:pPr>
            <w:r w:rsidRPr="00782B6F">
              <w:rPr>
                <w:color w:val="auto"/>
              </w:rPr>
              <w:t>6 months</w:t>
            </w:r>
          </w:p>
          <w:p w14:paraId="4E686E6E" w14:textId="77777777" w:rsidR="004C3FA2" w:rsidRPr="00782B6F" w:rsidRDefault="004C3FA2" w:rsidP="006A0A85">
            <w:pPr>
              <w:pStyle w:val="Tablecolhead"/>
              <w:jc w:val="center"/>
              <w:rPr>
                <w:color w:val="auto"/>
              </w:rPr>
            </w:pPr>
            <w:r w:rsidRPr="00782B6F">
              <w:rPr>
                <w:color w:val="auto"/>
              </w:rPr>
              <w:t>(December 2021)</w:t>
            </w:r>
          </w:p>
        </w:tc>
        <w:tc>
          <w:tcPr>
            <w:tcW w:w="1418" w:type="pct"/>
            <w:shd w:val="clear" w:color="auto" w:fill="009FAE"/>
          </w:tcPr>
          <w:p w14:paraId="17614CED" w14:textId="77777777" w:rsidR="004C3FA2" w:rsidRPr="00782B6F" w:rsidRDefault="004C3FA2" w:rsidP="006A0A85">
            <w:pPr>
              <w:pStyle w:val="Tablecolhead"/>
              <w:jc w:val="center"/>
              <w:rPr>
                <w:color w:val="auto"/>
              </w:rPr>
            </w:pPr>
            <w:r w:rsidRPr="00782B6F">
              <w:rPr>
                <w:color w:val="auto"/>
              </w:rPr>
              <w:t>12 months</w:t>
            </w:r>
          </w:p>
          <w:p w14:paraId="0AD0E735" w14:textId="77777777" w:rsidR="004C3FA2" w:rsidRPr="00782B6F" w:rsidRDefault="004C3FA2" w:rsidP="006A0A85">
            <w:pPr>
              <w:pStyle w:val="Tablecolhead"/>
              <w:jc w:val="center"/>
              <w:rPr>
                <w:color w:val="auto"/>
              </w:rPr>
            </w:pPr>
            <w:r w:rsidRPr="00782B6F">
              <w:rPr>
                <w:color w:val="auto"/>
              </w:rPr>
              <w:t>(June 2022)</w:t>
            </w:r>
          </w:p>
        </w:tc>
      </w:tr>
      <w:tr w:rsidR="004C3FA2" w14:paraId="158279C6" w14:textId="77777777" w:rsidTr="002560E4">
        <w:trPr>
          <w:trHeight w:val="756"/>
        </w:trPr>
        <w:tc>
          <w:tcPr>
            <w:tcW w:w="746" w:type="pct"/>
            <w:shd w:val="clear" w:color="auto" w:fill="D9D9D9" w:themeFill="background1" w:themeFillShade="D9"/>
          </w:tcPr>
          <w:p w14:paraId="15BB91A6" w14:textId="77777777" w:rsidR="004C3FA2" w:rsidRDefault="004C3FA2" w:rsidP="006A0A85">
            <w:pPr>
              <w:pStyle w:val="Tabletext"/>
              <w:rPr>
                <w:b/>
                <w:bCs/>
              </w:rPr>
            </w:pPr>
            <w:r w:rsidRPr="00830995">
              <w:rPr>
                <w:b/>
                <w:bCs/>
              </w:rPr>
              <w:t>Evidence-informed</w:t>
            </w:r>
          </w:p>
          <w:p w14:paraId="57CF4A98" w14:textId="77777777" w:rsidR="004C3FA2" w:rsidRPr="00830995" w:rsidRDefault="004C3FA2" w:rsidP="006A0A85">
            <w:pPr>
              <w:pStyle w:val="Tabletext"/>
              <w:rPr>
                <w:b/>
                <w:bCs/>
              </w:rPr>
            </w:pPr>
            <w:r w:rsidRPr="00074343">
              <w:rPr>
                <w:i/>
                <w:iCs/>
                <w:sz w:val="16"/>
                <w:szCs w:val="16"/>
              </w:rPr>
              <w:t>Robust system knowledge and the ability to pivot responses to areas of need</w:t>
            </w:r>
          </w:p>
        </w:tc>
        <w:tc>
          <w:tcPr>
            <w:tcW w:w="1418" w:type="pct"/>
          </w:tcPr>
          <w:p w14:paraId="466D9963" w14:textId="77777777" w:rsidR="004C3FA2" w:rsidRPr="00247744" w:rsidRDefault="004C3FA2" w:rsidP="006A0A85">
            <w:pPr>
              <w:pStyle w:val="Tablebullet1"/>
              <w:rPr>
                <w:sz w:val="19"/>
                <w:szCs w:val="18"/>
              </w:rPr>
            </w:pPr>
            <w:r w:rsidRPr="00247744">
              <w:rPr>
                <w:sz w:val="19"/>
                <w:szCs w:val="18"/>
              </w:rPr>
              <w:t>Establish regular collection of food relief supply and distribution data.</w:t>
            </w:r>
          </w:p>
          <w:p w14:paraId="75A24194" w14:textId="625AA7A6" w:rsidR="004C3FA2" w:rsidRPr="00247744" w:rsidRDefault="004C3FA2" w:rsidP="006A0A85">
            <w:pPr>
              <w:pStyle w:val="Tablebullet2"/>
              <w:rPr>
                <w:sz w:val="19"/>
                <w:szCs w:val="18"/>
              </w:rPr>
            </w:pPr>
            <w:r w:rsidRPr="00AA3D68">
              <w:rPr>
                <w:sz w:val="19"/>
                <w:szCs w:val="18"/>
              </w:rPr>
              <w:t xml:space="preserve">Develop standardised metrics and categories for food supply and distribution, </w:t>
            </w:r>
            <w:r w:rsidR="00E82B63" w:rsidRPr="00AA3D68">
              <w:rPr>
                <w:sz w:val="19"/>
                <w:szCs w:val="18"/>
              </w:rPr>
              <w:t xml:space="preserve">including </w:t>
            </w:r>
            <w:r w:rsidRPr="00AA3D68">
              <w:rPr>
                <w:sz w:val="19"/>
                <w:szCs w:val="18"/>
              </w:rPr>
              <w:t>nutrition</w:t>
            </w:r>
            <w:r w:rsidR="00E82B63" w:rsidRPr="00AA3D68">
              <w:rPr>
                <w:sz w:val="19"/>
                <w:szCs w:val="18"/>
              </w:rPr>
              <w:t xml:space="preserve"> value</w:t>
            </w:r>
            <w:r w:rsidRPr="00AA3D68">
              <w:rPr>
                <w:sz w:val="19"/>
                <w:szCs w:val="18"/>
              </w:rPr>
              <w:t>.</w:t>
            </w:r>
          </w:p>
        </w:tc>
        <w:tc>
          <w:tcPr>
            <w:tcW w:w="1418" w:type="pct"/>
          </w:tcPr>
          <w:p w14:paraId="6CBACA11" w14:textId="77777777" w:rsidR="004C3FA2" w:rsidRPr="00247744" w:rsidRDefault="004C3FA2" w:rsidP="006A0A85">
            <w:pPr>
              <w:pStyle w:val="Tablebullet1"/>
              <w:rPr>
                <w:sz w:val="19"/>
                <w:szCs w:val="18"/>
              </w:rPr>
            </w:pPr>
            <w:r w:rsidRPr="00247744">
              <w:rPr>
                <w:sz w:val="19"/>
                <w:szCs w:val="18"/>
              </w:rPr>
              <w:t>Develop Victorian Food Stress Index (incl. Healthy Food Basket cost monitoring survey).</w:t>
            </w:r>
          </w:p>
          <w:p w14:paraId="54E6DF64" w14:textId="77777777" w:rsidR="004C3FA2" w:rsidRPr="00247744" w:rsidRDefault="004C3FA2" w:rsidP="006A0A85">
            <w:pPr>
              <w:pStyle w:val="Tablebullet1"/>
              <w:rPr>
                <w:sz w:val="19"/>
                <w:szCs w:val="18"/>
              </w:rPr>
            </w:pPr>
            <w:r w:rsidRPr="00247744">
              <w:rPr>
                <w:sz w:val="19"/>
                <w:szCs w:val="18"/>
              </w:rPr>
              <w:t xml:space="preserve">Develop Food Relief Data Dashboard (with food stress and distribution data layers) and publish on Taskforce website. </w:t>
            </w:r>
          </w:p>
        </w:tc>
        <w:tc>
          <w:tcPr>
            <w:tcW w:w="1418" w:type="pct"/>
          </w:tcPr>
          <w:p w14:paraId="3814EADA" w14:textId="77777777" w:rsidR="004C3FA2" w:rsidRPr="00247744" w:rsidRDefault="004C3FA2" w:rsidP="006A0A85">
            <w:pPr>
              <w:pStyle w:val="Tablebullet1"/>
              <w:rPr>
                <w:sz w:val="19"/>
                <w:szCs w:val="18"/>
              </w:rPr>
            </w:pPr>
            <w:r w:rsidRPr="00247744">
              <w:rPr>
                <w:sz w:val="19"/>
                <w:szCs w:val="18"/>
              </w:rPr>
              <w:t>Expand Data Dashboard with mapping of community food relief agencies (output from mapping and gap analysis).</w:t>
            </w:r>
          </w:p>
        </w:tc>
      </w:tr>
      <w:tr w:rsidR="004A1A2B" w14:paraId="0EE4337D" w14:textId="77777777" w:rsidTr="002560E4">
        <w:trPr>
          <w:trHeight w:val="2618"/>
        </w:trPr>
        <w:tc>
          <w:tcPr>
            <w:tcW w:w="746" w:type="pct"/>
            <w:shd w:val="clear" w:color="auto" w:fill="D9D9D9" w:themeFill="background1" w:themeFillShade="D9"/>
          </w:tcPr>
          <w:p w14:paraId="33569897" w14:textId="77777777" w:rsidR="007C3547" w:rsidRDefault="007C3547" w:rsidP="007C3547">
            <w:pPr>
              <w:pStyle w:val="Tabletext"/>
              <w:rPr>
                <w:b/>
                <w:bCs/>
              </w:rPr>
            </w:pPr>
            <w:r w:rsidRPr="00830995">
              <w:rPr>
                <w:b/>
                <w:bCs/>
              </w:rPr>
              <w:t>Robust operating models</w:t>
            </w:r>
          </w:p>
          <w:p w14:paraId="3F33277A" w14:textId="1C28AA3B" w:rsidR="004A1A2B" w:rsidRPr="00830995" w:rsidRDefault="007C3547" w:rsidP="007C3547">
            <w:pPr>
              <w:pStyle w:val="Tabletext"/>
              <w:rPr>
                <w:b/>
                <w:bCs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Sustainable food supply, and i</w:t>
            </w:r>
            <w:r w:rsidRPr="00074343">
              <w:rPr>
                <w:rFonts w:cstheme="minorHAnsi"/>
                <w:i/>
                <w:iCs/>
                <w:sz w:val="16"/>
                <w:szCs w:val="16"/>
              </w:rPr>
              <w:t>mproved viability and capacity across the food relief sector</w:t>
            </w:r>
          </w:p>
        </w:tc>
        <w:tc>
          <w:tcPr>
            <w:tcW w:w="1418" w:type="pct"/>
          </w:tcPr>
          <w:p w14:paraId="287E4C69" w14:textId="7E739996" w:rsidR="004A1A2B" w:rsidRPr="00247744" w:rsidRDefault="00782B6F" w:rsidP="0011334B">
            <w:pPr>
              <w:pStyle w:val="Body"/>
            </w:pPr>
            <w:r>
              <w:t>-</w:t>
            </w:r>
          </w:p>
        </w:tc>
        <w:tc>
          <w:tcPr>
            <w:tcW w:w="1418" w:type="pct"/>
          </w:tcPr>
          <w:p w14:paraId="104630DD" w14:textId="77777777" w:rsidR="004A1A2B" w:rsidRPr="00247744" w:rsidRDefault="004A1A2B" w:rsidP="00AF4D27">
            <w:pPr>
              <w:pStyle w:val="Tablebullet1"/>
              <w:rPr>
                <w:sz w:val="19"/>
                <w:szCs w:val="18"/>
              </w:rPr>
            </w:pPr>
            <w:r w:rsidRPr="00247744">
              <w:rPr>
                <w:sz w:val="19"/>
                <w:szCs w:val="18"/>
              </w:rPr>
              <w:t>Develop and promote guidance for both industry and community food relief agencies apply the Good Samaritan legislation, and further support donations of surplus food.</w:t>
            </w:r>
          </w:p>
        </w:tc>
        <w:tc>
          <w:tcPr>
            <w:tcW w:w="1418" w:type="pct"/>
          </w:tcPr>
          <w:p w14:paraId="6FCD4428" w14:textId="77777777" w:rsidR="004A1A2B" w:rsidRPr="00247744" w:rsidRDefault="004A1A2B" w:rsidP="00AF4D27">
            <w:pPr>
              <w:pStyle w:val="Tablebullet1"/>
              <w:rPr>
                <w:sz w:val="19"/>
                <w:szCs w:val="18"/>
              </w:rPr>
            </w:pPr>
            <w:r w:rsidRPr="00247744">
              <w:rPr>
                <w:sz w:val="19"/>
                <w:szCs w:val="18"/>
              </w:rPr>
              <w:t>Explore future trends, challenges, and opportunities in food supply (including rescue, donations and purchasing).</w:t>
            </w:r>
          </w:p>
          <w:p w14:paraId="30BCA360" w14:textId="77777777" w:rsidR="004A1A2B" w:rsidRPr="00247744" w:rsidDel="00BF7518" w:rsidRDefault="004A1A2B" w:rsidP="00AF4D27">
            <w:pPr>
              <w:pStyle w:val="Tablebullet1"/>
              <w:rPr>
                <w:sz w:val="19"/>
                <w:szCs w:val="18"/>
              </w:rPr>
            </w:pPr>
            <w:r w:rsidRPr="00247744">
              <w:rPr>
                <w:sz w:val="19"/>
                <w:szCs w:val="18"/>
              </w:rPr>
              <w:t xml:space="preserve">Investigate incentives and support options to increase food recovery and redistribution from farms. </w:t>
            </w:r>
          </w:p>
          <w:p w14:paraId="4FD462A1" w14:textId="77777777" w:rsidR="004A1A2B" w:rsidRPr="00247744" w:rsidRDefault="004A1A2B" w:rsidP="00AF4D27">
            <w:pPr>
              <w:pStyle w:val="Tablebullet1"/>
              <w:rPr>
                <w:sz w:val="19"/>
                <w:szCs w:val="18"/>
              </w:rPr>
            </w:pPr>
            <w:r w:rsidRPr="00247744">
              <w:rPr>
                <w:sz w:val="19"/>
                <w:szCs w:val="18"/>
              </w:rPr>
              <w:t>Pilot weVolunteer for food relief (volunteer credentialing and recruitment application).</w:t>
            </w:r>
          </w:p>
          <w:p w14:paraId="1D6F86FD" w14:textId="77777777" w:rsidR="004A1A2B" w:rsidRDefault="004A1A2B" w:rsidP="00AF4D27">
            <w:pPr>
              <w:pStyle w:val="Tablebullet2"/>
              <w:rPr>
                <w:sz w:val="19"/>
                <w:szCs w:val="18"/>
              </w:rPr>
            </w:pPr>
            <w:r w:rsidRPr="00835000">
              <w:rPr>
                <w:sz w:val="19"/>
                <w:szCs w:val="18"/>
              </w:rPr>
              <w:t xml:space="preserve">Implement food relief-specific micro-credentials / training modules. </w:t>
            </w:r>
          </w:p>
          <w:p w14:paraId="21D8A2A4" w14:textId="5F1756F3" w:rsidR="007C3547" w:rsidRPr="00247744" w:rsidDel="00BF7518" w:rsidRDefault="007C3547" w:rsidP="007C3547">
            <w:pPr>
              <w:pStyle w:val="Tablebullet2"/>
              <w:numPr>
                <w:ilvl w:val="0"/>
                <w:numId w:val="0"/>
              </w:numPr>
              <w:rPr>
                <w:sz w:val="19"/>
                <w:szCs w:val="18"/>
              </w:rPr>
            </w:pPr>
          </w:p>
        </w:tc>
      </w:tr>
      <w:tr w:rsidR="008B2A53" w14:paraId="2E7C2FF7" w14:textId="77777777" w:rsidTr="002560E4">
        <w:trPr>
          <w:trHeight w:val="756"/>
        </w:trPr>
        <w:tc>
          <w:tcPr>
            <w:tcW w:w="746" w:type="pct"/>
            <w:shd w:val="clear" w:color="auto" w:fill="D9D9D9" w:themeFill="background1" w:themeFillShade="D9"/>
          </w:tcPr>
          <w:p w14:paraId="1E11B988" w14:textId="77777777" w:rsidR="008B2A53" w:rsidRDefault="008B2A53" w:rsidP="00A215BD">
            <w:pPr>
              <w:pStyle w:val="Tabletext"/>
              <w:rPr>
                <w:b/>
                <w:bCs/>
              </w:rPr>
            </w:pPr>
            <w:r w:rsidRPr="00830995">
              <w:rPr>
                <w:b/>
                <w:bCs/>
              </w:rPr>
              <w:lastRenderedPageBreak/>
              <w:t xml:space="preserve">Healthy, </w:t>
            </w:r>
            <w:proofErr w:type="gramStart"/>
            <w:r w:rsidRPr="00830995">
              <w:rPr>
                <w:b/>
                <w:bCs/>
              </w:rPr>
              <w:t>diverse</w:t>
            </w:r>
            <w:proofErr w:type="gramEnd"/>
            <w:r w:rsidRPr="00830995">
              <w:rPr>
                <w:b/>
                <w:bCs/>
              </w:rPr>
              <w:t xml:space="preserve"> and dignified</w:t>
            </w:r>
          </w:p>
          <w:p w14:paraId="2907562C" w14:textId="77777777" w:rsidR="008B2A53" w:rsidRPr="00830995" w:rsidRDefault="008B2A53" w:rsidP="00A215BD">
            <w:pPr>
              <w:pStyle w:val="Tabletext"/>
              <w:rPr>
                <w:b/>
                <w:bCs/>
              </w:rPr>
            </w:pPr>
            <w:r w:rsidRPr="00302DC3">
              <w:rPr>
                <w:i/>
                <w:iCs/>
                <w:sz w:val="16"/>
                <w:szCs w:val="16"/>
              </w:rPr>
              <w:t>Improved access to healthy and culturally appropriate food</w:t>
            </w:r>
          </w:p>
        </w:tc>
        <w:tc>
          <w:tcPr>
            <w:tcW w:w="1418" w:type="pct"/>
          </w:tcPr>
          <w:p w14:paraId="19819F91" w14:textId="3C89637B" w:rsidR="008B2A53" w:rsidRPr="00247744" w:rsidRDefault="009B139A" w:rsidP="0011334B">
            <w:pPr>
              <w:pStyle w:val="Body"/>
            </w:pPr>
            <w:r>
              <w:t>-</w:t>
            </w:r>
          </w:p>
        </w:tc>
        <w:tc>
          <w:tcPr>
            <w:tcW w:w="1418" w:type="pct"/>
          </w:tcPr>
          <w:p w14:paraId="5612B0D5" w14:textId="77777777" w:rsidR="003E26D5" w:rsidRDefault="003E26D5" w:rsidP="00A215BD">
            <w:pPr>
              <w:pStyle w:val="Tablebullet1"/>
              <w:rPr>
                <w:sz w:val="19"/>
                <w:szCs w:val="18"/>
              </w:rPr>
            </w:pPr>
            <w:r w:rsidRPr="00247744">
              <w:rPr>
                <w:sz w:val="19"/>
                <w:szCs w:val="18"/>
              </w:rPr>
              <w:t>Develop food relief nutrition guidelines for consultation.</w:t>
            </w:r>
          </w:p>
          <w:p w14:paraId="6F339E44" w14:textId="62A10391" w:rsidR="008B2A53" w:rsidRPr="00247744" w:rsidRDefault="008B2A53" w:rsidP="00A215BD">
            <w:pPr>
              <w:pStyle w:val="Tablebullet1"/>
              <w:rPr>
                <w:sz w:val="19"/>
                <w:szCs w:val="18"/>
              </w:rPr>
            </w:pPr>
            <w:r w:rsidRPr="00247744">
              <w:rPr>
                <w:sz w:val="19"/>
                <w:szCs w:val="18"/>
              </w:rPr>
              <w:t>Engage with CALD community organisations to develop linkages and supports across the broader food relief system.</w:t>
            </w:r>
          </w:p>
        </w:tc>
        <w:tc>
          <w:tcPr>
            <w:tcW w:w="1418" w:type="pct"/>
          </w:tcPr>
          <w:p w14:paraId="2A4B86B9" w14:textId="2F27BE16" w:rsidR="008B2A53" w:rsidRPr="003E26D5" w:rsidRDefault="008B2A53" w:rsidP="003E26D5">
            <w:pPr>
              <w:pStyle w:val="Tablebullet1"/>
              <w:rPr>
                <w:sz w:val="19"/>
                <w:szCs w:val="18"/>
              </w:rPr>
            </w:pPr>
            <w:r w:rsidRPr="00247744">
              <w:rPr>
                <w:sz w:val="19"/>
                <w:szCs w:val="18"/>
              </w:rPr>
              <w:t xml:space="preserve">Develop a Charter with guidelines for the provision of healthy, culturally appropriate, and dignified food relief for consultation. </w:t>
            </w:r>
          </w:p>
        </w:tc>
      </w:tr>
      <w:tr w:rsidR="004C3FA2" w14:paraId="0CEDBF52" w14:textId="77777777" w:rsidTr="002560E4">
        <w:trPr>
          <w:trHeight w:val="77"/>
        </w:trPr>
        <w:tc>
          <w:tcPr>
            <w:tcW w:w="746" w:type="pct"/>
            <w:shd w:val="clear" w:color="auto" w:fill="D9D9D9" w:themeFill="background1" w:themeFillShade="D9"/>
          </w:tcPr>
          <w:p w14:paraId="47F766DE" w14:textId="77777777" w:rsidR="004C3FA2" w:rsidRDefault="004C3FA2" w:rsidP="006A0A85">
            <w:pPr>
              <w:pStyle w:val="Tabletext"/>
              <w:rPr>
                <w:b/>
                <w:bCs/>
              </w:rPr>
            </w:pPr>
            <w:r w:rsidRPr="00830995">
              <w:rPr>
                <w:b/>
                <w:bCs/>
              </w:rPr>
              <w:t>Coordination</w:t>
            </w:r>
          </w:p>
          <w:p w14:paraId="79323C12" w14:textId="77777777" w:rsidR="004C3FA2" w:rsidRPr="00830995" w:rsidRDefault="004C3FA2" w:rsidP="006A0A85">
            <w:pPr>
              <w:pStyle w:val="Tabletext"/>
              <w:rPr>
                <w:b/>
                <w:bCs/>
              </w:rPr>
            </w:pPr>
            <w:r w:rsidRPr="00074343">
              <w:rPr>
                <w:i/>
                <w:iCs/>
                <w:sz w:val="16"/>
                <w:szCs w:val="16"/>
              </w:rPr>
              <w:t>Enhanced collaboration and effectiveness of the food relief system</w:t>
            </w:r>
          </w:p>
        </w:tc>
        <w:tc>
          <w:tcPr>
            <w:tcW w:w="1418" w:type="pct"/>
            <w:tcBorders>
              <w:bottom w:val="single" w:sz="4" w:space="0" w:color="auto"/>
              <w:right w:val="single" w:sz="4" w:space="0" w:color="auto"/>
            </w:tcBorders>
          </w:tcPr>
          <w:p w14:paraId="17376E2F" w14:textId="77777777" w:rsidR="004C3FA2" w:rsidRPr="00247744" w:rsidRDefault="004C3FA2" w:rsidP="006A0A85">
            <w:pPr>
              <w:pStyle w:val="Tablebullet1"/>
              <w:rPr>
                <w:sz w:val="19"/>
                <w:szCs w:val="18"/>
              </w:rPr>
            </w:pPr>
            <w:r w:rsidRPr="00247744">
              <w:rPr>
                <w:sz w:val="19"/>
                <w:szCs w:val="18"/>
              </w:rPr>
              <w:t xml:space="preserve">Explore and document trends, challenges, and opportunities in regional food relief storage and transport. </w:t>
            </w:r>
          </w:p>
        </w:tc>
        <w:tc>
          <w:tcPr>
            <w:tcW w:w="1418" w:type="pct"/>
            <w:tcBorders>
              <w:left w:val="single" w:sz="4" w:space="0" w:color="auto"/>
              <w:bottom w:val="single" w:sz="4" w:space="0" w:color="auto"/>
            </w:tcBorders>
          </w:tcPr>
          <w:p w14:paraId="448ACD6D" w14:textId="77777777" w:rsidR="004C3FA2" w:rsidRPr="00247744" w:rsidRDefault="004C3FA2" w:rsidP="006A0A85">
            <w:pPr>
              <w:pStyle w:val="Tablebullet1"/>
              <w:rPr>
                <w:sz w:val="19"/>
                <w:szCs w:val="18"/>
              </w:rPr>
            </w:pPr>
            <w:r w:rsidRPr="00247744">
              <w:rPr>
                <w:sz w:val="19"/>
                <w:szCs w:val="18"/>
              </w:rPr>
              <w:t xml:space="preserve">Establish pilot project for a new partnership approach to food relief distribution. </w:t>
            </w:r>
          </w:p>
        </w:tc>
        <w:tc>
          <w:tcPr>
            <w:tcW w:w="1418" w:type="pct"/>
          </w:tcPr>
          <w:p w14:paraId="1BF7ABF6" w14:textId="77777777" w:rsidR="004C3FA2" w:rsidRPr="00247744" w:rsidRDefault="004C3FA2" w:rsidP="006A0A85">
            <w:pPr>
              <w:pStyle w:val="Tablebullet1"/>
              <w:rPr>
                <w:sz w:val="19"/>
                <w:szCs w:val="18"/>
              </w:rPr>
            </w:pPr>
            <w:r w:rsidRPr="00247744">
              <w:rPr>
                <w:sz w:val="19"/>
                <w:szCs w:val="18"/>
              </w:rPr>
              <w:t>Develop options for a broader Food Relief Sector website.</w:t>
            </w:r>
          </w:p>
          <w:p w14:paraId="078CBC49" w14:textId="77777777" w:rsidR="004C3FA2" w:rsidRPr="00247744" w:rsidRDefault="004C3FA2" w:rsidP="006A0A85">
            <w:pPr>
              <w:pStyle w:val="Tablebullet1"/>
              <w:rPr>
                <w:sz w:val="19"/>
                <w:szCs w:val="18"/>
              </w:rPr>
            </w:pPr>
            <w:r w:rsidRPr="00247744">
              <w:rPr>
                <w:sz w:val="19"/>
                <w:szCs w:val="18"/>
              </w:rPr>
              <w:t>Undertake mapping and gap analysis of the existing food relief system (including frontline agencies, supply chains and distribution, and approaches across local, state, and federal governments).</w:t>
            </w:r>
          </w:p>
          <w:p w14:paraId="3D1FEDAC" w14:textId="77777777" w:rsidR="004C3FA2" w:rsidRPr="00247744" w:rsidRDefault="004C3FA2" w:rsidP="006A0A85">
            <w:pPr>
              <w:pStyle w:val="Tablebullet2"/>
              <w:rPr>
                <w:sz w:val="19"/>
                <w:szCs w:val="18"/>
              </w:rPr>
            </w:pPr>
            <w:r w:rsidRPr="00835000">
              <w:rPr>
                <w:sz w:val="19"/>
                <w:szCs w:val="18"/>
              </w:rPr>
              <w:t>Explore options to improve efficiency and coordination in food supply and distribution including CALD and community-led food relief responses.</w:t>
            </w:r>
          </w:p>
        </w:tc>
      </w:tr>
    </w:tbl>
    <w:p w14:paraId="18E6677B" w14:textId="5A9A622A" w:rsidR="004C3FA2" w:rsidRDefault="004C3FA2" w:rsidP="00F32368">
      <w:pPr>
        <w:pStyle w:val="Body"/>
      </w:pPr>
    </w:p>
    <w:bookmarkEnd w:id="1"/>
    <w:p w14:paraId="4C5A2CE2" w14:textId="77777777" w:rsidR="00782B6F" w:rsidRPr="0055119B" w:rsidRDefault="00782B6F" w:rsidP="002560E4">
      <w:pPr>
        <w:pStyle w:val="Body"/>
        <w:pBdr>
          <w:top w:val="single" w:sz="4" w:space="6" w:color="auto"/>
          <w:left w:val="single" w:sz="4" w:space="5" w:color="auto"/>
          <w:bottom w:val="single" w:sz="4" w:space="12" w:color="auto"/>
          <w:right w:val="single" w:sz="4" w:space="4" w:color="auto"/>
        </w:pBdr>
      </w:pPr>
      <w:r w:rsidRPr="0055119B">
        <w:t>To receive this document in another format</w:t>
      </w:r>
      <w:r>
        <w:t>,</w:t>
      </w:r>
      <w:r w:rsidRPr="0055119B">
        <w:t xml:space="preserve"> email </w:t>
      </w:r>
      <w:hyperlink r:id="rId13" w:history="1">
        <w:r w:rsidRPr="004C3FA2">
          <w:rPr>
            <w:rStyle w:val="Hyperlink"/>
          </w:rPr>
          <w:t>Food Relief Taskforce Secretariat</w:t>
        </w:r>
      </w:hyperlink>
      <w:r>
        <w:t xml:space="preserve"> </w:t>
      </w:r>
      <w:r w:rsidRPr="0055119B">
        <w:t>&lt;</w:t>
      </w:r>
      <w:r>
        <w:t>foodrelief.team@dhhs.vic.gov.au</w:t>
      </w:r>
      <w:r w:rsidRPr="0055119B">
        <w:t>&gt;.</w:t>
      </w:r>
    </w:p>
    <w:p w14:paraId="3A78AD46" w14:textId="77777777" w:rsidR="00782B6F" w:rsidRDefault="00782B6F" w:rsidP="002560E4">
      <w:pPr>
        <w:pStyle w:val="Body"/>
        <w:pBdr>
          <w:top w:val="single" w:sz="4" w:space="6" w:color="auto"/>
          <w:left w:val="single" w:sz="4" w:space="5" w:color="auto"/>
          <w:bottom w:val="single" w:sz="4" w:space="12" w:color="auto"/>
          <w:right w:val="single" w:sz="4" w:space="4" w:color="auto"/>
        </w:pBdr>
      </w:pPr>
      <w:r w:rsidRPr="0055119B">
        <w:t>Authorised and published by the Victorian Government, 1 Treasury Place, Melbourne.</w:t>
      </w:r>
    </w:p>
    <w:p w14:paraId="429C21BC" w14:textId="77777777" w:rsidR="00782B6F" w:rsidRPr="004C3FA2" w:rsidRDefault="00782B6F" w:rsidP="002560E4">
      <w:pPr>
        <w:pStyle w:val="Body"/>
        <w:pBdr>
          <w:top w:val="single" w:sz="4" w:space="6" w:color="auto"/>
          <w:left w:val="single" w:sz="4" w:space="5" w:color="auto"/>
          <w:bottom w:val="single" w:sz="4" w:space="12" w:color="auto"/>
          <w:right w:val="single" w:sz="4" w:space="4" w:color="auto"/>
        </w:pBdr>
      </w:pPr>
      <w:r w:rsidRPr="0055119B">
        <w:t xml:space="preserve">© State of Victoria, Australia, Department </w:t>
      </w:r>
      <w:r w:rsidRPr="001B058F">
        <w:t xml:space="preserve">of </w:t>
      </w:r>
      <w:r>
        <w:t xml:space="preserve">Families, Fairness and </w:t>
      </w:r>
      <w:r w:rsidRPr="004C3FA2">
        <w:t>Housing, August 2021.</w:t>
      </w:r>
      <w:bookmarkStart w:id="2" w:name="_Hlk62746129"/>
    </w:p>
    <w:p w14:paraId="7AC6F1D3" w14:textId="77777777" w:rsidR="00782B6F" w:rsidRPr="00680C6D" w:rsidRDefault="00782B6F" w:rsidP="002560E4">
      <w:pPr>
        <w:pStyle w:val="Body"/>
        <w:pBdr>
          <w:top w:val="single" w:sz="4" w:space="6" w:color="auto"/>
          <w:left w:val="single" w:sz="4" w:space="5" w:color="auto"/>
          <w:bottom w:val="single" w:sz="4" w:space="12" w:color="auto"/>
          <w:right w:val="single" w:sz="4" w:space="4" w:color="auto"/>
        </w:pBdr>
      </w:pPr>
      <w:r w:rsidRPr="0055119B">
        <w:t xml:space="preserve">Available at </w:t>
      </w:r>
      <w:hyperlink r:id="rId14" w:history="1">
        <w:r w:rsidRPr="008B2A53">
          <w:rPr>
            <w:rStyle w:val="Hyperlink"/>
          </w:rPr>
          <w:t>Food Relief Taskforce – Action Plan</w:t>
        </w:r>
      </w:hyperlink>
      <w:r w:rsidRPr="008B2A53">
        <w:t xml:space="preserve"> &lt;</w:t>
      </w:r>
      <w:r>
        <w:t>http://providers.dffh.vic.gov.au/food-relief-taskforce-action-plan</w:t>
      </w:r>
      <w:r w:rsidRPr="008B2A53">
        <w:t>&gt;</w:t>
      </w:r>
      <w:bookmarkEnd w:id="2"/>
    </w:p>
    <w:sectPr w:rsidR="00782B6F" w:rsidRPr="00680C6D" w:rsidSect="004C3FA2">
      <w:type w:val="continuous"/>
      <w:pgSz w:w="16838" w:h="11906" w:orient="landscape" w:code="9"/>
      <w:pgMar w:top="851" w:right="851" w:bottom="851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A59DD" w14:textId="77777777" w:rsidR="00C1631F" w:rsidRDefault="00C1631F">
      <w:r>
        <w:separator/>
      </w:r>
    </w:p>
    <w:p w14:paraId="00164C61" w14:textId="77777777" w:rsidR="00C1631F" w:rsidRDefault="00C1631F"/>
  </w:endnote>
  <w:endnote w:type="continuationSeparator" w:id="0">
    <w:p w14:paraId="3A679818" w14:textId="77777777" w:rsidR="00C1631F" w:rsidRDefault="00C1631F">
      <w:r>
        <w:continuationSeparator/>
      </w:r>
    </w:p>
    <w:p w14:paraId="3342A8E9" w14:textId="77777777" w:rsidR="00C1631F" w:rsidRDefault="00C16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3731A" w14:textId="77777777" w:rsidR="00E261B3" w:rsidRPr="00F65AA9" w:rsidRDefault="00925DD5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7E54F4DC" wp14:editId="1C4291B6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5E47EC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54F4DC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margin-left:0;margin-top:555.7pt;width:841.9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D6rgIAAEYFAAAOAAAAZHJzL2Uyb0RvYy54bWysVEtv2zAMvg/YfxB02GmL7cR5rk6Rpcha&#10;IG0DpEPPiizHBmxRlZTG2bD/PsqW067badjFpvhRfHwkdXFZVyV5FtoUIBMa9UJKhOSQFnKf0G8P&#10;q08TSoxlMmUlSJHQkzD0cv7+3cVRzUQfcihToQk6kWZ2VAnNrVWzIDA8FxUzPVBCIpiBrpjFo94H&#10;qWZH9F6VQT8MR8ERdKo0cGEMaq9akM4b/1kmuL3PMiMsKROKudnmq5vvzn2D+QWb7TVTecF9Guwf&#10;sqhYITHo2dUVs4wcdPGHq6rgGgxktsehCiDLCi6aGrCaKHxTzTZnSjS1IDlGnWky/88tv3veaFKk&#10;CR1TIlmFLbrd3myWtxPB+nEaxyxKxVCMd+PdKJ4OhmiVCsORwR8fng5gP18zky8hFe1pNg3j8XAy&#10;GEUfPSyKfW49OJwOe6EHHovU5l4/iXFwvH5TMi4qIbs7rckKwArdyt7wRqai9g7a30YXFdOn36y2&#10;OAE4mt6uy+oBlNeE58BrkXUxUfnTTcZRmRkStFVIka2/QI0T3ukNKl3D60xX7o+tJIjjjJ3OcyVq&#10;S7i7FI6m/WiAGEdwEEXjydD5CV6uK23sVwEVcUJCNabdzBN7XhvbmnYmLpqEVVGWzfCWkhwTOhoM&#10;w+bCGUHnpcQYrog2WSfZelf7ynaQnrAwDe1SGMVXBQZfM2M3TOMWYL642fYeP1kJGAS8REkO+vvf&#10;9M4ehxNRSo64VQk1TwemBSXljcSxnUZx7NawOaCgX2t3nVYeqiXgwkb4dijeiM7Wlp2YaagecfEX&#10;LhpCTHKMmdBdJy4tnhDAh4OLxaKRceEUs2u5Vdy5djQ6Sh/qR6aV591iy+6g2zs2e0N/a9s2YHGw&#10;kBVNbxyxLZueb1zWprv+YXGvwetzY/Xy/M1/AQAA//8DAFBLAwQUAAYACAAAACEA1PRkSd4AAAAL&#10;AQAADwAAAGRycy9kb3ducmV2LnhtbEyPzU7DMBCE70h9B2uRuFEHKFEJcaoKxAUJobaIsxNvfpp4&#10;HcVum7w9mxPd286sZr9JN6PtxBkH3zhS8LCMQCAVzjRUKfg5fNyvQfigyejOESqY0MMmW9ykOjHu&#10;Qjs870MlOIR8ohXUIfSJlL6o0Wq/dD0Se6UbrA68DpU0g75wuO3kYxTF0uqG+EOte3yrsWj3J6tg&#10;9f2Sl/LY2uPX9DlNTVv+vuelUne34/YVRMAx/B/DjM/okDFT7k5kvOgUcJHAKs8KxOzH6yfuks9a&#10;HD2DzFJ53SH7AwAA//8DAFBLAQItABQABgAIAAAAIQC2gziS/gAAAOEBAAATAAAAAAAAAAAAAAAA&#10;AAAAAABbQ29udGVudF9UeXBlc10ueG1sUEsBAi0AFAAGAAgAAAAhADj9If/WAAAAlAEAAAsAAAAA&#10;AAAAAAAAAAAALwEAAF9yZWxzLy5yZWxzUEsBAi0AFAAGAAgAAAAhAIMAQPquAgAARgUAAA4AAAAA&#10;AAAAAAAAAAAALgIAAGRycy9lMm9Eb2MueG1sUEsBAi0AFAAGAAgAAAAhANT0ZEneAAAACwEAAA8A&#10;AAAAAAAAAAAAAAAACAUAAGRycy9kb3ducmV2LnhtbFBLBQYAAAAABAAEAPMAAAATBgAAAAA=&#10;" o:allowincell="f" filled="f" stroked="f" strokeweight=".5pt">
              <v:textbox inset=",0,,0">
                <w:txbxContent>
                  <w:p w14:paraId="2B5E47EC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2603">
      <w:rPr>
        <w:noProof/>
      </w:rPr>
      <w:drawing>
        <wp:anchor distT="0" distB="0" distL="114300" distR="114300" simplePos="0" relativeHeight="251679232" behindDoc="1" locked="1" layoutInCell="1" allowOverlap="1" wp14:anchorId="40DCBB46" wp14:editId="6F094332">
          <wp:simplePos x="902335" y="6234430"/>
          <wp:positionH relativeFrom="page">
            <wp:align>right</wp:align>
          </wp:positionH>
          <wp:positionV relativeFrom="page">
            <wp:align>bottom</wp:align>
          </wp:positionV>
          <wp:extent cx="10692000" cy="882000"/>
          <wp:effectExtent l="0" t="0" r="0" b="0"/>
          <wp:wrapNone/>
          <wp:docPr id="5" name="Picture 5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8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830E3" w14:textId="77777777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7184" behindDoc="0" locked="0" layoutInCell="0" allowOverlap="1" wp14:anchorId="5163BC0A" wp14:editId="7A31B49B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C5CD20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63BC0A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margin-left:0;margin-top:555.7pt;width:841.9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7isAIAAE8FAAAOAAAAZHJzL2Uyb0RvYy54bWysVEtv2zAMvg/YfzB02GmL7byT1SmyFNkK&#10;pG2AdOhZkaXYgC2qktK4G/bfR8lyWnQ7DbvYFD+Kj4+kLi6buoqeuDYlyIykvYREXDLIS3nIyPf7&#10;9acpiYylMqcVSJ6RZ27I5eL9u4uTmvM+FFDlXEfoRJr5SWWksFbN49iwgtfU9EBxiaAAXVOLR32I&#10;c01P6L2u4n6SjOMT6FxpYNwY1F61IFl4/0JwZu+EMNxGVUYwN+u/2n/37hsvLuj8oKkqShbSoP+Q&#10;RU1LiUHPrq6opdFRl3+4qkumwYCwPQZ1DEKUjPsasJo0eVPNrqCK+1qQHKPONJn/55bdPm11VOYZ&#10;wUZJWmOLbnbX29XNiE72w+G4P52J8VTkYs/YaNqfMBLl3DBk8OeHxyPYz9+oKVaQ8/Y0nyXDyWg6&#10;GKcfA8zLQ2EDOJqNekkAHsrcFkE/HeLgBP22oozXXHZ3WpM1gOW6lYPhtcx5ExwEo1Ibu6WHkEuw&#10;2+EM4HAGyy6ve1BBk5xDb7jooqLyl5uNkzJzpGinkCTbfIEGZ7zTG1S6ljdC1+6PzYwQxyl7Pk8W&#10;b2zE3KVkPOunA8QYgoM0nUxHzk/8cl1h8l851JETMqIxbT9R9GljbGvambhoEtZlVfnxrWR0ysh4&#10;MEr8hTOCziuJMVwRbbJOss2+8Q0/F7KH/Bnr09Buh1Fs7ZjcUMemxnXAtHHF7R1+RAUYC4JEogL0&#10;j7/pnT1OKaIkOuF6ZcQ8HqnmJKquJc7vLB0O3T76Awr6tXbfaeWxXgFuboqPiGJedLa26kShoX7A&#10;F2DpoiFEJcOYGdl34sriCQF8QRhfLr2Mm6eo3cidYs61Y9Mxe988UK0C/RY7dwvdAtL5my60tm0f&#10;lkcLovQtcvy2bAbacWt9k8ML456F12dv9fIOLn4DAAD//wMAUEsDBBQABgAIAAAAIQDU9GRJ3gAA&#10;AAsBAAAPAAAAZHJzL2Rvd25yZXYueG1sTI/NTsMwEITvSH0Ha5G4UQcoUQlxqgrEBQmhtoizE29+&#10;mngdxW6bvD2bE93bzqxmv0k3o+3EGQffOFLwsIxAIBXONFQp+Dl83K9B+KDJ6M4RKpjQwyZb3KQ6&#10;Me5COzzvQyU4hHyiFdQh9ImUvqjRar90PRJ7pRusDrwOlTSDvnC47eRjFMXS6ob4Q617fKuxaPcn&#10;q2D1/ZKX8tja49f0OU1NW/6+56VSd7fj9hVEwDH8H8OMz+iQMVPuTmS86BRwkcAqzwrE7MfrJ+6S&#10;z1ocPYPMUnndIfsDAAD//wMAUEsBAi0AFAAGAAgAAAAhALaDOJL+AAAA4QEAABMAAAAAAAAAAAAA&#10;AAAAAAAAAFtDb250ZW50X1R5cGVzXS54bWxQSwECLQAUAAYACAAAACEAOP0h/9YAAACUAQAACwAA&#10;AAAAAAAAAAAAAAAvAQAAX3JlbHMvLnJlbHNQSwECLQAUAAYACAAAACEAG5r+4rACAABPBQAADgAA&#10;AAAAAAAAAAAAAAAuAgAAZHJzL2Uyb0RvYy54bWxQSwECLQAUAAYACAAAACEA1PRkSd4AAAALAQAA&#10;DwAAAAAAAAAAAAAAAAAKBQAAZHJzL2Rvd25yZXYueG1sUEsFBgAAAAAEAAQA8wAAABUGAAAAAA==&#10;" o:allowincell="f" filled="f" stroked="f" strokeweight=".5pt">
              <v:textbox inset=",0,,0">
                <w:txbxContent>
                  <w:p w14:paraId="44C5CD20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103AE" w14:textId="77777777" w:rsidR="00C1631F" w:rsidRDefault="00C1631F" w:rsidP="00207717">
      <w:pPr>
        <w:spacing w:before="120"/>
      </w:pPr>
      <w:r>
        <w:separator/>
      </w:r>
    </w:p>
  </w:footnote>
  <w:footnote w:type="continuationSeparator" w:id="0">
    <w:p w14:paraId="68C26512" w14:textId="77777777" w:rsidR="00C1631F" w:rsidRDefault="00C1631F">
      <w:r>
        <w:continuationSeparator/>
      </w:r>
    </w:p>
    <w:p w14:paraId="04AC3F8E" w14:textId="77777777" w:rsidR="00C1631F" w:rsidRDefault="00C163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FB256" w14:textId="77777777" w:rsidR="00FC1C3C" w:rsidRDefault="00FC1C3C" w:rsidP="00EF2C72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DF1FC" w14:textId="1EEC506E" w:rsidR="00E261B3" w:rsidRPr="0051568D" w:rsidRDefault="004C3FA2" w:rsidP="0017674D">
    <w:pPr>
      <w:pStyle w:val="Header"/>
    </w:pPr>
    <w:r>
      <w:t>Priority actions and timeframe, Food Relief Taskforce</w:t>
    </w:r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00B14B5F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86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A2"/>
    <w:rsid w:val="00000719"/>
    <w:rsid w:val="00002D68"/>
    <w:rsid w:val="00003403"/>
    <w:rsid w:val="00005347"/>
    <w:rsid w:val="00006343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78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1334B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47744"/>
    <w:rsid w:val="00250960"/>
    <w:rsid w:val="00250DC4"/>
    <w:rsid w:val="00251343"/>
    <w:rsid w:val="002536A4"/>
    <w:rsid w:val="00254F58"/>
    <w:rsid w:val="002560E4"/>
    <w:rsid w:val="002620BC"/>
    <w:rsid w:val="00262802"/>
    <w:rsid w:val="00263A90"/>
    <w:rsid w:val="0026408B"/>
    <w:rsid w:val="00266E8A"/>
    <w:rsid w:val="00267C3E"/>
    <w:rsid w:val="002709BB"/>
    <w:rsid w:val="0027131C"/>
    <w:rsid w:val="00273BAC"/>
    <w:rsid w:val="002763B3"/>
    <w:rsid w:val="002802E3"/>
    <w:rsid w:val="00280518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3FC8"/>
    <w:rsid w:val="00337339"/>
    <w:rsid w:val="003406C6"/>
    <w:rsid w:val="003418CC"/>
    <w:rsid w:val="0034288F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26D5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44EB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1A2B"/>
    <w:rsid w:val="004A3E81"/>
    <w:rsid w:val="004A4195"/>
    <w:rsid w:val="004A5C62"/>
    <w:rsid w:val="004A5CE5"/>
    <w:rsid w:val="004A707D"/>
    <w:rsid w:val="004B4185"/>
    <w:rsid w:val="004C3FA2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451F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157B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5D73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0C6D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35FD"/>
    <w:rsid w:val="006F6A31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2B6F"/>
    <w:rsid w:val="007833D8"/>
    <w:rsid w:val="00785677"/>
    <w:rsid w:val="00786F16"/>
    <w:rsid w:val="007907AC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47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35000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2170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A53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5DD5"/>
    <w:rsid w:val="009269B1"/>
    <w:rsid w:val="0092724D"/>
    <w:rsid w:val="009272B3"/>
    <w:rsid w:val="009315BE"/>
    <w:rsid w:val="0093338F"/>
    <w:rsid w:val="00937BD9"/>
    <w:rsid w:val="00940499"/>
    <w:rsid w:val="009426B5"/>
    <w:rsid w:val="009429E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13D8"/>
    <w:rsid w:val="009A279E"/>
    <w:rsid w:val="009A3015"/>
    <w:rsid w:val="009A3490"/>
    <w:rsid w:val="009B0A6F"/>
    <w:rsid w:val="009B0A94"/>
    <w:rsid w:val="009B139A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4715"/>
    <w:rsid w:val="00A6061C"/>
    <w:rsid w:val="00A62D44"/>
    <w:rsid w:val="00A6664C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3D68"/>
    <w:rsid w:val="00AA6054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27F7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1631F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8DB"/>
    <w:rsid w:val="00C93C3E"/>
    <w:rsid w:val="00C975CA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420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B63"/>
    <w:rsid w:val="00E82C55"/>
    <w:rsid w:val="00E8787E"/>
    <w:rsid w:val="00E87AB2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2DAB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94F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2DF3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60410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4C3FA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8B30DE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940499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40499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201547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40499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940499"/>
    <w:pPr>
      <w:keepNext/>
      <w:keepLines/>
      <w:spacing w:before="240" w:after="0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8B30DE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940499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40499"/>
    <w:rPr>
      <w:rFonts w:ascii="Arial" w:eastAsia="MS Gothic" w:hAnsi="Arial"/>
      <w:bCs/>
      <w:color w:val="201547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4049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AA6054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940499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oodrelief.team@dhhs.vic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providers.dffh.vic.gov.au/food-relief-taskforce-action-pla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Relief Taskforce Action Plan</dc:title>
  <dc:subject/>
  <dc:creator/>
  <cp:keywords/>
  <cp:lastModifiedBy/>
  <cp:revision>1</cp:revision>
  <dcterms:created xsi:type="dcterms:W3CDTF">2021-08-26T05:36:00Z</dcterms:created>
  <dcterms:modified xsi:type="dcterms:W3CDTF">2021-08-26T05:37:00Z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6aa9fe-4ab7-4a7c-8e39-ccc0b3ffed53_Enabled">
    <vt:lpwstr>true</vt:lpwstr>
  </property>
  <property fmtid="{D5CDD505-2E9C-101B-9397-08002B2CF9AE}" pid="3" name="MSIP_Label_3d6aa9fe-4ab7-4a7c-8e39-ccc0b3ffed53_SetDate">
    <vt:lpwstr>2021-08-26T05:37:32Z</vt:lpwstr>
  </property>
  <property fmtid="{D5CDD505-2E9C-101B-9397-08002B2CF9AE}" pid="4" name="MSIP_Label_3d6aa9fe-4ab7-4a7c-8e39-ccc0b3ffed53_Method">
    <vt:lpwstr>Privileged</vt:lpwstr>
  </property>
  <property fmtid="{D5CDD505-2E9C-101B-9397-08002B2CF9AE}" pid="5" name="MSIP_Label_3d6aa9fe-4ab7-4a7c-8e39-ccc0b3ffed53_Name">
    <vt:lpwstr>3d6aa9fe-4ab7-4a7c-8e39-ccc0b3ffed53</vt:lpwstr>
  </property>
  <property fmtid="{D5CDD505-2E9C-101B-9397-08002B2CF9AE}" pid="6" name="MSIP_Label_3d6aa9fe-4ab7-4a7c-8e39-ccc0b3ffed53_SiteId">
    <vt:lpwstr>c0e0601f-0fac-449c-9c88-a104c4eb9f28</vt:lpwstr>
  </property>
  <property fmtid="{D5CDD505-2E9C-101B-9397-08002B2CF9AE}" pid="7" name="MSIP_Label_3d6aa9fe-4ab7-4a7c-8e39-ccc0b3ffed53_ActionId">
    <vt:lpwstr>2c215be8-9a90-4140-a46c-64ba897df493</vt:lpwstr>
  </property>
  <property fmtid="{D5CDD505-2E9C-101B-9397-08002B2CF9AE}" pid="8" name="MSIP_Label_3d6aa9fe-4ab7-4a7c-8e39-ccc0b3ffed53_ContentBits">
    <vt:lpwstr>0</vt:lpwstr>
  </property>
</Properties>
</file>