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7D13B" w14:textId="77777777"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7502B52B" wp14:editId="03ED28DD">
            <wp:simplePos x="0" y="0"/>
            <wp:positionH relativeFrom="page">
              <wp:posOffset>0</wp:posOffset>
            </wp:positionH>
            <wp:positionV relativeFrom="page">
              <wp:posOffset>0</wp:posOffset>
            </wp:positionV>
            <wp:extent cx="7564755" cy="2052955"/>
            <wp:effectExtent l="0" t="0" r="0" b="4445"/>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755" cy="2052955"/>
                    </a:xfrm>
                    <a:prstGeom prst="rect">
                      <a:avLst/>
                    </a:prstGeom>
                    <a:noFill/>
                  </pic:spPr>
                </pic:pic>
              </a:graphicData>
            </a:graphic>
            <wp14:sizeRelH relativeFrom="page">
              <wp14:pctWidth>0</wp14:pctWidth>
            </wp14:sizeRelH>
            <wp14:sizeRelV relativeFrom="page">
              <wp14:pctHeight>0</wp14:pctHeight>
            </wp14:sizeRelV>
          </wp:anchor>
        </w:drawing>
      </w:r>
    </w:p>
    <w:p w14:paraId="65828505" w14:textId="77777777"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280"/>
      </w:tblGrid>
      <w:tr w:rsidR="00AD784C" w14:paraId="41C51AAE" w14:textId="77777777" w:rsidTr="0088571E">
        <w:trPr>
          <w:trHeight w:val="869"/>
        </w:trPr>
        <w:tc>
          <w:tcPr>
            <w:tcW w:w="8280" w:type="dxa"/>
            <w:shd w:val="clear" w:color="auto" w:fill="auto"/>
            <w:vAlign w:val="bottom"/>
          </w:tcPr>
          <w:p w14:paraId="5B3600AF" w14:textId="77777777" w:rsidR="00AD784C" w:rsidRPr="00DE4E5C" w:rsidRDefault="004D5DA5" w:rsidP="00A818C9">
            <w:pPr>
              <w:pStyle w:val="DHHSmainheading"/>
              <w:spacing w:line="270" w:lineRule="atLeast"/>
              <w:rPr>
                <w:sz w:val="44"/>
                <w:szCs w:val="44"/>
              </w:rPr>
            </w:pPr>
            <w:r w:rsidRPr="004D5DA5">
              <w:rPr>
                <w:rFonts w:cs="Arial"/>
                <w:sz w:val="44"/>
                <w:szCs w:val="44"/>
              </w:rPr>
              <w:t>Aboriginal child specialist advice and support services (ACSASS)</w:t>
            </w:r>
            <w:r w:rsidR="00F922BE" w:rsidRPr="00803B50">
              <w:rPr>
                <w:rFonts w:cs="Arial"/>
                <w:sz w:val="36"/>
                <w:szCs w:val="36"/>
              </w:rPr>
              <w:br/>
            </w:r>
            <w:r w:rsidRPr="004D5DA5">
              <w:rPr>
                <w:rFonts w:cs="Arial"/>
                <w:sz w:val="44"/>
                <w:szCs w:val="44"/>
              </w:rPr>
              <w:t>31263</w:t>
            </w:r>
          </w:p>
        </w:tc>
      </w:tr>
      <w:tr w:rsidR="00AD784C" w14:paraId="323A6908" w14:textId="77777777" w:rsidTr="0088571E">
        <w:trPr>
          <w:trHeight w:hRule="exact" w:val="1135"/>
        </w:trPr>
        <w:tc>
          <w:tcPr>
            <w:tcW w:w="8280" w:type="dxa"/>
            <w:shd w:val="clear" w:color="auto" w:fill="auto"/>
            <w:tcMar>
              <w:top w:w="170" w:type="dxa"/>
              <w:bottom w:w="510" w:type="dxa"/>
            </w:tcMar>
          </w:tcPr>
          <w:p w14:paraId="419D6EA3" w14:textId="77777777" w:rsidR="00803B50" w:rsidRDefault="00F922BE" w:rsidP="005E76EA">
            <w:pPr>
              <w:pStyle w:val="DHHSmainsubheading"/>
              <w:rPr>
                <w:szCs w:val="28"/>
              </w:rPr>
            </w:pPr>
            <w:r>
              <w:rPr>
                <w:szCs w:val="28"/>
              </w:rPr>
              <w:t>Outcome objective</w:t>
            </w:r>
            <w:r w:rsidR="00DE4E5C">
              <w:rPr>
                <w:szCs w:val="28"/>
              </w:rPr>
              <w:t>:</w:t>
            </w:r>
            <w:r>
              <w:rPr>
                <w:szCs w:val="28"/>
              </w:rPr>
              <w:t xml:space="preserve"> </w:t>
            </w:r>
            <w:r w:rsidR="00803B50">
              <w:rPr>
                <w:szCs w:val="28"/>
              </w:rPr>
              <w:t>Victorians are safe and secure</w:t>
            </w:r>
          </w:p>
          <w:p w14:paraId="4FAA2C7E" w14:textId="77777777" w:rsidR="00DE4E5C" w:rsidRDefault="00F922BE" w:rsidP="005E76EA">
            <w:pPr>
              <w:pStyle w:val="DHHSmainsubheading"/>
              <w:rPr>
                <w:szCs w:val="28"/>
              </w:rPr>
            </w:pPr>
            <w:r>
              <w:rPr>
                <w:szCs w:val="28"/>
              </w:rPr>
              <w:t xml:space="preserve">Output group: </w:t>
            </w:r>
            <w:bookmarkStart w:id="0" w:name="_Hlk10122529"/>
            <w:r w:rsidR="00803B50" w:rsidRPr="00803B50">
              <w:rPr>
                <w:szCs w:val="28"/>
              </w:rPr>
              <w:t>Child protection and family services</w:t>
            </w:r>
            <w:bookmarkEnd w:id="0"/>
          </w:p>
          <w:p w14:paraId="4E79D057" w14:textId="77777777" w:rsidR="00F922BE" w:rsidRPr="00AD784C" w:rsidRDefault="00F922BE" w:rsidP="00D1443D">
            <w:pPr>
              <w:pStyle w:val="DHHSmainsubheading"/>
              <w:rPr>
                <w:szCs w:val="28"/>
              </w:rPr>
            </w:pPr>
            <w:r>
              <w:rPr>
                <w:szCs w:val="28"/>
              </w:rPr>
              <w:t xml:space="preserve">Output: </w:t>
            </w:r>
            <w:r w:rsidR="00803B50" w:rsidRPr="00803B50">
              <w:rPr>
                <w:szCs w:val="28"/>
              </w:rPr>
              <w:t>Family and community services</w:t>
            </w:r>
          </w:p>
        </w:tc>
      </w:tr>
    </w:tbl>
    <w:p w14:paraId="05DC2011" w14:textId="77777777"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1" w:name="_Toc440566508"/>
    </w:p>
    <w:bookmarkEnd w:id="1"/>
    <w:p w14:paraId="68C6DC94" w14:textId="77777777" w:rsidR="00A62D44" w:rsidRDefault="00B70F76" w:rsidP="002021C3">
      <w:pPr>
        <w:pStyle w:val="Heading1"/>
      </w:pPr>
      <w:r w:rsidRPr="00B70F76">
        <w:t>1.</w:t>
      </w:r>
      <w:r>
        <w:t xml:space="preserve"> </w:t>
      </w:r>
      <w:r w:rsidR="00DF6BAF">
        <w:t xml:space="preserve">Service Objective </w:t>
      </w:r>
    </w:p>
    <w:p w14:paraId="300900A5" w14:textId="61DA62CA" w:rsidR="004D5DA5" w:rsidRPr="004D5DA5" w:rsidRDefault="004D5DA5" w:rsidP="004D5DA5">
      <w:pPr>
        <w:pStyle w:val="DHHSbody"/>
      </w:pPr>
      <w:bookmarkStart w:id="2" w:name="_Toc256778633"/>
      <w:r w:rsidRPr="004D5DA5">
        <w:t xml:space="preserve">The aim of the Aboriginal child specialist advice and support service (ACSASS) activity is to ensure that a culturally appropriate and effective response is provided in the protection of Aboriginal children from harm. The objective of the service is to ensure that child protection is supported to consider the </w:t>
      </w:r>
      <w:r w:rsidR="00704606">
        <w:t xml:space="preserve">best interests and </w:t>
      </w:r>
      <w:r w:rsidRPr="004D5DA5">
        <w:t xml:space="preserve">cultural needs  </w:t>
      </w:r>
      <w:r w:rsidR="00704606">
        <w:t>when making</w:t>
      </w:r>
      <w:r w:rsidRPr="004D5DA5">
        <w:t xml:space="preserve"> decisions </w:t>
      </w:r>
      <w:r w:rsidR="00704606">
        <w:t xml:space="preserve">regarding </w:t>
      </w:r>
      <w:r w:rsidRPr="004D5DA5">
        <w:t xml:space="preserve"> Aboriginal children.</w:t>
      </w:r>
    </w:p>
    <w:p w14:paraId="646A7C7A" w14:textId="4F322DF4" w:rsidR="004D5DA5" w:rsidRDefault="004D5DA5" w:rsidP="004D5DA5">
      <w:pPr>
        <w:pStyle w:val="DHHSbody"/>
        <w:rPr>
          <w:b/>
          <w:bCs/>
        </w:rPr>
      </w:pPr>
      <w:r w:rsidRPr="004D5DA5">
        <w:t>The service is based on</w:t>
      </w:r>
      <w:r w:rsidR="00704606">
        <w:t xml:space="preserve"> funded Aboriginal Community Controlled organisations </w:t>
      </w:r>
      <w:r w:rsidRPr="004D5DA5">
        <w:t xml:space="preserve"> </w:t>
      </w:r>
      <w:r w:rsidR="00704606">
        <w:t xml:space="preserve">providing </w:t>
      </w:r>
      <w:r w:rsidRPr="004D5DA5">
        <w:t xml:space="preserve">culturally informed,  holistic </w:t>
      </w:r>
      <w:r w:rsidR="00704606">
        <w:t xml:space="preserve">consultation to child protection </w:t>
      </w:r>
      <w:r w:rsidRPr="004D5DA5">
        <w:t>, to ensure the ongoing safety, well-being and protection of Aboriginal children and young people.</w:t>
      </w:r>
    </w:p>
    <w:p w14:paraId="6436398C" w14:textId="77777777" w:rsidR="00DF6BAF" w:rsidRDefault="00DE4E5C" w:rsidP="002021C3">
      <w:pPr>
        <w:pStyle w:val="Heading1"/>
      </w:pPr>
      <w:r>
        <w:t>2</w:t>
      </w:r>
      <w:r w:rsidR="00B70F76" w:rsidRPr="00B70F76">
        <w:t xml:space="preserve">. </w:t>
      </w:r>
      <w:r w:rsidR="00DF6BAF">
        <w:t>Description of the service</w:t>
      </w:r>
    </w:p>
    <w:p w14:paraId="0F4A98EA" w14:textId="77777777" w:rsidR="004D5DA5" w:rsidRPr="004D5DA5" w:rsidRDefault="004D5DA5" w:rsidP="004D5DA5">
      <w:pPr>
        <w:pStyle w:val="DHHSbody"/>
      </w:pPr>
      <w:r w:rsidRPr="004D5DA5">
        <w:t xml:space="preserve">ACSASS provides specialist advice and case consultation to child protection regarding an Aboriginal perspective in the assessment of risk and case planning and culturally appropriate intervention for reports of abuse or neglect of Aboriginal children. Child protection practitioners are required to consult with ACSASS at the point a report is received regarding an Aboriginal child and regarding all significant case decisions thereafter, across all phases of child protection involvement. </w:t>
      </w:r>
    </w:p>
    <w:p w14:paraId="3BD8EF72" w14:textId="77777777" w:rsidR="004D5DA5" w:rsidRDefault="004D5DA5" w:rsidP="004D5DA5">
      <w:pPr>
        <w:pStyle w:val="DHHSbody"/>
        <w:rPr>
          <w:b/>
          <w:bCs/>
        </w:rPr>
      </w:pPr>
      <w:r w:rsidRPr="004D5DA5">
        <w:t>The role of ACSASS workers includes case consultation, liaison between child protection and Aboriginal children and their families, participation in meetings and joint visits with child protection practitioners where appropriate.</w:t>
      </w:r>
    </w:p>
    <w:p w14:paraId="0C66C93A" w14:textId="77777777" w:rsidR="00B70F76" w:rsidRPr="00B70F76" w:rsidRDefault="00DF6BAF" w:rsidP="002021C3">
      <w:pPr>
        <w:pStyle w:val="Heading1"/>
      </w:pPr>
      <w:r>
        <w:t xml:space="preserve">3. </w:t>
      </w:r>
      <w:r w:rsidR="00B70F76" w:rsidRPr="00B70F76">
        <w:t>Client group</w:t>
      </w:r>
    </w:p>
    <w:p w14:paraId="5E425D42" w14:textId="2737007B" w:rsidR="004D5DA5" w:rsidRDefault="004D5DA5" w:rsidP="004D5DA5">
      <w:pPr>
        <w:pStyle w:val="DHHSbody"/>
      </w:pPr>
      <w:r w:rsidRPr="004D5DA5">
        <w:t xml:space="preserve">Aboriginal children reported to child protection </w:t>
      </w:r>
      <w:r w:rsidR="00704606">
        <w:t xml:space="preserve">(including unborn children) </w:t>
      </w:r>
      <w:r w:rsidRPr="004D5DA5">
        <w:t>or subject to child protection investigation, intervention or a protection order.</w:t>
      </w:r>
    </w:p>
    <w:p w14:paraId="330086BE" w14:textId="77777777" w:rsidR="002D1AA5" w:rsidRDefault="00DF6BAF" w:rsidP="002021C3">
      <w:pPr>
        <w:pStyle w:val="Heading1"/>
      </w:pPr>
      <w:r w:rsidRPr="00803B50">
        <w:t>4</w:t>
      </w:r>
      <w:r w:rsidR="00B70F76" w:rsidRPr="00803B50">
        <w:t xml:space="preserve">. Obligations specific to this </w:t>
      </w:r>
      <w:r w:rsidR="00EC4117" w:rsidRPr="00803B50">
        <w:t>activity</w:t>
      </w:r>
    </w:p>
    <w:p w14:paraId="363DF1BA"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016F4A16" w14:textId="77777777" w:rsidR="005E7F04" w:rsidRPr="001F3DE2" w:rsidRDefault="005E7F04" w:rsidP="002021C3">
      <w:pPr>
        <w:pStyle w:val="Heading2"/>
      </w:pPr>
      <w:r w:rsidRPr="001F3DE2">
        <w:t xml:space="preserve">4a.  Registration and Accreditation </w:t>
      </w:r>
    </w:p>
    <w:p w14:paraId="31A37EB0" w14:textId="7890375C" w:rsidR="005E7F04" w:rsidRDefault="00D0669B" w:rsidP="00D0669B">
      <w:pPr>
        <w:pStyle w:val="DHHSbullet1"/>
        <w:numPr>
          <w:ilvl w:val="0"/>
          <w:numId w:val="16"/>
        </w:numPr>
      </w:pPr>
      <w:r w:rsidRPr="00DB6765">
        <w:t>Aboriginal Community Controlled Organisations (ACCOs) declared to be Aboriginal agencies under s</w:t>
      </w:r>
      <w:r>
        <w:t>.6</w:t>
      </w:r>
      <w:r w:rsidRPr="00DB6765">
        <w:t xml:space="preserve"> of the </w:t>
      </w:r>
      <w:r w:rsidRPr="00D0669B">
        <w:rPr>
          <w:i/>
        </w:rPr>
        <w:t>Children, Youth and Families Act 2005</w:t>
      </w:r>
      <w:r w:rsidRPr="00DB6765">
        <w:t>.</w:t>
      </w:r>
    </w:p>
    <w:p w14:paraId="4FA8B62A" w14:textId="3BE479B6" w:rsidR="000E5CE0" w:rsidRDefault="000E5CE0" w:rsidP="00D0669B">
      <w:pPr>
        <w:pStyle w:val="DHHSbullet1"/>
        <w:numPr>
          <w:ilvl w:val="0"/>
          <w:numId w:val="16"/>
        </w:numPr>
      </w:pPr>
      <w:r>
        <w:rPr>
          <w:rStyle w:val="DHHSbodyChar"/>
        </w:rPr>
        <w:t xml:space="preserve">Providers must comply with the program requirements for </w:t>
      </w:r>
      <w:r w:rsidRPr="004D5DA5">
        <w:t>the Aboriginal child specialist advice and support service</w:t>
      </w:r>
      <w:r>
        <w:t>.</w:t>
      </w:r>
    </w:p>
    <w:p w14:paraId="471E1DDF" w14:textId="64BA154F" w:rsidR="000E5CE0" w:rsidRPr="005E7F04" w:rsidRDefault="000E5CE0" w:rsidP="000E5CE0">
      <w:pPr>
        <w:pStyle w:val="DHHSbullet1"/>
        <w:numPr>
          <w:ilvl w:val="0"/>
          <w:numId w:val="16"/>
        </w:numPr>
        <w:rPr>
          <w:rStyle w:val="DHHSbodyChar"/>
        </w:rPr>
      </w:pPr>
      <w:r>
        <w:rPr>
          <w:rStyle w:val="DHHSbodyChar"/>
        </w:rPr>
        <w:t xml:space="preserve">Providers must be registered community services under the </w:t>
      </w:r>
      <w:r w:rsidRPr="00D0669B">
        <w:rPr>
          <w:i/>
        </w:rPr>
        <w:t xml:space="preserve">Children, Youth and Families Act </w:t>
      </w:r>
      <w:r>
        <w:rPr>
          <w:i/>
        </w:rPr>
        <w:t xml:space="preserve">2005 </w:t>
      </w:r>
      <w:r>
        <w:rPr>
          <w:rStyle w:val="DHHSbodyChar"/>
        </w:rPr>
        <w:t>and meet the Human Services Standards.</w:t>
      </w:r>
    </w:p>
    <w:p w14:paraId="683FFCC7" w14:textId="77777777" w:rsidR="005E7F04" w:rsidRPr="001F3DE2" w:rsidRDefault="005E7F04" w:rsidP="002021C3">
      <w:pPr>
        <w:pStyle w:val="Heading2"/>
      </w:pPr>
      <w:r w:rsidRPr="008E27D4">
        <w:rPr>
          <w:rStyle w:val="DHHSbodyChar"/>
          <w:color w:val="7030A0"/>
        </w:rPr>
        <w:lastRenderedPageBreak/>
        <w:t xml:space="preserve"> </w:t>
      </w:r>
      <w:r w:rsidRPr="001F3DE2">
        <w:t xml:space="preserve">4b. Program requirements and other policy guidelines </w:t>
      </w:r>
    </w:p>
    <w:bookmarkStart w:id="3" w:name="_Toc421023841"/>
    <w:bookmarkStart w:id="4" w:name="_Toc475953722"/>
    <w:bookmarkStart w:id="5" w:name="_Toc477437702"/>
    <w:bookmarkStart w:id="6" w:name="_Toc529373787"/>
    <w:p w14:paraId="0AA0CB45" w14:textId="77777777" w:rsidR="00221BF2" w:rsidRDefault="003320D8" w:rsidP="00664BC1">
      <w:pPr>
        <w:pStyle w:val="DHHSbullet1"/>
      </w:pPr>
      <w:r>
        <w:fldChar w:fldCharType="begin"/>
      </w:r>
      <w:r>
        <w:instrText xml:space="preserve"> HYPERLINK "http://www.cpmanual.vic.gov.au/our-approach/best-interests-case-practice-model/children-problem-sexual-behaviours-and-their" </w:instrText>
      </w:r>
      <w:r>
        <w:fldChar w:fldCharType="separate"/>
      </w:r>
      <w:r w:rsidR="00664BC1" w:rsidRPr="003320D8">
        <w:rPr>
          <w:rStyle w:val="Hyperlink"/>
        </w:rPr>
        <w:t>Child Protection Practice Manual</w:t>
      </w:r>
      <w:r>
        <w:fldChar w:fldCharType="end"/>
      </w:r>
      <w:r w:rsidR="00664BC1">
        <w:t xml:space="preserve"> </w:t>
      </w:r>
    </w:p>
    <w:p w14:paraId="79D14C22" w14:textId="0D68DADB" w:rsidR="00664BC1" w:rsidRPr="00664BC1" w:rsidRDefault="00664BC1" w:rsidP="00221BF2">
      <w:pPr>
        <w:pStyle w:val="DHHSbullet1"/>
        <w:numPr>
          <w:ilvl w:val="0"/>
          <w:numId w:val="0"/>
        </w:numPr>
        <w:ind w:left="284"/>
      </w:pPr>
      <w:r w:rsidRPr="00664BC1">
        <w:t>&lt;http://www.cpmanual.vic.gov.au&gt;</w:t>
      </w:r>
    </w:p>
    <w:p w14:paraId="00592A75" w14:textId="77777777" w:rsidR="00575BC9" w:rsidRPr="00575BC9" w:rsidRDefault="00DF6BAF" w:rsidP="003320D8">
      <w:pPr>
        <w:pStyle w:val="Heading1"/>
      </w:pPr>
      <w:r>
        <w:t>5</w:t>
      </w:r>
      <w:r w:rsidR="00575BC9">
        <w:t xml:space="preserve">. </w:t>
      </w:r>
      <w:bookmarkEnd w:id="3"/>
      <w:bookmarkEnd w:id="4"/>
      <w:bookmarkEnd w:id="5"/>
      <w:bookmarkEnd w:id="6"/>
      <w:r w:rsidR="0017293C">
        <w:t>Performance</w:t>
      </w:r>
    </w:p>
    <w:p w14:paraId="77BE6A58" w14:textId="77777777" w:rsidR="00575BC9" w:rsidRPr="001F1A17" w:rsidRDefault="00E05E8D" w:rsidP="003320D8">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5F02B9BD" w14:textId="77777777" w:rsidR="00575BC9" w:rsidRPr="000E2F2F" w:rsidRDefault="00E05E8D" w:rsidP="003320D8">
      <w:pPr>
        <w:pStyle w:val="Heading2"/>
        <w:rPr>
          <w:color w:val="FF0000"/>
        </w:rPr>
      </w:pPr>
      <w:r>
        <w:t>Key performance measure</w:t>
      </w:r>
      <w:r w:rsidR="00803B50">
        <w:t xml:space="preserve"> 1</w:t>
      </w:r>
      <w:r w:rsidR="00575BC9" w:rsidRPr="00575BC9">
        <w:t xml:space="preserve">: </w:t>
      </w:r>
      <w:r w:rsidR="004D5DA5" w:rsidRPr="004D5DA5">
        <w:rPr>
          <w:rStyle w:val="DHHSbodyChar"/>
        </w:rPr>
        <w:t>Number of 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4D5DA5" w:rsidRPr="00C237A0" w14:paraId="596897D1" w14:textId="77777777" w:rsidTr="003320D8">
        <w:trPr>
          <w:cantSplit/>
          <w:trHeight w:hRule="exact" w:val="866"/>
        </w:trPr>
        <w:tc>
          <w:tcPr>
            <w:tcW w:w="2835" w:type="dxa"/>
          </w:tcPr>
          <w:p w14:paraId="069C74FC" w14:textId="77777777" w:rsidR="004D5DA5" w:rsidRPr="0017293C" w:rsidRDefault="004D5DA5" w:rsidP="0017293C">
            <w:pPr>
              <w:pStyle w:val="DHHStablecolhead"/>
            </w:pPr>
            <w:r w:rsidRPr="00575BC9">
              <w:t>Aim/objective</w:t>
            </w:r>
          </w:p>
        </w:tc>
        <w:tc>
          <w:tcPr>
            <w:tcW w:w="7379" w:type="dxa"/>
          </w:tcPr>
          <w:p w14:paraId="389C25F2" w14:textId="22DB27B2" w:rsidR="00D0669B" w:rsidRPr="006558B9" w:rsidRDefault="00D0669B" w:rsidP="003320D8">
            <w:pPr>
              <w:pStyle w:val="DHHStabletext"/>
            </w:pPr>
            <w:r>
              <w:t xml:space="preserve"> To </w:t>
            </w:r>
            <w:r w:rsidRPr="00DB6765">
              <w:t xml:space="preserve">ensure that child protection is supported to consider the cultural needs and issues in reaching decisions </w:t>
            </w:r>
            <w:r w:rsidR="00704606">
              <w:t>regarding</w:t>
            </w:r>
            <w:r w:rsidRPr="00DB6765">
              <w:t xml:space="preserve"> the best interests of Aboriginal children.</w:t>
            </w:r>
          </w:p>
        </w:tc>
      </w:tr>
      <w:tr w:rsidR="00B8690F" w:rsidRPr="00C237A0" w14:paraId="08E3B5E8" w14:textId="77777777" w:rsidTr="003320D8">
        <w:trPr>
          <w:cantSplit/>
          <w:trHeight w:hRule="exact" w:val="423"/>
        </w:trPr>
        <w:tc>
          <w:tcPr>
            <w:tcW w:w="2835" w:type="dxa"/>
          </w:tcPr>
          <w:p w14:paraId="1C952424" w14:textId="77777777" w:rsidR="00B8690F" w:rsidRPr="0017293C" w:rsidRDefault="00B8690F" w:rsidP="0017293C">
            <w:pPr>
              <w:pStyle w:val="DHHStablecolhead"/>
            </w:pPr>
            <w:r w:rsidRPr="00575BC9">
              <w:t>Target</w:t>
            </w:r>
          </w:p>
        </w:tc>
        <w:tc>
          <w:tcPr>
            <w:tcW w:w="7379" w:type="dxa"/>
          </w:tcPr>
          <w:p w14:paraId="20982C2E" w14:textId="77777777" w:rsidR="00B8690F" w:rsidRPr="002F7C4B" w:rsidRDefault="00B8690F" w:rsidP="0017293C">
            <w:pPr>
              <w:pStyle w:val="DHHSbody"/>
              <w:spacing w:after="0"/>
              <w:rPr>
                <w:color w:val="7030A0"/>
              </w:rPr>
            </w:pPr>
            <w:r>
              <w:t>The performance measure target is provided in the Service Agreement.</w:t>
            </w:r>
          </w:p>
        </w:tc>
      </w:tr>
      <w:tr w:rsidR="00B8690F" w:rsidRPr="00C237A0" w14:paraId="7E199BC7" w14:textId="77777777" w:rsidTr="003320D8">
        <w:trPr>
          <w:cantSplit/>
          <w:trHeight w:hRule="exact" w:val="429"/>
        </w:trPr>
        <w:tc>
          <w:tcPr>
            <w:tcW w:w="2835" w:type="dxa"/>
          </w:tcPr>
          <w:p w14:paraId="22C64CEA" w14:textId="77777777" w:rsidR="00B8690F" w:rsidRPr="0017293C" w:rsidRDefault="00B8690F" w:rsidP="0017293C">
            <w:pPr>
              <w:pStyle w:val="DHHStablecolhead"/>
            </w:pPr>
            <w:r w:rsidRPr="00575BC9">
              <w:t>Type of count</w:t>
            </w:r>
          </w:p>
        </w:tc>
        <w:tc>
          <w:tcPr>
            <w:tcW w:w="7379" w:type="dxa"/>
          </w:tcPr>
          <w:p w14:paraId="2C81795C" w14:textId="77777777" w:rsidR="00B8690F" w:rsidRPr="00C237A0" w:rsidRDefault="004D5DA5" w:rsidP="004D5DA5">
            <w:pPr>
              <w:pStyle w:val="DHHStabletext"/>
              <w:spacing w:before="0" w:after="0"/>
            </w:pPr>
            <w:r>
              <w:rPr>
                <w:color w:val="7030A0"/>
              </w:rPr>
              <w:fldChar w:fldCharType="begin">
                <w:ffData>
                  <w:name w:val="Check2"/>
                  <w:enabled/>
                  <w:calcOnExit w:val="0"/>
                  <w:checkBox>
                    <w:sizeAuto/>
                    <w:default w:val="1"/>
                  </w:checkBox>
                </w:ffData>
              </w:fldChar>
            </w:r>
            <w:bookmarkStart w:id="7" w:name="Check2"/>
            <w:r>
              <w:rPr>
                <w:color w:val="7030A0"/>
              </w:rPr>
              <w:instrText xml:space="preserve"> FORMCHECKBOX </w:instrText>
            </w:r>
            <w:r w:rsidR="0088571E">
              <w:rPr>
                <w:color w:val="7030A0"/>
              </w:rPr>
            </w:r>
            <w:r w:rsidR="0088571E">
              <w:rPr>
                <w:color w:val="7030A0"/>
              </w:rPr>
              <w:fldChar w:fldCharType="separate"/>
            </w:r>
            <w:r>
              <w:rPr>
                <w:color w:val="7030A0"/>
              </w:rPr>
              <w:fldChar w:fldCharType="end"/>
            </w:r>
            <w:bookmarkEnd w:id="7"/>
            <w:r w:rsidR="00B8690F">
              <w:rPr>
                <w:color w:val="7030A0"/>
              </w:rPr>
              <w:t xml:space="preserve"> </w:t>
            </w:r>
            <w:r w:rsidR="00B8690F">
              <w:t xml:space="preserve">Cumulative          </w:t>
            </w:r>
            <w:r>
              <w:rPr>
                <w:color w:val="7030A0"/>
              </w:rPr>
              <w:fldChar w:fldCharType="begin">
                <w:ffData>
                  <w:name w:val=""/>
                  <w:enabled/>
                  <w:calcOnExit w:val="0"/>
                  <w:checkBox>
                    <w:sizeAuto/>
                    <w:default w:val="0"/>
                  </w:checkBox>
                </w:ffData>
              </w:fldChar>
            </w:r>
            <w:r>
              <w:rPr>
                <w:color w:val="7030A0"/>
              </w:rPr>
              <w:instrText xml:space="preserve"> FORMCHECKBOX </w:instrText>
            </w:r>
            <w:r w:rsidR="0088571E">
              <w:rPr>
                <w:color w:val="7030A0"/>
              </w:rPr>
            </w:r>
            <w:r w:rsidR="0088571E">
              <w:rPr>
                <w:color w:val="7030A0"/>
              </w:rPr>
              <w:fldChar w:fldCharType="separate"/>
            </w:r>
            <w:r>
              <w:rPr>
                <w:color w:val="7030A0"/>
              </w:rPr>
              <w:fldChar w:fldCharType="end"/>
            </w:r>
            <w:r w:rsidR="00B8690F">
              <w:rPr>
                <w:color w:val="7030A0"/>
              </w:rPr>
              <w:t xml:space="preserve"> </w:t>
            </w:r>
            <w:r w:rsidR="00B8690F">
              <w:t>Non-cumulative</w:t>
            </w:r>
          </w:p>
        </w:tc>
      </w:tr>
      <w:tr w:rsidR="004D5DA5" w:rsidRPr="00C237A0" w14:paraId="09E02650" w14:textId="77777777" w:rsidTr="003320D8">
        <w:trPr>
          <w:cantSplit/>
          <w:trHeight w:hRule="exact" w:val="562"/>
        </w:trPr>
        <w:tc>
          <w:tcPr>
            <w:tcW w:w="2835" w:type="dxa"/>
          </w:tcPr>
          <w:p w14:paraId="377A2DEF" w14:textId="77777777" w:rsidR="004D5DA5" w:rsidRPr="0017293C" w:rsidRDefault="004D5DA5" w:rsidP="00D0669B">
            <w:pPr>
              <w:pStyle w:val="DHHStablecolhead"/>
            </w:pPr>
            <w:r w:rsidRPr="00575BC9">
              <w:t>Counting rule</w:t>
            </w:r>
          </w:p>
        </w:tc>
        <w:tc>
          <w:tcPr>
            <w:tcW w:w="7379" w:type="dxa"/>
          </w:tcPr>
          <w:p w14:paraId="6541016A" w14:textId="77777777" w:rsidR="004D5DA5" w:rsidRPr="006558B9" w:rsidRDefault="004D5DA5" w:rsidP="00D0669B">
            <w:pPr>
              <w:pStyle w:val="DHHStabletext"/>
            </w:pPr>
            <w:r>
              <w:t>Count the number of clients receiving this service</w:t>
            </w:r>
          </w:p>
        </w:tc>
      </w:tr>
      <w:tr w:rsidR="004D5DA5" w:rsidRPr="00C237A0" w14:paraId="66487591" w14:textId="77777777" w:rsidTr="003320D8">
        <w:trPr>
          <w:cantSplit/>
          <w:trHeight w:hRule="exact" w:val="556"/>
        </w:trPr>
        <w:tc>
          <w:tcPr>
            <w:tcW w:w="2835" w:type="dxa"/>
          </w:tcPr>
          <w:p w14:paraId="772A86A1" w14:textId="77777777" w:rsidR="004D5DA5" w:rsidRPr="0017293C" w:rsidRDefault="004D5DA5" w:rsidP="00D0669B">
            <w:pPr>
              <w:pStyle w:val="DHHStablecolhead"/>
            </w:pPr>
            <w:r w:rsidRPr="00575BC9">
              <w:t>Data source(s) collection</w:t>
            </w:r>
          </w:p>
        </w:tc>
        <w:tc>
          <w:tcPr>
            <w:tcW w:w="7379" w:type="dxa"/>
          </w:tcPr>
          <w:p w14:paraId="357BB7D7" w14:textId="77777777" w:rsidR="004D5DA5" w:rsidRPr="006558B9" w:rsidRDefault="004D5DA5" w:rsidP="00D0669B">
            <w:pPr>
              <w:pStyle w:val="DHHStabletext"/>
            </w:pPr>
            <w:r>
              <w:t>Manual data collection</w:t>
            </w:r>
          </w:p>
        </w:tc>
      </w:tr>
      <w:tr w:rsidR="00803B50" w:rsidRPr="00C237A0" w14:paraId="57E29E3C" w14:textId="77777777" w:rsidTr="003320D8">
        <w:trPr>
          <w:cantSplit/>
          <w:trHeight w:hRule="exact" w:val="1852"/>
        </w:trPr>
        <w:tc>
          <w:tcPr>
            <w:tcW w:w="2835" w:type="dxa"/>
          </w:tcPr>
          <w:p w14:paraId="04D319F1" w14:textId="77777777" w:rsidR="00803B50" w:rsidRPr="0017293C" w:rsidRDefault="00803B50" w:rsidP="0017293C">
            <w:pPr>
              <w:pStyle w:val="DHHStablecolhead"/>
            </w:pPr>
            <w:r w:rsidRPr="00575BC9">
              <w:t>Definition of terms</w:t>
            </w:r>
          </w:p>
        </w:tc>
        <w:tc>
          <w:tcPr>
            <w:tcW w:w="7379" w:type="dxa"/>
          </w:tcPr>
          <w:p w14:paraId="3196D2FF" w14:textId="77777777" w:rsidR="004D5DA5" w:rsidRDefault="004D5DA5" w:rsidP="004D5DA5">
            <w:pPr>
              <w:pStyle w:val="DHHStabletext"/>
            </w:pPr>
            <w:r>
              <w:t>Clients are defined as Aboriginal children subject to child protection involvement and families with an Aboriginal child/ren aged 0–17 years or an unborn Aboriginal child. Definition is inclusive of kinship and foster care families.</w:t>
            </w:r>
          </w:p>
          <w:p w14:paraId="02294D11" w14:textId="77777777" w:rsidR="004D5DA5" w:rsidRDefault="004D5DA5" w:rsidP="004D5DA5">
            <w:pPr>
              <w:pStyle w:val="DHHStabletext"/>
            </w:pPr>
            <w:r>
              <w:t xml:space="preserve">Child is defined in accordance with the </w:t>
            </w:r>
            <w:r w:rsidRPr="00D0669B">
              <w:rPr>
                <w:i/>
              </w:rPr>
              <w:t>Children, Youth and Families Act</w:t>
            </w:r>
            <w:r>
              <w:t xml:space="preserve"> 2005.</w:t>
            </w:r>
          </w:p>
          <w:p w14:paraId="057E4325" w14:textId="77777777" w:rsidR="00803B50" w:rsidRPr="00C237A0" w:rsidRDefault="004D5DA5" w:rsidP="004D5DA5">
            <w:pPr>
              <w:pStyle w:val="DHHStabletext"/>
            </w:pPr>
            <w:r>
              <w:t>Child protection involvement refers to children/young people who are either subject to current report, investigation, intervention or protection order.</w:t>
            </w:r>
          </w:p>
        </w:tc>
      </w:tr>
    </w:tbl>
    <w:p w14:paraId="2BDD52AF" w14:textId="77777777" w:rsidR="00575BC9" w:rsidRPr="00575BC9" w:rsidRDefault="00DF6BAF" w:rsidP="003320D8">
      <w:pPr>
        <w:pStyle w:val="Heading1"/>
      </w:pPr>
      <w:r>
        <w:t>6</w:t>
      </w:r>
      <w:r w:rsidR="00575BC9">
        <w:t>. Data collection</w:t>
      </w:r>
    </w:p>
    <w:p w14:paraId="64B9C788" w14:textId="77777777" w:rsidR="00575BC9" w:rsidRDefault="00A11FC5" w:rsidP="003320D8">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6F6F7774" w14:textId="77777777" w:rsidTr="006C7A1F">
        <w:trPr>
          <w:trHeight w:hRule="exact" w:val="340"/>
          <w:tblHeader/>
        </w:trPr>
        <w:tc>
          <w:tcPr>
            <w:tcW w:w="2580" w:type="dxa"/>
            <w:vAlign w:val="center"/>
          </w:tcPr>
          <w:p w14:paraId="4628A2F1" w14:textId="77777777" w:rsidR="00575BC9" w:rsidRPr="00575BC9" w:rsidRDefault="00575BC9" w:rsidP="0017293C">
            <w:pPr>
              <w:pStyle w:val="DHHStablecolhead"/>
              <w:spacing w:before="0" w:after="0"/>
            </w:pPr>
            <w:r w:rsidRPr="00575BC9">
              <w:t>Data collection name</w:t>
            </w:r>
          </w:p>
        </w:tc>
        <w:tc>
          <w:tcPr>
            <w:tcW w:w="2580" w:type="dxa"/>
            <w:vAlign w:val="center"/>
          </w:tcPr>
          <w:p w14:paraId="1FFFDF07"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361BE377"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66F2107D" w14:textId="77777777" w:rsidR="00575BC9" w:rsidRPr="00575BC9" w:rsidRDefault="00575BC9" w:rsidP="0017293C">
            <w:pPr>
              <w:pStyle w:val="DHHStablecolhead"/>
              <w:spacing w:before="0" w:after="0"/>
            </w:pPr>
            <w:r w:rsidRPr="00575BC9">
              <w:t>Reporting cycle</w:t>
            </w:r>
          </w:p>
        </w:tc>
      </w:tr>
      <w:tr w:rsidR="00222ECA" w:rsidRPr="00C237A0" w14:paraId="23B583B9" w14:textId="77777777" w:rsidTr="006805C7">
        <w:trPr>
          <w:trHeight w:val="20"/>
        </w:trPr>
        <w:tc>
          <w:tcPr>
            <w:tcW w:w="2580" w:type="dxa"/>
          </w:tcPr>
          <w:p w14:paraId="22469A7F" w14:textId="77777777" w:rsidR="00222ECA" w:rsidRPr="00E10DF2" w:rsidDel="00326E44" w:rsidRDefault="003B4D90" w:rsidP="006805C7">
            <w:pPr>
              <w:pStyle w:val="DHHStabletext"/>
              <w:rPr>
                <w:rFonts w:cs="Arial"/>
                <w:b/>
              </w:rPr>
            </w:pPr>
            <w:r>
              <w:t>Aboriginal child specialist advice and support services</w:t>
            </w:r>
          </w:p>
        </w:tc>
        <w:tc>
          <w:tcPr>
            <w:tcW w:w="2580" w:type="dxa"/>
          </w:tcPr>
          <w:p w14:paraId="09A1CFA2" w14:textId="77777777" w:rsidR="00222ECA" w:rsidRPr="00E10DF2" w:rsidRDefault="003B4D90" w:rsidP="006805C7">
            <w:pPr>
              <w:pStyle w:val="DHHStabletext"/>
            </w:pPr>
            <w:r>
              <w:t>Manual data collection</w:t>
            </w:r>
          </w:p>
        </w:tc>
        <w:tc>
          <w:tcPr>
            <w:tcW w:w="2580" w:type="dxa"/>
          </w:tcPr>
          <w:p w14:paraId="1FA736FF" w14:textId="77777777" w:rsidR="00222ECA" w:rsidRPr="00E10DF2" w:rsidRDefault="003B4D90" w:rsidP="006805C7">
            <w:pPr>
              <w:pStyle w:val="DHHStabletext"/>
            </w:pPr>
            <w:r>
              <w:t xml:space="preserve">Aboriginal child specialist advice and support services </w:t>
            </w:r>
          </w:p>
        </w:tc>
        <w:tc>
          <w:tcPr>
            <w:tcW w:w="2508" w:type="dxa"/>
          </w:tcPr>
          <w:p w14:paraId="6CF59081" w14:textId="77777777" w:rsidR="00222ECA" w:rsidRPr="00E10DF2" w:rsidRDefault="00222ECA" w:rsidP="006805C7">
            <w:pPr>
              <w:pStyle w:val="DHHStabletext"/>
              <w:rPr>
                <w:rFonts w:cs="Arial"/>
              </w:rPr>
            </w:pPr>
            <w:r>
              <w:rPr>
                <w:rFonts w:eastAsia="MS Gothic"/>
              </w:rPr>
              <w:t>Monthly</w:t>
            </w:r>
          </w:p>
        </w:tc>
      </w:tr>
      <w:bookmarkEnd w:id="2"/>
    </w:tbl>
    <w:p w14:paraId="2A3D77FD" w14:textId="77777777" w:rsidR="006C7A1F" w:rsidRDefault="006C7A1F" w:rsidP="00AA3CA8">
      <w:pPr>
        <w:rPr>
          <w:sz w:val="4"/>
          <w:szCs w:val="4"/>
        </w:rPr>
      </w:pPr>
    </w:p>
    <w:p w14:paraId="1330E055" w14:textId="77777777" w:rsidR="006C7A1F" w:rsidRDefault="006C7A1F" w:rsidP="00AA3CA8">
      <w:pPr>
        <w:rPr>
          <w:sz w:val="4"/>
          <w:szCs w:val="4"/>
        </w:rPr>
      </w:pPr>
    </w:p>
    <w:p w14:paraId="551AD1ED" w14:textId="77777777" w:rsidR="006C7A1F" w:rsidRDefault="006C7A1F" w:rsidP="00AA3CA8">
      <w:pPr>
        <w:rPr>
          <w:sz w:val="4"/>
          <w:szCs w:val="4"/>
        </w:rPr>
      </w:pPr>
    </w:p>
    <w:tbl>
      <w:tblPr>
        <w:tblW w:w="4895" w:type="pct"/>
        <w:tblInd w:w="113" w:type="dxa"/>
        <w:tblCellMar>
          <w:top w:w="113" w:type="dxa"/>
          <w:bottom w:w="57" w:type="dxa"/>
        </w:tblCellMar>
        <w:tblLook w:val="00A0" w:firstRow="1" w:lastRow="0" w:firstColumn="1" w:lastColumn="0" w:noHBand="0" w:noVBand="0"/>
      </w:tblPr>
      <w:tblGrid>
        <w:gridCol w:w="9980"/>
      </w:tblGrid>
      <w:tr w:rsidR="003320D8" w14:paraId="2602702A" w14:textId="77777777" w:rsidTr="003320D8">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310D6CFA" w14:textId="77777777" w:rsidR="0088571E" w:rsidRDefault="0088571E" w:rsidP="0088571E">
            <w:pPr>
              <w:pStyle w:val="DHHSaccessibilitypara"/>
            </w:pPr>
            <w:r>
              <w:t xml:space="preserve">To receive this publication in an accessible format </w:t>
            </w:r>
            <w:hyperlink r:id="rId12" w:history="1">
              <w:r>
                <w:rPr>
                  <w:rStyle w:val="Hyperlink"/>
                </w:rPr>
                <w:t>email Service Agreement Policy</w:t>
              </w:r>
            </w:hyperlink>
            <w:r>
              <w:t xml:space="preserve"> &lt;</w:t>
            </w:r>
            <w:hyperlink r:id="rId13" w:history="1">
              <w:r>
                <w:rPr>
                  <w:rStyle w:val="Hyperlink"/>
                </w:rPr>
                <w:t>sapolicy@dhhs.vic.gov.au</w:t>
              </w:r>
            </w:hyperlink>
            <w:r>
              <w:t>&gt;</w:t>
            </w:r>
          </w:p>
          <w:p w14:paraId="6B1A89BC" w14:textId="77777777" w:rsidR="0088571E" w:rsidRDefault="0088571E" w:rsidP="0088571E">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1A32B2CF" w14:textId="7422E61B" w:rsidR="003320D8" w:rsidRDefault="0088571E" w:rsidP="0088571E">
            <w:pPr>
              <w:pStyle w:val="DHHSbody"/>
              <w:rPr>
                <w:color w:val="FF0000"/>
                <w:szCs w:val="19"/>
              </w:rPr>
            </w:pPr>
            <w:r>
              <w:t xml:space="preserve">Available on the department’s </w:t>
            </w:r>
            <w:hyperlink r:id="rId14" w:history="1">
              <w:r>
                <w:rPr>
                  <w:rStyle w:val="Hyperlink"/>
                </w:rPr>
                <w:t>Health and human services activity search</w:t>
              </w:r>
            </w:hyperlink>
            <w:r>
              <w:t xml:space="preserve"> &lt;</w:t>
            </w:r>
            <w:hyperlink r:id="rId15" w:history="1">
              <w:r>
                <w:rPr>
                  <w:rStyle w:val="Hyperlink"/>
                  <w:lang w:eastAsia="en-AU"/>
                </w:rPr>
                <w:t>http://providers.dhhs.vic.gov.au/health-human-services-activity-search</w:t>
              </w:r>
            </w:hyperlink>
            <w:r>
              <w:rPr>
                <w:color w:val="000000"/>
                <w:lang w:eastAsia="en-AU"/>
              </w:rPr>
              <w:t>&gt;</w:t>
            </w:r>
            <w:bookmarkStart w:id="8" w:name="_GoBack"/>
            <w:bookmarkEnd w:id="8"/>
          </w:p>
        </w:tc>
      </w:tr>
    </w:tbl>
    <w:p w14:paraId="36BDF9A3" w14:textId="77777777" w:rsidR="006C7A1F" w:rsidRDefault="006C7A1F" w:rsidP="00AA3CA8">
      <w:pPr>
        <w:rPr>
          <w:sz w:val="4"/>
          <w:szCs w:val="4"/>
        </w:rPr>
      </w:pPr>
    </w:p>
    <w:p w14:paraId="311EBC34" w14:textId="77777777" w:rsidR="006C7A1F" w:rsidRDefault="006C7A1F" w:rsidP="00AA3CA8">
      <w:pPr>
        <w:rPr>
          <w:sz w:val="4"/>
          <w:szCs w:val="4"/>
        </w:rPr>
      </w:pPr>
    </w:p>
    <w:p w14:paraId="7CD47847" w14:textId="77777777" w:rsidR="006C7A1F" w:rsidRDefault="006C7A1F" w:rsidP="00AA3CA8">
      <w:pPr>
        <w:rPr>
          <w:sz w:val="4"/>
          <w:szCs w:val="4"/>
        </w:rPr>
      </w:pPr>
    </w:p>
    <w:p w14:paraId="7E173DDB" w14:textId="77777777" w:rsidR="006C7A1F" w:rsidRPr="006C7A1F" w:rsidRDefault="006C7A1F" w:rsidP="00AA3CA8">
      <w:pPr>
        <w:rPr>
          <w:sz w:val="4"/>
          <w:szCs w:val="4"/>
        </w:rPr>
      </w:pPr>
    </w:p>
    <w:p w14:paraId="0641328F" w14:textId="77777777" w:rsidR="004433A8" w:rsidRDefault="004433A8" w:rsidP="006C7A1F">
      <w:pPr>
        <w:rPr>
          <w:sz w:val="2"/>
          <w:szCs w:val="2"/>
          <w:lang w:eastAsia="en-US"/>
        </w:rPr>
      </w:pPr>
    </w:p>
    <w:p w14:paraId="0E3D4416" w14:textId="77777777" w:rsidR="004433A8" w:rsidRPr="004433A8" w:rsidRDefault="004433A8" w:rsidP="004433A8">
      <w:pPr>
        <w:rPr>
          <w:sz w:val="2"/>
          <w:szCs w:val="2"/>
          <w:lang w:eastAsia="en-US"/>
        </w:rPr>
      </w:pPr>
    </w:p>
    <w:p w14:paraId="5F69B2F1" w14:textId="77777777" w:rsidR="000918C3" w:rsidRPr="004433A8" w:rsidRDefault="004433A8" w:rsidP="004433A8">
      <w:pPr>
        <w:tabs>
          <w:tab w:val="left" w:pos="1834"/>
        </w:tabs>
        <w:rPr>
          <w:sz w:val="2"/>
          <w:szCs w:val="2"/>
          <w:lang w:eastAsia="en-US"/>
        </w:rPr>
      </w:pPr>
      <w:r>
        <w:rPr>
          <w:sz w:val="2"/>
          <w:szCs w:val="2"/>
          <w:lang w:eastAsia="en-US"/>
        </w:rPr>
        <w:tab/>
      </w:r>
    </w:p>
    <w:sectPr w:rsidR="000918C3" w:rsidRPr="004433A8"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0B9EF" w14:textId="77777777" w:rsidR="000D3756" w:rsidRDefault="000D3756">
      <w:r>
        <w:separator/>
      </w:r>
    </w:p>
  </w:endnote>
  <w:endnote w:type="continuationSeparator" w:id="0">
    <w:p w14:paraId="7AC43167" w14:textId="77777777"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3567"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1CAD5D16" wp14:editId="41D8DAD3">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AF5A5" w14:textId="25A17275" w:rsidR="009D70A4" w:rsidRPr="00A11421" w:rsidRDefault="006A7939" w:rsidP="0051568D">
    <w:pPr>
      <w:pStyle w:val="DHHSfooter"/>
    </w:pPr>
    <w:r>
      <w:t>Activity description</w:t>
    </w:r>
    <w:r w:rsidR="003320D8">
      <w:t xml:space="preserve"> (human services): ACSASS</w:t>
    </w:r>
    <w:r>
      <w:t xml:space="preserve"> </w:t>
    </w:r>
    <w:r w:rsidR="00205BF2">
      <w:t>31263</w:t>
    </w:r>
    <w:r w:rsidR="009D70A4" w:rsidRPr="00A11421">
      <w:tab/>
    </w:r>
    <w:r w:rsidR="009D70A4" w:rsidRPr="00A11421">
      <w:fldChar w:fldCharType="begin"/>
    </w:r>
    <w:r w:rsidR="009D70A4" w:rsidRPr="00A11421">
      <w:instrText xml:space="preserve"> PAGE </w:instrText>
    </w:r>
    <w:r w:rsidR="009D70A4" w:rsidRPr="00A11421">
      <w:fldChar w:fldCharType="separate"/>
    </w:r>
    <w:r w:rsidR="00D0669B">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66E49" w14:textId="77777777" w:rsidR="000D3756" w:rsidRDefault="000D3756" w:rsidP="002862F1">
      <w:pPr>
        <w:spacing w:before="120"/>
      </w:pPr>
      <w:r>
        <w:separator/>
      </w:r>
    </w:p>
  </w:footnote>
  <w:footnote w:type="continuationSeparator" w:id="0">
    <w:p w14:paraId="71EC201E" w14:textId="77777777"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AE79"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 w:numId="16">
    <w:abstractNumId w:val="8"/>
    <w:lvlOverride w:ilvl="0">
      <w:lvl w:ilvl="0">
        <w:start w:val="1"/>
        <w:numFmt w:val="bullet"/>
        <w:pStyle w:val="DHHSbullet1"/>
        <w:lvlText w:val="•"/>
        <w:lvlJc w:val="left"/>
        <w:pPr>
          <w:ind w:left="284" w:hanging="284"/>
        </w:pPr>
        <w:rPr>
          <w:rFonts w:ascii="Calibri" w:hAnsi="Calibri" w:hint="default"/>
          <w:color w:val="000000" w:themeColor="text1"/>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5CE0"/>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21C3"/>
    <w:rsid w:val="00205BF2"/>
    <w:rsid w:val="00206463"/>
    <w:rsid w:val="00206F2F"/>
    <w:rsid w:val="002104D1"/>
    <w:rsid w:val="0021053D"/>
    <w:rsid w:val="00210A92"/>
    <w:rsid w:val="00216C03"/>
    <w:rsid w:val="00220C04"/>
    <w:rsid w:val="00221BF2"/>
    <w:rsid w:val="0022278D"/>
    <w:rsid w:val="00222ECA"/>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0D8"/>
    <w:rsid w:val="0033259D"/>
    <w:rsid w:val="00337C54"/>
    <w:rsid w:val="003406C6"/>
    <w:rsid w:val="003418CC"/>
    <w:rsid w:val="003459BD"/>
    <w:rsid w:val="00350D38"/>
    <w:rsid w:val="003512C8"/>
    <w:rsid w:val="00351B36"/>
    <w:rsid w:val="003541EF"/>
    <w:rsid w:val="00357B4E"/>
    <w:rsid w:val="003744CF"/>
    <w:rsid w:val="00374717"/>
    <w:rsid w:val="0037676C"/>
    <w:rsid w:val="003829E5"/>
    <w:rsid w:val="00382AFC"/>
    <w:rsid w:val="003956CC"/>
    <w:rsid w:val="00395C9A"/>
    <w:rsid w:val="003A6B67"/>
    <w:rsid w:val="003B15E6"/>
    <w:rsid w:val="003B4D90"/>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3A8"/>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D5DA5"/>
    <w:rsid w:val="004D7246"/>
    <w:rsid w:val="004E138F"/>
    <w:rsid w:val="004E1A69"/>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4EB6"/>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E7F04"/>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64BC1"/>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4606"/>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3B50"/>
    <w:rsid w:val="0080587B"/>
    <w:rsid w:val="00806468"/>
    <w:rsid w:val="008155F0"/>
    <w:rsid w:val="00816735"/>
    <w:rsid w:val="00820141"/>
    <w:rsid w:val="00820E0C"/>
    <w:rsid w:val="008237E6"/>
    <w:rsid w:val="00831A06"/>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571E"/>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18C9"/>
    <w:rsid w:val="00A842F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669B"/>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4E0"/>
    <w:rsid w:val="00F30FF4"/>
    <w:rsid w:val="00F3122E"/>
    <w:rsid w:val="00F331AD"/>
    <w:rsid w:val="00F35287"/>
    <w:rsid w:val="00F425DA"/>
    <w:rsid w:val="00F43A37"/>
    <w:rsid w:val="00F4641B"/>
    <w:rsid w:val="00F46EB8"/>
    <w:rsid w:val="00F5036C"/>
    <w:rsid w:val="00F50CBA"/>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07F5E24F"/>
  <w15:docId w15:val="{99D46EF7-C820-4CF8-94CA-BC8018D0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2021C3"/>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2021C3"/>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2021C3"/>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2021C3"/>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704606"/>
    <w:rPr>
      <w:sz w:val="16"/>
      <w:szCs w:val="16"/>
    </w:rPr>
  </w:style>
  <w:style w:type="paragraph" w:styleId="CommentText">
    <w:name w:val="annotation text"/>
    <w:basedOn w:val="Normal"/>
    <w:link w:val="CommentTextChar"/>
    <w:uiPriority w:val="99"/>
    <w:semiHidden/>
    <w:unhideWhenUsed/>
    <w:rsid w:val="00704606"/>
    <w:pPr>
      <w:spacing w:line="240" w:lineRule="auto"/>
    </w:pPr>
  </w:style>
  <w:style w:type="character" w:customStyle="1" w:styleId="CommentTextChar">
    <w:name w:val="Comment Text Char"/>
    <w:basedOn w:val="DefaultParagraphFont"/>
    <w:link w:val="CommentText"/>
    <w:uiPriority w:val="99"/>
    <w:semiHidden/>
    <w:rsid w:val="00704606"/>
    <w:rPr>
      <w:rFonts w:ascii="Arial" w:hAnsi="Arial"/>
    </w:rPr>
  </w:style>
  <w:style w:type="paragraph" w:styleId="CommentSubject">
    <w:name w:val="annotation subject"/>
    <w:basedOn w:val="CommentText"/>
    <w:next w:val="CommentText"/>
    <w:link w:val="CommentSubjectChar"/>
    <w:uiPriority w:val="99"/>
    <w:semiHidden/>
    <w:unhideWhenUsed/>
    <w:rsid w:val="00704606"/>
    <w:rPr>
      <w:b/>
      <w:bCs/>
    </w:rPr>
  </w:style>
  <w:style w:type="character" w:customStyle="1" w:styleId="CommentSubjectChar">
    <w:name w:val="Comment Subject Char"/>
    <w:basedOn w:val="CommentTextChar"/>
    <w:link w:val="CommentSubject"/>
    <w:uiPriority w:val="99"/>
    <w:semiHidden/>
    <w:rsid w:val="00704606"/>
    <w:rPr>
      <w:rFonts w:ascii="Arial" w:hAnsi="Arial"/>
      <w:b/>
      <w:bCs/>
    </w:rPr>
  </w:style>
  <w:style w:type="character" w:styleId="UnresolvedMention">
    <w:name w:val="Unresolved Mention"/>
    <w:basedOn w:val="DefaultParagraphFont"/>
    <w:uiPriority w:val="99"/>
    <w:semiHidden/>
    <w:unhideWhenUsed/>
    <w:rsid w:val="00332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845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8838611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olicy@dhhs.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roviders.dhhs.vic.gov.au/health-human-services-activity-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60B66-6BFA-4C0B-B23C-AE5A2532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11</TotalTime>
  <Pages>3</Pages>
  <Words>628</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Activity description human Services ACSASS 31263</vt:lpstr>
    </vt:vector>
  </TitlesOfParts>
  <Company>Department of Health and Human Services</Company>
  <LinksUpToDate>false</LinksUpToDate>
  <CharactersWithSpaces>5019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ACSASS 31263</dc:title>
  <dc:subject>service agreement activity descriptions</dc:subject>
  <dc:creator>Service Agreement Policy unit</dc:creator>
  <cp:keywords>service agreement; activity description; human services; Child protection and family services; ACSASS;31263</cp:keywords>
  <cp:lastModifiedBy>Louise Crowther (DHHS)</cp:lastModifiedBy>
  <cp:revision>5</cp:revision>
  <cp:lastPrinted>2019-01-08T23:20:00Z</cp:lastPrinted>
  <dcterms:created xsi:type="dcterms:W3CDTF">2019-05-30T05:22:00Z</dcterms:created>
  <dcterms:modified xsi:type="dcterms:W3CDTF">2019-06-18T02:55:00Z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