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326723"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401639" w:rsidP="00401639">
            <w:pPr>
              <w:pStyle w:val="DHHSreportmaintitlewhite"/>
            </w:pPr>
            <w:r>
              <w:lastRenderedPageBreak/>
              <w:t>Providing personal care to people with a disability</w:t>
            </w:r>
          </w:p>
        </w:tc>
      </w:tr>
      <w:tr w:rsidR="00AD784C" w:rsidTr="00357B4E">
        <w:trPr>
          <w:trHeight w:hRule="exact" w:val="1162"/>
        </w:trPr>
        <w:tc>
          <w:tcPr>
            <w:tcW w:w="8046" w:type="dxa"/>
            <w:shd w:val="clear" w:color="auto" w:fill="auto"/>
            <w:tcMar>
              <w:top w:w="170" w:type="dxa"/>
              <w:bottom w:w="510" w:type="dxa"/>
            </w:tcMar>
          </w:tcPr>
          <w:p w:rsidR="00357B4E" w:rsidRPr="00AD784C" w:rsidRDefault="00401639" w:rsidP="00401639">
            <w:pPr>
              <w:pStyle w:val="DHHSreportsubtitlewhite"/>
              <w:rPr>
                <w:szCs w:val="28"/>
              </w:rPr>
            </w:pPr>
            <w:r>
              <w:t xml:space="preserve">A guide for disability support workers and service providers </w:t>
            </w:r>
          </w:p>
        </w:tc>
      </w:tr>
    </w:tbl>
    <w:p w:rsidR="00AD784C" w:rsidRPr="00B57329" w:rsidRDefault="00AD784C" w:rsidP="00B57329">
      <w:pPr>
        <w:pStyle w:val="DHHSTOCheadingfactsheet"/>
      </w:pPr>
      <w:r w:rsidRPr="00B57329">
        <w:t>Contents</w:t>
      </w:r>
    </w:p>
    <w:p w:rsidR="003246B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9607730" w:history="1">
        <w:r w:rsidR="003246B3" w:rsidRPr="00ED3277">
          <w:rPr>
            <w:rStyle w:val="Hyperlink"/>
          </w:rPr>
          <w:t>Introduction</w:t>
        </w:r>
        <w:r w:rsidR="003246B3">
          <w:rPr>
            <w:webHidden/>
          </w:rPr>
          <w:tab/>
        </w:r>
        <w:r w:rsidR="003246B3">
          <w:rPr>
            <w:webHidden/>
          </w:rPr>
          <w:fldChar w:fldCharType="begin"/>
        </w:r>
        <w:r w:rsidR="003246B3">
          <w:rPr>
            <w:webHidden/>
          </w:rPr>
          <w:instrText xml:space="preserve"> PAGEREF _Toc519607730 \h </w:instrText>
        </w:r>
        <w:r w:rsidR="003246B3">
          <w:rPr>
            <w:webHidden/>
          </w:rPr>
        </w:r>
        <w:r w:rsidR="003246B3">
          <w:rPr>
            <w:webHidden/>
          </w:rPr>
          <w:fldChar w:fldCharType="separate"/>
        </w:r>
        <w:r w:rsidR="003246B3">
          <w:rPr>
            <w:webHidden/>
          </w:rPr>
          <w:t>1</w:t>
        </w:r>
        <w:r w:rsidR="003246B3">
          <w:rPr>
            <w:webHidden/>
          </w:rPr>
          <w:fldChar w:fldCharType="end"/>
        </w:r>
      </w:hyperlink>
    </w:p>
    <w:p w:rsidR="003246B3" w:rsidRDefault="00F24C88">
      <w:pPr>
        <w:pStyle w:val="TOC1"/>
        <w:rPr>
          <w:rFonts w:asciiTheme="minorHAnsi" w:eastAsiaTheme="minorEastAsia" w:hAnsiTheme="minorHAnsi" w:cstheme="minorBidi"/>
          <w:b w:val="0"/>
          <w:sz w:val="22"/>
          <w:szCs w:val="22"/>
          <w:lang w:eastAsia="en-AU"/>
        </w:rPr>
      </w:pPr>
      <w:hyperlink w:anchor="_Toc519607731" w:history="1">
        <w:r w:rsidR="003246B3" w:rsidRPr="00ED3277">
          <w:rPr>
            <w:rStyle w:val="Hyperlink"/>
          </w:rPr>
          <w:t>Why considering the gender of support workers is important</w:t>
        </w:r>
        <w:r w:rsidR="003246B3">
          <w:rPr>
            <w:webHidden/>
          </w:rPr>
          <w:tab/>
        </w:r>
        <w:r w:rsidR="003246B3">
          <w:rPr>
            <w:webHidden/>
          </w:rPr>
          <w:fldChar w:fldCharType="begin"/>
        </w:r>
        <w:r w:rsidR="003246B3">
          <w:rPr>
            <w:webHidden/>
          </w:rPr>
          <w:instrText xml:space="preserve"> PAGEREF _Toc519607731 \h </w:instrText>
        </w:r>
        <w:r w:rsidR="003246B3">
          <w:rPr>
            <w:webHidden/>
          </w:rPr>
        </w:r>
        <w:r w:rsidR="003246B3">
          <w:rPr>
            <w:webHidden/>
          </w:rPr>
          <w:fldChar w:fldCharType="separate"/>
        </w:r>
        <w:r w:rsidR="003246B3">
          <w:rPr>
            <w:webHidden/>
          </w:rPr>
          <w:t>1</w:t>
        </w:r>
        <w:r w:rsidR="003246B3">
          <w:rPr>
            <w:webHidden/>
          </w:rPr>
          <w:fldChar w:fldCharType="end"/>
        </w:r>
      </w:hyperlink>
    </w:p>
    <w:p w:rsidR="003246B3" w:rsidRDefault="00F24C88">
      <w:pPr>
        <w:pStyle w:val="TOC1"/>
        <w:rPr>
          <w:rFonts w:asciiTheme="minorHAnsi" w:eastAsiaTheme="minorEastAsia" w:hAnsiTheme="minorHAnsi" w:cstheme="minorBidi"/>
          <w:b w:val="0"/>
          <w:sz w:val="22"/>
          <w:szCs w:val="22"/>
          <w:lang w:eastAsia="en-AU"/>
        </w:rPr>
      </w:pPr>
      <w:hyperlink w:anchor="_Toc519607732" w:history="1">
        <w:r w:rsidR="003246B3" w:rsidRPr="00ED3277">
          <w:rPr>
            <w:rStyle w:val="Hyperlink"/>
          </w:rPr>
          <w:t>Providing gender-sensitive personal care to people with a disability</w:t>
        </w:r>
        <w:r w:rsidR="003246B3">
          <w:rPr>
            <w:webHidden/>
          </w:rPr>
          <w:tab/>
        </w:r>
        <w:r w:rsidR="003246B3">
          <w:rPr>
            <w:webHidden/>
          </w:rPr>
          <w:fldChar w:fldCharType="begin"/>
        </w:r>
        <w:r w:rsidR="003246B3">
          <w:rPr>
            <w:webHidden/>
          </w:rPr>
          <w:instrText xml:space="preserve"> PAGEREF _Toc519607732 \h </w:instrText>
        </w:r>
        <w:r w:rsidR="003246B3">
          <w:rPr>
            <w:webHidden/>
          </w:rPr>
        </w:r>
        <w:r w:rsidR="003246B3">
          <w:rPr>
            <w:webHidden/>
          </w:rPr>
          <w:fldChar w:fldCharType="separate"/>
        </w:r>
        <w:r w:rsidR="003246B3">
          <w:rPr>
            <w:webHidden/>
          </w:rPr>
          <w:t>2</w:t>
        </w:r>
        <w:r w:rsidR="003246B3">
          <w:rPr>
            <w:webHidden/>
          </w:rPr>
          <w:fldChar w:fldCharType="end"/>
        </w:r>
      </w:hyperlink>
    </w:p>
    <w:p w:rsidR="003246B3" w:rsidRDefault="00F24C88">
      <w:pPr>
        <w:pStyle w:val="TOC1"/>
        <w:rPr>
          <w:rFonts w:asciiTheme="minorHAnsi" w:eastAsiaTheme="minorEastAsia" w:hAnsiTheme="minorHAnsi" w:cstheme="minorBidi"/>
          <w:b w:val="0"/>
          <w:sz w:val="22"/>
          <w:szCs w:val="22"/>
          <w:lang w:eastAsia="en-AU"/>
        </w:rPr>
      </w:pPr>
      <w:hyperlink w:anchor="_Toc519607733" w:history="1">
        <w:r w:rsidR="003246B3" w:rsidRPr="00ED3277">
          <w:rPr>
            <w:rStyle w:val="Hyperlink"/>
          </w:rPr>
          <w:t>Role of support workers</w:t>
        </w:r>
        <w:r w:rsidR="003246B3">
          <w:rPr>
            <w:webHidden/>
          </w:rPr>
          <w:tab/>
        </w:r>
        <w:r w:rsidR="003246B3">
          <w:rPr>
            <w:webHidden/>
          </w:rPr>
          <w:fldChar w:fldCharType="begin"/>
        </w:r>
        <w:r w:rsidR="003246B3">
          <w:rPr>
            <w:webHidden/>
          </w:rPr>
          <w:instrText xml:space="preserve"> PAGEREF _Toc519607733 \h </w:instrText>
        </w:r>
        <w:r w:rsidR="003246B3">
          <w:rPr>
            <w:webHidden/>
          </w:rPr>
        </w:r>
        <w:r w:rsidR="003246B3">
          <w:rPr>
            <w:webHidden/>
          </w:rPr>
          <w:fldChar w:fldCharType="separate"/>
        </w:r>
        <w:r w:rsidR="003246B3">
          <w:rPr>
            <w:webHidden/>
          </w:rPr>
          <w:t>3</w:t>
        </w:r>
        <w:r w:rsidR="003246B3">
          <w:rPr>
            <w:webHidden/>
          </w:rPr>
          <w:fldChar w:fldCharType="end"/>
        </w:r>
      </w:hyperlink>
    </w:p>
    <w:p w:rsidR="003246B3" w:rsidRDefault="00F24C88">
      <w:pPr>
        <w:pStyle w:val="TOC1"/>
        <w:rPr>
          <w:rFonts w:asciiTheme="minorHAnsi" w:eastAsiaTheme="minorEastAsia" w:hAnsiTheme="minorHAnsi" w:cstheme="minorBidi"/>
          <w:b w:val="0"/>
          <w:sz w:val="22"/>
          <w:szCs w:val="22"/>
          <w:lang w:eastAsia="en-AU"/>
        </w:rPr>
      </w:pPr>
      <w:hyperlink w:anchor="_Toc519607734" w:history="1">
        <w:r w:rsidR="003246B3" w:rsidRPr="00ED3277">
          <w:rPr>
            <w:rStyle w:val="Hyperlink"/>
          </w:rPr>
          <w:t>Role of disability service providers</w:t>
        </w:r>
        <w:r w:rsidR="003246B3">
          <w:rPr>
            <w:webHidden/>
          </w:rPr>
          <w:tab/>
        </w:r>
        <w:r w:rsidR="003246B3">
          <w:rPr>
            <w:webHidden/>
          </w:rPr>
          <w:fldChar w:fldCharType="begin"/>
        </w:r>
        <w:r w:rsidR="003246B3">
          <w:rPr>
            <w:webHidden/>
          </w:rPr>
          <w:instrText xml:space="preserve"> PAGEREF _Toc519607734 \h </w:instrText>
        </w:r>
        <w:r w:rsidR="003246B3">
          <w:rPr>
            <w:webHidden/>
          </w:rPr>
        </w:r>
        <w:r w:rsidR="003246B3">
          <w:rPr>
            <w:webHidden/>
          </w:rPr>
          <w:fldChar w:fldCharType="separate"/>
        </w:r>
        <w:r w:rsidR="003246B3">
          <w:rPr>
            <w:webHidden/>
          </w:rPr>
          <w:t>3</w:t>
        </w:r>
        <w:r w:rsidR="003246B3">
          <w:rPr>
            <w:webHidden/>
          </w:rPr>
          <w:fldChar w:fldCharType="end"/>
        </w:r>
      </w:hyperlink>
    </w:p>
    <w:p w:rsidR="007173CA" w:rsidRDefault="00AD784C" w:rsidP="003246B3">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3246B3" w:rsidRPr="00AB50C1" w:rsidRDefault="003246B3" w:rsidP="003246B3">
      <w:pPr>
        <w:pStyle w:val="Heading1"/>
        <w:spacing w:before="0"/>
      </w:pPr>
      <w:bookmarkStart w:id="0" w:name="_Toc519602079"/>
      <w:bookmarkStart w:id="1" w:name="_Toc519607730"/>
      <w:r>
        <w:lastRenderedPageBreak/>
        <w:t>Introduction</w:t>
      </w:r>
      <w:bookmarkEnd w:id="0"/>
      <w:bookmarkEnd w:id="1"/>
      <w:r>
        <w:t xml:space="preserve"> </w:t>
      </w:r>
    </w:p>
    <w:p w:rsidR="003246B3" w:rsidRPr="001827BF" w:rsidRDefault="003246B3" w:rsidP="003246B3">
      <w:pPr>
        <w:pStyle w:val="DHHSbody"/>
      </w:pPr>
      <w:r w:rsidRPr="001827BF">
        <w:t xml:space="preserve">This guide is for disability service providers and support workers who provide support for people with a disability. </w:t>
      </w:r>
    </w:p>
    <w:p w:rsidR="003246B3" w:rsidRPr="001827BF" w:rsidRDefault="003246B3" w:rsidP="003246B3">
      <w:pPr>
        <w:pStyle w:val="DHHSbody"/>
      </w:pPr>
      <w:r w:rsidRPr="001827BF">
        <w:t xml:space="preserve">The purpose of this guide is to assist disability service providers and support workers to accommodate a person’s preference for a male or female support worker for </w:t>
      </w:r>
      <w:r>
        <w:t>personal care</w:t>
      </w:r>
      <w:r w:rsidRPr="001827BF">
        <w:t xml:space="preserve">, where possible. </w:t>
      </w:r>
      <w:r>
        <w:t>Personal care</w:t>
      </w:r>
      <w:r w:rsidRPr="001827BF">
        <w:t xml:space="preserve"> </w:t>
      </w:r>
      <w:r>
        <w:t>can</w:t>
      </w:r>
      <w:r w:rsidRPr="001827BF">
        <w:t xml:space="preserve"> include tasks such as showering, dressing and toileting. </w:t>
      </w:r>
    </w:p>
    <w:p w:rsidR="00FA3525" w:rsidRDefault="003246B3" w:rsidP="003246B3">
      <w:pPr>
        <w:pStyle w:val="DHHSbody"/>
      </w:pPr>
      <w:r w:rsidRPr="001827BF">
        <w:t xml:space="preserve">All people, including those with a disability have the right to feel safe and </w:t>
      </w:r>
      <w:r>
        <w:t xml:space="preserve">to </w:t>
      </w:r>
      <w:r w:rsidRPr="001827BF">
        <w:t xml:space="preserve">be treated with dignity, particularly when they require assistance with </w:t>
      </w:r>
      <w:r>
        <w:t>personal care</w:t>
      </w:r>
      <w:r w:rsidRPr="001827BF">
        <w:t>.</w:t>
      </w:r>
    </w:p>
    <w:p w:rsidR="003246B3" w:rsidRPr="00A925AE" w:rsidRDefault="003246B3" w:rsidP="003246B3">
      <w:pPr>
        <w:pStyle w:val="Heading1"/>
        <w:rPr>
          <w:sz w:val="18"/>
        </w:rPr>
      </w:pPr>
      <w:bookmarkStart w:id="2" w:name="_Toc519602080"/>
      <w:bookmarkStart w:id="3" w:name="_Toc519607731"/>
      <w:r w:rsidRPr="00A925AE">
        <w:t>Why considering the gender of support workers is important</w:t>
      </w:r>
      <w:bookmarkEnd w:id="2"/>
      <w:bookmarkEnd w:id="3"/>
      <w:r>
        <w:t xml:space="preserve"> </w:t>
      </w:r>
    </w:p>
    <w:p w:rsidR="003246B3" w:rsidRPr="00A925AE" w:rsidRDefault="003246B3" w:rsidP="003246B3">
      <w:pPr>
        <w:pStyle w:val="DHHSbody"/>
      </w:pPr>
      <w:r w:rsidRPr="00A925AE">
        <w:t>In May 2015, the Parliamentary Inquiry into Abuse in Disability Services (the Inquiry) began its inquiry into why abuse in disability services is not reported or acted upon, and how abuse can be prevented.</w:t>
      </w:r>
    </w:p>
    <w:p w:rsidR="003246B3" w:rsidRPr="00A925AE" w:rsidRDefault="003246B3" w:rsidP="003246B3">
      <w:pPr>
        <w:pStyle w:val="DHHSbody"/>
      </w:pPr>
      <w:r w:rsidRPr="00A925AE">
        <w:t xml:space="preserve">The Inquiry heard: </w:t>
      </w:r>
    </w:p>
    <w:p w:rsidR="003246B3" w:rsidRPr="001827BF" w:rsidRDefault="003246B3" w:rsidP="003246B3">
      <w:pPr>
        <w:pStyle w:val="DHHSbullet1"/>
        <w:numPr>
          <w:ilvl w:val="0"/>
          <w:numId w:val="1"/>
        </w:numPr>
      </w:pPr>
      <w:r w:rsidRPr="001827BF">
        <w:t xml:space="preserve">Women with a disability are more likely to experience abuse, compared with men with a disability and women without a disability. </w:t>
      </w:r>
    </w:p>
    <w:p w:rsidR="003246B3" w:rsidRPr="001827BF" w:rsidRDefault="003246B3" w:rsidP="003246B3">
      <w:pPr>
        <w:pStyle w:val="DHHSbullet1"/>
        <w:numPr>
          <w:ilvl w:val="0"/>
          <w:numId w:val="1"/>
        </w:numPr>
      </w:pPr>
      <w:r w:rsidRPr="001827BF">
        <w:t>Women with intellectual disabilities and/or complex communication are at a higher risk of abuse.</w:t>
      </w:r>
    </w:p>
    <w:p w:rsidR="003246B3" w:rsidRPr="001827BF" w:rsidRDefault="003246B3" w:rsidP="003246B3">
      <w:pPr>
        <w:pStyle w:val="DHHSbullet1"/>
        <w:numPr>
          <w:ilvl w:val="0"/>
          <w:numId w:val="1"/>
        </w:numPr>
      </w:pPr>
      <w:r w:rsidRPr="001827BF">
        <w:t>Women with a disability are more likely to be assaulted by men than by other women, including male intimate partners, family members or support workers.</w:t>
      </w:r>
    </w:p>
    <w:p w:rsidR="003246B3" w:rsidRPr="001827BF" w:rsidRDefault="003246B3" w:rsidP="003246B3">
      <w:pPr>
        <w:pStyle w:val="DHHSbullet1"/>
        <w:numPr>
          <w:ilvl w:val="0"/>
          <w:numId w:val="1"/>
        </w:numPr>
      </w:pPr>
      <w:r w:rsidRPr="001827BF">
        <w:t>Disability services can address the increased risk of abuse faced by women with a disability by acknowledging and being responsive to the role of gender in preventing the abuse of people with a disability.</w:t>
      </w:r>
    </w:p>
    <w:p w:rsidR="003246B3" w:rsidRPr="001827BF" w:rsidRDefault="003246B3" w:rsidP="003246B3">
      <w:pPr>
        <w:pStyle w:val="DHHSbullet1"/>
        <w:numPr>
          <w:ilvl w:val="0"/>
          <w:numId w:val="1"/>
        </w:numPr>
      </w:pPr>
      <w:r w:rsidRPr="001827BF">
        <w:t xml:space="preserve">Many people with a disability, especially women with a disability, and their families are concerned that they are not able to nominate a gender preference of the workers who provide them with </w:t>
      </w:r>
      <w:r>
        <w:t>personal care</w:t>
      </w:r>
      <w:r w:rsidRPr="001827BF">
        <w:t>.</w:t>
      </w:r>
    </w:p>
    <w:p w:rsidR="003246B3" w:rsidRPr="001827BF" w:rsidRDefault="003246B3" w:rsidP="003246B3">
      <w:pPr>
        <w:pStyle w:val="DHHSbullet1"/>
        <w:numPr>
          <w:ilvl w:val="0"/>
          <w:numId w:val="1"/>
        </w:numPr>
      </w:pPr>
      <w:r w:rsidRPr="001827BF">
        <w:t xml:space="preserve">Many women with a disability do not want </w:t>
      </w:r>
      <w:r>
        <w:t>personal care</w:t>
      </w:r>
      <w:r w:rsidRPr="001827BF">
        <w:t xml:space="preserve"> provided by male support workers because it makes them feel uncomfortable and/or unsafe. </w:t>
      </w:r>
    </w:p>
    <w:p w:rsidR="003246B3" w:rsidRPr="001827BF" w:rsidRDefault="003246B3" w:rsidP="003246B3">
      <w:pPr>
        <w:pStyle w:val="DHHSbullet1"/>
        <w:numPr>
          <w:ilvl w:val="0"/>
          <w:numId w:val="1"/>
        </w:numPr>
      </w:pPr>
      <w:r w:rsidRPr="001827BF">
        <w:t xml:space="preserve">Providing gender-sensitive </w:t>
      </w:r>
      <w:r>
        <w:t>personal care</w:t>
      </w:r>
      <w:r w:rsidRPr="001827BF">
        <w:t xml:space="preserve"> can contribute to reducing the risk of abuse toward women with a disability and increasing women’s feelings of safety. </w:t>
      </w:r>
    </w:p>
    <w:p w:rsidR="003246B3" w:rsidRPr="001827BF" w:rsidRDefault="003246B3" w:rsidP="003246B3">
      <w:pPr>
        <w:pStyle w:val="DHHSbullet1lastline"/>
        <w:numPr>
          <w:ilvl w:val="1"/>
          <w:numId w:val="1"/>
        </w:numPr>
      </w:pPr>
      <w:r w:rsidRPr="001827BF">
        <w:lastRenderedPageBreak/>
        <w:t xml:space="preserve">While this issue is especially important to women with a disability, it is critical that all people with a disability have access to disability services that take into account their individual needs and the right to choose who provides their </w:t>
      </w:r>
      <w:r>
        <w:t>personal care</w:t>
      </w:r>
      <w:r w:rsidRPr="001827BF">
        <w:t>.</w:t>
      </w:r>
    </w:p>
    <w:p w:rsidR="003246B3" w:rsidRPr="00A925AE" w:rsidRDefault="003246B3" w:rsidP="003246B3">
      <w:pPr>
        <w:pStyle w:val="DHHSbody"/>
      </w:pPr>
      <w:r w:rsidRPr="00A925AE">
        <w:t xml:space="preserve">The Inquiry recommended the Victorian Government develop this guide to provide information and advice about the obligations of disability service providers to provide </w:t>
      </w:r>
      <w:r>
        <w:t>personal care,</w:t>
      </w:r>
      <w:r w:rsidRPr="00A925AE">
        <w:t xml:space="preserve"> which take into account </w:t>
      </w:r>
      <w:r>
        <w:t xml:space="preserve">a person’s </w:t>
      </w:r>
      <w:r w:rsidRPr="00A925AE">
        <w:t xml:space="preserve">preference for a male or female worker. </w:t>
      </w:r>
    </w:p>
    <w:p w:rsidR="003246B3" w:rsidRPr="00A925AE" w:rsidRDefault="003246B3" w:rsidP="003246B3">
      <w:pPr>
        <w:pStyle w:val="DHHSbody"/>
      </w:pPr>
      <w:r w:rsidRPr="00A925AE">
        <w:t xml:space="preserve">Accommodating a person’s gender preference for a support worker is also important in meeting the objectives and principles of the </w:t>
      </w:r>
      <w:r w:rsidRPr="00A925AE">
        <w:rPr>
          <w:i/>
        </w:rPr>
        <w:t>Disability Act</w:t>
      </w:r>
      <w:r w:rsidRPr="00A925AE">
        <w:t xml:space="preserve"> 2006 (Vic.). The </w:t>
      </w:r>
      <w:r w:rsidRPr="00A925AE">
        <w:rPr>
          <w:i/>
        </w:rPr>
        <w:t>Disability Act</w:t>
      </w:r>
      <w:r w:rsidRPr="00A925AE">
        <w:t xml:space="preserve"> 2006 (Vic.) states disability services should:</w:t>
      </w:r>
    </w:p>
    <w:p w:rsidR="003246B3" w:rsidRPr="001827BF" w:rsidRDefault="003246B3" w:rsidP="003246B3">
      <w:pPr>
        <w:pStyle w:val="DHHSbullet1"/>
        <w:numPr>
          <w:ilvl w:val="0"/>
          <w:numId w:val="1"/>
        </w:numPr>
      </w:pPr>
      <w:r w:rsidRPr="001827BF">
        <w:t>be flexible and responsive to the individual needs of persons with a disability</w:t>
      </w:r>
    </w:p>
    <w:p w:rsidR="003246B3" w:rsidRPr="001827BF" w:rsidRDefault="003246B3" w:rsidP="003246B3">
      <w:pPr>
        <w:pStyle w:val="DHHSbullet1"/>
        <w:numPr>
          <w:ilvl w:val="0"/>
          <w:numId w:val="1"/>
        </w:numPr>
      </w:pPr>
      <w:r w:rsidRPr="001827BF">
        <w:t>maximise the choice and independence of persons with a disability</w:t>
      </w:r>
    </w:p>
    <w:p w:rsidR="003246B3" w:rsidRPr="001827BF" w:rsidRDefault="003246B3" w:rsidP="003246B3">
      <w:pPr>
        <w:pStyle w:val="DHHSbullet1"/>
        <w:numPr>
          <w:ilvl w:val="0"/>
          <w:numId w:val="1"/>
        </w:numPr>
      </w:pPr>
      <w:r>
        <w:t>be accountable for</w:t>
      </w:r>
      <w:r w:rsidRPr="001827BF">
        <w:t xml:space="preserve"> quality services and for the extent to which the rights of persons with a disability are promoted and protected in the provision of services </w:t>
      </w:r>
    </w:p>
    <w:p w:rsidR="003246B3" w:rsidRDefault="003246B3" w:rsidP="003246B3">
      <w:pPr>
        <w:pStyle w:val="DHHSbullet1lastline"/>
        <w:numPr>
          <w:ilvl w:val="1"/>
          <w:numId w:val="1"/>
        </w:numPr>
      </w:pPr>
      <w:r w:rsidRPr="001827BF">
        <w:t>be provided in a manner that respects the privacy and dignity of persons accessing disability services.</w:t>
      </w:r>
    </w:p>
    <w:p w:rsidR="003246B3" w:rsidRDefault="003246B3" w:rsidP="003246B3">
      <w:pPr>
        <w:pStyle w:val="Heading1"/>
      </w:pPr>
      <w:bookmarkStart w:id="4" w:name="_Toc519602081"/>
      <w:bookmarkStart w:id="5" w:name="_Toc519607732"/>
      <w:r>
        <w:t>P</w:t>
      </w:r>
      <w:r w:rsidRPr="00AD73A8">
        <w:t>ro</w:t>
      </w:r>
      <w:r>
        <w:t>viding</w:t>
      </w:r>
      <w:r w:rsidRPr="00AD73A8">
        <w:t xml:space="preserve"> gender-sensitive </w:t>
      </w:r>
      <w:r>
        <w:t>personal care to people with a disability</w:t>
      </w:r>
      <w:bookmarkEnd w:id="4"/>
      <w:bookmarkEnd w:id="5"/>
    </w:p>
    <w:p w:rsidR="003246B3" w:rsidRPr="001827BF" w:rsidRDefault="003246B3" w:rsidP="003246B3">
      <w:pPr>
        <w:pStyle w:val="DHHSbody"/>
      </w:pPr>
      <w:r w:rsidRPr="001827BF">
        <w:t>Support staff who work with a person with a disability to develop a support plan should:</w:t>
      </w:r>
    </w:p>
    <w:p w:rsidR="003246B3" w:rsidRPr="001827BF" w:rsidRDefault="003246B3" w:rsidP="003246B3">
      <w:pPr>
        <w:pStyle w:val="DHHSbullet1"/>
        <w:numPr>
          <w:ilvl w:val="0"/>
          <w:numId w:val="1"/>
        </w:numPr>
      </w:pPr>
      <w:r w:rsidRPr="001827BF">
        <w:t xml:space="preserve">have a conversation with the person about </w:t>
      </w:r>
      <w:r>
        <w:t>personal care</w:t>
      </w:r>
      <w:r w:rsidRPr="001827BF">
        <w:t xml:space="preserve"> as early as possible, for example during the support planning process</w:t>
      </w:r>
    </w:p>
    <w:p w:rsidR="003246B3" w:rsidRPr="001827BF" w:rsidRDefault="003246B3" w:rsidP="003246B3">
      <w:pPr>
        <w:pStyle w:val="DHHSbullet1"/>
        <w:numPr>
          <w:ilvl w:val="0"/>
          <w:numId w:val="1"/>
        </w:numPr>
      </w:pPr>
      <w:r w:rsidRPr="001827BF">
        <w:t>engage family members or an advocate in the conversation, if the person wants them involved</w:t>
      </w:r>
    </w:p>
    <w:p w:rsidR="003246B3" w:rsidRPr="001827BF" w:rsidRDefault="003246B3" w:rsidP="003246B3">
      <w:pPr>
        <w:pStyle w:val="DHHSbullet1"/>
        <w:numPr>
          <w:ilvl w:val="0"/>
          <w:numId w:val="1"/>
        </w:numPr>
      </w:pPr>
      <w:r w:rsidRPr="001827BF">
        <w:t>use appropriate communication methods, devices and strategies, particularly for people who have a cognitive disability or complex communication</w:t>
      </w:r>
    </w:p>
    <w:p w:rsidR="003246B3" w:rsidRPr="001827BF" w:rsidRDefault="003246B3" w:rsidP="003246B3">
      <w:pPr>
        <w:pStyle w:val="DHHSbullet1"/>
        <w:numPr>
          <w:ilvl w:val="0"/>
          <w:numId w:val="1"/>
        </w:numPr>
      </w:pPr>
      <w:r w:rsidRPr="001827BF">
        <w:t xml:space="preserve">inform the person they </w:t>
      </w:r>
      <w:r>
        <w:t xml:space="preserve">can nominate a preference for a </w:t>
      </w:r>
      <w:r w:rsidRPr="001827BF">
        <w:t xml:space="preserve">male or female support worker to provide </w:t>
      </w:r>
      <w:r>
        <w:t>personal care</w:t>
      </w:r>
      <w:r w:rsidRPr="001827BF">
        <w:t>, and that attempts will be made to meet the</w:t>
      </w:r>
      <w:r>
        <w:t>ir</w:t>
      </w:r>
      <w:r w:rsidRPr="001827BF">
        <w:t xml:space="preserve"> preference </w:t>
      </w:r>
      <w:r>
        <w:t xml:space="preserve">wherever possible </w:t>
      </w:r>
      <w:r w:rsidRPr="001827BF">
        <w:t>(a person’s cultural or religious identity may influence their preference)</w:t>
      </w:r>
    </w:p>
    <w:p w:rsidR="003246B3" w:rsidRPr="001827BF" w:rsidRDefault="003246B3" w:rsidP="003246B3">
      <w:pPr>
        <w:pStyle w:val="DHHSbullet1"/>
        <w:numPr>
          <w:ilvl w:val="0"/>
          <w:numId w:val="1"/>
        </w:numPr>
      </w:pPr>
      <w:r w:rsidRPr="001827BF">
        <w:t xml:space="preserve">encourage and assist the person to make decisions about the gender of support workers for </w:t>
      </w:r>
      <w:r>
        <w:t>personal care</w:t>
      </w:r>
      <w:r w:rsidRPr="001827BF">
        <w:t xml:space="preserve"> and inform the person that they have the right to change their preference by speaking with support staff</w:t>
      </w:r>
    </w:p>
    <w:p w:rsidR="003246B3" w:rsidRPr="001827BF" w:rsidRDefault="003246B3" w:rsidP="003246B3">
      <w:pPr>
        <w:pStyle w:val="DHHSbullet1"/>
        <w:numPr>
          <w:ilvl w:val="0"/>
          <w:numId w:val="1"/>
        </w:numPr>
      </w:pPr>
      <w:r w:rsidRPr="001827BF">
        <w:t xml:space="preserve">document a person’s gender preference for support workers in their support plan to assist management with developing rosters that can accommodate the person’s preference (this should </w:t>
      </w:r>
      <w:r>
        <w:t xml:space="preserve">be </w:t>
      </w:r>
      <w:r w:rsidRPr="001827BF">
        <w:t xml:space="preserve">updated each time a person changes their preference)  </w:t>
      </w:r>
    </w:p>
    <w:p w:rsidR="003246B3" w:rsidRPr="001827BF" w:rsidRDefault="003246B3" w:rsidP="003246B3">
      <w:pPr>
        <w:pStyle w:val="DHHSbullet1"/>
        <w:numPr>
          <w:ilvl w:val="0"/>
          <w:numId w:val="1"/>
        </w:numPr>
      </w:pPr>
      <w:r w:rsidRPr="001827BF">
        <w:t>document a person’s preferred course of action in situations where the gender preference cannot be accommodated</w:t>
      </w:r>
      <w:r>
        <w:t>, for example when regular staff are on leave and relief staff required</w:t>
      </w:r>
      <w:r w:rsidRPr="001827BF">
        <w:t>. This may di</w:t>
      </w:r>
      <w:r>
        <w:t xml:space="preserve">ffer for routine/planned tasks, </w:t>
      </w:r>
      <w:r w:rsidRPr="001827BF">
        <w:t>such as bathing</w:t>
      </w:r>
      <w:r>
        <w:t>,</w:t>
      </w:r>
      <w:r w:rsidRPr="001827BF">
        <w:t xml:space="preserve"> and unexpected</w:t>
      </w:r>
      <w:r>
        <w:t xml:space="preserve"> or </w:t>
      </w:r>
      <w:r w:rsidRPr="001827BF">
        <w:t>immediate tasks</w:t>
      </w:r>
      <w:r>
        <w:t xml:space="preserve">, </w:t>
      </w:r>
      <w:r w:rsidRPr="001827BF">
        <w:t>such as th</w:t>
      </w:r>
      <w:r>
        <w:t>e need for a change of clothing.</w:t>
      </w:r>
      <w:r w:rsidRPr="001827BF">
        <w:t xml:space="preserve"> </w:t>
      </w:r>
      <w:r>
        <w:t xml:space="preserve"> </w:t>
      </w:r>
      <w:r w:rsidRPr="001827BF">
        <w:t>The person may choose to wait for support with a routine task until their preference can be accommodated. The person should be informed of the timeframes for providing the support</w:t>
      </w:r>
    </w:p>
    <w:p w:rsidR="003246B3" w:rsidRPr="001827BF" w:rsidRDefault="003246B3" w:rsidP="003246B3">
      <w:pPr>
        <w:pStyle w:val="DHHSbullet1"/>
        <w:numPr>
          <w:ilvl w:val="0"/>
          <w:numId w:val="1"/>
        </w:numPr>
        <w:shd w:val="clear" w:color="auto" w:fill="FFFFFF" w:themeFill="background1"/>
      </w:pPr>
      <w:r w:rsidRPr="001827BF">
        <w:t xml:space="preserve">where the person has a cognitive disability, complex communication or has difficulty making a decision, a support worker of the same gender as the person should be </w:t>
      </w:r>
      <w:r>
        <w:t xml:space="preserve">available to provide personal care where possible and practicable </w:t>
      </w:r>
    </w:p>
    <w:p w:rsidR="003246B3" w:rsidRPr="001827BF" w:rsidRDefault="003246B3" w:rsidP="003246B3">
      <w:pPr>
        <w:pStyle w:val="DHHSbullet1"/>
        <w:numPr>
          <w:ilvl w:val="0"/>
          <w:numId w:val="1"/>
        </w:numPr>
      </w:pPr>
      <w:r w:rsidRPr="001827BF">
        <w:t xml:space="preserve">update documentation if a person’s preference for </w:t>
      </w:r>
      <w:r>
        <w:t>personal care</w:t>
      </w:r>
      <w:r w:rsidRPr="001827BF">
        <w:t xml:space="preserve"> changes</w:t>
      </w:r>
    </w:p>
    <w:p w:rsidR="003246B3" w:rsidRDefault="003246B3" w:rsidP="003246B3">
      <w:pPr>
        <w:pStyle w:val="DHHSbullet1lastline"/>
        <w:numPr>
          <w:ilvl w:val="1"/>
          <w:numId w:val="1"/>
        </w:numPr>
      </w:pPr>
      <w:r w:rsidRPr="001827BF">
        <w:t>ensure all support staff are aware of the person’s gender preference for support workers.</w:t>
      </w:r>
    </w:p>
    <w:p w:rsidR="003246B3" w:rsidRDefault="003246B3">
      <w:pPr>
        <w:rPr>
          <w:rFonts w:ascii="Arial" w:eastAsia="Times" w:hAnsi="Arial"/>
        </w:rPr>
      </w:pPr>
      <w:r>
        <w:br w:type="page"/>
      </w:r>
    </w:p>
    <w:p w:rsidR="003246B3" w:rsidRDefault="003246B3" w:rsidP="003246B3">
      <w:pPr>
        <w:pStyle w:val="Heading1"/>
      </w:pPr>
      <w:bookmarkStart w:id="6" w:name="_Toc519602082"/>
      <w:bookmarkStart w:id="7" w:name="_Toc519607733"/>
      <w:r>
        <w:lastRenderedPageBreak/>
        <w:t>Role of support workers</w:t>
      </w:r>
      <w:bookmarkEnd w:id="6"/>
      <w:bookmarkEnd w:id="7"/>
    </w:p>
    <w:p w:rsidR="003246B3" w:rsidRPr="001827BF" w:rsidRDefault="003246B3" w:rsidP="003246B3">
      <w:pPr>
        <w:pStyle w:val="DHHSbody"/>
      </w:pPr>
      <w:r w:rsidRPr="001827BF">
        <w:t xml:space="preserve">Support workers should: </w:t>
      </w:r>
    </w:p>
    <w:p w:rsidR="003246B3" w:rsidRPr="001827BF" w:rsidRDefault="003246B3" w:rsidP="003246B3">
      <w:pPr>
        <w:pStyle w:val="DHHSbullet1"/>
        <w:numPr>
          <w:ilvl w:val="0"/>
          <w:numId w:val="1"/>
        </w:numPr>
      </w:pPr>
      <w:r w:rsidRPr="001827BF">
        <w:t xml:space="preserve">be aware of the gender preference for </w:t>
      </w:r>
      <w:r>
        <w:t>personal care</w:t>
      </w:r>
      <w:r w:rsidRPr="001827BF">
        <w:t xml:space="preserve"> of the person they are assisting</w:t>
      </w:r>
    </w:p>
    <w:p w:rsidR="003246B3" w:rsidRPr="001827BF" w:rsidRDefault="003246B3" w:rsidP="003246B3">
      <w:pPr>
        <w:pStyle w:val="DHHSbullet1"/>
        <w:numPr>
          <w:ilvl w:val="0"/>
          <w:numId w:val="1"/>
        </w:numPr>
      </w:pPr>
      <w:r w:rsidRPr="001827BF">
        <w:t xml:space="preserve">be aware of the person’s preferred course of action when their gender preference cannot be met </w:t>
      </w:r>
    </w:p>
    <w:p w:rsidR="003246B3" w:rsidRPr="001827BF" w:rsidRDefault="003246B3" w:rsidP="003246B3">
      <w:pPr>
        <w:pStyle w:val="DHHSbullet1"/>
        <w:numPr>
          <w:ilvl w:val="0"/>
          <w:numId w:val="1"/>
        </w:numPr>
      </w:pPr>
      <w:r w:rsidRPr="001827BF">
        <w:t xml:space="preserve">notify staff who are involved in support planning and documenting preferences </w:t>
      </w:r>
      <w:r>
        <w:t>if</w:t>
      </w:r>
      <w:r w:rsidRPr="001827BF">
        <w:t xml:space="preserve"> a person’s gender preference for </w:t>
      </w:r>
      <w:r>
        <w:t>personal care</w:t>
      </w:r>
      <w:r w:rsidRPr="001827BF">
        <w:t xml:space="preserve"> changes </w:t>
      </w:r>
    </w:p>
    <w:p w:rsidR="003246B3" w:rsidRPr="001827BF" w:rsidRDefault="003246B3" w:rsidP="003246B3">
      <w:pPr>
        <w:pStyle w:val="DHHSbullet1lastline"/>
        <w:numPr>
          <w:ilvl w:val="1"/>
          <w:numId w:val="1"/>
        </w:numPr>
      </w:pPr>
      <w:r w:rsidRPr="001827BF">
        <w:t>monitor the safety and wellbeing of the person and report any concerns to the manager.</w:t>
      </w:r>
    </w:p>
    <w:p w:rsidR="003246B3" w:rsidRDefault="003246B3" w:rsidP="003246B3">
      <w:pPr>
        <w:pStyle w:val="Heading1"/>
      </w:pPr>
      <w:bookmarkStart w:id="8" w:name="_Toc519602083"/>
      <w:bookmarkStart w:id="9" w:name="_Toc519607734"/>
      <w:r>
        <w:t>Role of disability service providers</w:t>
      </w:r>
      <w:bookmarkEnd w:id="8"/>
      <w:bookmarkEnd w:id="9"/>
    </w:p>
    <w:p w:rsidR="003246B3" w:rsidRPr="001827BF" w:rsidRDefault="003246B3" w:rsidP="003246B3">
      <w:pPr>
        <w:pStyle w:val="DHHSbody"/>
      </w:pPr>
      <w:r w:rsidRPr="001827BF">
        <w:t xml:space="preserve">To meet a person’s gender preference for </w:t>
      </w:r>
      <w:r>
        <w:t>personal care</w:t>
      </w:r>
      <w:r w:rsidRPr="001827BF">
        <w:t>, service providers should:</w:t>
      </w:r>
    </w:p>
    <w:p w:rsidR="003246B3" w:rsidRPr="001827BF" w:rsidRDefault="003246B3" w:rsidP="003246B3">
      <w:pPr>
        <w:pStyle w:val="DHHSbullet1"/>
        <w:numPr>
          <w:ilvl w:val="0"/>
          <w:numId w:val="1"/>
        </w:numPr>
      </w:pPr>
      <w:r w:rsidRPr="001827BF">
        <w:t>establish a process for gathering info</w:t>
      </w:r>
      <w:r>
        <w:t>rmation about gender preference</w:t>
      </w:r>
      <w:r w:rsidRPr="001827BF">
        <w:t xml:space="preserve"> from support staff and use this to plan and develop staff rosters </w:t>
      </w:r>
    </w:p>
    <w:p w:rsidR="003246B3" w:rsidRPr="001827BF" w:rsidRDefault="003246B3" w:rsidP="003246B3">
      <w:pPr>
        <w:pStyle w:val="DHHSbullet1"/>
        <w:numPr>
          <w:ilvl w:val="0"/>
          <w:numId w:val="1"/>
        </w:numPr>
      </w:pPr>
      <w:r w:rsidRPr="001827BF">
        <w:t>refer to the documentat</w:t>
      </w:r>
      <w:r>
        <w:t>ion outlining gender preference</w:t>
      </w:r>
      <w:r w:rsidRPr="001827BF">
        <w:t xml:space="preserve"> when making changes to the roster. For example, changes to a roster may be made if staff take periods of leave and when relief staff are required </w:t>
      </w:r>
    </w:p>
    <w:p w:rsidR="003246B3" w:rsidRPr="001827BF" w:rsidRDefault="003246B3" w:rsidP="003246B3">
      <w:pPr>
        <w:pStyle w:val="DHHSbullet1lastline"/>
        <w:numPr>
          <w:ilvl w:val="1"/>
          <w:numId w:val="1"/>
        </w:numPr>
      </w:pPr>
      <w:r w:rsidRPr="001827BF">
        <w:t>review records regularly to ensure that roster arrangements continue</w:t>
      </w:r>
      <w:r>
        <w:t xml:space="preserve"> to meet the gender preference </w:t>
      </w:r>
      <w:r w:rsidRPr="001827BF">
        <w:t xml:space="preserve">of people being provided with </w:t>
      </w:r>
      <w:r>
        <w:t>personal care</w:t>
      </w:r>
      <w:r w:rsidRPr="001827BF">
        <w:t>.</w:t>
      </w:r>
    </w:p>
    <w:p w:rsidR="003246B3" w:rsidRPr="001827BF" w:rsidRDefault="003246B3" w:rsidP="003246B3">
      <w:pPr>
        <w:pStyle w:val="DHHSbody"/>
      </w:pPr>
      <w:r w:rsidRPr="001827BF">
        <w:rPr>
          <w:rStyle w:val="DHHSbodyChar"/>
        </w:rPr>
        <w:t>There may be situations where a preference cannot be accommodated. In these instances</w:t>
      </w:r>
      <w:r w:rsidRPr="001827BF">
        <w:t>:</w:t>
      </w:r>
    </w:p>
    <w:p w:rsidR="003246B3" w:rsidRPr="001827BF" w:rsidRDefault="003246B3" w:rsidP="003246B3">
      <w:pPr>
        <w:pStyle w:val="DHHSbullet1"/>
        <w:numPr>
          <w:ilvl w:val="0"/>
          <w:numId w:val="1"/>
        </w:numPr>
      </w:pPr>
      <w:r w:rsidRPr="001827BF">
        <w:t xml:space="preserve">notify the person as soon as possible that their preference cannot be met and refer to the person’s plan to determine the preferred action in these situations </w:t>
      </w:r>
    </w:p>
    <w:p w:rsidR="003246B3" w:rsidRPr="001827BF" w:rsidRDefault="003246B3" w:rsidP="003246B3">
      <w:pPr>
        <w:pStyle w:val="DHHSbullet1lastline"/>
        <w:numPr>
          <w:ilvl w:val="1"/>
          <w:numId w:val="1"/>
        </w:numPr>
      </w:pPr>
      <w:r w:rsidRPr="001827BF">
        <w:t>document any instances where preferences cannot be accommodated with an explanation.</w:t>
      </w:r>
    </w:p>
    <w:p w:rsidR="003246B3" w:rsidRDefault="003246B3" w:rsidP="003246B3">
      <w:pPr>
        <w:pStyle w:val="DHHSbody"/>
      </w:pPr>
      <w:r w:rsidRPr="001827BF">
        <w:t>If a person is unhappy or feels uncomfortable with the support received, they should be encouraged to let their servic</w:t>
      </w:r>
      <w:r w:rsidR="00E0048D">
        <w:t xml:space="preserve">e provider know how they feel. </w:t>
      </w:r>
      <w:r w:rsidRPr="001827BF">
        <w:t>A family member, support person or advocate can assist to communicate concerns, if the person wants them involved.</w:t>
      </w:r>
    </w:p>
    <w:p w:rsidR="003246B3" w:rsidRPr="001827BF" w:rsidRDefault="003246B3" w:rsidP="003246B3">
      <w:pPr>
        <w:pStyle w:val="DHHS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3246B3">
        <w:trPr>
          <w:cantSplit/>
        </w:trPr>
        <w:tc>
          <w:tcPr>
            <w:tcW w:w="5000" w:type="pct"/>
            <w:tcBorders>
              <w:top w:val="single" w:sz="4" w:space="0" w:color="auto"/>
              <w:left w:val="single" w:sz="4" w:space="0" w:color="auto"/>
              <w:bottom w:val="single" w:sz="4" w:space="0" w:color="auto"/>
              <w:right w:val="single" w:sz="4" w:space="0" w:color="auto"/>
            </w:tcBorders>
            <w:vAlign w:val="bottom"/>
          </w:tcPr>
          <w:p w:rsidR="003246B3" w:rsidRPr="003246B3" w:rsidRDefault="00254F58" w:rsidP="003246B3">
            <w:pPr>
              <w:pStyle w:val="DHHSbody"/>
            </w:pPr>
            <w:r w:rsidRPr="003246B3">
              <w:t xml:space="preserve">To receive this publication in an accessible format phone </w:t>
            </w:r>
            <w:r w:rsidR="00B455C2">
              <w:t>(03) 9096 5111</w:t>
            </w:r>
            <w:r w:rsidRPr="003246B3">
              <w:t xml:space="preserve">, using the National Relay Service </w:t>
            </w:r>
          </w:p>
          <w:p w:rsidR="003246B3" w:rsidRPr="003246B3" w:rsidRDefault="00254F58" w:rsidP="003246B3">
            <w:pPr>
              <w:pStyle w:val="DHHSbody"/>
            </w:pPr>
            <w:r w:rsidRPr="003246B3">
              <w:t xml:space="preserve">13 36 77 if required, or </w:t>
            </w:r>
            <w:hyperlink r:id="rId12" w:history="1">
              <w:r w:rsidRPr="00AE76AA">
                <w:rPr>
                  <w:rStyle w:val="Hyperlink"/>
                </w:rPr>
                <w:t xml:space="preserve">email </w:t>
              </w:r>
              <w:r w:rsidR="003246B3" w:rsidRPr="00AE76AA">
                <w:rPr>
                  <w:rStyle w:val="Hyperlink"/>
                </w:rPr>
                <w:t>disability services</w:t>
              </w:r>
            </w:hyperlink>
            <w:r w:rsidR="003246B3" w:rsidRPr="003246B3">
              <w:t xml:space="preserve"> &lt;disability.services@dhhs.vic.gov.au&gt;.</w:t>
            </w:r>
          </w:p>
          <w:p w:rsidR="00254F58" w:rsidRPr="003246B3" w:rsidRDefault="00254F58" w:rsidP="003246B3">
            <w:pPr>
              <w:pStyle w:val="DHHSbody"/>
            </w:pPr>
            <w:r w:rsidRPr="003246B3">
              <w:t>Authorised and published by the Victorian Governmen</w:t>
            </w:r>
            <w:r w:rsidR="001F3826" w:rsidRPr="003246B3">
              <w:t>t, 1 Treasury Place, Melbourne.</w:t>
            </w:r>
          </w:p>
          <w:p w:rsidR="00254F58" w:rsidRPr="003246B3" w:rsidRDefault="00254F58" w:rsidP="003246B3">
            <w:pPr>
              <w:pStyle w:val="DHHSbody"/>
            </w:pPr>
            <w:r w:rsidRPr="003246B3">
              <w:t xml:space="preserve">© State of </w:t>
            </w:r>
            <w:r w:rsidR="00A854EB" w:rsidRPr="003246B3">
              <w:t>Victoria, Department of Health and</w:t>
            </w:r>
            <w:r w:rsidRPr="003246B3">
              <w:t xml:space="preserve"> Human Services </w:t>
            </w:r>
            <w:r w:rsidR="00E0048D">
              <w:t>July 2018.</w:t>
            </w:r>
          </w:p>
          <w:p w:rsidR="00254F58" w:rsidRPr="00E0048D" w:rsidRDefault="00254F58" w:rsidP="00254F58">
            <w:pPr>
              <w:pStyle w:val="DHHSbody"/>
            </w:pPr>
            <w:r w:rsidRPr="00E0048D">
              <w:t>Where the term ‘Aboriginal’ is used it refers to both Aboriginal and Torres Strait Islander people. Indigenous is retained when it is part of the title of a report, program or quotation.</w:t>
            </w:r>
          </w:p>
          <w:p w:rsidR="00254F58" w:rsidRPr="00E85D2D" w:rsidRDefault="00254F58" w:rsidP="00254F58">
            <w:pPr>
              <w:pStyle w:val="DHHSbody"/>
            </w:pPr>
            <w:r w:rsidRPr="00254F58">
              <w:t>ISBN</w:t>
            </w:r>
            <w:r w:rsidR="00E85D2D">
              <w:t xml:space="preserve"> </w:t>
            </w:r>
            <w:r w:rsidR="00E85D2D" w:rsidRPr="00E85D2D">
              <w:t>978-1-76069-489-0</w:t>
            </w:r>
            <w:r w:rsidR="00E85D2D">
              <w:t xml:space="preserve"> (pdf/online/MS word)</w:t>
            </w:r>
          </w:p>
          <w:p w:rsidR="00E0048D" w:rsidRDefault="00254F58" w:rsidP="00254F58">
            <w:pPr>
              <w:pStyle w:val="DHHSbody"/>
              <w:rPr>
                <w:szCs w:val="19"/>
              </w:rPr>
            </w:pPr>
            <w:r w:rsidRPr="00254F58">
              <w:rPr>
                <w:szCs w:val="19"/>
              </w:rPr>
              <w:t xml:space="preserve">Available </w:t>
            </w:r>
            <w:r w:rsidR="00E0048D">
              <w:rPr>
                <w:szCs w:val="19"/>
              </w:rPr>
              <w:t xml:space="preserve">on the </w:t>
            </w:r>
            <w:bookmarkStart w:id="10" w:name="_GoBack"/>
            <w:bookmarkEnd w:id="10"/>
          </w:p>
          <w:p w:rsidR="00E0048D" w:rsidRPr="00C852BB" w:rsidRDefault="00E0048D" w:rsidP="00E0048D">
            <w:pPr>
              <w:spacing w:after="120" w:line="270" w:lineRule="atLeast"/>
              <w:rPr>
                <w:rStyle w:val="Hyperlink"/>
                <w:rFonts w:eastAsia="Calibri" w:cs="Arial"/>
              </w:rPr>
            </w:pPr>
            <w:r>
              <w:rPr>
                <w:rFonts w:ascii="Arial" w:eastAsia="Times" w:hAnsi="Arial" w:cs="Arial"/>
              </w:rPr>
              <w:fldChar w:fldCharType="begin"/>
            </w:r>
            <w:r>
              <w:rPr>
                <w:rFonts w:ascii="Arial" w:eastAsia="Times" w:hAnsi="Arial" w:cs="Arial"/>
              </w:rPr>
              <w:instrText>HYPERLINK "https://providers.dhhs.vic.gov.au/disability-abuse-prevention-resources-service-providers"</w:instrText>
            </w:r>
            <w:r>
              <w:rPr>
                <w:rFonts w:ascii="Arial" w:eastAsia="Times" w:hAnsi="Arial" w:cs="Arial"/>
              </w:rPr>
              <w:fldChar w:fldCharType="separate"/>
            </w:r>
            <w:r w:rsidRPr="00C852BB">
              <w:rPr>
                <w:rStyle w:val="Hyperlink"/>
                <w:rFonts w:ascii="Arial" w:eastAsia="Times" w:hAnsi="Arial" w:cs="Arial"/>
              </w:rPr>
              <w:t xml:space="preserve">Disability abuse prevention – resources for service providers page on the DHHS website </w:t>
            </w:r>
          </w:p>
          <w:p w:rsidR="002802E3" w:rsidRPr="002802E3" w:rsidRDefault="00E0048D" w:rsidP="00E0048D">
            <w:pPr>
              <w:pStyle w:val="DHHSbody"/>
            </w:pPr>
            <w:r>
              <w:rPr>
                <w:rFonts w:cs="Arial"/>
              </w:rPr>
              <w:fldChar w:fldCharType="end"/>
            </w:r>
            <w:r w:rsidRPr="00C852BB">
              <w:rPr>
                <w:rFonts w:cs="Arial"/>
              </w:rPr>
              <w:t>https://providers.dhhs.vic.gov.au/disability-abuse-prevention-resources-service-providers</w:t>
            </w:r>
            <w:r w:rsidRPr="002802E3">
              <w:t xml:space="preserve"> </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23" w:rsidRDefault="00326723">
      <w:r>
        <w:separator/>
      </w:r>
    </w:p>
  </w:endnote>
  <w:endnote w:type="continuationSeparator" w:id="0">
    <w:p w:rsidR="00326723" w:rsidRDefault="0032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326723"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3246B3" w:rsidP="0051568D">
    <w:pPr>
      <w:pStyle w:val="DHHSfooter"/>
    </w:pPr>
    <w:r>
      <w:t>Providing personal care to people with a disability</w:t>
    </w:r>
    <w:r w:rsidR="009D70A4" w:rsidRPr="00A11421">
      <w:tab/>
    </w:r>
    <w:r w:rsidR="009D70A4" w:rsidRPr="00A11421">
      <w:fldChar w:fldCharType="begin"/>
    </w:r>
    <w:r w:rsidR="009D70A4" w:rsidRPr="00A11421">
      <w:instrText xml:space="preserve"> PAGE </w:instrText>
    </w:r>
    <w:r w:rsidR="009D70A4" w:rsidRPr="00A11421">
      <w:fldChar w:fldCharType="separate"/>
    </w:r>
    <w:r w:rsidR="00F24C88">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23" w:rsidRDefault="00326723" w:rsidP="002862F1">
      <w:pPr>
        <w:spacing w:before="120"/>
      </w:pPr>
      <w:r>
        <w:separator/>
      </w:r>
    </w:p>
  </w:footnote>
  <w:footnote w:type="continuationSeparator" w:id="0">
    <w:p w:rsidR="00326723" w:rsidRDefault="00326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23"/>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189A"/>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46B3"/>
    <w:rsid w:val="00326723"/>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63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953"/>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3B75"/>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6AA"/>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55C2"/>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568"/>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0048D"/>
    <w:rsid w:val="00E170DC"/>
    <w:rsid w:val="00E26818"/>
    <w:rsid w:val="00E27FFC"/>
    <w:rsid w:val="00E30B15"/>
    <w:rsid w:val="00E40181"/>
    <w:rsid w:val="00E56A01"/>
    <w:rsid w:val="00E629A1"/>
    <w:rsid w:val="00E6794C"/>
    <w:rsid w:val="00E71591"/>
    <w:rsid w:val="00E82C55"/>
    <w:rsid w:val="00E85D2D"/>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4C88"/>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reportmaintitlewhite">
    <w:name w:val="DHHS report main title white"/>
    <w:uiPriority w:val="4"/>
    <w:rsid w:val="0040163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01639"/>
    <w:pPr>
      <w:spacing w:after="120" w:line="380" w:lineRule="atLeast"/>
    </w:pPr>
    <w:rPr>
      <w:rFonts w:ascii="Arial" w:hAnsi="Arial"/>
      <w:bCs/>
      <w:color w:val="FFFFFF"/>
      <w:sz w:val="30"/>
      <w:szCs w:val="30"/>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OCheadingreport">
    <w:name w:val="DHHS TOC heading report"/>
    <w:basedOn w:val="Heading1"/>
    <w:link w:val="DHHSTOCheadingreportChar"/>
    <w:uiPriority w:val="5"/>
    <w:rsid w:val="00401639"/>
    <w:pPr>
      <w:spacing w:before="0" w:after="440"/>
      <w:outlineLvl w:val="9"/>
    </w:pPr>
    <w:rPr>
      <w:rFonts w:eastAsia="Times New Roman" w:cs="Times New Roman"/>
      <w:kern w:val="0"/>
      <w:sz w:val="44"/>
      <w:szCs w:val="44"/>
    </w:rPr>
  </w:style>
  <w:style w:type="character" w:customStyle="1" w:styleId="DHHSTOCheadingreportChar">
    <w:name w:val="DHHS TOC heading report Char"/>
    <w:link w:val="DHHSTOCheadingreport"/>
    <w:uiPriority w:val="5"/>
    <w:rsid w:val="00401639"/>
    <w:rPr>
      <w:rFonts w:ascii="Arial" w:hAnsi="Arial"/>
      <w:bCs/>
      <w:color w:val="87189D"/>
      <w:sz w:val="44"/>
      <w:szCs w:val="44"/>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DHHSbodyChar">
    <w:name w:val="DHHS body Char"/>
    <w:link w:val="DHHSbody"/>
    <w:uiPriority w:val="99"/>
    <w:locked/>
    <w:rsid w:val="003246B3"/>
    <w:rPr>
      <w:rFonts w:ascii="Arial" w:eastAsia="Times" w:hAnsi="Arial"/>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3246B3"/>
    <w:rPr>
      <w:rFonts w:ascii="Tahoma" w:hAnsi="Tahoma" w:cs="Tahoma"/>
      <w:sz w:val="16"/>
      <w:szCs w:val="16"/>
    </w:rPr>
  </w:style>
  <w:style w:type="character" w:customStyle="1" w:styleId="BalloonTextChar">
    <w:name w:val="Balloon Text Char"/>
    <w:basedOn w:val="DefaultParagraphFont"/>
    <w:link w:val="BalloonText"/>
    <w:uiPriority w:val="99"/>
    <w:semiHidden/>
    <w:rsid w:val="003246B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reportmaintitlewhite">
    <w:name w:val="DHHS report main title white"/>
    <w:uiPriority w:val="4"/>
    <w:rsid w:val="0040163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401639"/>
    <w:pPr>
      <w:spacing w:after="120" w:line="380" w:lineRule="atLeast"/>
    </w:pPr>
    <w:rPr>
      <w:rFonts w:ascii="Arial" w:hAnsi="Arial"/>
      <w:bCs/>
      <w:color w:val="FFFFFF"/>
      <w:sz w:val="30"/>
      <w:szCs w:val="30"/>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OCheadingreport">
    <w:name w:val="DHHS TOC heading report"/>
    <w:basedOn w:val="Heading1"/>
    <w:link w:val="DHHSTOCheadingreportChar"/>
    <w:uiPriority w:val="5"/>
    <w:rsid w:val="00401639"/>
    <w:pPr>
      <w:spacing w:before="0" w:after="440"/>
      <w:outlineLvl w:val="9"/>
    </w:pPr>
    <w:rPr>
      <w:rFonts w:eastAsia="Times New Roman" w:cs="Times New Roman"/>
      <w:kern w:val="0"/>
      <w:sz w:val="44"/>
      <w:szCs w:val="44"/>
    </w:rPr>
  </w:style>
  <w:style w:type="character" w:customStyle="1" w:styleId="DHHSTOCheadingreportChar">
    <w:name w:val="DHHS TOC heading report Char"/>
    <w:link w:val="DHHSTOCheadingreport"/>
    <w:uiPriority w:val="5"/>
    <w:rsid w:val="00401639"/>
    <w:rPr>
      <w:rFonts w:ascii="Arial" w:hAnsi="Arial"/>
      <w:bCs/>
      <w:color w:val="87189D"/>
      <w:sz w:val="44"/>
      <w:szCs w:val="44"/>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DHHSbodyChar">
    <w:name w:val="DHHS body Char"/>
    <w:link w:val="DHHSbody"/>
    <w:uiPriority w:val="99"/>
    <w:locked/>
    <w:rsid w:val="003246B3"/>
    <w:rPr>
      <w:rFonts w:ascii="Arial" w:eastAsia="Times" w:hAnsi="Arial"/>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3246B3"/>
    <w:rPr>
      <w:rFonts w:ascii="Tahoma" w:hAnsi="Tahoma" w:cs="Tahoma"/>
      <w:sz w:val="16"/>
      <w:szCs w:val="16"/>
    </w:rPr>
  </w:style>
  <w:style w:type="character" w:customStyle="1" w:styleId="BalloonTextChar">
    <w:name w:val="Balloon Text Char"/>
    <w:basedOn w:val="DefaultParagraphFont"/>
    <w:link w:val="BalloonText"/>
    <w:uiPriority w:val="99"/>
    <w:semiHidden/>
    <w:rsid w:val="003246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sability.services@dhh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02 Purple 2602.dot</Template>
  <TotalTime>258</TotalTime>
  <Pages>3</Pages>
  <Words>1230</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Providing personal care to people with a disability</vt:lpstr>
    </vt:vector>
  </TitlesOfParts>
  <Manager>Amanda Leitch</Manager>
  <Company>Department of Health and Human Services</Company>
  <LinksUpToDate>false</LinksUpToDate>
  <CharactersWithSpaces>8517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personal care to people with a disability</dc:title>
  <dc:subject>Guide for disability support workers and service providers</dc:subject>
  <dc:creator>Disability and NDIS branch</dc:creator>
  <cp:keywords>practice guide, disability support workers, people with a disability, personal care, gender preferences for support provision</cp:keywords>
  <cp:lastModifiedBy>Jill Macqueen</cp:lastModifiedBy>
  <cp:revision>7</cp:revision>
  <cp:lastPrinted>2015-08-21T04:17:00Z</cp:lastPrinted>
  <dcterms:created xsi:type="dcterms:W3CDTF">2018-07-17T06:03:00Z</dcterms:created>
  <dcterms:modified xsi:type="dcterms:W3CDTF">2018-07-19T23:59:00Z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