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4857B6"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2" name="Picture 3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4857B6" w:rsidP="00A91406">
            <w:pPr>
              <w:pStyle w:val="DHHSmainheading"/>
            </w:pPr>
            <w:r w:rsidRPr="008D5511">
              <w:rPr>
                <w:rFonts w:cs="Arial"/>
                <w:sz w:val="48"/>
              </w:rPr>
              <w:lastRenderedPageBreak/>
              <w:t>Child protection after</w:t>
            </w:r>
            <w:r>
              <w:rPr>
                <w:rFonts w:cs="Arial"/>
                <w:sz w:val="48"/>
              </w:rPr>
              <w:t>-</w:t>
            </w:r>
            <w:r w:rsidRPr="008D5511">
              <w:rPr>
                <w:rFonts w:cs="Arial"/>
                <w:sz w:val="48"/>
              </w:rPr>
              <w:t>hours service 31162</w:t>
            </w:r>
          </w:p>
        </w:tc>
      </w:tr>
      <w:tr w:rsidR="00AD784C" w:rsidTr="00357B4E">
        <w:trPr>
          <w:trHeight w:hRule="exact" w:val="1162"/>
        </w:trPr>
        <w:tc>
          <w:tcPr>
            <w:tcW w:w="8046" w:type="dxa"/>
            <w:shd w:val="clear" w:color="auto" w:fill="auto"/>
            <w:tcMar>
              <w:top w:w="170" w:type="dxa"/>
              <w:bottom w:w="510" w:type="dxa"/>
            </w:tcMar>
          </w:tcPr>
          <w:p w:rsidR="004857B6" w:rsidRPr="008D5511" w:rsidRDefault="0036631E" w:rsidP="004857B6">
            <w:pPr>
              <w:pStyle w:val="DHHSmainsubheading"/>
              <w:rPr>
                <w:szCs w:val="28"/>
              </w:rPr>
            </w:pPr>
            <w:r>
              <w:rPr>
                <w:szCs w:val="28"/>
              </w:rPr>
              <w:t>Volume 3: Human services policy and funding p</w:t>
            </w:r>
            <w:r w:rsidR="004857B6" w:rsidRPr="008D5511">
              <w:rPr>
                <w:szCs w:val="28"/>
              </w:rPr>
              <w:t>lan 2015</w:t>
            </w:r>
            <w:r w:rsidR="002D6263" w:rsidRPr="00566F69">
              <w:t>–</w:t>
            </w:r>
            <w:r w:rsidR="002D6263">
              <w:rPr>
                <w:szCs w:val="28"/>
              </w:rPr>
              <w:t>19, update 2018</w:t>
            </w:r>
            <w:r w:rsidR="002D6263" w:rsidRPr="00566F69">
              <w:t>–</w:t>
            </w:r>
            <w:r w:rsidR="002D6263">
              <w:rPr>
                <w:szCs w:val="28"/>
              </w:rPr>
              <w:t>19</w:t>
            </w:r>
          </w:p>
          <w:p w:rsidR="00357B4E" w:rsidRPr="00AD784C" w:rsidRDefault="004857B6" w:rsidP="004857B6">
            <w:pPr>
              <w:pStyle w:val="DHHSmainsubheading"/>
              <w:rPr>
                <w:szCs w:val="28"/>
              </w:rPr>
            </w:pPr>
            <w:r w:rsidRPr="008D5511">
              <w:rPr>
                <w:szCs w:val="28"/>
              </w:rPr>
              <w:t>Chapter 4: Activity descriptions</w:t>
            </w:r>
          </w:p>
        </w:tc>
      </w:tr>
    </w:tbl>
    <w:p w:rsidR="00AD784C" w:rsidRPr="00DF3A5C" w:rsidRDefault="00AD784C" w:rsidP="00DF3A5C">
      <w:pPr>
        <w:pStyle w:val="DHHSTOCheadingfactsheet"/>
      </w:pPr>
      <w:r w:rsidRPr="00DF3A5C">
        <w:t>Contents</w:t>
      </w:r>
    </w:p>
    <w:p w:rsidR="002E3AF5"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515954920" w:history="1">
        <w:r w:rsidR="002E3AF5" w:rsidRPr="009315F3">
          <w:rPr>
            <w:rStyle w:val="Hyperlink"/>
          </w:rPr>
          <w:t>Activity information</w:t>
        </w:r>
        <w:r w:rsidR="002E3AF5">
          <w:rPr>
            <w:webHidden/>
          </w:rPr>
          <w:tab/>
        </w:r>
        <w:r w:rsidR="002E3AF5">
          <w:rPr>
            <w:webHidden/>
          </w:rPr>
          <w:fldChar w:fldCharType="begin"/>
        </w:r>
        <w:r w:rsidR="002E3AF5">
          <w:rPr>
            <w:webHidden/>
          </w:rPr>
          <w:instrText xml:space="preserve"> PAGEREF _Toc515954920 \h </w:instrText>
        </w:r>
        <w:r w:rsidR="002E3AF5">
          <w:rPr>
            <w:webHidden/>
          </w:rPr>
        </w:r>
        <w:r w:rsidR="002E3AF5">
          <w:rPr>
            <w:webHidden/>
          </w:rPr>
          <w:fldChar w:fldCharType="separate"/>
        </w:r>
        <w:r w:rsidR="002E3AF5">
          <w:rPr>
            <w:webHidden/>
          </w:rPr>
          <w:t>1</w:t>
        </w:r>
        <w:r w:rsidR="002E3AF5">
          <w:rPr>
            <w:webHidden/>
          </w:rPr>
          <w:fldChar w:fldCharType="end"/>
        </w:r>
      </w:hyperlink>
    </w:p>
    <w:p w:rsidR="002E3AF5" w:rsidRDefault="00BF0AA6">
      <w:pPr>
        <w:pStyle w:val="TOC2"/>
        <w:rPr>
          <w:rFonts w:asciiTheme="minorHAnsi" w:eastAsiaTheme="minorEastAsia" w:hAnsiTheme="minorHAnsi" w:cstheme="minorBidi"/>
          <w:sz w:val="22"/>
          <w:szCs w:val="22"/>
          <w:lang w:eastAsia="en-AU"/>
        </w:rPr>
      </w:pPr>
      <w:hyperlink w:anchor="_Toc515954921" w:history="1">
        <w:r w:rsidR="002E3AF5" w:rsidRPr="009315F3">
          <w:rPr>
            <w:rStyle w:val="Hyperlink"/>
          </w:rPr>
          <w:t>Output group</w:t>
        </w:r>
        <w:r w:rsidR="002E3AF5">
          <w:rPr>
            <w:webHidden/>
          </w:rPr>
          <w:tab/>
        </w:r>
        <w:r w:rsidR="002E3AF5">
          <w:rPr>
            <w:webHidden/>
          </w:rPr>
          <w:fldChar w:fldCharType="begin"/>
        </w:r>
        <w:r w:rsidR="002E3AF5">
          <w:rPr>
            <w:webHidden/>
          </w:rPr>
          <w:instrText xml:space="preserve"> PAGEREF _Toc515954921 \h </w:instrText>
        </w:r>
        <w:r w:rsidR="002E3AF5">
          <w:rPr>
            <w:webHidden/>
          </w:rPr>
        </w:r>
        <w:r w:rsidR="002E3AF5">
          <w:rPr>
            <w:webHidden/>
          </w:rPr>
          <w:fldChar w:fldCharType="separate"/>
        </w:r>
        <w:r w:rsidR="002E3AF5">
          <w:rPr>
            <w:webHidden/>
          </w:rPr>
          <w:t>1</w:t>
        </w:r>
        <w:r w:rsidR="002E3AF5">
          <w:rPr>
            <w:webHidden/>
          </w:rPr>
          <w:fldChar w:fldCharType="end"/>
        </w:r>
      </w:hyperlink>
    </w:p>
    <w:p w:rsidR="002E3AF5" w:rsidRDefault="00BF0AA6">
      <w:pPr>
        <w:pStyle w:val="TOC2"/>
        <w:rPr>
          <w:rFonts w:asciiTheme="minorHAnsi" w:eastAsiaTheme="minorEastAsia" w:hAnsiTheme="minorHAnsi" w:cstheme="minorBidi"/>
          <w:sz w:val="22"/>
          <w:szCs w:val="22"/>
          <w:lang w:eastAsia="en-AU"/>
        </w:rPr>
      </w:pPr>
      <w:hyperlink w:anchor="_Toc515954922" w:history="1">
        <w:r w:rsidR="002E3AF5" w:rsidRPr="009315F3">
          <w:rPr>
            <w:rStyle w:val="Hyperlink"/>
          </w:rPr>
          <w:t>Output</w:t>
        </w:r>
        <w:r w:rsidR="002E3AF5">
          <w:rPr>
            <w:webHidden/>
          </w:rPr>
          <w:tab/>
        </w:r>
        <w:r w:rsidR="002E3AF5">
          <w:rPr>
            <w:webHidden/>
          </w:rPr>
          <w:fldChar w:fldCharType="begin"/>
        </w:r>
        <w:r w:rsidR="002E3AF5">
          <w:rPr>
            <w:webHidden/>
          </w:rPr>
          <w:instrText xml:space="preserve"> PAGEREF _Toc515954922 \h </w:instrText>
        </w:r>
        <w:r w:rsidR="002E3AF5">
          <w:rPr>
            <w:webHidden/>
          </w:rPr>
        </w:r>
        <w:r w:rsidR="002E3AF5">
          <w:rPr>
            <w:webHidden/>
          </w:rPr>
          <w:fldChar w:fldCharType="separate"/>
        </w:r>
        <w:r w:rsidR="002E3AF5">
          <w:rPr>
            <w:webHidden/>
          </w:rPr>
          <w:t>1</w:t>
        </w:r>
        <w:r w:rsidR="002E3AF5">
          <w:rPr>
            <w:webHidden/>
          </w:rPr>
          <w:fldChar w:fldCharType="end"/>
        </w:r>
      </w:hyperlink>
    </w:p>
    <w:p w:rsidR="002E3AF5" w:rsidRDefault="00BF0AA6">
      <w:pPr>
        <w:pStyle w:val="TOC1"/>
        <w:rPr>
          <w:rFonts w:asciiTheme="minorHAnsi" w:eastAsiaTheme="minorEastAsia" w:hAnsiTheme="minorHAnsi" w:cstheme="minorBidi"/>
          <w:b w:val="0"/>
          <w:sz w:val="22"/>
          <w:szCs w:val="22"/>
          <w:lang w:eastAsia="en-AU"/>
        </w:rPr>
      </w:pPr>
      <w:hyperlink w:anchor="_Toc515954923" w:history="1">
        <w:r w:rsidR="002E3AF5" w:rsidRPr="009315F3">
          <w:rPr>
            <w:rStyle w:val="Hyperlink"/>
          </w:rPr>
          <w:t>Objective</w:t>
        </w:r>
        <w:r w:rsidR="002E3AF5">
          <w:rPr>
            <w:webHidden/>
          </w:rPr>
          <w:tab/>
        </w:r>
        <w:r w:rsidR="002E3AF5">
          <w:rPr>
            <w:webHidden/>
          </w:rPr>
          <w:fldChar w:fldCharType="begin"/>
        </w:r>
        <w:r w:rsidR="002E3AF5">
          <w:rPr>
            <w:webHidden/>
          </w:rPr>
          <w:instrText xml:space="preserve"> PAGEREF _Toc515954923 \h </w:instrText>
        </w:r>
        <w:r w:rsidR="002E3AF5">
          <w:rPr>
            <w:webHidden/>
          </w:rPr>
        </w:r>
        <w:r w:rsidR="002E3AF5">
          <w:rPr>
            <w:webHidden/>
          </w:rPr>
          <w:fldChar w:fldCharType="separate"/>
        </w:r>
        <w:r w:rsidR="002E3AF5">
          <w:rPr>
            <w:webHidden/>
          </w:rPr>
          <w:t>1</w:t>
        </w:r>
        <w:r w:rsidR="002E3AF5">
          <w:rPr>
            <w:webHidden/>
          </w:rPr>
          <w:fldChar w:fldCharType="end"/>
        </w:r>
      </w:hyperlink>
    </w:p>
    <w:p w:rsidR="002E3AF5" w:rsidRDefault="00BF0AA6">
      <w:pPr>
        <w:pStyle w:val="TOC1"/>
        <w:rPr>
          <w:rFonts w:asciiTheme="minorHAnsi" w:eastAsiaTheme="minorEastAsia" w:hAnsiTheme="minorHAnsi" w:cstheme="minorBidi"/>
          <w:b w:val="0"/>
          <w:sz w:val="22"/>
          <w:szCs w:val="22"/>
          <w:lang w:eastAsia="en-AU"/>
        </w:rPr>
      </w:pPr>
      <w:hyperlink w:anchor="_Toc515954924" w:history="1">
        <w:r w:rsidR="002E3AF5" w:rsidRPr="009315F3">
          <w:rPr>
            <w:rStyle w:val="Hyperlink"/>
          </w:rPr>
          <w:t>Description of the service</w:t>
        </w:r>
        <w:r w:rsidR="002E3AF5">
          <w:rPr>
            <w:webHidden/>
          </w:rPr>
          <w:tab/>
        </w:r>
        <w:r w:rsidR="002E3AF5">
          <w:rPr>
            <w:webHidden/>
          </w:rPr>
          <w:fldChar w:fldCharType="begin"/>
        </w:r>
        <w:r w:rsidR="002E3AF5">
          <w:rPr>
            <w:webHidden/>
          </w:rPr>
          <w:instrText xml:space="preserve"> PAGEREF _Toc515954924 \h </w:instrText>
        </w:r>
        <w:r w:rsidR="002E3AF5">
          <w:rPr>
            <w:webHidden/>
          </w:rPr>
        </w:r>
        <w:r w:rsidR="002E3AF5">
          <w:rPr>
            <w:webHidden/>
          </w:rPr>
          <w:fldChar w:fldCharType="separate"/>
        </w:r>
        <w:r w:rsidR="002E3AF5">
          <w:rPr>
            <w:webHidden/>
          </w:rPr>
          <w:t>2</w:t>
        </w:r>
        <w:r w:rsidR="002E3AF5">
          <w:rPr>
            <w:webHidden/>
          </w:rPr>
          <w:fldChar w:fldCharType="end"/>
        </w:r>
      </w:hyperlink>
    </w:p>
    <w:p w:rsidR="002E3AF5" w:rsidRDefault="00BF0AA6">
      <w:pPr>
        <w:pStyle w:val="TOC1"/>
        <w:rPr>
          <w:rFonts w:asciiTheme="minorHAnsi" w:eastAsiaTheme="minorEastAsia" w:hAnsiTheme="minorHAnsi" w:cstheme="minorBidi"/>
          <w:b w:val="0"/>
          <w:sz w:val="22"/>
          <w:szCs w:val="22"/>
          <w:lang w:eastAsia="en-AU"/>
        </w:rPr>
      </w:pPr>
      <w:hyperlink w:anchor="_Toc515954925" w:history="1">
        <w:r w:rsidR="002E3AF5" w:rsidRPr="009315F3">
          <w:rPr>
            <w:rStyle w:val="Hyperlink"/>
          </w:rPr>
          <w:t>Client group</w:t>
        </w:r>
        <w:r w:rsidR="002E3AF5">
          <w:rPr>
            <w:webHidden/>
          </w:rPr>
          <w:tab/>
        </w:r>
        <w:r w:rsidR="002E3AF5">
          <w:rPr>
            <w:webHidden/>
          </w:rPr>
          <w:fldChar w:fldCharType="begin"/>
        </w:r>
        <w:r w:rsidR="002E3AF5">
          <w:rPr>
            <w:webHidden/>
          </w:rPr>
          <w:instrText xml:space="preserve"> PAGEREF _Toc515954925 \h </w:instrText>
        </w:r>
        <w:r w:rsidR="002E3AF5">
          <w:rPr>
            <w:webHidden/>
          </w:rPr>
        </w:r>
        <w:r w:rsidR="002E3AF5">
          <w:rPr>
            <w:webHidden/>
          </w:rPr>
          <w:fldChar w:fldCharType="separate"/>
        </w:r>
        <w:r w:rsidR="002E3AF5">
          <w:rPr>
            <w:webHidden/>
          </w:rPr>
          <w:t>2</w:t>
        </w:r>
        <w:r w:rsidR="002E3AF5">
          <w:rPr>
            <w:webHidden/>
          </w:rPr>
          <w:fldChar w:fldCharType="end"/>
        </w:r>
      </w:hyperlink>
    </w:p>
    <w:p w:rsidR="002E3AF5" w:rsidRDefault="00BF0AA6">
      <w:pPr>
        <w:pStyle w:val="TOC1"/>
        <w:rPr>
          <w:rFonts w:asciiTheme="minorHAnsi" w:eastAsiaTheme="minorEastAsia" w:hAnsiTheme="minorHAnsi" w:cstheme="minorBidi"/>
          <w:b w:val="0"/>
          <w:sz w:val="22"/>
          <w:szCs w:val="22"/>
          <w:lang w:eastAsia="en-AU"/>
        </w:rPr>
      </w:pPr>
      <w:hyperlink w:anchor="_Toc515954926" w:history="1">
        <w:r w:rsidR="002E3AF5" w:rsidRPr="009315F3">
          <w:rPr>
            <w:rStyle w:val="Hyperlink"/>
          </w:rPr>
          <w:t>Service redevelopment</w:t>
        </w:r>
        <w:r w:rsidR="002E3AF5">
          <w:rPr>
            <w:webHidden/>
          </w:rPr>
          <w:tab/>
        </w:r>
        <w:r w:rsidR="002E3AF5">
          <w:rPr>
            <w:webHidden/>
          </w:rPr>
          <w:fldChar w:fldCharType="begin"/>
        </w:r>
        <w:r w:rsidR="002E3AF5">
          <w:rPr>
            <w:webHidden/>
          </w:rPr>
          <w:instrText xml:space="preserve"> PAGEREF _Toc515954926 \h </w:instrText>
        </w:r>
        <w:r w:rsidR="002E3AF5">
          <w:rPr>
            <w:webHidden/>
          </w:rPr>
        </w:r>
        <w:r w:rsidR="002E3AF5">
          <w:rPr>
            <w:webHidden/>
          </w:rPr>
          <w:fldChar w:fldCharType="separate"/>
        </w:r>
        <w:r w:rsidR="002E3AF5">
          <w:rPr>
            <w:webHidden/>
          </w:rPr>
          <w:t>2</w:t>
        </w:r>
        <w:r w:rsidR="002E3AF5">
          <w:rPr>
            <w:webHidden/>
          </w:rPr>
          <w:fldChar w:fldCharType="end"/>
        </w:r>
      </w:hyperlink>
    </w:p>
    <w:p w:rsidR="002E3AF5" w:rsidRDefault="00BF0AA6">
      <w:pPr>
        <w:pStyle w:val="TOC1"/>
        <w:rPr>
          <w:rFonts w:asciiTheme="minorHAnsi" w:eastAsiaTheme="minorEastAsia" w:hAnsiTheme="minorHAnsi" w:cstheme="minorBidi"/>
          <w:b w:val="0"/>
          <w:sz w:val="22"/>
          <w:szCs w:val="22"/>
          <w:lang w:eastAsia="en-AU"/>
        </w:rPr>
      </w:pPr>
      <w:hyperlink w:anchor="_Toc515954927" w:history="1">
        <w:r w:rsidR="002E3AF5" w:rsidRPr="009315F3">
          <w:rPr>
            <w:rStyle w:val="Hyperlink"/>
          </w:rPr>
          <w:t>Monitoring and review</w:t>
        </w:r>
        <w:r w:rsidR="002E3AF5">
          <w:rPr>
            <w:webHidden/>
          </w:rPr>
          <w:tab/>
        </w:r>
        <w:r w:rsidR="002E3AF5">
          <w:rPr>
            <w:webHidden/>
          </w:rPr>
          <w:fldChar w:fldCharType="begin"/>
        </w:r>
        <w:r w:rsidR="002E3AF5">
          <w:rPr>
            <w:webHidden/>
          </w:rPr>
          <w:instrText xml:space="preserve"> PAGEREF _Toc515954927 \h </w:instrText>
        </w:r>
        <w:r w:rsidR="002E3AF5">
          <w:rPr>
            <w:webHidden/>
          </w:rPr>
        </w:r>
        <w:r w:rsidR="002E3AF5">
          <w:rPr>
            <w:webHidden/>
          </w:rPr>
          <w:fldChar w:fldCharType="separate"/>
        </w:r>
        <w:r w:rsidR="002E3AF5">
          <w:rPr>
            <w:webHidden/>
          </w:rPr>
          <w:t>3</w:t>
        </w:r>
        <w:r w:rsidR="002E3AF5">
          <w:rPr>
            <w:webHidden/>
          </w:rPr>
          <w:fldChar w:fldCharType="end"/>
        </w:r>
      </w:hyperlink>
    </w:p>
    <w:p w:rsidR="002E3AF5" w:rsidRDefault="00BF0AA6">
      <w:pPr>
        <w:pStyle w:val="TOC2"/>
        <w:rPr>
          <w:rFonts w:asciiTheme="minorHAnsi" w:eastAsiaTheme="minorEastAsia" w:hAnsiTheme="minorHAnsi" w:cstheme="minorBidi"/>
          <w:sz w:val="22"/>
          <w:szCs w:val="22"/>
          <w:lang w:eastAsia="en-AU"/>
        </w:rPr>
      </w:pPr>
      <w:hyperlink w:anchor="_Toc515954928" w:history="1">
        <w:r w:rsidR="002E3AF5" w:rsidRPr="009315F3">
          <w:rPr>
            <w:rStyle w:val="Hyperlink"/>
            <w:lang w:eastAsia="en-AU"/>
          </w:rPr>
          <w:t>Service Agreement</w:t>
        </w:r>
        <w:r w:rsidR="002E3AF5">
          <w:rPr>
            <w:webHidden/>
          </w:rPr>
          <w:tab/>
        </w:r>
        <w:r w:rsidR="002E3AF5">
          <w:rPr>
            <w:webHidden/>
          </w:rPr>
          <w:fldChar w:fldCharType="begin"/>
        </w:r>
        <w:r w:rsidR="002E3AF5">
          <w:rPr>
            <w:webHidden/>
          </w:rPr>
          <w:instrText xml:space="preserve"> PAGEREF _Toc515954928 \h </w:instrText>
        </w:r>
        <w:r w:rsidR="002E3AF5">
          <w:rPr>
            <w:webHidden/>
          </w:rPr>
        </w:r>
        <w:r w:rsidR="002E3AF5">
          <w:rPr>
            <w:webHidden/>
          </w:rPr>
          <w:fldChar w:fldCharType="separate"/>
        </w:r>
        <w:r w:rsidR="002E3AF5">
          <w:rPr>
            <w:webHidden/>
          </w:rPr>
          <w:t>3</w:t>
        </w:r>
        <w:r w:rsidR="002E3AF5">
          <w:rPr>
            <w:webHidden/>
          </w:rPr>
          <w:fldChar w:fldCharType="end"/>
        </w:r>
      </w:hyperlink>
    </w:p>
    <w:p w:rsidR="002E3AF5" w:rsidRDefault="00BF0AA6">
      <w:pPr>
        <w:pStyle w:val="TOC2"/>
        <w:rPr>
          <w:rFonts w:asciiTheme="minorHAnsi" w:eastAsiaTheme="minorEastAsia" w:hAnsiTheme="minorHAnsi" w:cstheme="minorBidi"/>
          <w:sz w:val="22"/>
          <w:szCs w:val="22"/>
          <w:lang w:eastAsia="en-AU"/>
        </w:rPr>
      </w:pPr>
      <w:hyperlink w:anchor="_Toc515954929" w:history="1">
        <w:r w:rsidR="002E3AF5" w:rsidRPr="009315F3">
          <w:rPr>
            <w:rStyle w:val="Hyperlink"/>
          </w:rPr>
          <w:t>Human Services Standards</w:t>
        </w:r>
        <w:r w:rsidR="002E3AF5">
          <w:rPr>
            <w:webHidden/>
          </w:rPr>
          <w:tab/>
        </w:r>
        <w:r w:rsidR="002E3AF5">
          <w:rPr>
            <w:webHidden/>
          </w:rPr>
          <w:fldChar w:fldCharType="begin"/>
        </w:r>
        <w:r w:rsidR="002E3AF5">
          <w:rPr>
            <w:webHidden/>
          </w:rPr>
          <w:instrText xml:space="preserve"> PAGEREF _Toc515954929 \h </w:instrText>
        </w:r>
        <w:r w:rsidR="002E3AF5">
          <w:rPr>
            <w:webHidden/>
          </w:rPr>
        </w:r>
        <w:r w:rsidR="002E3AF5">
          <w:rPr>
            <w:webHidden/>
          </w:rPr>
          <w:fldChar w:fldCharType="separate"/>
        </w:r>
        <w:r w:rsidR="002E3AF5">
          <w:rPr>
            <w:webHidden/>
          </w:rPr>
          <w:t>3</w:t>
        </w:r>
        <w:r w:rsidR="002E3AF5">
          <w:rPr>
            <w:webHidden/>
          </w:rPr>
          <w:fldChar w:fldCharType="end"/>
        </w:r>
      </w:hyperlink>
    </w:p>
    <w:p w:rsidR="002E3AF5" w:rsidRDefault="00BF0AA6">
      <w:pPr>
        <w:pStyle w:val="TOC2"/>
        <w:rPr>
          <w:rFonts w:asciiTheme="minorHAnsi" w:eastAsiaTheme="minorEastAsia" w:hAnsiTheme="minorHAnsi" w:cstheme="minorBidi"/>
          <w:sz w:val="22"/>
          <w:szCs w:val="22"/>
          <w:lang w:eastAsia="en-AU"/>
        </w:rPr>
      </w:pPr>
      <w:hyperlink w:anchor="_Toc515954930" w:history="1">
        <w:r w:rsidR="002E3AF5" w:rsidRPr="009315F3">
          <w:rPr>
            <w:rStyle w:val="Hyperlink"/>
          </w:rPr>
          <w:t>Monitoring performance</w:t>
        </w:r>
        <w:r w:rsidR="002E3AF5">
          <w:rPr>
            <w:webHidden/>
          </w:rPr>
          <w:tab/>
        </w:r>
        <w:r w:rsidR="002E3AF5">
          <w:rPr>
            <w:webHidden/>
          </w:rPr>
          <w:fldChar w:fldCharType="begin"/>
        </w:r>
        <w:r w:rsidR="002E3AF5">
          <w:rPr>
            <w:webHidden/>
          </w:rPr>
          <w:instrText xml:space="preserve"> PAGEREF _Toc515954930 \h </w:instrText>
        </w:r>
        <w:r w:rsidR="002E3AF5">
          <w:rPr>
            <w:webHidden/>
          </w:rPr>
        </w:r>
        <w:r w:rsidR="002E3AF5">
          <w:rPr>
            <w:webHidden/>
          </w:rPr>
          <w:fldChar w:fldCharType="separate"/>
        </w:r>
        <w:r w:rsidR="002E3AF5">
          <w:rPr>
            <w:webHidden/>
          </w:rPr>
          <w:t>3</w:t>
        </w:r>
        <w:r w:rsidR="002E3AF5">
          <w:rPr>
            <w:webHidden/>
          </w:rPr>
          <w:fldChar w:fldCharType="end"/>
        </w:r>
      </w:hyperlink>
    </w:p>
    <w:p w:rsidR="002E3AF5" w:rsidRDefault="00BF0AA6">
      <w:pPr>
        <w:pStyle w:val="TOC1"/>
        <w:rPr>
          <w:rFonts w:asciiTheme="minorHAnsi" w:eastAsiaTheme="minorEastAsia" w:hAnsiTheme="minorHAnsi" w:cstheme="minorBidi"/>
          <w:b w:val="0"/>
          <w:sz w:val="22"/>
          <w:szCs w:val="22"/>
          <w:lang w:eastAsia="en-AU"/>
        </w:rPr>
      </w:pPr>
      <w:hyperlink w:anchor="_Toc515954931" w:history="1">
        <w:r w:rsidR="002E3AF5" w:rsidRPr="009315F3">
          <w:rPr>
            <w:rStyle w:val="Hyperlink"/>
          </w:rPr>
          <w:t>Performance measures</w:t>
        </w:r>
        <w:r w:rsidR="002E3AF5">
          <w:rPr>
            <w:webHidden/>
          </w:rPr>
          <w:tab/>
        </w:r>
        <w:r w:rsidR="002E3AF5">
          <w:rPr>
            <w:webHidden/>
          </w:rPr>
          <w:fldChar w:fldCharType="begin"/>
        </w:r>
        <w:r w:rsidR="002E3AF5">
          <w:rPr>
            <w:webHidden/>
          </w:rPr>
          <w:instrText xml:space="preserve"> PAGEREF _Toc515954931 \h </w:instrText>
        </w:r>
        <w:r w:rsidR="002E3AF5">
          <w:rPr>
            <w:webHidden/>
          </w:rPr>
        </w:r>
        <w:r w:rsidR="002E3AF5">
          <w:rPr>
            <w:webHidden/>
          </w:rPr>
          <w:fldChar w:fldCharType="separate"/>
        </w:r>
        <w:r w:rsidR="002E3AF5">
          <w:rPr>
            <w:webHidden/>
          </w:rPr>
          <w:t>3</w:t>
        </w:r>
        <w:r w:rsidR="002E3AF5">
          <w:rPr>
            <w:webHidden/>
          </w:rPr>
          <w:fldChar w:fldCharType="end"/>
        </w:r>
      </w:hyperlink>
    </w:p>
    <w:p w:rsidR="002E3AF5" w:rsidRDefault="00BF0AA6">
      <w:pPr>
        <w:pStyle w:val="TOC2"/>
        <w:rPr>
          <w:rFonts w:asciiTheme="minorHAnsi" w:eastAsiaTheme="minorEastAsia" w:hAnsiTheme="minorHAnsi" w:cstheme="minorBidi"/>
          <w:sz w:val="22"/>
          <w:szCs w:val="22"/>
          <w:lang w:eastAsia="en-AU"/>
        </w:rPr>
      </w:pPr>
      <w:hyperlink w:anchor="_Toc515954932" w:history="1">
        <w:r w:rsidR="002E3AF5" w:rsidRPr="009315F3">
          <w:rPr>
            <w:rStyle w:val="Hyperlink"/>
          </w:rPr>
          <w:t>Key performance measure 1: Number of calls to after-hours child protection services</w:t>
        </w:r>
        <w:r w:rsidR="002E3AF5">
          <w:rPr>
            <w:webHidden/>
          </w:rPr>
          <w:tab/>
        </w:r>
        <w:r w:rsidR="002E3AF5">
          <w:rPr>
            <w:webHidden/>
          </w:rPr>
          <w:fldChar w:fldCharType="begin"/>
        </w:r>
        <w:r w:rsidR="002E3AF5">
          <w:rPr>
            <w:webHidden/>
          </w:rPr>
          <w:instrText xml:space="preserve"> PAGEREF _Toc515954932 \h </w:instrText>
        </w:r>
        <w:r w:rsidR="002E3AF5">
          <w:rPr>
            <w:webHidden/>
          </w:rPr>
        </w:r>
        <w:r w:rsidR="002E3AF5">
          <w:rPr>
            <w:webHidden/>
          </w:rPr>
          <w:fldChar w:fldCharType="separate"/>
        </w:r>
        <w:r w:rsidR="002E3AF5">
          <w:rPr>
            <w:webHidden/>
          </w:rPr>
          <w:t>3</w:t>
        </w:r>
        <w:r w:rsidR="002E3AF5">
          <w:rPr>
            <w:webHidden/>
          </w:rPr>
          <w:fldChar w:fldCharType="end"/>
        </w:r>
      </w:hyperlink>
    </w:p>
    <w:p w:rsidR="002E3AF5" w:rsidRDefault="00BF0AA6">
      <w:pPr>
        <w:pStyle w:val="TOC2"/>
        <w:rPr>
          <w:rFonts w:asciiTheme="minorHAnsi" w:eastAsiaTheme="minorEastAsia" w:hAnsiTheme="minorHAnsi" w:cstheme="minorBidi"/>
          <w:sz w:val="22"/>
          <w:szCs w:val="22"/>
          <w:lang w:eastAsia="en-AU"/>
        </w:rPr>
      </w:pPr>
      <w:hyperlink w:anchor="_Toc515954933" w:history="1">
        <w:r w:rsidR="002E3AF5" w:rsidRPr="009315F3">
          <w:rPr>
            <w:rStyle w:val="Hyperlink"/>
          </w:rPr>
          <w:t>Performance measure 2: Number of calls to be answered within 90 seconds</w:t>
        </w:r>
        <w:r w:rsidR="002E3AF5">
          <w:rPr>
            <w:webHidden/>
          </w:rPr>
          <w:tab/>
        </w:r>
        <w:r w:rsidR="002E3AF5">
          <w:rPr>
            <w:webHidden/>
          </w:rPr>
          <w:fldChar w:fldCharType="begin"/>
        </w:r>
        <w:r w:rsidR="002E3AF5">
          <w:rPr>
            <w:webHidden/>
          </w:rPr>
          <w:instrText xml:space="preserve"> PAGEREF _Toc515954933 \h </w:instrText>
        </w:r>
        <w:r w:rsidR="002E3AF5">
          <w:rPr>
            <w:webHidden/>
          </w:rPr>
        </w:r>
        <w:r w:rsidR="002E3AF5">
          <w:rPr>
            <w:webHidden/>
          </w:rPr>
          <w:fldChar w:fldCharType="separate"/>
        </w:r>
        <w:r w:rsidR="002E3AF5">
          <w:rPr>
            <w:webHidden/>
          </w:rPr>
          <w:t>4</w:t>
        </w:r>
        <w:r w:rsidR="002E3AF5">
          <w:rPr>
            <w:webHidden/>
          </w:rPr>
          <w:fldChar w:fldCharType="end"/>
        </w:r>
      </w:hyperlink>
    </w:p>
    <w:p w:rsidR="002E3AF5" w:rsidRDefault="00BF0AA6">
      <w:pPr>
        <w:pStyle w:val="TOC2"/>
        <w:rPr>
          <w:rFonts w:asciiTheme="minorHAnsi" w:eastAsiaTheme="minorEastAsia" w:hAnsiTheme="minorHAnsi" w:cstheme="minorBidi"/>
          <w:sz w:val="22"/>
          <w:szCs w:val="22"/>
          <w:lang w:eastAsia="en-AU"/>
        </w:rPr>
      </w:pPr>
      <w:hyperlink w:anchor="_Toc515954934" w:history="1">
        <w:r w:rsidR="002E3AF5" w:rsidRPr="009315F3">
          <w:rPr>
            <w:rStyle w:val="Hyperlink"/>
          </w:rPr>
          <w:t>Performance measure 3: Percentage of calls answered in 10 minutes</w:t>
        </w:r>
        <w:r w:rsidR="002E3AF5">
          <w:rPr>
            <w:webHidden/>
          </w:rPr>
          <w:tab/>
        </w:r>
        <w:r w:rsidR="002E3AF5">
          <w:rPr>
            <w:webHidden/>
          </w:rPr>
          <w:fldChar w:fldCharType="begin"/>
        </w:r>
        <w:r w:rsidR="002E3AF5">
          <w:rPr>
            <w:webHidden/>
          </w:rPr>
          <w:instrText xml:space="preserve"> PAGEREF _Toc515954934 \h </w:instrText>
        </w:r>
        <w:r w:rsidR="002E3AF5">
          <w:rPr>
            <w:webHidden/>
          </w:rPr>
        </w:r>
        <w:r w:rsidR="002E3AF5">
          <w:rPr>
            <w:webHidden/>
          </w:rPr>
          <w:fldChar w:fldCharType="separate"/>
        </w:r>
        <w:r w:rsidR="002E3AF5">
          <w:rPr>
            <w:webHidden/>
          </w:rPr>
          <w:t>4</w:t>
        </w:r>
        <w:r w:rsidR="002E3AF5">
          <w:rPr>
            <w:webHidden/>
          </w:rPr>
          <w:fldChar w:fldCharType="end"/>
        </w:r>
      </w:hyperlink>
    </w:p>
    <w:p w:rsidR="002E3AF5" w:rsidRDefault="00BF0AA6">
      <w:pPr>
        <w:pStyle w:val="TOC1"/>
        <w:rPr>
          <w:rFonts w:asciiTheme="minorHAnsi" w:eastAsiaTheme="minorEastAsia" w:hAnsiTheme="minorHAnsi" w:cstheme="minorBidi"/>
          <w:b w:val="0"/>
          <w:sz w:val="22"/>
          <w:szCs w:val="22"/>
          <w:lang w:eastAsia="en-AU"/>
        </w:rPr>
      </w:pPr>
      <w:hyperlink w:anchor="_Toc515954935" w:history="1">
        <w:r w:rsidR="002E3AF5" w:rsidRPr="009315F3">
          <w:rPr>
            <w:rStyle w:val="Hyperlink"/>
          </w:rPr>
          <w:t>Key documents</w:t>
        </w:r>
        <w:r w:rsidR="002E3AF5">
          <w:rPr>
            <w:webHidden/>
          </w:rPr>
          <w:tab/>
        </w:r>
        <w:r w:rsidR="002E3AF5">
          <w:rPr>
            <w:webHidden/>
          </w:rPr>
          <w:fldChar w:fldCharType="begin"/>
        </w:r>
        <w:r w:rsidR="002E3AF5">
          <w:rPr>
            <w:webHidden/>
          </w:rPr>
          <w:instrText xml:space="preserve"> PAGEREF _Toc515954935 \h </w:instrText>
        </w:r>
        <w:r w:rsidR="002E3AF5">
          <w:rPr>
            <w:webHidden/>
          </w:rPr>
        </w:r>
        <w:r w:rsidR="002E3AF5">
          <w:rPr>
            <w:webHidden/>
          </w:rPr>
          <w:fldChar w:fldCharType="separate"/>
        </w:r>
        <w:r w:rsidR="002E3AF5">
          <w:rPr>
            <w:webHidden/>
          </w:rPr>
          <w:t>5</w:t>
        </w:r>
        <w:r w:rsidR="002E3AF5">
          <w:rPr>
            <w:webHidden/>
          </w:rPr>
          <w:fldChar w:fldCharType="end"/>
        </w:r>
      </w:hyperlink>
    </w:p>
    <w:p w:rsidR="002E3AF5" w:rsidRDefault="00BF0AA6">
      <w:pPr>
        <w:pStyle w:val="TOC2"/>
        <w:rPr>
          <w:rFonts w:asciiTheme="minorHAnsi" w:eastAsiaTheme="minorEastAsia" w:hAnsiTheme="minorHAnsi" w:cstheme="minorBidi"/>
          <w:sz w:val="22"/>
          <w:szCs w:val="22"/>
          <w:lang w:eastAsia="en-AU"/>
        </w:rPr>
      </w:pPr>
      <w:hyperlink w:anchor="_Toc515954936" w:history="1">
        <w:r w:rsidR="002E3AF5" w:rsidRPr="009315F3">
          <w:rPr>
            <w:rStyle w:val="Hyperlink"/>
          </w:rPr>
          <w:t>Mandatory</w:t>
        </w:r>
        <w:r w:rsidR="002E3AF5">
          <w:rPr>
            <w:webHidden/>
          </w:rPr>
          <w:tab/>
        </w:r>
        <w:r w:rsidR="002E3AF5">
          <w:rPr>
            <w:webHidden/>
          </w:rPr>
          <w:fldChar w:fldCharType="begin"/>
        </w:r>
        <w:r w:rsidR="002E3AF5">
          <w:rPr>
            <w:webHidden/>
          </w:rPr>
          <w:instrText xml:space="preserve"> PAGEREF _Toc515954936 \h </w:instrText>
        </w:r>
        <w:r w:rsidR="002E3AF5">
          <w:rPr>
            <w:webHidden/>
          </w:rPr>
        </w:r>
        <w:r w:rsidR="002E3AF5">
          <w:rPr>
            <w:webHidden/>
          </w:rPr>
          <w:fldChar w:fldCharType="separate"/>
        </w:r>
        <w:r w:rsidR="002E3AF5">
          <w:rPr>
            <w:webHidden/>
          </w:rPr>
          <w:t>5</w:t>
        </w:r>
        <w:r w:rsidR="002E3AF5">
          <w:rPr>
            <w:webHidden/>
          </w:rPr>
          <w:fldChar w:fldCharType="end"/>
        </w:r>
      </w:hyperlink>
    </w:p>
    <w:p w:rsidR="007173CA" w:rsidRDefault="00AD784C" w:rsidP="002D6263">
      <w:pPr>
        <w:pStyle w:val="DHHSbody"/>
      </w:pPr>
      <w:r>
        <w:fldChar w:fldCharType="end"/>
      </w:r>
    </w:p>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rsidR="004857B6" w:rsidRPr="008D5511" w:rsidRDefault="004857B6" w:rsidP="004857B6">
      <w:pPr>
        <w:pStyle w:val="Heading1"/>
      </w:pPr>
      <w:bookmarkStart w:id="0" w:name="_Toc358398428"/>
      <w:bookmarkStart w:id="1" w:name="_Toc515954920"/>
      <w:r w:rsidRPr="008D5511">
        <w:lastRenderedPageBreak/>
        <w:t>Activity information</w:t>
      </w:r>
      <w:bookmarkEnd w:id="0"/>
      <w:bookmarkEnd w:id="1"/>
    </w:p>
    <w:p w:rsidR="004857B6" w:rsidRPr="008D5511" w:rsidRDefault="004857B6" w:rsidP="004857B6">
      <w:pPr>
        <w:keepNext/>
        <w:keepLines/>
        <w:spacing w:before="240" w:after="90" w:line="320" w:lineRule="atLeast"/>
        <w:outlineLvl w:val="1"/>
        <w:rPr>
          <w:rFonts w:ascii="Arial" w:hAnsi="Arial"/>
          <w:b/>
          <w:color w:val="007B4B"/>
          <w:sz w:val="28"/>
          <w:szCs w:val="28"/>
        </w:rPr>
      </w:pPr>
      <w:r w:rsidRPr="008D5511">
        <w:rPr>
          <w:rFonts w:ascii="Arial" w:hAnsi="Arial"/>
          <w:b/>
          <w:color w:val="007B4B"/>
          <w:sz w:val="28"/>
          <w:szCs w:val="28"/>
        </w:rPr>
        <w:t>Service delivery tracking</w:t>
      </w:r>
    </w:p>
    <w:p w:rsidR="004857B6" w:rsidRPr="001533F3" w:rsidRDefault="004857B6" w:rsidP="001533F3">
      <w:pPr>
        <w:pStyle w:val="DHHSbody"/>
        <w:rPr>
          <w:b/>
        </w:rPr>
      </w:pPr>
      <w:r w:rsidRPr="001533F3">
        <w:rPr>
          <w:b/>
        </w:rPr>
        <w:t>Service delivery tracking activity? No</w:t>
      </w:r>
    </w:p>
    <w:p w:rsidR="004857B6" w:rsidRPr="008D5511" w:rsidRDefault="004857B6" w:rsidP="004857B6">
      <w:pPr>
        <w:pStyle w:val="Heading2"/>
      </w:pPr>
      <w:bookmarkStart w:id="2" w:name="_Toc358398429"/>
      <w:bookmarkStart w:id="3" w:name="_Toc515954921"/>
      <w:r w:rsidRPr="008D5511">
        <w:t>Output group</w:t>
      </w:r>
      <w:bookmarkEnd w:id="2"/>
      <w:bookmarkEnd w:id="3"/>
    </w:p>
    <w:p w:rsidR="004857B6" w:rsidRPr="008D5511" w:rsidRDefault="004857B6" w:rsidP="001533F3">
      <w:pPr>
        <w:pStyle w:val="DHHSbody"/>
        <w:rPr>
          <w:sz w:val="22"/>
          <w:szCs w:val="22"/>
        </w:rPr>
      </w:pPr>
      <w:r w:rsidRPr="008D5511">
        <w:t>Child protection and family services</w:t>
      </w:r>
    </w:p>
    <w:p w:rsidR="004857B6" w:rsidRPr="008D5511" w:rsidRDefault="004857B6" w:rsidP="004857B6">
      <w:pPr>
        <w:pStyle w:val="Heading2"/>
      </w:pPr>
      <w:bookmarkStart w:id="4" w:name="_Toc358398430"/>
      <w:bookmarkStart w:id="5" w:name="_Toc515954922"/>
      <w:r w:rsidRPr="008D5511">
        <w:t>Output</w:t>
      </w:r>
      <w:bookmarkEnd w:id="4"/>
      <w:bookmarkEnd w:id="5"/>
    </w:p>
    <w:p w:rsidR="004857B6" w:rsidRPr="008D5511" w:rsidRDefault="002D6263" w:rsidP="001533F3">
      <w:pPr>
        <w:pStyle w:val="DHHSbody"/>
        <w:rPr>
          <w:sz w:val="22"/>
          <w:szCs w:val="22"/>
        </w:rPr>
      </w:pPr>
      <w:r>
        <w:t>Statutory child protection services</w:t>
      </w:r>
    </w:p>
    <w:p w:rsidR="004857B6" w:rsidRPr="008D5511" w:rsidRDefault="004857B6" w:rsidP="004857B6">
      <w:pPr>
        <w:pStyle w:val="Heading1"/>
      </w:pPr>
      <w:bookmarkStart w:id="6" w:name="_Toc358398431"/>
      <w:bookmarkStart w:id="7" w:name="_Toc515954923"/>
      <w:r w:rsidRPr="008D5511">
        <w:t>Objective</w:t>
      </w:r>
      <w:bookmarkEnd w:id="6"/>
      <w:bookmarkEnd w:id="7"/>
    </w:p>
    <w:p w:rsidR="004857B6" w:rsidRPr="008D5511" w:rsidRDefault="004857B6" w:rsidP="004857B6">
      <w:pPr>
        <w:pStyle w:val="DHHSbody"/>
      </w:pPr>
      <w:r w:rsidRPr="008D5511">
        <w:t>To provide an after-hours emergency response to children and young people at risk of harm from abuse or neglect, or at risk of exploitation or remand.</w:t>
      </w:r>
    </w:p>
    <w:p w:rsidR="004857B6" w:rsidRPr="008D5511" w:rsidRDefault="004857B6" w:rsidP="004857B6">
      <w:pPr>
        <w:pStyle w:val="Heading1"/>
      </w:pPr>
      <w:bookmarkStart w:id="8" w:name="_Toc451938178"/>
      <w:bookmarkStart w:id="9" w:name="_Toc358398432"/>
      <w:bookmarkStart w:id="10" w:name="_Toc515954924"/>
      <w:r w:rsidRPr="008D5511">
        <w:lastRenderedPageBreak/>
        <w:t>Description of the service</w:t>
      </w:r>
      <w:bookmarkEnd w:id="8"/>
      <w:bookmarkEnd w:id="9"/>
      <w:bookmarkEnd w:id="10"/>
    </w:p>
    <w:p w:rsidR="004857B6" w:rsidRPr="008D5511" w:rsidRDefault="004857B6" w:rsidP="004857B6">
      <w:pPr>
        <w:pStyle w:val="DHHSbody"/>
      </w:pPr>
      <w:r w:rsidRPr="008D5511">
        <w:t xml:space="preserve">The </w:t>
      </w:r>
      <w:r>
        <w:t>C</w:t>
      </w:r>
      <w:r w:rsidRPr="008D5511">
        <w:t>entral after</w:t>
      </w:r>
      <w:r>
        <w:t>-h</w:t>
      </w:r>
      <w:r w:rsidRPr="008D5511">
        <w:t xml:space="preserve">ours service (CAHS) includes the </w:t>
      </w:r>
      <w:r>
        <w:t>A</w:t>
      </w:r>
      <w:r w:rsidRPr="008D5511">
        <w:t xml:space="preserve">fter-hours child protection emergency service (AHCPES), the </w:t>
      </w:r>
      <w:r>
        <w:t>C</w:t>
      </w:r>
      <w:r w:rsidRPr="008D5511">
        <w:t>entral after</w:t>
      </w:r>
      <w:r>
        <w:t>-</w:t>
      </w:r>
      <w:r w:rsidRPr="008D5511">
        <w:t>hours placement service, the Streetwork outreach servi</w:t>
      </w:r>
      <w:r>
        <w:t>ce (SOS), and the Central after-</w:t>
      </w:r>
      <w:r w:rsidRPr="008D5511">
        <w:t xml:space="preserve">hours assessment and bail placement service (CAHABPS). </w:t>
      </w:r>
    </w:p>
    <w:p w:rsidR="004857B6" w:rsidRPr="008D5511" w:rsidRDefault="004857B6" w:rsidP="004857B6">
      <w:pPr>
        <w:pStyle w:val="DHHSbody"/>
      </w:pPr>
      <w:r w:rsidRPr="008D5511">
        <w:t xml:space="preserve">AHCPES is a statewide 24-hour service that operates after business hours and is responsible for matters where a child may be in need of a child protection response and the matter cannot safely be left until the next working day. </w:t>
      </w:r>
      <w:r w:rsidR="002D6263">
        <w:t>The AHCPES receives new reports</w:t>
      </w:r>
      <w:r w:rsidRPr="008D5511">
        <w:t xml:space="preserve"> and c</w:t>
      </w:r>
      <w:r w:rsidR="002D6263">
        <w:t>alls regarding existing clients</w:t>
      </w:r>
      <w:r w:rsidRPr="008D5511">
        <w:t xml:space="preserve"> from the public, professionals and other services. The AHCPES responds only to emergencies, eit</w:t>
      </w:r>
      <w:r w:rsidR="002D6263">
        <w:t>her through direct intervention</w:t>
      </w:r>
      <w:r w:rsidRPr="008D5511">
        <w:t xml:space="preserve"> or coordination by telephone of a response from other community service organisations, services or individuals.</w:t>
      </w:r>
    </w:p>
    <w:p w:rsidR="004857B6" w:rsidRPr="008D5511" w:rsidRDefault="004857B6" w:rsidP="004857B6">
      <w:pPr>
        <w:pStyle w:val="DHHSbody"/>
      </w:pPr>
      <w:r w:rsidRPr="008D5511">
        <w:t>Where it is determined by AHCPES that the child or young person is at significant and immediate risk of harm and that direct intervention is necessary, AHCPES will attend as soon as practicable and assume responsibility for the child protection aspects of the situation. If AHCPES decides that an urgent response is not required, it will forward information to the appropriate divisional child protection office for a response the next working day.</w:t>
      </w:r>
    </w:p>
    <w:p w:rsidR="004857B6" w:rsidRPr="008D5511" w:rsidRDefault="004857B6" w:rsidP="004857B6">
      <w:pPr>
        <w:pStyle w:val="DHHSbody"/>
      </w:pPr>
      <w:r w:rsidRPr="008D5511">
        <w:t xml:space="preserve">Streetwork outreach service (SOS) provides a child protection service </w:t>
      </w:r>
      <w:r>
        <w:t>after-hours</w:t>
      </w:r>
      <w:r w:rsidRPr="008D5511">
        <w:t xml:space="preserve"> to young people in the inner city and St Kilda areas who are engaged in high risk activities. The service is based on an assertive, proactive and mobile outreach model provided in areas where young people are known to congregate or where high risk activities are likely to occur. The service activity identifies young people involved with child protection, undertakes risk assessments, and works collaboratively with operational divisional child protection staff and agencies to address the presenting risks. The service also initiates legal intervention when immediate risk of significant harm is identified.</w:t>
      </w:r>
    </w:p>
    <w:p w:rsidR="004857B6" w:rsidRPr="008D5511" w:rsidRDefault="004857B6" w:rsidP="004857B6">
      <w:pPr>
        <w:pStyle w:val="DHHSbody"/>
      </w:pPr>
      <w:r w:rsidRPr="008D5511">
        <w:t xml:space="preserve">Central </w:t>
      </w:r>
      <w:r>
        <w:t>after-hours</w:t>
      </w:r>
      <w:r w:rsidRPr="008D5511">
        <w:t xml:space="preserve"> assessment and bail placement service (CAHABPS) undertakes youth justice assessments in relation to bail placement suitability and facilitates bail placements.</w:t>
      </w:r>
    </w:p>
    <w:p w:rsidR="004857B6" w:rsidRPr="008D5511" w:rsidRDefault="004857B6" w:rsidP="004857B6">
      <w:pPr>
        <w:pStyle w:val="DHHSbody"/>
      </w:pPr>
      <w:r w:rsidRPr="008D5511">
        <w:t xml:space="preserve">The central </w:t>
      </w:r>
      <w:r>
        <w:t>after-hours</w:t>
      </w:r>
      <w:r w:rsidRPr="008D5511">
        <w:t xml:space="preserve"> placement service (CAHPS) is responsible for after-hours placements in all metropolitan areas. It responds to requests for metropolitan placements from AHCPES, operational divisional child protection (outside business hours), Streetwork outreach service, and the central </w:t>
      </w:r>
      <w:r>
        <w:t>after-hours</w:t>
      </w:r>
      <w:r w:rsidRPr="008D5511">
        <w:t xml:space="preserve"> assessment and bail placement service. </w:t>
      </w:r>
    </w:p>
    <w:p w:rsidR="004857B6" w:rsidRPr="008D5511" w:rsidRDefault="004857B6" w:rsidP="004857B6">
      <w:pPr>
        <w:pStyle w:val="DHHSbody"/>
      </w:pPr>
      <w:r w:rsidRPr="008D5511">
        <w:t xml:space="preserve">The CAHS is managed by the Eastern Division. The SOS, CAHABPS and AHCPES metropolitan outreach response occurs from this base. Rural </w:t>
      </w:r>
      <w:r>
        <w:t>after-hours</w:t>
      </w:r>
      <w:r w:rsidRPr="008D5511">
        <w:t xml:space="preserve"> outreach response capacity is available through each of the rural areas and is coordinated by AHCPES. </w:t>
      </w:r>
    </w:p>
    <w:p w:rsidR="004857B6" w:rsidRPr="008D5511" w:rsidRDefault="004857B6" w:rsidP="004857B6">
      <w:pPr>
        <w:pStyle w:val="Heading1"/>
      </w:pPr>
      <w:bookmarkStart w:id="11" w:name="_Toc451938179"/>
      <w:bookmarkStart w:id="12" w:name="_Toc358398433"/>
      <w:bookmarkStart w:id="13" w:name="_Toc515954925"/>
      <w:r w:rsidRPr="008D5511">
        <w:t>Client group</w:t>
      </w:r>
      <w:bookmarkEnd w:id="11"/>
      <w:bookmarkEnd w:id="12"/>
      <w:bookmarkEnd w:id="13"/>
      <w:r w:rsidRPr="008D5511">
        <w:t xml:space="preserve"> </w:t>
      </w:r>
    </w:p>
    <w:p w:rsidR="004857B6" w:rsidRPr="008D5511" w:rsidRDefault="004857B6" w:rsidP="004857B6">
      <w:pPr>
        <w:pStyle w:val="DHHSbody"/>
      </w:pPr>
      <w:r w:rsidRPr="008D5511">
        <w:t>Children and young people under 17 years at risk of significant and immediate harm as a result of abuse or neglect within the family unit. Children and young people under 18 years subject to protection order. Young people up to the age of 18 years who are at risk of street based exploitation or remand.</w:t>
      </w:r>
    </w:p>
    <w:p w:rsidR="004857B6" w:rsidRPr="008D5511" w:rsidRDefault="004857B6" w:rsidP="004857B6">
      <w:pPr>
        <w:keepNext/>
        <w:keepLines/>
        <w:spacing w:before="320" w:after="200" w:line="440" w:lineRule="atLeast"/>
        <w:outlineLvl w:val="0"/>
        <w:rPr>
          <w:rFonts w:ascii="Arial" w:eastAsia="MS Gothic" w:hAnsi="Arial" w:cs="Arial"/>
          <w:bCs/>
          <w:color w:val="007B4B"/>
          <w:kern w:val="32"/>
          <w:sz w:val="36"/>
          <w:szCs w:val="40"/>
        </w:rPr>
      </w:pPr>
      <w:bookmarkStart w:id="14" w:name="_Toc451938180"/>
      <w:r w:rsidRPr="008D5511">
        <w:rPr>
          <w:rFonts w:ascii="Arial" w:eastAsia="MS Gothic" w:hAnsi="Arial" w:cs="Arial"/>
          <w:bCs/>
          <w:color w:val="007B4B"/>
          <w:kern w:val="32"/>
          <w:sz w:val="36"/>
          <w:szCs w:val="40"/>
        </w:rPr>
        <w:t>Service delivery</w:t>
      </w:r>
      <w:bookmarkEnd w:id="14"/>
    </w:p>
    <w:p w:rsidR="004857B6" w:rsidRPr="008D5511" w:rsidRDefault="004857B6" w:rsidP="004857B6">
      <w:pPr>
        <w:pStyle w:val="DHHSbody"/>
      </w:pPr>
      <w:r w:rsidRPr="008D5511">
        <w:t>Department of Health and Human Services</w:t>
      </w:r>
    </w:p>
    <w:p w:rsidR="004857B6" w:rsidRPr="008D5511" w:rsidRDefault="004857B6" w:rsidP="004857B6">
      <w:pPr>
        <w:pStyle w:val="Heading1"/>
      </w:pPr>
      <w:bookmarkStart w:id="15" w:name="_Toc451938181"/>
      <w:bookmarkStart w:id="16" w:name="_Toc358398434"/>
      <w:bookmarkStart w:id="17" w:name="_Toc515954926"/>
      <w:r w:rsidRPr="008D5511">
        <w:t>Service redevelopment</w:t>
      </w:r>
      <w:bookmarkEnd w:id="15"/>
      <w:bookmarkEnd w:id="16"/>
      <w:bookmarkEnd w:id="17"/>
    </w:p>
    <w:p w:rsidR="004857B6" w:rsidRPr="008D5511" w:rsidRDefault="004857B6" w:rsidP="004857B6">
      <w:pPr>
        <w:pStyle w:val="DHHSbody"/>
      </w:pPr>
      <w:r w:rsidRPr="008D5511">
        <w:rPr>
          <w:lang w:eastAsia="en-AU"/>
        </w:rPr>
        <w:t xml:space="preserve">The department will continue to monitor service </w:t>
      </w:r>
      <w:r w:rsidR="002D6263">
        <w:rPr>
          <w:lang w:eastAsia="en-AU"/>
        </w:rPr>
        <w:t>provision</w:t>
      </w:r>
      <w:r w:rsidRPr="008D5511">
        <w:rPr>
          <w:lang w:eastAsia="en-AU"/>
        </w:rPr>
        <w:t xml:space="preserve"> and</w:t>
      </w:r>
      <w:r w:rsidR="002D6263">
        <w:rPr>
          <w:lang w:eastAsia="en-AU"/>
        </w:rPr>
        <w:t>,</w:t>
      </w:r>
      <w:r w:rsidRPr="008D5511">
        <w:rPr>
          <w:lang w:eastAsia="en-AU"/>
        </w:rPr>
        <w:t xml:space="preserve"> where necessary, may amend service specifications or funding allocations based on community needs or in response to changes to government policy and priorities.</w:t>
      </w:r>
    </w:p>
    <w:p w:rsidR="004857B6" w:rsidRPr="008D5511" w:rsidRDefault="004857B6" w:rsidP="004857B6">
      <w:pPr>
        <w:pStyle w:val="Heading1"/>
      </w:pPr>
      <w:bookmarkStart w:id="18" w:name="_Toc358398435"/>
      <w:bookmarkStart w:id="19" w:name="_Toc515954927"/>
      <w:r w:rsidRPr="008D5511">
        <w:lastRenderedPageBreak/>
        <w:t>Monitoring and review</w:t>
      </w:r>
      <w:bookmarkEnd w:id="18"/>
      <w:bookmarkEnd w:id="19"/>
    </w:p>
    <w:p w:rsidR="005E5041" w:rsidRDefault="005E5041" w:rsidP="005E5041">
      <w:pPr>
        <w:pStyle w:val="Heading2"/>
        <w:rPr>
          <w:lang w:eastAsia="en-AU"/>
        </w:rPr>
      </w:pPr>
      <w:bookmarkStart w:id="20" w:name="_Toc512526317"/>
      <w:bookmarkStart w:id="21" w:name="_Toc515954928"/>
      <w:bookmarkStart w:id="22" w:name="_Toc358398436"/>
      <w:r w:rsidRPr="00C237A0">
        <w:rPr>
          <w:lang w:eastAsia="en-AU"/>
        </w:rPr>
        <w:t>Service Agreement</w:t>
      </w:r>
      <w:bookmarkEnd w:id="20"/>
      <w:bookmarkEnd w:id="21"/>
    </w:p>
    <w:p w:rsidR="00E77E15" w:rsidRPr="00C237A0" w:rsidRDefault="00E77E15" w:rsidP="00E77E15">
      <w:pPr>
        <w:pStyle w:val="DHHSbody"/>
        <w:rPr>
          <w:rFonts w:cs="Arial"/>
          <w:lang w:eastAsia="en-AU"/>
        </w:rPr>
      </w:pPr>
      <w:r w:rsidRPr="00C237A0">
        <w:rPr>
          <w:rFonts w:cs="Arial"/>
          <w:lang w:eastAsia="en-AU"/>
        </w:rPr>
        <w:t>The Department of Health and Human Services monitors and reviews the organisation’s compliance with the Service Agreement’s requirements set out in the terms and conditio</w:t>
      </w:r>
      <w:r>
        <w:rPr>
          <w:rFonts w:cs="Arial"/>
          <w:lang w:eastAsia="en-AU"/>
        </w:rPr>
        <w:t>ns and schedules including the applicable departmental p</w:t>
      </w:r>
      <w:r w:rsidRPr="00C237A0">
        <w:rPr>
          <w:rFonts w:cs="Arial"/>
          <w:lang w:eastAsia="en-AU"/>
        </w:rPr>
        <w:t>olicies. The Service Agreement is used to manage funding provided through the department for services delivered by community service organisations and local government authorities.</w:t>
      </w:r>
    </w:p>
    <w:p w:rsidR="00E77E15" w:rsidRDefault="00E77E15" w:rsidP="00E77E15">
      <w:pPr>
        <w:pStyle w:val="DHHSbody"/>
      </w:pPr>
      <w:r w:rsidRPr="00C237A0">
        <w:t xml:space="preserve">The </w:t>
      </w:r>
      <w:r>
        <w:t>Service Agreement includes two a</w:t>
      </w:r>
      <w:r w:rsidRPr="00C237A0">
        <w:t>pp</w:t>
      </w:r>
      <w:r>
        <w:t>licable departmental policies:</w:t>
      </w:r>
    </w:p>
    <w:p w:rsidR="00E77E15" w:rsidRPr="00263A02" w:rsidRDefault="00E77E15" w:rsidP="00E77E15">
      <w:pPr>
        <w:pStyle w:val="DHHSbullet1"/>
        <w:rPr>
          <w:i/>
        </w:rPr>
      </w:pPr>
      <w:r w:rsidRPr="00263A02">
        <w:rPr>
          <w:i/>
        </w:rPr>
        <w:t>Department of Health and Human Services policy and funding guidelines</w:t>
      </w:r>
    </w:p>
    <w:p w:rsidR="00E77E15" w:rsidRPr="00C237A0" w:rsidRDefault="00BF0AA6" w:rsidP="00E77E15">
      <w:pPr>
        <w:pStyle w:val="DHHSbullet1lastline"/>
      </w:pPr>
      <w:hyperlink r:id="rId12" w:history="1">
        <w:r w:rsidR="00E77E15" w:rsidRPr="00263A02">
          <w:rPr>
            <w:rStyle w:val="Hyperlink"/>
            <w:rFonts w:cs="Arial"/>
            <w:i/>
          </w:rPr>
          <w:t>Service agreement information kit</w:t>
        </w:r>
      </w:hyperlink>
      <w:r w:rsidR="00E77E15" w:rsidRPr="00263A02">
        <w:rPr>
          <w:i/>
          <w:lang w:eastAsia="en-AU"/>
        </w:rPr>
        <w:t xml:space="preserve"> </w:t>
      </w:r>
      <w:r w:rsidR="00E77E15">
        <w:rPr>
          <w:lang w:eastAsia="en-AU"/>
        </w:rPr>
        <w:t>&lt;</w:t>
      </w:r>
      <w:r w:rsidR="00E77E15" w:rsidRPr="00AA7CA8">
        <w:rPr>
          <w:lang w:eastAsia="en-AU"/>
        </w:rPr>
        <w:t>https://fac.dhhs.vic.gov.au/service-agreement-information-kit</w:t>
      </w:r>
      <w:r w:rsidR="00E77E15">
        <w:rPr>
          <w:lang w:eastAsia="en-AU"/>
        </w:rPr>
        <w:t>&gt;</w:t>
      </w:r>
      <w:r w:rsidR="00E77E15" w:rsidRPr="00C237A0">
        <w:t>.</w:t>
      </w:r>
    </w:p>
    <w:p w:rsidR="005E5041" w:rsidRDefault="00E77E15" w:rsidP="00E77E15">
      <w:pPr>
        <w:pStyle w:val="DHHSbody"/>
        <w:rPr>
          <w:lang w:eastAsia="en-AU"/>
        </w:rPr>
      </w:pPr>
      <w:r>
        <w:t xml:space="preserve">The </w:t>
      </w:r>
      <w:r w:rsidRPr="00263A02">
        <w:rPr>
          <w:i/>
        </w:rPr>
        <w:t>Service agreement information kit</w:t>
      </w:r>
      <w:r w:rsidRPr="002470CA">
        <w:t xml:space="preserve"> provides information on the Service Agreement terms </w:t>
      </w:r>
      <w:r>
        <w:t>and conditions (chapter 3) and applicable d</w:t>
      </w:r>
      <w:r w:rsidRPr="002470CA">
        <w:t>epartme</w:t>
      </w:r>
      <w:r>
        <w:t>ntal p</w:t>
      </w:r>
      <w:r w:rsidRPr="002470CA">
        <w:t>ol</w:t>
      </w:r>
      <w:r>
        <w:t xml:space="preserve">icies (chapter 4). The </w:t>
      </w:r>
      <w:r w:rsidRPr="00263A02">
        <w:rPr>
          <w:i/>
        </w:rPr>
        <w:t>Service agreement information kit</w:t>
      </w:r>
      <w:r w:rsidRPr="002470CA">
        <w:t xml:space="preserve"> must be read in conjunction with the </w:t>
      </w:r>
      <w:r w:rsidRPr="002470CA">
        <w:rPr>
          <w:i/>
        </w:rPr>
        <w:t>Department of Health</w:t>
      </w:r>
      <w:r>
        <w:rPr>
          <w:i/>
        </w:rPr>
        <w:t xml:space="preserve"> and Human Services policy and funding g</w:t>
      </w:r>
      <w:r w:rsidRPr="002470CA">
        <w:rPr>
          <w:i/>
        </w:rPr>
        <w:t>uidelines</w:t>
      </w:r>
      <w:r w:rsidRPr="002470CA">
        <w:t>.</w:t>
      </w:r>
    </w:p>
    <w:p w:rsidR="004857B6" w:rsidRPr="008D5511" w:rsidRDefault="004857B6" w:rsidP="005E5041">
      <w:pPr>
        <w:pStyle w:val="Heading2"/>
      </w:pPr>
      <w:bookmarkStart w:id="23" w:name="_Toc515954929"/>
      <w:r w:rsidRPr="008D5511">
        <w:t>Human Services Standards</w:t>
      </w:r>
      <w:bookmarkEnd w:id="22"/>
      <w:bookmarkEnd w:id="23"/>
    </w:p>
    <w:p w:rsidR="004857B6" w:rsidRPr="008D5511" w:rsidRDefault="004857B6" w:rsidP="001533F3">
      <w:pPr>
        <w:pStyle w:val="DHHSbody"/>
        <w:rPr>
          <w:lang w:eastAsia="en-AU"/>
        </w:rPr>
      </w:pPr>
      <w:r w:rsidRPr="008D5511">
        <w:rPr>
          <w:lang w:eastAsia="en-AU"/>
        </w:rPr>
        <w:t>Organisations funded to provide services to clients are required through the Service Agreement to meet the gazetted Department of Health and Human Services Standards (Human Services Standards) and can be monitored in relation to their compliance with these standards.</w:t>
      </w:r>
    </w:p>
    <w:p w:rsidR="004857B6" w:rsidRPr="008D5511" w:rsidRDefault="004857B6" w:rsidP="001533F3">
      <w:pPr>
        <w:pStyle w:val="DHHSbody"/>
        <w:rPr>
          <w:lang w:eastAsia="en-AU"/>
        </w:rPr>
      </w:pPr>
      <w:r w:rsidRPr="008D5511">
        <w:rPr>
          <w:lang w:eastAsia="en-AU"/>
        </w:rPr>
        <w:t>Organisations funded through this activity are subject to independent review and accreditation requirements under the Human Services Standards, except where exempted by the department.</w:t>
      </w:r>
    </w:p>
    <w:p w:rsidR="004857B6" w:rsidRPr="008D5511" w:rsidRDefault="004857B6" w:rsidP="004857B6">
      <w:pPr>
        <w:pStyle w:val="Heading2"/>
      </w:pPr>
      <w:bookmarkStart w:id="24" w:name="_Toc358398437"/>
      <w:bookmarkStart w:id="25" w:name="_Toc515954930"/>
      <w:r w:rsidRPr="008D5511">
        <w:t>Monitoring performance</w:t>
      </w:r>
      <w:bookmarkEnd w:id="24"/>
      <w:bookmarkEnd w:id="25"/>
    </w:p>
    <w:p w:rsidR="004857B6" w:rsidRPr="008D5511" w:rsidRDefault="004857B6" w:rsidP="004857B6">
      <w:pPr>
        <w:pStyle w:val="DHHSbody"/>
      </w:pPr>
      <w:r w:rsidRPr="008D5511">
        <w:t>All internally provided services are monitored monthly by operational staff and senior management.</w:t>
      </w:r>
    </w:p>
    <w:p w:rsidR="004857B6" w:rsidRPr="008D5511" w:rsidRDefault="004857B6" w:rsidP="004857B6">
      <w:pPr>
        <w:pStyle w:val="Heading1"/>
      </w:pPr>
      <w:bookmarkStart w:id="26" w:name="_Toc358398438"/>
      <w:bookmarkStart w:id="27" w:name="_Toc515954931"/>
      <w:r w:rsidRPr="008D5511">
        <w:t>Performance measures</w:t>
      </w:r>
      <w:bookmarkEnd w:id="26"/>
      <w:bookmarkEnd w:id="27"/>
    </w:p>
    <w:p w:rsidR="004857B6" w:rsidRPr="008D5511" w:rsidRDefault="004857B6" w:rsidP="004857B6">
      <w:pPr>
        <w:pStyle w:val="Heading2"/>
      </w:pPr>
      <w:bookmarkStart w:id="28" w:name="_Toc358398439"/>
      <w:bookmarkStart w:id="29" w:name="_Toc515954932"/>
      <w:r w:rsidRPr="008D5511">
        <w:t>Key performance measure 1: Number of calls to after-hours child protection services</w:t>
      </w:r>
      <w:bookmarkEnd w:id="28"/>
      <w:bookmarkEnd w:id="29"/>
      <w:r w:rsidRPr="008D551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371"/>
      </w:tblGrid>
      <w:tr w:rsidR="004857B6" w:rsidRPr="008D5511" w:rsidTr="00E540E0">
        <w:tc>
          <w:tcPr>
            <w:tcW w:w="2518" w:type="dxa"/>
            <w:shd w:val="clear" w:color="auto" w:fill="auto"/>
          </w:tcPr>
          <w:p w:rsidR="004857B6" w:rsidRPr="008D5511" w:rsidRDefault="004857B6" w:rsidP="00E540E0">
            <w:pPr>
              <w:pStyle w:val="DHHStabletext"/>
              <w:rPr>
                <w:b/>
              </w:rPr>
            </w:pPr>
            <w:r w:rsidRPr="008D5511">
              <w:rPr>
                <w:b/>
              </w:rPr>
              <w:t>Definition</w:t>
            </w:r>
          </w:p>
        </w:tc>
        <w:tc>
          <w:tcPr>
            <w:tcW w:w="7371" w:type="dxa"/>
            <w:shd w:val="clear" w:color="auto" w:fill="auto"/>
          </w:tcPr>
          <w:p w:rsidR="004857B6" w:rsidRPr="008D5511" w:rsidRDefault="004857B6" w:rsidP="00E540E0">
            <w:pPr>
              <w:pStyle w:val="DHHStabletext"/>
            </w:pPr>
            <w:r w:rsidRPr="008D5511">
              <w:t>This performance measure provides information about the number of calls received.</w:t>
            </w:r>
          </w:p>
        </w:tc>
      </w:tr>
      <w:tr w:rsidR="004857B6" w:rsidRPr="008D5511" w:rsidTr="00E540E0">
        <w:tc>
          <w:tcPr>
            <w:tcW w:w="2518" w:type="dxa"/>
            <w:shd w:val="clear" w:color="auto" w:fill="auto"/>
          </w:tcPr>
          <w:p w:rsidR="004857B6" w:rsidRPr="008D5511" w:rsidRDefault="004857B6" w:rsidP="00E540E0">
            <w:pPr>
              <w:pStyle w:val="DHHStabletext"/>
              <w:rPr>
                <w:b/>
              </w:rPr>
            </w:pPr>
            <w:r w:rsidRPr="008D5511">
              <w:rPr>
                <w:b/>
              </w:rPr>
              <w:t>Aim/objective</w:t>
            </w:r>
          </w:p>
        </w:tc>
        <w:tc>
          <w:tcPr>
            <w:tcW w:w="7371" w:type="dxa"/>
            <w:shd w:val="clear" w:color="auto" w:fill="auto"/>
          </w:tcPr>
          <w:p w:rsidR="004857B6" w:rsidRPr="008D5511" w:rsidRDefault="004857B6" w:rsidP="00E540E0">
            <w:pPr>
              <w:pStyle w:val="DHHStabletext"/>
            </w:pPr>
            <w:r w:rsidRPr="008D5511">
              <w:t>The number of calls received provides a</w:t>
            </w:r>
            <w:r w:rsidR="001533F3">
              <w:t xml:space="preserve"> measure of the level of demand</w:t>
            </w:r>
            <w:r w:rsidRPr="008D5511">
              <w:t xml:space="preserve"> and sets the context for performance against other measures.</w:t>
            </w:r>
          </w:p>
        </w:tc>
      </w:tr>
      <w:tr w:rsidR="004857B6" w:rsidRPr="008D5511" w:rsidTr="00E540E0">
        <w:tc>
          <w:tcPr>
            <w:tcW w:w="2518" w:type="dxa"/>
            <w:shd w:val="clear" w:color="auto" w:fill="auto"/>
          </w:tcPr>
          <w:p w:rsidR="004857B6" w:rsidRPr="008D5511" w:rsidRDefault="004857B6" w:rsidP="00E540E0">
            <w:pPr>
              <w:pStyle w:val="DHHStabletext"/>
              <w:rPr>
                <w:b/>
              </w:rPr>
            </w:pPr>
            <w:r w:rsidRPr="008D5511">
              <w:rPr>
                <w:b/>
              </w:rPr>
              <w:t>Target</w:t>
            </w:r>
          </w:p>
        </w:tc>
        <w:tc>
          <w:tcPr>
            <w:tcW w:w="7371" w:type="dxa"/>
            <w:shd w:val="clear" w:color="auto" w:fill="auto"/>
          </w:tcPr>
          <w:p w:rsidR="004857B6" w:rsidRPr="008D5511" w:rsidRDefault="004857B6" w:rsidP="00E540E0">
            <w:pPr>
              <w:pStyle w:val="DHHStabletext"/>
            </w:pPr>
            <w:r w:rsidRPr="008D5511">
              <w:t>Internal service</w:t>
            </w:r>
          </w:p>
        </w:tc>
      </w:tr>
      <w:tr w:rsidR="004857B6" w:rsidRPr="008D5511" w:rsidTr="00E540E0">
        <w:tc>
          <w:tcPr>
            <w:tcW w:w="2518" w:type="dxa"/>
            <w:shd w:val="clear" w:color="auto" w:fill="auto"/>
          </w:tcPr>
          <w:p w:rsidR="004857B6" w:rsidRPr="008D5511" w:rsidRDefault="004857B6" w:rsidP="00E540E0">
            <w:pPr>
              <w:pStyle w:val="DHHStabletext"/>
              <w:rPr>
                <w:b/>
              </w:rPr>
            </w:pPr>
            <w:r w:rsidRPr="008D5511">
              <w:rPr>
                <w:b/>
              </w:rPr>
              <w:t>Type of count</w:t>
            </w:r>
          </w:p>
        </w:tc>
        <w:tc>
          <w:tcPr>
            <w:tcW w:w="7371" w:type="dxa"/>
            <w:shd w:val="clear" w:color="auto" w:fill="auto"/>
          </w:tcPr>
          <w:p w:rsidR="004857B6" w:rsidRPr="008D5511" w:rsidRDefault="001533F3" w:rsidP="00E540E0">
            <w:pPr>
              <w:pStyle w:val="DHHStabletext"/>
            </w:pPr>
            <w:r>
              <w:t>Cumulative</w:t>
            </w:r>
          </w:p>
        </w:tc>
      </w:tr>
      <w:tr w:rsidR="004857B6" w:rsidRPr="008D5511" w:rsidTr="00E540E0">
        <w:tc>
          <w:tcPr>
            <w:tcW w:w="2518" w:type="dxa"/>
            <w:shd w:val="clear" w:color="auto" w:fill="auto"/>
          </w:tcPr>
          <w:p w:rsidR="004857B6" w:rsidRPr="008D5511" w:rsidRDefault="004857B6" w:rsidP="00E540E0">
            <w:pPr>
              <w:pStyle w:val="DHHStabletext"/>
              <w:rPr>
                <w:b/>
              </w:rPr>
            </w:pPr>
            <w:r w:rsidRPr="008D5511">
              <w:rPr>
                <w:b/>
              </w:rPr>
              <w:t>Counting rule</w:t>
            </w:r>
          </w:p>
        </w:tc>
        <w:tc>
          <w:tcPr>
            <w:tcW w:w="7371" w:type="dxa"/>
            <w:shd w:val="clear" w:color="auto" w:fill="auto"/>
          </w:tcPr>
          <w:p w:rsidR="004857B6" w:rsidRPr="008D5511" w:rsidRDefault="004857B6" w:rsidP="00E540E0">
            <w:pPr>
              <w:pStyle w:val="DHHStabletext"/>
            </w:pPr>
            <w:r w:rsidRPr="008D5511">
              <w:t>Count the total number of calls within the reporting period.</w:t>
            </w:r>
          </w:p>
          <w:p w:rsidR="004857B6" w:rsidRPr="008D5511" w:rsidRDefault="004857B6" w:rsidP="00E540E0">
            <w:pPr>
              <w:pStyle w:val="DHHStabletext"/>
            </w:pPr>
            <w:r w:rsidRPr="008D5511">
              <w:t>Ensure that Streetwork reports are also included in the count.</w:t>
            </w:r>
          </w:p>
        </w:tc>
      </w:tr>
      <w:tr w:rsidR="004857B6" w:rsidRPr="008D5511" w:rsidTr="00E540E0">
        <w:tc>
          <w:tcPr>
            <w:tcW w:w="2518" w:type="dxa"/>
            <w:shd w:val="clear" w:color="auto" w:fill="auto"/>
          </w:tcPr>
          <w:p w:rsidR="004857B6" w:rsidRPr="008D5511" w:rsidRDefault="004857B6" w:rsidP="00E540E0">
            <w:pPr>
              <w:pStyle w:val="DHHStabletext"/>
              <w:rPr>
                <w:b/>
              </w:rPr>
            </w:pPr>
            <w:r w:rsidRPr="008D5511">
              <w:rPr>
                <w:b/>
              </w:rPr>
              <w:t>Monitoring frequency</w:t>
            </w:r>
          </w:p>
        </w:tc>
        <w:tc>
          <w:tcPr>
            <w:tcW w:w="7371" w:type="dxa"/>
            <w:shd w:val="clear" w:color="auto" w:fill="auto"/>
          </w:tcPr>
          <w:p w:rsidR="004857B6" w:rsidRPr="008D5511" w:rsidRDefault="004857B6" w:rsidP="00E540E0">
            <w:pPr>
              <w:pStyle w:val="DHHStabletext"/>
            </w:pPr>
            <w:r w:rsidRPr="008D5511">
              <w:t>Monthly</w:t>
            </w:r>
          </w:p>
        </w:tc>
      </w:tr>
      <w:tr w:rsidR="004857B6" w:rsidRPr="008D5511" w:rsidTr="00E540E0">
        <w:tc>
          <w:tcPr>
            <w:tcW w:w="2518" w:type="dxa"/>
            <w:shd w:val="clear" w:color="auto" w:fill="auto"/>
          </w:tcPr>
          <w:p w:rsidR="004857B6" w:rsidRPr="008D5511" w:rsidRDefault="004857B6" w:rsidP="00E540E0">
            <w:pPr>
              <w:pStyle w:val="DHHStabletext"/>
              <w:rPr>
                <w:b/>
              </w:rPr>
            </w:pPr>
            <w:r w:rsidRPr="008D5511">
              <w:rPr>
                <w:b/>
              </w:rPr>
              <w:t>Data source(s) collection</w:t>
            </w:r>
          </w:p>
        </w:tc>
        <w:tc>
          <w:tcPr>
            <w:tcW w:w="7371" w:type="dxa"/>
            <w:shd w:val="clear" w:color="auto" w:fill="auto"/>
          </w:tcPr>
          <w:p w:rsidR="004857B6" w:rsidRPr="008D5511" w:rsidRDefault="004857B6" w:rsidP="00E540E0">
            <w:pPr>
              <w:pStyle w:val="DHHStabletext"/>
            </w:pPr>
            <w:r w:rsidRPr="008D5511">
              <w:t xml:space="preserve">Q-Master source data </w:t>
            </w:r>
          </w:p>
        </w:tc>
      </w:tr>
      <w:tr w:rsidR="004857B6" w:rsidRPr="008D5511" w:rsidTr="00E540E0">
        <w:tc>
          <w:tcPr>
            <w:tcW w:w="2518" w:type="dxa"/>
            <w:shd w:val="clear" w:color="auto" w:fill="auto"/>
          </w:tcPr>
          <w:p w:rsidR="004857B6" w:rsidRPr="008D5511" w:rsidRDefault="004857B6" w:rsidP="00E540E0">
            <w:pPr>
              <w:pStyle w:val="DHHStabletext"/>
              <w:rPr>
                <w:b/>
              </w:rPr>
            </w:pPr>
            <w:r w:rsidRPr="008D5511">
              <w:rPr>
                <w:b/>
              </w:rPr>
              <w:t>Definition of terms</w:t>
            </w:r>
          </w:p>
        </w:tc>
        <w:tc>
          <w:tcPr>
            <w:tcW w:w="7371" w:type="dxa"/>
            <w:shd w:val="clear" w:color="auto" w:fill="auto"/>
          </w:tcPr>
          <w:p w:rsidR="004857B6" w:rsidRPr="008D5511" w:rsidRDefault="004857B6" w:rsidP="00E540E0">
            <w:pPr>
              <w:pStyle w:val="DHHStabletext"/>
            </w:pPr>
            <w:r w:rsidRPr="008D5511">
              <w:t>Child protection services refers to the department’s service that provides child centred, family focussed services to protect children and young people from significant harm as a result of abuse or neglect within the family unit and ensure that clients have access to services to assist them to deal with the impact of abuse or neglect on their wellbeing and development and to address significant concerns about their wellbeing.</w:t>
            </w:r>
          </w:p>
          <w:p w:rsidR="004857B6" w:rsidRPr="008D5511" w:rsidRDefault="004857B6" w:rsidP="00E540E0">
            <w:pPr>
              <w:pStyle w:val="DHHStabletext"/>
            </w:pPr>
            <w:r w:rsidRPr="008D5511">
              <w:lastRenderedPageBreak/>
              <w:t>After</w:t>
            </w:r>
            <w:r>
              <w:t>-</w:t>
            </w:r>
            <w:r w:rsidRPr="008D5511">
              <w:t>hours child protection emergency service (AHCPES) refers to the provision of the department’s statewide service (currently operating from the department’s Eastern Division) to receive and respond to reports and to receive and respond to calls regarding existing clients outside of normal working hours.</w:t>
            </w:r>
          </w:p>
        </w:tc>
      </w:tr>
    </w:tbl>
    <w:p w:rsidR="004857B6" w:rsidRPr="008D5511" w:rsidRDefault="001533F3" w:rsidP="004857B6">
      <w:pPr>
        <w:pStyle w:val="Heading2"/>
      </w:pPr>
      <w:bookmarkStart w:id="30" w:name="_Toc482611203"/>
      <w:bookmarkStart w:id="31" w:name="_Toc358398440"/>
      <w:bookmarkStart w:id="32" w:name="_Toc515954933"/>
      <w:r>
        <w:lastRenderedPageBreak/>
        <w:t>P</w:t>
      </w:r>
      <w:r w:rsidR="004857B6" w:rsidRPr="008D5511">
        <w:t xml:space="preserve">erformance measure 2: </w:t>
      </w:r>
      <w:bookmarkEnd w:id="30"/>
      <w:r w:rsidR="004857B6" w:rsidRPr="008D5511">
        <w:t>Number of calls to be answered within 90 seconds</w:t>
      </w:r>
      <w:bookmarkEnd w:id="31"/>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371"/>
      </w:tblGrid>
      <w:tr w:rsidR="004857B6" w:rsidRPr="008D5511" w:rsidTr="00E540E0">
        <w:trPr>
          <w:cantSplit/>
        </w:trPr>
        <w:tc>
          <w:tcPr>
            <w:tcW w:w="2518" w:type="dxa"/>
            <w:shd w:val="clear" w:color="auto" w:fill="FFFFFF"/>
          </w:tcPr>
          <w:p w:rsidR="004857B6" w:rsidRPr="008D5511" w:rsidRDefault="004857B6" w:rsidP="00E540E0">
            <w:pPr>
              <w:pStyle w:val="DHHStabletext"/>
              <w:rPr>
                <w:b/>
              </w:rPr>
            </w:pPr>
            <w:r w:rsidRPr="008D5511">
              <w:rPr>
                <w:b/>
              </w:rPr>
              <w:t>Definition</w:t>
            </w:r>
          </w:p>
        </w:tc>
        <w:tc>
          <w:tcPr>
            <w:tcW w:w="7371" w:type="dxa"/>
            <w:shd w:val="clear" w:color="auto" w:fill="FFFFFF"/>
          </w:tcPr>
          <w:p w:rsidR="004857B6" w:rsidRPr="008D5511" w:rsidRDefault="004857B6" w:rsidP="00E540E0">
            <w:pPr>
              <w:pStyle w:val="DHHStabletext"/>
            </w:pPr>
            <w:r w:rsidRPr="008D5511">
              <w:t>This measure provides information regarding the number of calls answered within a specified time period and is an indicator of the responsiveness of the service.</w:t>
            </w:r>
          </w:p>
        </w:tc>
      </w:tr>
      <w:tr w:rsidR="004857B6" w:rsidRPr="008D5511" w:rsidTr="00E540E0">
        <w:trPr>
          <w:cantSplit/>
        </w:trPr>
        <w:tc>
          <w:tcPr>
            <w:tcW w:w="2518" w:type="dxa"/>
            <w:shd w:val="clear" w:color="auto" w:fill="FFFFFF"/>
          </w:tcPr>
          <w:p w:rsidR="004857B6" w:rsidRPr="008D5511" w:rsidRDefault="004857B6" w:rsidP="00E540E0">
            <w:pPr>
              <w:pStyle w:val="DHHStabletext"/>
              <w:rPr>
                <w:b/>
              </w:rPr>
            </w:pPr>
            <w:r w:rsidRPr="008D5511">
              <w:rPr>
                <w:b/>
              </w:rPr>
              <w:t>Aim/objective</w:t>
            </w:r>
          </w:p>
        </w:tc>
        <w:tc>
          <w:tcPr>
            <w:tcW w:w="7371" w:type="dxa"/>
            <w:shd w:val="clear" w:color="auto" w:fill="FFFFFF"/>
          </w:tcPr>
          <w:p w:rsidR="004857B6" w:rsidRPr="008D5511" w:rsidRDefault="004857B6" w:rsidP="00E540E0">
            <w:pPr>
              <w:pStyle w:val="DHHStabletext"/>
            </w:pPr>
            <w:r w:rsidRPr="008D5511">
              <w:t>The service must be responsive.</w:t>
            </w:r>
          </w:p>
        </w:tc>
      </w:tr>
      <w:tr w:rsidR="004857B6" w:rsidRPr="008D5511" w:rsidTr="00E540E0">
        <w:trPr>
          <w:cantSplit/>
        </w:trPr>
        <w:tc>
          <w:tcPr>
            <w:tcW w:w="2518" w:type="dxa"/>
            <w:shd w:val="clear" w:color="auto" w:fill="FFFFFF"/>
          </w:tcPr>
          <w:p w:rsidR="004857B6" w:rsidRPr="008D5511" w:rsidRDefault="004857B6" w:rsidP="00E540E0">
            <w:pPr>
              <w:pStyle w:val="DHHStabletext"/>
              <w:rPr>
                <w:b/>
              </w:rPr>
            </w:pPr>
            <w:r w:rsidRPr="008D5511">
              <w:rPr>
                <w:b/>
              </w:rPr>
              <w:t>Target</w:t>
            </w:r>
          </w:p>
        </w:tc>
        <w:tc>
          <w:tcPr>
            <w:tcW w:w="7371" w:type="dxa"/>
            <w:shd w:val="clear" w:color="auto" w:fill="FFFFFF"/>
          </w:tcPr>
          <w:p w:rsidR="004857B6" w:rsidRPr="008D5511" w:rsidRDefault="004857B6" w:rsidP="00E540E0">
            <w:pPr>
              <w:pStyle w:val="DHHStabletext"/>
            </w:pPr>
            <w:r w:rsidRPr="008D5511">
              <w:t>80 per cent of calls to be answered within 90 seconds</w:t>
            </w:r>
          </w:p>
        </w:tc>
      </w:tr>
      <w:tr w:rsidR="004857B6" w:rsidRPr="008D5511" w:rsidTr="00E540E0">
        <w:trPr>
          <w:cantSplit/>
        </w:trPr>
        <w:tc>
          <w:tcPr>
            <w:tcW w:w="2518" w:type="dxa"/>
            <w:shd w:val="clear" w:color="auto" w:fill="FFFFFF"/>
          </w:tcPr>
          <w:p w:rsidR="004857B6" w:rsidRPr="008D5511" w:rsidRDefault="004857B6" w:rsidP="00E540E0">
            <w:pPr>
              <w:pStyle w:val="DHHStabletext"/>
              <w:rPr>
                <w:b/>
              </w:rPr>
            </w:pPr>
            <w:r w:rsidRPr="008D5511">
              <w:rPr>
                <w:b/>
              </w:rPr>
              <w:t>Type of count</w:t>
            </w:r>
          </w:p>
        </w:tc>
        <w:tc>
          <w:tcPr>
            <w:tcW w:w="7371" w:type="dxa"/>
            <w:shd w:val="clear" w:color="auto" w:fill="FFFFFF"/>
          </w:tcPr>
          <w:p w:rsidR="004857B6" w:rsidRPr="008D5511" w:rsidRDefault="004857B6" w:rsidP="00E540E0">
            <w:pPr>
              <w:pStyle w:val="DHHStabletext"/>
            </w:pPr>
            <w:r w:rsidRPr="008D5511">
              <w:t>Not applicable</w:t>
            </w:r>
          </w:p>
        </w:tc>
      </w:tr>
      <w:tr w:rsidR="004857B6" w:rsidRPr="00280A35" w:rsidTr="00E540E0">
        <w:trPr>
          <w:cantSplit/>
        </w:trPr>
        <w:tc>
          <w:tcPr>
            <w:tcW w:w="2518" w:type="dxa"/>
            <w:shd w:val="clear" w:color="auto" w:fill="FFFFFF"/>
          </w:tcPr>
          <w:p w:rsidR="004857B6" w:rsidRPr="008D5511" w:rsidRDefault="004857B6" w:rsidP="00E540E0">
            <w:pPr>
              <w:pStyle w:val="DHHStabletext"/>
              <w:rPr>
                <w:b/>
              </w:rPr>
            </w:pPr>
            <w:r w:rsidRPr="008D5511">
              <w:rPr>
                <w:b/>
              </w:rPr>
              <w:t>Counting rule</w:t>
            </w:r>
          </w:p>
        </w:tc>
        <w:tc>
          <w:tcPr>
            <w:tcW w:w="7371" w:type="dxa"/>
            <w:shd w:val="clear" w:color="auto" w:fill="FFFFFF"/>
          </w:tcPr>
          <w:p w:rsidR="004857B6" w:rsidRPr="00F645D0" w:rsidRDefault="004857B6" w:rsidP="00E540E0">
            <w:pPr>
              <w:pStyle w:val="DHHStabletext"/>
            </w:pPr>
            <w:r w:rsidRPr="008D5511">
              <w:t>Count the number of calls answered and the time taken to answer these calls. Count the number of calls that were answered within 90 seconds. Divide the number of calls answered within 90 seconds by the total number of calls.</w:t>
            </w:r>
          </w:p>
        </w:tc>
      </w:tr>
      <w:tr w:rsidR="004857B6" w:rsidRPr="00280A35" w:rsidTr="00E540E0">
        <w:trPr>
          <w:cantSplit/>
        </w:trPr>
        <w:tc>
          <w:tcPr>
            <w:tcW w:w="2518" w:type="dxa"/>
            <w:shd w:val="clear" w:color="auto" w:fill="FFFFFF"/>
          </w:tcPr>
          <w:p w:rsidR="004857B6" w:rsidRPr="00E713AA" w:rsidRDefault="004857B6" w:rsidP="00E540E0">
            <w:pPr>
              <w:pStyle w:val="DHHStabletext"/>
              <w:rPr>
                <w:b/>
              </w:rPr>
            </w:pPr>
            <w:r w:rsidRPr="00E713AA">
              <w:rPr>
                <w:b/>
              </w:rPr>
              <w:t xml:space="preserve">Monitoring </w:t>
            </w:r>
            <w:r>
              <w:rPr>
                <w:b/>
              </w:rPr>
              <w:t>f</w:t>
            </w:r>
            <w:r w:rsidRPr="00E713AA">
              <w:rPr>
                <w:b/>
              </w:rPr>
              <w:t>requency</w:t>
            </w:r>
          </w:p>
        </w:tc>
        <w:tc>
          <w:tcPr>
            <w:tcW w:w="7371" w:type="dxa"/>
            <w:shd w:val="clear" w:color="auto" w:fill="FFFFFF"/>
          </w:tcPr>
          <w:p w:rsidR="004857B6" w:rsidRPr="000C49B9" w:rsidRDefault="004857B6" w:rsidP="00E540E0">
            <w:pPr>
              <w:pStyle w:val="DHHStabletext"/>
            </w:pPr>
            <w:r w:rsidRPr="000C49B9">
              <w:t>Monthly</w:t>
            </w:r>
          </w:p>
        </w:tc>
      </w:tr>
      <w:tr w:rsidR="004857B6" w:rsidRPr="00280A35" w:rsidTr="00E540E0">
        <w:trPr>
          <w:cantSplit/>
        </w:trPr>
        <w:tc>
          <w:tcPr>
            <w:tcW w:w="2518" w:type="dxa"/>
            <w:shd w:val="clear" w:color="auto" w:fill="FFFFFF"/>
          </w:tcPr>
          <w:p w:rsidR="004857B6" w:rsidRPr="00E713AA" w:rsidRDefault="004857B6" w:rsidP="00E540E0">
            <w:pPr>
              <w:pStyle w:val="DHHStabletext"/>
              <w:rPr>
                <w:b/>
              </w:rPr>
            </w:pPr>
            <w:r w:rsidRPr="00E713AA">
              <w:rPr>
                <w:b/>
              </w:rPr>
              <w:t xml:space="preserve">Data </w:t>
            </w:r>
            <w:r>
              <w:rPr>
                <w:b/>
              </w:rPr>
              <w:t>s</w:t>
            </w:r>
            <w:r w:rsidRPr="00E713AA">
              <w:rPr>
                <w:b/>
              </w:rPr>
              <w:t xml:space="preserve">ource(s) </w:t>
            </w:r>
            <w:r>
              <w:rPr>
                <w:b/>
              </w:rPr>
              <w:t>c</w:t>
            </w:r>
            <w:r w:rsidRPr="00E713AA">
              <w:rPr>
                <w:b/>
              </w:rPr>
              <w:t>ollection</w:t>
            </w:r>
          </w:p>
        </w:tc>
        <w:tc>
          <w:tcPr>
            <w:tcW w:w="7371" w:type="dxa"/>
            <w:shd w:val="clear" w:color="auto" w:fill="FFFFFF"/>
          </w:tcPr>
          <w:p w:rsidR="004857B6" w:rsidRPr="000C49B9" w:rsidRDefault="004857B6" w:rsidP="00E540E0">
            <w:pPr>
              <w:pStyle w:val="DHHStabletext"/>
            </w:pPr>
            <w:r>
              <w:t>Q-Master source data</w:t>
            </w:r>
          </w:p>
        </w:tc>
      </w:tr>
      <w:tr w:rsidR="004857B6" w:rsidRPr="00280A35" w:rsidTr="00E540E0">
        <w:trPr>
          <w:cantSplit/>
        </w:trPr>
        <w:tc>
          <w:tcPr>
            <w:tcW w:w="2518" w:type="dxa"/>
            <w:shd w:val="clear" w:color="auto" w:fill="FFFFFF"/>
          </w:tcPr>
          <w:p w:rsidR="004857B6" w:rsidRPr="00E713AA" w:rsidRDefault="004857B6" w:rsidP="00E540E0">
            <w:pPr>
              <w:pStyle w:val="DHHStabletext"/>
              <w:rPr>
                <w:b/>
              </w:rPr>
            </w:pPr>
            <w:r w:rsidRPr="00E713AA">
              <w:rPr>
                <w:b/>
              </w:rPr>
              <w:t xml:space="preserve">Definition of </w:t>
            </w:r>
            <w:r>
              <w:rPr>
                <w:b/>
              </w:rPr>
              <w:t>t</w:t>
            </w:r>
            <w:r w:rsidRPr="00E713AA">
              <w:rPr>
                <w:b/>
              </w:rPr>
              <w:t>erms</w:t>
            </w:r>
          </w:p>
        </w:tc>
        <w:tc>
          <w:tcPr>
            <w:tcW w:w="7371" w:type="dxa"/>
            <w:shd w:val="clear" w:color="auto" w:fill="FFFFFF"/>
          </w:tcPr>
          <w:p w:rsidR="004857B6" w:rsidRDefault="004857B6" w:rsidP="00E540E0">
            <w:pPr>
              <w:pStyle w:val="DHHStabletext"/>
            </w:pPr>
            <w:r>
              <w:t>Child protection services refers to the department’s service that provides child centred, family focussed services to protect children and young people from significant harm as a result of abuse or neglect within the family unit and ensure that clients have access to services to assist them to deal with the impact of abuse or neglect on their wellbeing and development and to address significant concerns about their wellbeing.</w:t>
            </w:r>
          </w:p>
          <w:p w:rsidR="004857B6" w:rsidRPr="00CB36A5" w:rsidRDefault="004857B6" w:rsidP="00E540E0">
            <w:pPr>
              <w:pStyle w:val="DHHStabletext"/>
            </w:pPr>
            <w:r>
              <w:t>After-hours child protection emergency service (AHCPES) refers to the provision of the department’s statewide service (currently operating from department’s Eastern Division) to receive and respond to reports and to receive and respond to calls regarding existing clients outside of normal working hours.</w:t>
            </w:r>
          </w:p>
        </w:tc>
      </w:tr>
    </w:tbl>
    <w:p w:rsidR="004857B6" w:rsidRPr="00E713AA" w:rsidRDefault="001533F3" w:rsidP="004857B6">
      <w:pPr>
        <w:pStyle w:val="Heading2"/>
      </w:pPr>
      <w:bookmarkStart w:id="33" w:name="_Toc358398441"/>
      <w:bookmarkStart w:id="34" w:name="_Toc515954934"/>
      <w:r>
        <w:t>P</w:t>
      </w:r>
      <w:r w:rsidR="004857B6" w:rsidRPr="00E713AA">
        <w:t>erformance m</w:t>
      </w:r>
      <w:r w:rsidR="004857B6">
        <w:t xml:space="preserve">easure 3: </w:t>
      </w:r>
      <w:r w:rsidR="004857B6" w:rsidRPr="00E713AA">
        <w:t>Percentage of calls answered in 10 minutes</w:t>
      </w:r>
      <w:bookmarkEnd w:id="33"/>
      <w:bookmarkEnd w:id="34"/>
      <w:r w:rsidR="004857B6" w:rsidRPr="00E713A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371"/>
      </w:tblGrid>
      <w:tr w:rsidR="004857B6" w:rsidRPr="00280A35" w:rsidTr="00E540E0">
        <w:trPr>
          <w:cantSplit/>
        </w:trPr>
        <w:tc>
          <w:tcPr>
            <w:tcW w:w="2518" w:type="dxa"/>
            <w:shd w:val="clear" w:color="auto" w:fill="FFFFFF"/>
          </w:tcPr>
          <w:p w:rsidR="004857B6" w:rsidRPr="00E713AA" w:rsidRDefault="004857B6" w:rsidP="00E540E0">
            <w:pPr>
              <w:pStyle w:val="DHHStabletext"/>
              <w:rPr>
                <w:b/>
              </w:rPr>
            </w:pPr>
            <w:r w:rsidRPr="00E713AA">
              <w:rPr>
                <w:b/>
              </w:rPr>
              <w:t>Definition</w:t>
            </w:r>
          </w:p>
        </w:tc>
        <w:tc>
          <w:tcPr>
            <w:tcW w:w="7371" w:type="dxa"/>
            <w:shd w:val="clear" w:color="auto" w:fill="FFFFFF"/>
          </w:tcPr>
          <w:p w:rsidR="004857B6" w:rsidRPr="000C49B9" w:rsidRDefault="004857B6" w:rsidP="00E540E0">
            <w:pPr>
              <w:pStyle w:val="DHHStabletext"/>
            </w:pPr>
            <w:r w:rsidRPr="002976F3">
              <w:t>This measure provides information regarding the number of calls answered within a specified time period and is</w:t>
            </w:r>
            <w:r>
              <w:t xml:space="preserve"> </w:t>
            </w:r>
            <w:r w:rsidRPr="002976F3">
              <w:t>an indicator of the responsiveness of the service.</w:t>
            </w:r>
          </w:p>
        </w:tc>
      </w:tr>
      <w:tr w:rsidR="004857B6" w:rsidRPr="00280A35" w:rsidTr="00E540E0">
        <w:trPr>
          <w:cantSplit/>
        </w:trPr>
        <w:tc>
          <w:tcPr>
            <w:tcW w:w="2518" w:type="dxa"/>
            <w:shd w:val="clear" w:color="auto" w:fill="FFFFFF"/>
          </w:tcPr>
          <w:p w:rsidR="004857B6" w:rsidRPr="00E713AA" w:rsidRDefault="004857B6" w:rsidP="00E540E0">
            <w:pPr>
              <w:pStyle w:val="DHHStabletext"/>
              <w:rPr>
                <w:b/>
              </w:rPr>
            </w:pPr>
            <w:r w:rsidRPr="00E713AA">
              <w:rPr>
                <w:b/>
              </w:rPr>
              <w:t>Aim/</w:t>
            </w:r>
            <w:r>
              <w:rPr>
                <w:b/>
              </w:rPr>
              <w:t>o</w:t>
            </w:r>
            <w:r w:rsidRPr="00E713AA">
              <w:rPr>
                <w:b/>
              </w:rPr>
              <w:t>bjective</w:t>
            </w:r>
          </w:p>
        </w:tc>
        <w:tc>
          <w:tcPr>
            <w:tcW w:w="7371" w:type="dxa"/>
            <w:shd w:val="clear" w:color="auto" w:fill="FFFFFF"/>
          </w:tcPr>
          <w:p w:rsidR="004857B6" w:rsidRPr="000C49B9" w:rsidRDefault="004857B6" w:rsidP="00E540E0">
            <w:pPr>
              <w:pStyle w:val="DHHStabletext"/>
            </w:pPr>
            <w:r>
              <w:t>The service must be responsive.</w:t>
            </w:r>
          </w:p>
        </w:tc>
      </w:tr>
      <w:tr w:rsidR="004857B6" w:rsidRPr="00280A35" w:rsidTr="00E540E0">
        <w:trPr>
          <w:cantSplit/>
        </w:trPr>
        <w:tc>
          <w:tcPr>
            <w:tcW w:w="2518" w:type="dxa"/>
            <w:shd w:val="clear" w:color="auto" w:fill="FFFFFF"/>
          </w:tcPr>
          <w:p w:rsidR="004857B6" w:rsidRPr="00E713AA" w:rsidRDefault="004857B6" w:rsidP="00E540E0">
            <w:pPr>
              <w:pStyle w:val="DHHStabletext"/>
              <w:rPr>
                <w:b/>
              </w:rPr>
            </w:pPr>
            <w:r w:rsidRPr="00E713AA">
              <w:rPr>
                <w:b/>
              </w:rPr>
              <w:t>Target</w:t>
            </w:r>
          </w:p>
        </w:tc>
        <w:tc>
          <w:tcPr>
            <w:tcW w:w="7371" w:type="dxa"/>
            <w:shd w:val="clear" w:color="auto" w:fill="FFFFFF"/>
          </w:tcPr>
          <w:p w:rsidR="004857B6" w:rsidRDefault="004857B6" w:rsidP="00E540E0">
            <w:pPr>
              <w:pStyle w:val="DHHStabletext"/>
            </w:pPr>
            <w:r w:rsidRPr="002976F3">
              <w:t>98 per cent of calls to be answered within 10 minutes</w:t>
            </w:r>
            <w:r>
              <w:t>.</w:t>
            </w:r>
          </w:p>
        </w:tc>
      </w:tr>
      <w:tr w:rsidR="004857B6" w:rsidRPr="00280A35" w:rsidTr="00E540E0">
        <w:trPr>
          <w:cantSplit/>
        </w:trPr>
        <w:tc>
          <w:tcPr>
            <w:tcW w:w="2518" w:type="dxa"/>
            <w:shd w:val="clear" w:color="auto" w:fill="FFFFFF"/>
          </w:tcPr>
          <w:p w:rsidR="004857B6" w:rsidRPr="00E713AA" w:rsidRDefault="004857B6" w:rsidP="00E540E0">
            <w:pPr>
              <w:pStyle w:val="DHHStabletext"/>
              <w:rPr>
                <w:b/>
              </w:rPr>
            </w:pPr>
            <w:r w:rsidRPr="00E713AA">
              <w:rPr>
                <w:b/>
              </w:rPr>
              <w:t>Type of count</w:t>
            </w:r>
          </w:p>
        </w:tc>
        <w:tc>
          <w:tcPr>
            <w:tcW w:w="7371" w:type="dxa"/>
            <w:shd w:val="clear" w:color="auto" w:fill="FFFFFF"/>
          </w:tcPr>
          <w:p w:rsidR="004857B6" w:rsidRPr="000C49B9" w:rsidRDefault="004857B6" w:rsidP="00E540E0">
            <w:pPr>
              <w:pStyle w:val="DHHStabletext"/>
            </w:pPr>
            <w:r>
              <w:t>Not applicable</w:t>
            </w:r>
          </w:p>
        </w:tc>
      </w:tr>
      <w:tr w:rsidR="004857B6" w:rsidRPr="00280A35" w:rsidTr="00E540E0">
        <w:trPr>
          <w:cantSplit/>
        </w:trPr>
        <w:tc>
          <w:tcPr>
            <w:tcW w:w="2518" w:type="dxa"/>
            <w:shd w:val="clear" w:color="auto" w:fill="FFFFFF"/>
          </w:tcPr>
          <w:p w:rsidR="004857B6" w:rsidRPr="00E713AA" w:rsidRDefault="004857B6" w:rsidP="00E540E0">
            <w:pPr>
              <w:pStyle w:val="DHHStabletext"/>
              <w:rPr>
                <w:b/>
              </w:rPr>
            </w:pPr>
            <w:r w:rsidRPr="00E713AA">
              <w:rPr>
                <w:b/>
              </w:rPr>
              <w:t xml:space="preserve">Counting </w:t>
            </w:r>
            <w:r>
              <w:rPr>
                <w:b/>
              </w:rPr>
              <w:t>r</w:t>
            </w:r>
            <w:r w:rsidRPr="00E713AA">
              <w:rPr>
                <w:b/>
              </w:rPr>
              <w:t>ule</w:t>
            </w:r>
          </w:p>
        </w:tc>
        <w:tc>
          <w:tcPr>
            <w:tcW w:w="7371" w:type="dxa"/>
            <w:shd w:val="clear" w:color="auto" w:fill="FFFFFF"/>
          </w:tcPr>
          <w:p w:rsidR="004857B6" w:rsidRPr="000C49B9" w:rsidRDefault="004857B6" w:rsidP="00E540E0">
            <w:pPr>
              <w:pStyle w:val="DHHStabletext"/>
            </w:pPr>
            <w:r w:rsidRPr="00F645D0">
              <w:t>Count the number of calls answered and the time taken to answer these calls.</w:t>
            </w:r>
            <w:r>
              <w:t xml:space="preserve"> </w:t>
            </w:r>
            <w:r w:rsidRPr="00F645D0">
              <w:t xml:space="preserve">Count the number of calls that were answered within </w:t>
            </w:r>
            <w:r>
              <w:t>10 minutes</w:t>
            </w:r>
            <w:r w:rsidRPr="00F645D0">
              <w:t>.</w:t>
            </w:r>
            <w:r>
              <w:t xml:space="preserve"> </w:t>
            </w:r>
            <w:r w:rsidRPr="00F645D0">
              <w:t xml:space="preserve">Divide the number of calls answered within </w:t>
            </w:r>
            <w:r>
              <w:t>10 minutes</w:t>
            </w:r>
            <w:r w:rsidRPr="00F645D0">
              <w:t xml:space="preserve"> by the total number of calls</w:t>
            </w:r>
            <w:r w:rsidR="002E3AF5">
              <w:t>.</w:t>
            </w:r>
          </w:p>
        </w:tc>
      </w:tr>
      <w:tr w:rsidR="004857B6" w:rsidRPr="00280A35" w:rsidTr="00E540E0">
        <w:trPr>
          <w:cantSplit/>
        </w:trPr>
        <w:tc>
          <w:tcPr>
            <w:tcW w:w="2518" w:type="dxa"/>
            <w:shd w:val="clear" w:color="auto" w:fill="FFFFFF"/>
          </w:tcPr>
          <w:p w:rsidR="004857B6" w:rsidRPr="00E713AA" w:rsidRDefault="004857B6" w:rsidP="00E540E0">
            <w:pPr>
              <w:pStyle w:val="DHHStabletext"/>
              <w:rPr>
                <w:b/>
              </w:rPr>
            </w:pPr>
            <w:r w:rsidRPr="00E713AA">
              <w:rPr>
                <w:b/>
              </w:rPr>
              <w:t xml:space="preserve">Monitoring </w:t>
            </w:r>
            <w:r>
              <w:rPr>
                <w:b/>
              </w:rPr>
              <w:t>f</w:t>
            </w:r>
            <w:r w:rsidRPr="00E713AA">
              <w:rPr>
                <w:b/>
              </w:rPr>
              <w:t>requency</w:t>
            </w:r>
          </w:p>
        </w:tc>
        <w:tc>
          <w:tcPr>
            <w:tcW w:w="7371" w:type="dxa"/>
            <w:shd w:val="clear" w:color="auto" w:fill="FFFFFF"/>
          </w:tcPr>
          <w:p w:rsidR="004857B6" w:rsidRPr="000C49B9" w:rsidRDefault="004857B6" w:rsidP="00E540E0">
            <w:pPr>
              <w:pStyle w:val="DHHStabletext"/>
            </w:pPr>
            <w:r>
              <w:t>Monthly</w:t>
            </w:r>
          </w:p>
        </w:tc>
      </w:tr>
      <w:tr w:rsidR="004857B6" w:rsidRPr="00280A35" w:rsidTr="00E540E0">
        <w:trPr>
          <w:cantSplit/>
        </w:trPr>
        <w:tc>
          <w:tcPr>
            <w:tcW w:w="2518" w:type="dxa"/>
            <w:shd w:val="clear" w:color="auto" w:fill="FFFFFF"/>
          </w:tcPr>
          <w:p w:rsidR="004857B6" w:rsidRPr="00E713AA" w:rsidRDefault="004857B6" w:rsidP="00E540E0">
            <w:pPr>
              <w:pStyle w:val="DHHStabletext"/>
              <w:rPr>
                <w:b/>
              </w:rPr>
            </w:pPr>
            <w:r>
              <w:rPr>
                <w:b/>
              </w:rPr>
              <w:t>Data s</w:t>
            </w:r>
            <w:r w:rsidRPr="00E713AA">
              <w:rPr>
                <w:b/>
              </w:rPr>
              <w:t xml:space="preserve">ource(s) </w:t>
            </w:r>
            <w:r>
              <w:rPr>
                <w:b/>
              </w:rPr>
              <w:t>c</w:t>
            </w:r>
            <w:r w:rsidRPr="00E713AA">
              <w:rPr>
                <w:b/>
              </w:rPr>
              <w:t>ollection</w:t>
            </w:r>
          </w:p>
        </w:tc>
        <w:tc>
          <w:tcPr>
            <w:tcW w:w="7371" w:type="dxa"/>
            <w:shd w:val="clear" w:color="auto" w:fill="FFFFFF"/>
          </w:tcPr>
          <w:p w:rsidR="004857B6" w:rsidRPr="000C49B9" w:rsidRDefault="004857B6" w:rsidP="00E540E0">
            <w:pPr>
              <w:pStyle w:val="DHHStabletext"/>
            </w:pPr>
            <w:r w:rsidRPr="002976F3">
              <w:t>Q</w:t>
            </w:r>
            <w:r>
              <w:t>-</w:t>
            </w:r>
            <w:r w:rsidRPr="002976F3">
              <w:t>Master</w:t>
            </w:r>
          </w:p>
        </w:tc>
      </w:tr>
      <w:tr w:rsidR="004857B6" w:rsidRPr="00280A35" w:rsidTr="00E540E0">
        <w:trPr>
          <w:cantSplit/>
        </w:trPr>
        <w:tc>
          <w:tcPr>
            <w:tcW w:w="2518" w:type="dxa"/>
            <w:shd w:val="clear" w:color="auto" w:fill="FFFFFF"/>
          </w:tcPr>
          <w:p w:rsidR="004857B6" w:rsidRPr="00E713AA" w:rsidRDefault="004857B6" w:rsidP="00E540E0">
            <w:pPr>
              <w:pStyle w:val="DHHStabletext"/>
              <w:rPr>
                <w:b/>
              </w:rPr>
            </w:pPr>
            <w:r w:rsidRPr="00E713AA">
              <w:rPr>
                <w:b/>
              </w:rPr>
              <w:lastRenderedPageBreak/>
              <w:t xml:space="preserve">Definition of </w:t>
            </w:r>
            <w:r>
              <w:rPr>
                <w:b/>
              </w:rPr>
              <w:t>t</w:t>
            </w:r>
            <w:bookmarkStart w:id="35" w:name="_GoBack"/>
            <w:bookmarkEnd w:id="35"/>
            <w:r w:rsidRPr="00E713AA">
              <w:rPr>
                <w:b/>
              </w:rPr>
              <w:t>erms</w:t>
            </w:r>
          </w:p>
        </w:tc>
        <w:tc>
          <w:tcPr>
            <w:tcW w:w="7371" w:type="dxa"/>
            <w:shd w:val="clear" w:color="auto" w:fill="FFFFFF"/>
          </w:tcPr>
          <w:p w:rsidR="004857B6" w:rsidRDefault="004857B6" w:rsidP="00E540E0">
            <w:pPr>
              <w:pStyle w:val="DHHStabletext"/>
            </w:pPr>
            <w:r>
              <w:t>Child protection services refers to the department’s service that provides child centred, family focussed services to protect children and young people from significant harm as a result of abuse or neglect within the family unit and ensure that clients have access to services to assist them to deal with the impact of abuse or neglect on their wellbeing and development and to address significant concerns about their wellbeing.</w:t>
            </w:r>
          </w:p>
          <w:p w:rsidR="004857B6" w:rsidRPr="00CB36A5" w:rsidRDefault="004857B6" w:rsidP="00E540E0">
            <w:pPr>
              <w:pStyle w:val="DHHStabletext"/>
            </w:pPr>
            <w:r>
              <w:t>After-hours child protection emergency service (AHCPES) refers to the provision of the department’s statewide service (currently operating from department’s Eastern Division) to receive and respond to reports and to receive and respond to calls regarding existing clients outside of normal working hours.</w:t>
            </w:r>
          </w:p>
        </w:tc>
      </w:tr>
    </w:tbl>
    <w:p w:rsidR="004857B6" w:rsidRDefault="004857B6" w:rsidP="004857B6">
      <w:pPr>
        <w:keepNext/>
        <w:keepLines/>
        <w:spacing w:before="320" w:after="200" w:line="440" w:lineRule="atLeast"/>
        <w:outlineLvl w:val="0"/>
        <w:rPr>
          <w:rFonts w:ascii="Arial" w:eastAsia="MS Gothic" w:hAnsi="Arial" w:cs="Arial"/>
          <w:bCs/>
          <w:color w:val="007B4B"/>
          <w:kern w:val="32"/>
          <w:sz w:val="36"/>
          <w:szCs w:val="40"/>
        </w:rPr>
      </w:pPr>
      <w:r w:rsidRPr="00E713AA">
        <w:rPr>
          <w:rFonts w:ascii="Arial" w:eastAsia="MS Gothic" w:hAnsi="Arial" w:cs="Arial"/>
          <w:bCs/>
          <w:color w:val="007B4B"/>
          <w:kern w:val="32"/>
          <w:sz w:val="36"/>
          <w:szCs w:val="40"/>
        </w:rPr>
        <w:t>Data collect</w:t>
      </w:r>
      <w:r w:rsidR="001533F3">
        <w:rPr>
          <w:rFonts w:ascii="Arial" w:eastAsia="MS Gothic" w:hAnsi="Arial" w:cs="Arial"/>
          <w:bCs/>
          <w:color w:val="007B4B"/>
          <w:kern w:val="32"/>
          <w:sz w:val="36"/>
          <w:szCs w:val="40"/>
        </w:rPr>
        <w:t>ion information</w:t>
      </w:r>
    </w:p>
    <w:p w:rsidR="004857B6" w:rsidRPr="00DE5127" w:rsidRDefault="004857B6" w:rsidP="004857B6">
      <w:pPr>
        <w:pStyle w:val="DHHSbody"/>
      </w:pPr>
      <w:r w:rsidRPr="00DE5127">
        <w:t>Data collections comprise data management systems and data sets.</w:t>
      </w:r>
    </w:p>
    <w:tbl>
      <w:tblPr>
        <w:tblW w:w="0" w:type="auto"/>
        <w:tblLook w:val="01E0" w:firstRow="1" w:lastRow="1" w:firstColumn="1" w:lastColumn="1" w:noHBand="0" w:noVBand="0"/>
      </w:tblPr>
      <w:tblGrid>
        <w:gridCol w:w="2587"/>
        <w:gridCol w:w="2661"/>
        <w:gridCol w:w="2405"/>
        <w:gridCol w:w="2201"/>
      </w:tblGrid>
      <w:tr w:rsidR="004857B6" w:rsidTr="00E540E0">
        <w:tc>
          <w:tcPr>
            <w:tcW w:w="2587" w:type="dxa"/>
            <w:tcBorders>
              <w:top w:val="single" w:sz="4" w:space="0" w:color="auto"/>
              <w:left w:val="single" w:sz="4" w:space="0" w:color="auto"/>
              <w:bottom w:val="single" w:sz="4" w:space="0" w:color="auto"/>
              <w:right w:val="single" w:sz="4" w:space="0" w:color="auto"/>
            </w:tcBorders>
          </w:tcPr>
          <w:p w:rsidR="004857B6" w:rsidRPr="006B3DF7" w:rsidRDefault="004857B6" w:rsidP="00E540E0">
            <w:pPr>
              <w:pStyle w:val="DHHStablecolhead"/>
            </w:pPr>
            <w:r w:rsidRPr="006B3DF7">
              <w:t>Data collection name</w:t>
            </w:r>
          </w:p>
        </w:tc>
        <w:tc>
          <w:tcPr>
            <w:tcW w:w="2661" w:type="dxa"/>
            <w:tcBorders>
              <w:top w:val="single" w:sz="4" w:space="0" w:color="auto"/>
              <w:left w:val="single" w:sz="4" w:space="0" w:color="auto"/>
              <w:bottom w:val="single" w:sz="4" w:space="0" w:color="auto"/>
              <w:right w:val="single" w:sz="4" w:space="0" w:color="auto"/>
            </w:tcBorders>
          </w:tcPr>
          <w:p w:rsidR="004857B6" w:rsidRPr="006B3DF7" w:rsidRDefault="004857B6" w:rsidP="00E540E0">
            <w:pPr>
              <w:pStyle w:val="DHHStablecolhead"/>
            </w:pPr>
            <w:r w:rsidRPr="006B3DF7">
              <w:t>Data management system</w:t>
            </w:r>
          </w:p>
        </w:tc>
        <w:tc>
          <w:tcPr>
            <w:tcW w:w="2405" w:type="dxa"/>
            <w:tcBorders>
              <w:top w:val="single" w:sz="4" w:space="0" w:color="auto"/>
              <w:left w:val="single" w:sz="4" w:space="0" w:color="auto"/>
              <w:bottom w:val="single" w:sz="4" w:space="0" w:color="auto"/>
              <w:right w:val="single" w:sz="4" w:space="0" w:color="auto"/>
            </w:tcBorders>
          </w:tcPr>
          <w:p w:rsidR="004857B6" w:rsidRPr="006B3DF7" w:rsidRDefault="004857B6" w:rsidP="00E540E0">
            <w:pPr>
              <w:pStyle w:val="DHHStablecolhead"/>
            </w:pPr>
            <w:r w:rsidRPr="006B3DF7">
              <w:t xml:space="preserve">Data </w:t>
            </w:r>
            <w:r>
              <w:t>s</w:t>
            </w:r>
            <w:r w:rsidRPr="006B3DF7">
              <w:t xml:space="preserve">et </w:t>
            </w:r>
          </w:p>
        </w:tc>
        <w:tc>
          <w:tcPr>
            <w:tcW w:w="2201" w:type="dxa"/>
            <w:tcBorders>
              <w:top w:val="single" w:sz="4" w:space="0" w:color="auto"/>
              <w:left w:val="single" w:sz="4" w:space="0" w:color="auto"/>
              <w:bottom w:val="single" w:sz="4" w:space="0" w:color="auto"/>
              <w:right w:val="single" w:sz="4" w:space="0" w:color="auto"/>
            </w:tcBorders>
          </w:tcPr>
          <w:p w:rsidR="004857B6" w:rsidRPr="006B3DF7" w:rsidRDefault="004857B6" w:rsidP="00E540E0">
            <w:pPr>
              <w:pStyle w:val="DHHStablecolhead"/>
            </w:pPr>
            <w:r w:rsidRPr="006B3DF7">
              <w:t xml:space="preserve">Reporting </w:t>
            </w:r>
            <w:r>
              <w:t>c</w:t>
            </w:r>
            <w:r w:rsidRPr="006B3DF7">
              <w:t>ycle</w:t>
            </w:r>
          </w:p>
        </w:tc>
      </w:tr>
      <w:tr w:rsidR="004857B6" w:rsidTr="00E540E0">
        <w:trPr>
          <w:trHeight w:val="64"/>
        </w:trPr>
        <w:tc>
          <w:tcPr>
            <w:tcW w:w="2587" w:type="dxa"/>
            <w:tcBorders>
              <w:top w:val="single" w:sz="4" w:space="0" w:color="auto"/>
              <w:left w:val="single" w:sz="4" w:space="0" w:color="auto"/>
              <w:bottom w:val="single" w:sz="4" w:space="0" w:color="auto"/>
              <w:right w:val="single" w:sz="4" w:space="0" w:color="auto"/>
            </w:tcBorders>
          </w:tcPr>
          <w:p w:rsidR="004857B6" w:rsidRPr="00A43EC7" w:rsidDel="00326E44" w:rsidRDefault="004857B6" w:rsidP="00E540E0">
            <w:pPr>
              <w:pStyle w:val="DHHStabletext"/>
            </w:pPr>
            <w:r>
              <w:t>Child protection after-hours service</w:t>
            </w:r>
          </w:p>
        </w:tc>
        <w:tc>
          <w:tcPr>
            <w:tcW w:w="2661" w:type="dxa"/>
            <w:tcBorders>
              <w:top w:val="single" w:sz="4" w:space="0" w:color="auto"/>
              <w:left w:val="single" w:sz="4" w:space="0" w:color="auto"/>
              <w:bottom w:val="single" w:sz="4" w:space="0" w:color="auto"/>
              <w:right w:val="single" w:sz="4" w:space="0" w:color="auto"/>
            </w:tcBorders>
          </w:tcPr>
          <w:p w:rsidR="004857B6" w:rsidRPr="00A43EC7" w:rsidRDefault="004857B6" w:rsidP="00BF0AA6">
            <w:pPr>
              <w:pStyle w:val="DHHStabletext"/>
            </w:pPr>
            <w:r w:rsidRPr="00276A84">
              <w:t>Q</w:t>
            </w:r>
            <w:r>
              <w:t>-</w:t>
            </w:r>
            <w:r w:rsidR="00BF0AA6">
              <w:t>Master source data</w:t>
            </w:r>
          </w:p>
        </w:tc>
        <w:tc>
          <w:tcPr>
            <w:tcW w:w="2405" w:type="dxa"/>
            <w:tcBorders>
              <w:top w:val="single" w:sz="4" w:space="0" w:color="auto"/>
              <w:left w:val="single" w:sz="4" w:space="0" w:color="auto"/>
              <w:bottom w:val="single" w:sz="4" w:space="0" w:color="auto"/>
              <w:right w:val="single" w:sz="4" w:space="0" w:color="auto"/>
            </w:tcBorders>
          </w:tcPr>
          <w:p w:rsidR="004857B6" w:rsidRPr="00A43EC7" w:rsidRDefault="004857B6" w:rsidP="00BF0AA6">
            <w:pPr>
              <w:pStyle w:val="DHHStabletext"/>
            </w:pPr>
            <w:r w:rsidRPr="00276A84">
              <w:t>Q</w:t>
            </w:r>
            <w:r>
              <w:t>-</w:t>
            </w:r>
            <w:r w:rsidR="00BF0AA6">
              <w:t>Master source data</w:t>
            </w:r>
          </w:p>
        </w:tc>
        <w:tc>
          <w:tcPr>
            <w:tcW w:w="2201" w:type="dxa"/>
            <w:tcBorders>
              <w:top w:val="single" w:sz="4" w:space="0" w:color="auto"/>
              <w:left w:val="single" w:sz="4" w:space="0" w:color="auto"/>
              <w:bottom w:val="single" w:sz="4" w:space="0" w:color="auto"/>
              <w:right w:val="single" w:sz="4" w:space="0" w:color="auto"/>
            </w:tcBorders>
          </w:tcPr>
          <w:p w:rsidR="004857B6" w:rsidRPr="002976F3" w:rsidRDefault="004857B6" w:rsidP="00E540E0">
            <w:pPr>
              <w:pStyle w:val="DHHStabletext"/>
            </w:pPr>
            <w:r w:rsidRPr="002976F3">
              <w:t>Monthly</w:t>
            </w:r>
          </w:p>
        </w:tc>
      </w:tr>
    </w:tbl>
    <w:p w:rsidR="004857B6" w:rsidRPr="00E713AA" w:rsidRDefault="004857B6" w:rsidP="004857B6">
      <w:pPr>
        <w:pStyle w:val="Heading1"/>
      </w:pPr>
      <w:bookmarkStart w:id="36" w:name="_Toc475953724"/>
      <w:bookmarkStart w:id="37" w:name="_Toc477437704"/>
      <w:bookmarkStart w:id="38" w:name="_Toc358398442"/>
      <w:bookmarkStart w:id="39" w:name="_Toc515954935"/>
      <w:r w:rsidRPr="00E713AA">
        <w:t>Key documents</w:t>
      </w:r>
      <w:bookmarkEnd w:id="36"/>
      <w:bookmarkEnd w:id="37"/>
      <w:bookmarkEnd w:id="38"/>
      <w:bookmarkEnd w:id="39"/>
    </w:p>
    <w:p w:rsidR="004857B6" w:rsidRPr="00E713AA" w:rsidRDefault="004857B6" w:rsidP="004857B6">
      <w:pPr>
        <w:pStyle w:val="Heading2"/>
      </w:pPr>
      <w:bookmarkStart w:id="40" w:name="_Toc358398443"/>
      <w:bookmarkStart w:id="41" w:name="_Toc515954936"/>
      <w:r w:rsidRPr="00E713AA">
        <w:t>Mandatory</w:t>
      </w:r>
      <w:bookmarkEnd w:id="40"/>
      <w:bookmarkEnd w:id="41"/>
    </w:p>
    <w:p w:rsidR="004857B6" w:rsidRDefault="00BF0AA6" w:rsidP="004857B6">
      <w:pPr>
        <w:pStyle w:val="DHHSbody"/>
        <w:spacing w:after="60"/>
        <w:rPr>
          <w:rStyle w:val="Hyperlink"/>
          <w:rFonts w:cs="Arial"/>
        </w:rPr>
      </w:pPr>
      <w:hyperlink r:id="rId13" w:history="1">
        <w:r w:rsidR="004857B6">
          <w:rPr>
            <w:rStyle w:val="Hyperlink"/>
            <w:rFonts w:cs="Arial"/>
          </w:rPr>
          <w:t>Child Protection Practice Manual</w:t>
        </w:r>
      </w:hyperlink>
    </w:p>
    <w:p w:rsidR="004857B6" w:rsidRPr="00CC0E7C" w:rsidRDefault="004857B6" w:rsidP="005E5041">
      <w:pPr>
        <w:pStyle w:val="DHHSbody"/>
        <w:spacing w:after="360"/>
        <w:rPr>
          <w:rStyle w:val="Hyperlink"/>
          <w:color w:val="auto"/>
          <w:u w:val="none"/>
        </w:rPr>
      </w:pPr>
      <w:r w:rsidRPr="00CC0E7C">
        <w:rPr>
          <w:rStyle w:val="Hyperlink"/>
          <w:color w:val="auto"/>
          <w:u w:val="none"/>
        </w:rPr>
        <w:t>&lt;</w:t>
      </w:r>
      <w:r w:rsidR="001533F3">
        <w:rPr>
          <w:rStyle w:val="Hyperlink"/>
          <w:color w:val="auto"/>
          <w:u w:val="none"/>
        </w:rPr>
        <w:t>http://www.cpmanual.vic.gov.au</w:t>
      </w:r>
      <w:r w:rsidRPr="00CC0E7C">
        <w:rPr>
          <w:rStyle w:val="Hyperlink"/>
          <w:color w:val="auto"/>
          <w:u w:val="none"/>
        </w:rPr>
        <w:t>&gt;</w:t>
      </w:r>
    </w:p>
    <w:tbl>
      <w:tblPr>
        <w:tblW w:w="4800" w:type="pct"/>
        <w:tblInd w:w="113" w:type="dxa"/>
        <w:tblCellMar>
          <w:top w:w="113" w:type="dxa"/>
          <w:bottom w:w="57" w:type="dxa"/>
        </w:tblCellMar>
        <w:tblLook w:val="00A0" w:firstRow="1" w:lastRow="0" w:firstColumn="1" w:lastColumn="0" w:noHBand="0" w:noVBand="0"/>
      </w:tblPr>
      <w:tblGrid>
        <w:gridCol w:w="10003"/>
      </w:tblGrid>
      <w:tr w:rsidR="004857B6" w:rsidRPr="002802E3" w:rsidTr="00E540E0">
        <w:trPr>
          <w:cantSplit/>
        </w:trPr>
        <w:tc>
          <w:tcPr>
            <w:tcW w:w="5000" w:type="pct"/>
            <w:tcBorders>
              <w:top w:val="single" w:sz="4" w:space="0" w:color="auto"/>
              <w:left w:val="single" w:sz="4" w:space="0" w:color="auto"/>
              <w:bottom w:val="single" w:sz="4" w:space="0" w:color="auto"/>
              <w:right w:val="single" w:sz="4" w:space="0" w:color="auto"/>
            </w:tcBorders>
            <w:vAlign w:val="bottom"/>
          </w:tcPr>
          <w:p w:rsidR="004857B6" w:rsidRPr="00254F58" w:rsidRDefault="004857B6" w:rsidP="00E540E0">
            <w:pPr>
              <w:pStyle w:val="DHHSaccessibilitypara"/>
            </w:pPr>
            <w:r w:rsidRPr="00254F58">
              <w:t xml:space="preserve">To receive this publication in </w:t>
            </w:r>
            <w:r w:rsidRPr="00770F37">
              <w:t>an</w:t>
            </w:r>
            <w:r w:rsidRPr="00254F58">
              <w:t xml:space="preserve"> accessible format</w:t>
            </w:r>
            <w:r>
              <w:t>, email</w:t>
            </w:r>
            <w:r w:rsidRPr="00254F58">
              <w:t xml:space="preserve"> </w:t>
            </w:r>
            <w:hyperlink r:id="rId14" w:history="1">
              <w:r w:rsidRPr="00AF3D46">
                <w:rPr>
                  <w:rStyle w:val="Hyperlink"/>
                </w:rPr>
                <w:t>Service Agreement Communications</w:t>
              </w:r>
            </w:hyperlink>
            <w:r>
              <w:t xml:space="preserve"> </w:t>
            </w:r>
            <w:r w:rsidRPr="00C121AC">
              <w:t>&lt;sacomms@dhhs.vic.gov.au&gt;</w:t>
            </w:r>
          </w:p>
          <w:p w:rsidR="004857B6" w:rsidRPr="00254F58" w:rsidRDefault="004857B6" w:rsidP="00E540E0">
            <w:pPr>
              <w:pStyle w:val="DHHSbody"/>
            </w:pPr>
            <w:r w:rsidRPr="00254F58">
              <w:t>Authorised and published by the Victorian Governmen</w:t>
            </w:r>
            <w:r>
              <w:t>t, 1 Treasury Place, Melbourne.</w:t>
            </w:r>
          </w:p>
          <w:p w:rsidR="004857B6" w:rsidRPr="00254F58" w:rsidRDefault="004857B6" w:rsidP="00E540E0">
            <w:pPr>
              <w:pStyle w:val="DHHSbody"/>
            </w:pPr>
            <w:r w:rsidRPr="00254F58">
              <w:t xml:space="preserve">© State of </w:t>
            </w:r>
            <w:r>
              <w:t>Victoria, Department of Health and</w:t>
            </w:r>
            <w:r w:rsidRPr="00254F58">
              <w:t xml:space="preserve"> Human Services</w:t>
            </w:r>
            <w:r w:rsidR="001533F3">
              <w:t>, 1 July 2018</w:t>
            </w:r>
            <w:r>
              <w:t>.</w:t>
            </w:r>
          </w:p>
          <w:p w:rsidR="004857B6" w:rsidRPr="00C121AC" w:rsidRDefault="004857B6" w:rsidP="00E540E0">
            <w:pPr>
              <w:pStyle w:val="DHHSbody"/>
            </w:pPr>
            <w:r w:rsidRPr="00C121AC">
              <w:t>Where the term ‘Aboriginal’ is used it refers to both Aboriginal and Torres Strait Islander people. Indigenous is retained when it is part of the title of a report, program or quotation.</w:t>
            </w:r>
          </w:p>
          <w:p w:rsidR="004857B6" w:rsidRPr="005C3384" w:rsidRDefault="004857B6" w:rsidP="00E540E0">
            <w:pPr>
              <w:pStyle w:val="DHHSbody"/>
            </w:pPr>
            <w:r w:rsidRPr="00254F58">
              <w:t>ISSN</w:t>
            </w:r>
            <w:r w:rsidRPr="00AA7218">
              <w:t xml:space="preserve"> </w:t>
            </w:r>
            <w:r>
              <w:t>2207-8347 (online)</w:t>
            </w:r>
          </w:p>
          <w:p w:rsidR="004857B6" w:rsidRPr="00C121AC" w:rsidRDefault="00A105F3" w:rsidP="00E540E0">
            <w:pPr>
              <w:pStyle w:val="DHHSbody"/>
              <w:rPr>
                <w:szCs w:val="19"/>
              </w:rPr>
            </w:pPr>
            <w:r>
              <w:t xml:space="preserve">Available on the department’s </w:t>
            </w:r>
            <w:hyperlink r:id="rId15" w:history="1">
              <w:r w:rsidRPr="001C6050">
                <w:rPr>
                  <w:rStyle w:val="Hyperlink"/>
                </w:rPr>
                <w:t>Human services activity search</w:t>
              </w:r>
            </w:hyperlink>
            <w:r>
              <w:t xml:space="preserve"> &lt;</w:t>
            </w:r>
            <w:r>
              <w:rPr>
                <w:rFonts w:cs="Cambria"/>
                <w:color w:val="000000"/>
                <w:lang w:eastAsia="en-AU"/>
              </w:rPr>
              <w:t>http://providers.dhhs.vic.gov.au/human-services-activity-search</w:t>
            </w:r>
            <w:r>
              <w:t>&gt;</w:t>
            </w:r>
          </w:p>
        </w:tc>
      </w:tr>
    </w:tbl>
    <w:p w:rsidR="00B2752E" w:rsidRPr="00906490" w:rsidRDefault="00B2752E" w:rsidP="001533F3">
      <w:pPr>
        <w:pStyle w:val="DHHSbody"/>
      </w:pPr>
    </w:p>
    <w:sectPr w:rsidR="00B2752E" w:rsidRPr="00906490" w:rsidSect="00F01E5F">
      <w:headerReference w:type="default" r:id="rId16"/>
      <w:footerReference w:type="default" r:id="rId17"/>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7B6" w:rsidRDefault="004857B6">
      <w:r>
        <w:separator/>
      </w:r>
    </w:p>
  </w:endnote>
  <w:endnote w:type="continuationSeparator" w:id="0">
    <w:p w:rsidR="004857B6" w:rsidRDefault="0048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4857B6"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9D70A4" w:rsidP="0051568D">
    <w:pPr>
      <w:pStyle w:val="DHHSfooter"/>
    </w:pPr>
    <w:r w:rsidRPr="00A11421">
      <w:t xml:space="preserve">Name of </w:t>
    </w:r>
    <w:r w:rsidRPr="0051568D">
      <w:t>document</w:t>
    </w:r>
    <w:r w:rsidRPr="00A11421">
      <w:tab/>
    </w:r>
    <w:r w:rsidRPr="00A11421">
      <w:fldChar w:fldCharType="begin"/>
    </w:r>
    <w:r w:rsidRPr="00A11421">
      <w:instrText xml:space="preserve"> PAGE </w:instrText>
    </w:r>
    <w:r w:rsidRPr="00A11421">
      <w:fldChar w:fldCharType="separate"/>
    </w:r>
    <w:r w:rsidR="004857B6">
      <w:rPr>
        <w:noProof/>
      </w:rPr>
      <w:t>4</w:t>
    </w:r>
    <w:r w:rsidRPr="00A1142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5E5041" w:rsidP="0051568D">
    <w:pPr>
      <w:pStyle w:val="DHHSfooter"/>
    </w:pPr>
    <w:r w:rsidRPr="00981AA3">
      <w:t xml:space="preserve">Volume 3: </w:t>
    </w:r>
    <w:r w:rsidRPr="005C3C99">
      <w:rPr>
        <w:szCs w:val="28"/>
      </w:rPr>
      <w:t>Chapter 4: Activity descriptions</w:t>
    </w:r>
    <w:r w:rsidR="009D70A4" w:rsidRPr="00A11421">
      <w:tab/>
    </w:r>
    <w:r w:rsidR="009D70A4" w:rsidRPr="00A11421">
      <w:fldChar w:fldCharType="begin"/>
    </w:r>
    <w:r w:rsidR="009D70A4" w:rsidRPr="00A11421">
      <w:instrText xml:space="preserve"> PAGE </w:instrText>
    </w:r>
    <w:r w:rsidR="009D70A4" w:rsidRPr="00A11421">
      <w:fldChar w:fldCharType="separate"/>
    </w:r>
    <w:r w:rsidR="00BF0AA6">
      <w:rPr>
        <w:noProof/>
      </w:rPr>
      <w:t>5</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7B6" w:rsidRDefault="004857B6" w:rsidP="002862F1">
      <w:pPr>
        <w:spacing w:before="120"/>
      </w:pPr>
      <w:r>
        <w:separator/>
      </w:r>
    </w:p>
  </w:footnote>
  <w:footnote w:type="continuationSeparator" w:id="0">
    <w:p w:rsidR="004857B6" w:rsidRDefault="00485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7B6"/>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34114"/>
    <w:rsid w:val="00136C05"/>
    <w:rsid w:val="001447B3"/>
    <w:rsid w:val="00152073"/>
    <w:rsid w:val="001533F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D6263"/>
    <w:rsid w:val="002E01D0"/>
    <w:rsid w:val="002E161D"/>
    <w:rsid w:val="002E3100"/>
    <w:rsid w:val="002E3AF5"/>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6631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28B7"/>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857B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24C8"/>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E5041"/>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B5C"/>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05F3"/>
    <w:rsid w:val="00A11421"/>
    <w:rsid w:val="00A157B1"/>
    <w:rsid w:val="00A22229"/>
    <w:rsid w:val="00A44882"/>
    <w:rsid w:val="00A54715"/>
    <w:rsid w:val="00A6061C"/>
    <w:rsid w:val="00A62D44"/>
    <w:rsid w:val="00A632AB"/>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0AA6"/>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170DC"/>
    <w:rsid w:val="00E26818"/>
    <w:rsid w:val="00E27FFC"/>
    <w:rsid w:val="00E30B15"/>
    <w:rsid w:val="00E40181"/>
    <w:rsid w:val="00E44314"/>
    <w:rsid w:val="00E56A01"/>
    <w:rsid w:val="00E629A1"/>
    <w:rsid w:val="00E6794C"/>
    <w:rsid w:val="00E71591"/>
    <w:rsid w:val="00E77E15"/>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qFormat/>
    <w:rsid w:val="004857B6"/>
    <w:rPr>
      <w:rFonts w:ascii="Verdana" w:hAnsi="Verdana"/>
      <w:lang w:eastAsia="en-US"/>
    </w:rPr>
  </w:style>
  <w:style w:type="paragraph" w:styleId="Heading1">
    <w:name w:val="heading 1"/>
    <w:next w:val="DHHSbody"/>
    <w:link w:val="Heading1Char"/>
    <w:uiPriority w:val="99"/>
    <w:qFormat/>
    <w:rsid w:val="00134114"/>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99"/>
    <w:qFormat/>
    <w:rsid w:val="00DF3A5C"/>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99"/>
    <w:rsid w:val="00134114"/>
    <w:rPr>
      <w:rFonts w:ascii="Arial" w:eastAsia="MS Gothic" w:hAnsi="Arial" w:cs="Arial"/>
      <w:bCs/>
      <w:color w:val="007B4B"/>
      <w:kern w:val="32"/>
      <w:sz w:val="36"/>
      <w:szCs w:val="40"/>
      <w:lang w:eastAsia="en-US"/>
    </w:rPr>
  </w:style>
  <w:style w:type="character" w:customStyle="1" w:styleId="Heading2Char">
    <w:name w:val="Heading 2 Char"/>
    <w:link w:val="Heading2"/>
    <w:uiPriority w:val="99"/>
    <w:rsid w:val="00DF3A5C"/>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F3A5C"/>
    <w:pPr>
      <w:spacing w:before="0" w:after="200"/>
      <w:outlineLvl w:val="9"/>
    </w:pPr>
  </w:style>
  <w:style w:type="character" w:customStyle="1" w:styleId="DHHSTOCheadingfactsheetChar">
    <w:name w:val="DHHS TOC heading fact sheet Char"/>
    <w:link w:val="DHHSTOCheadingfactsheet"/>
    <w:uiPriority w:val="4"/>
    <w:rsid w:val="00DF3A5C"/>
    <w:rPr>
      <w:rFonts w:ascii="Arial" w:hAnsi="Arial"/>
      <w:b/>
      <w:color w:val="007B4B"/>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qFormat/>
    <w:rsid w:val="0051568D"/>
    <w:pPr>
      <w:numPr>
        <w:ilvl w:val="2"/>
        <w:numId w:val="7"/>
      </w:numPr>
      <w:spacing w:after="40"/>
    </w:pPr>
  </w:style>
  <w:style w:type="character" w:customStyle="1" w:styleId="DHHSbodyChar">
    <w:name w:val="DHHS body Char"/>
    <w:link w:val="DHHSbody"/>
    <w:rsid w:val="004857B6"/>
    <w:rPr>
      <w:rFonts w:ascii="Arial" w:eastAsia="Times" w:hAnsi="Arial"/>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qFormat/>
    <w:rsid w:val="0051568D"/>
    <w:pPr>
      <w:numPr>
        <w:ilvl w:val="6"/>
        <w:numId w:val="7"/>
      </w:numPr>
    </w:pPr>
  </w:style>
  <w:style w:type="paragraph" w:customStyle="1" w:styleId="DHHStablecolhead">
    <w:name w:val="DHHS table col head"/>
    <w:uiPriority w:val="99"/>
    <w:qFormat/>
    <w:rsid w:val="00DF3A5C"/>
    <w:pPr>
      <w:spacing w:before="80" w:after="60"/>
    </w:pPr>
    <w:rPr>
      <w:rFonts w:ascii="Arial" w:hAnsi="Arial"/>
      <w:b/>
      <w:color w:val="007B4B"/>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qFormat/>
    <w:rsid w:val="004857B6"/>
    <w:rPr>
      <w:rFonts w:ascii="Verdana" w:hAnsi="Verdana"/>
      <w:lang w:eastAsia="en-US"/>
    </w:rPr>
  </w:style>
  <w:style w:type="paragraph" w:styleId="Heading1">
    <w:name w:val="heading 1"/>
    <w:next w:val="DHHSbody"/>
    <w:link w:val="Heading1Char"/>
    <w:uiPriority w:val="99"/>
    <w:qFormat/>
    <w:rsid w:val="00134114"/>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99"/>
    <w:qFormat/>
    <w:rsid w:val="00DF3A5C"/>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99"/>
    <w:rsid w:val="00134114"/>
    <w:rPr>
      <w:rFonts w:ascii="Arial" w:eastAsia="MS Gothic" w:hAnsi="Arial" w:cs="Arial"/>
      <w:bCs/>
      <w:color w:val="007B4B"/>
      <w:kern w:val="32"/>
      <w:sz w:val="36"/>
      <w:szCs w:val="40"/>
      <w:lang w:eastAsia="en-US"/>
    </w:rPr>
  </w:style>
  <w:style w:type="character" w:customStyle="1" w:styleId="Heading2Char">
    <w:name w:val="Heading 2 Char"/>
    <w:link w:val="Heading2"/>
    <w:uiPriority w:val="99"/>
    <w:rsid w:val="00DF3A5C"/>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F3A5C"/>
    <w:pPr>
      <w:spacing w:before="0" w:after="200"/>
      <w:outlineLvl w:val="9"/>
    </w:pPr>
  </w:style>
  <w:style w:type="character" w:customStyle="1" w:styleId="DHHSTOCheadingfactsheetChar">
    <w:name w:val="DHHS TOC heading fact sheet Char"/>
    <w:link w:val="DHHSTOCheadingfactsheet"/>
    <w:uiPriority w:val="4"/>
    <w:rsid w:val="00DF3A5C"/>
    <w:rPr>
      <w:rFonts w:ascii="Arial" w:hAnsi="Arial"/>
      <w:b/>
      <w:color w:val="007B4B"/>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qFormat/>
    <w:rsid w:val="0051568D"/>
    <w:pPr>
      <w:numPr>
        <w:ilvl w:val="2"/>
        <w:numId w:val="7"/>
      </w:numPr>
      <w:spacing w:after="40"/>
    </w:pPr>
  </w:style>
  <w:style w:type="character" w:customStyle="1" w:styleId="DHHSbodyChar">
    <w:name w:val="DHHS body Char"/>
    <w:link w:val="DHHSbody"/>
    <w:rsid w:val="004857B6"/>
    <w:rPr>
      <w:rFonts w:ascii="Arial" w:eastAsia="Times" w:hAnsi="Arial"/>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qFormat/>
    <w:rsid w:val="0051568D"/>
    <w:pPr>
      <w:numPr>
        <w:ilvl w:val="6"/>
        <w:numId w:val="7"/>
      </w:numPr>
    </w:pPr>
  </w:style>
  <w:style w:type="paragraph" w:customStyle="1" w:styleId="DHHStablecolhead">
    <w:name w:val="DHHS table col head"/>
    <w:uiPriority w:val="99"/>
    <w:qFormat/>
    <w:rsid w:val="00DF3A5C"/>
    <w:pPr>
      <w:spacing w:before="80" w:after="60"/>
    </w:pPr>
    <w:rPr>
      <w:rFonts w:ascii="Arial" w:hAnsi="Arial"/>
      <w:b/>
      <w:color w:val="007B4B"/>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manual.vic.gov.a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fac.dhhs.vic.gov.au/service-agreement-information-kit"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roviders.dhhs.vic.gov.au/human-services-activity-search"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acomms@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mmon%20Files\TemplatesOpenXML\Visual%20style\DHHS%20Factsheet%2004%20Green%2077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04 Green 7726.dot</Template>
  <TotalTime>26</TotalTime>
  <Pages>5</Pages>
  <Words>1624</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Child protection after hours service 31162</vt:lpstr>
    </vt:vector>
  </TitlesOfParts>
  <Company>Department of Health and Human Services</Company>
  <LinksUpToDate>false</LinksUpToDate>
  <CharactersWithSpaces>12552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after hours service 31162</dc:title>
  <dc:subject>Policy and funding guidelines 2015-19, Volume 3</dc:subject>
  <dc:creator>Department of Health and Human Services</dc:creator>
  <cp:keywords>volume 3, activity, chapter 4, output, output group, Policy and Funding Guidelines 2015-19, Child protection after hours service, 31162</cp:keywords>
  <cp:lastModifiedBy>Mark Durran</cp:lastModifiedBy>
  <cp:revision>11</cp:revision>
  <cp:lastPrinted>2015-08-21T04:17:00Z</cp:lastPrinted>
  <dcterms:created xsi:type="dcterms:W3CDTF">2018-05-11T04:04:00Z</dcterms:created>
  <dcterms:modified xsi:type="dcterms:W3CDTF">2018-06-05T00:50:00Z</dcterms:modified>
  <cp:category>policy and funding guidelines, volume 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