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Company>Oracle USA</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Description Health and Human Services Sexual Assault Support Services 38016</dc:title>
  <dc:subject/>
  <dc:creator>User</dc:creator>
  <cp:keywords/>
  <dc:description>Generated by Oracle BI Publisher 12.2.1.3.0</dc:description>
  <cp:lastModifiedBy>User</cp:lastModifiedBy>
  <cp:revision>2</cp:revision>
  <dcterms:created xsi:type="dcterms:W3CDTF">2013-02-11T20:57:00Z</dcterms:created>
  <dcterms:modified xsi:type="dcterms:W3CDTF">2013-02-11T20:57:00Z</dcterms:modified>
</cp:coreProperti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3.png"/>
<Relationship Id="rId11" Type="http://schemas.openxmlformats.org/officeDocument/2006/relationships/hyperlink" Target="https://www.legislation.vic.gov.au/as-made/statutory-rules/social-services-regulations-2023" TargetMode="External"/>
<Relationship Id="rId12" Type="http://schemas.openxmlformats.org/officeDocument/2006/relationships/hyperlink" Target="https://www.vic.gov.au/social-services-regulator" TargetMode="External"/>
<Relationship Id="rId13" Type="http://schemas.openxmlformats.org/officeDocument/2006/relationships/hyperlink" Target="https://www.vic.gov.au/family-violence-information-sharing-scheme" TargetMode="External"/>
<Relationship Id="rId14" Type="http://schemas.openxmlformats.org/officeDocument/2006/relationships/hyperlink" Target="https://providers.dffh.vic.gov.au/assessing-children-and-young-people-experiencing-family-violence-practice-guide-word" TargetMode="External"/>
<Relationship Id="rId15" Type="http://schemas.openxmlformats.org/officeDocument/2006/relationships/hyperlink" Target="https://www.nasasv.org.au/resources" TargetMode="External"/>
<Relationship Id="rId16" Type="http://schemas.openxmlformats.org/officeDocument/2006/relationships/hyperlink" Target="http://providers.dffh.vic.gov.au/family-violence-risk-assessment-and-risk-management-framework" TargetMode="External"/>
<Relationship Id="rId17" Type="http://schemas.openxmlformats.org/officeDocument/2006/relationships/hyperlink" Target="https://www.vic.gov.au/family-violence-multi-agency-risk-assessment-and-management" TargetMode="External"/>
<Relationship Id="rId18" Type="http://schemas.openxmlformats.org/officeDocument/2006/relationships/hyperlink" Target="http://providers.dffh.vic.gov.au/families-fairness-housing-health-activity-search" TargetMode="External"/>
<Relationship Id="rId19" Type="http://schemas.openxmlformats.org/officeDocument/2006/relationships/numbering" Target="numbering.xml"/>
</Relationships>

</file>

<file path=word\_rels\footer1.xml.rels><?xml version="1.0" encoding="UTF-8" standalone="yes"?>
<Relationships xmlns="http://schemas.openxmlformats.org/package/2006/relationships">
<Relationship Id="rId1" Type="http://schemas.openxmlformats.org/officeDocument/2006/relationships/image" Target="media/image2.png"/>
</Relationships>

</file>

<file path=word\_rels\footer2.xml.rels><?xml version="1.0" encoding="UTF-8" standalone="yes"?>
<Relationships xmlns="http://schemas.openxmlformats.org/package/2006/relationships">
<Relationship Id="rId1" Type="http://schemas.openxmlformats.org/officeDocument/2006/relationships/image" Target="media/image1.png"/>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100" w:line="288" w:lineRule="auto"/>
        <w:ind w:left="-699"/>
        <w:rPr/>
      </w:pPr>
      <w:r>
        <w:rPr>
          <w:noProof/>
        </w:rPr>
        <w:drawing>
          <wp:inline distT="0" distB="0" distL="0" distR="0">
            <wp:extent cx="7516494" cy="13249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extLst>
                        <a:ext uri="{28A0092B-C50C-407E-A947-70E740481C1C}">
                          <a14:useLocalDpi xmlns:a14="http://schemas.microsoft.com/office/drawing/2010/main" val="0"/>
                        </a:ext>
                      </a:extLst>
                    </a:blip>
                    <a:stretch>
                      <a:fillRect/>
                    </a:stretch>
                  </pic:blipFill>
                  <pic:spPr>
                    <a:xfrm>
                      <a:off x="0" y="0"/>
                      <a:ext cx="7516494" cy="1324927"/>
                    </a:xfrm>
                    <a:prstGeom prst="rect">
                      <a:avLst/>
                    </a:prstGeom>
                  </pic:spPr>
                </pic:pic>
              </a:graphicData>
            </a:graphic>
          </wp:inline>
        </w:drawing>
      </w:r>
    </w:p>
    <w:tbl>
      <w:tblPr>
        <w:tblW w:w="0" w:type="auto"/>
        <w:tblInd w:w="111" w:type="dxa"/>
        <w:tblLayout w:type="fixed"/>
        <w:tblCellMar>
          <w:left w:w="0" w:type="dxa"/>
          <w:right w:w="0" w:type="dxa"/>
        </w:tblCellMar>
      </w:tblPr>
      <w:tblGrid>
        <w:gridCol w:w="10206"/>
      </w:tblGrid>
      <w:tr>
        <w:tc>
          <w:tcPr>
            <w:tcW w:w="10206" w:type="dxa"/>
            <w:vAlign w:val="bottom"/>
            <w:shd w:val="clear" w:color="auto" w:fill="FFFFFF"/>
          </w:tcPr>
          <w:p>
            <w:pPr>
              <w:spacing w:line="560" w:lineRule="atLeast"/>
              <w:rPr>
                <w:rFonts w:ascii="Arial" w:hAnsi="Arial" w:eastAsia="Arial" w:cs="Arial"/>
                <w:color w:val="000000"/>
                <w:sz w:val="20"/>
              </w:rPr>
            </w:pPr>
            <w:r>
              <w:rPr>
                <w:rFonts w:ascii="Arial" w:hAnsi="Arial" w:eastAsia="Arial" w:cs="Arial"/>
                <w:color w:val="000000"/>
                <w:sz w:val="20"/>
              </w:rPr>
              <w:t/>
            </w:r>
          </w:p>
          <w:p>
            <w:pPr>
              <w:spacing w:line="560" w:lineRule="atLeast"/>
              <w:rPr>
                <w:rFonts w:ascii="Arial" w:hAnsi="Arial" w:eastAsia="Arial" w:cs="Arial"/>
                <w:color w:val="201547"/>
                <w:sz w:val="44"/>
              </w:rPr>
            </w:pPr>
            <w:r>
              <w:rPr>
                <w:rFonts w:ascii="Arial" w:hAnsi="Arial" w:eastAsia="Arial" w:cs="Arial"/>
                <w:color w:val="201547"/>
                <w:sz w:val="44"/>
              </w:rPr>
              <w:t>Sexual Assault Support Services</w:t>
            </w:r>
          </w:p>
          <w:p>
            <w:pPr>
              <w:spacing w:line="560" w:lineRule="atLeast"/>
              <w:rPr>
                <w:rFonts w:ascii="Arial" w:hAnsi="Arial" w:eastAsia="Arial" w:cs="Arial"/>
                <w:color w:val="201547"/>
                <w:sz w:val="44"/>
              </w:rPr>
            </w:pPr>
            <w:r>
              <w:rPr>
                <w:rFonts w:ascii="Arial" w:hAnsi="Arial" w:eastAsia="Arial" w:cs="Arial"/>
                <w:color w:val="201547"/>
                <w:sz w:val="44"/>
              </w:rPr>
              <w:t>38016</w:t>
            </w:r>
          </w:p>
        </w:tc>
      </w:tr>
      <w:tr>
        <w:tc>
          <w:tcPr>
            <w:tcW w:w="10206" w:type="dxa"/>
            <w:shd w:val="clear" w:color="auto" w:fill="FFFFFF"/>
          </w:tcPr>
          <w:p>
            <w:pPr>
              <w:spacing w:after="120"/>
              <w:rPr>
                <w:rFonts w:ascii="Arial" w:hAnsi="Arial" w:eastAsia="Arial" w:cs="Arial"/>
                <w:color w:val="201547"/>
                <w:sz w:val="28"/>
              </w:rPr>
            </w:pPr>
            <w:r>
              <w:rPr>
                <w:rFonts w:ascii="Arial" w:hAnsi="Arial" w:eastAsia="Arial" w:cs="Arial"/>
                <w:color w:val="201547"/>
                <w:sz w:val="28"/>
              </w:rPr>
              <w:t>Outcome objective: Victorians are safe and secure</w:t>
            </w:r>
          </w:p>
          <w:p>
            <w:pPr>
              <w:spacing w:after="120"/>
              <w:rPr>
                <w:rFonts w:ascii="Arial" w:hAnsi="Arial" w:eastAsia="Arial" w:cs="Arial"/>
                <w:color w:val="201547"/>
                <w:sz w:val="28"/>
              </w:rPr>
            </w:pPr>
            <w:r>
              <w:rPr>
                <w:rFonts w:ascii="Arial" w:hAnsi="Arial" w:eastAsia="Arial" w:cs="Arial"/>
                <w:color w:val="201547"/>
                <w:sz w:val="28"/>
              </w:rPr>
              <w:t>Output group: Prevention of Family Violence</w:t>
            </w:r>
          </w:p>
          <w:p>
            <w:pPr>
              <w:spacing w:after="120"/>
              <w:rPr>
                <w:rFonts w:ascii="Arial" w:hAnsi="Arial" w:eastAsia="Arial" w:cs="Arial"/>
                <w:color w:val="201547"/>
                <w:sz w:val="28"/>
              </w:rPr>
            </w:pPr>
            <w:r>
              <w:rPr>
                <w:rFonts w:ascii="Arial" w:hAnsi="Arial" w:eastAsia="Arial" w:cs="Arial"/>
                <w:color w:val="201547"/>
                <w:sz w:val="28"/>
              </w:rPr>
              <w:t>Output: Family Violence Service Delivery</w:t>
            </w:r>
          </w:p>
        </w:tc>
      </w:tr>
    </w:tbl>
    <w:p>
      <w:pPr>
        <w:spacing w:line="560" w:lineRule="atLeast"/>
        <w:ind w:left="111" w:right="105"/>
        <w:rPr>
          <w:rFonts w:ascii="Arial" w:hAnsi="Arial" w:eastAsia="Arial" w:cs="Arial"/>
          <w:b/>
          <w:bCs/>
          <w:color w:val="000000"/>
          <w:sz w:val="20"/>
        </w:rPr>
      </w:pPr>
      <w:r>
        <w:rPr>
          <w:rFonts w:ascii="Arial" w:hAnsi="Arial" w:eastAsia="Arial" w:cs="Arial"/>
          <w:b/>
          <w:bCs/>
          <w:color w:val="000000"/>
          <w:sz w:val="20"/>
        </w:rPr>
        <w:t>OFFICIAL</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1. Service objective</w:t>
      </w:r>
    </w:p>
    <w:p>
      <w:pPr>
        <w:spacing w:line="270" w:lineRule="atLeast"/>
        <w:ind w:left="111" w:right="105"/>
        <w:rPr>
          <w:rFonts w:ascii="Arial" w:hAnsi="Arial" w:eastAsia="Arial" w:cs="Arial"/>
          <w:color w:val="000000"/>
          <w:sz w:val="20"/>
        </w:rPr>
      </w:pPr>
      <w:r>
        <w:rPr>
          <w:rFonts w:ascii="Arial" w:hAnsi="Arial" w:eastAsia="Arial" w:cs="Arial"/>
          <w:color w:val="000000"/>
          <w:sz w:val="20"/>
        </w:rPr>
        <w:t>Sexual assault support services aim to:</w:t>
      </w:r>
      <w:r>
        <w:br/>
      </w:r>
      <w:r>
        <w:rPr>
          <w:rFonts w:ascii="Arial" w:hAnsi="Arial" w:eastAsia="Arial" w:cs="Arial"/>
          <w:color w:val="000000"/>
          <w:sz w:val="20"/>
        </w:rPr>
        <w:t>•	provide high quality service responses to children, young people and adults who are victims/survivors of sexual assault, and</w:t>
      </w:r>
      <w:r>
        <w:br/>
      </w:r>
      <w:r>
        <w:rPr>
          <w:rFonts w:ascii="Arial" w:hAnsi="Arial" w:eastAsia="Arial" w:cs="Arial"/>
          <w:color w:val="000000"/>
          <w:sz w:val="20"/>
        </w:rPr>
        <w:t>•	develop and participate in community education strategies that work towards the prevention and early identification of sexual assault.</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2. Description of the service</w:t>
      </w:r>
    </w:p>
    <w:p>
      <w:pPr>
        <w:spacing w:line="270" w:lineRule="atLeast"/>
        <w:ind w:left="111" w:right="105"/>
        <w:rPr>
          <w:rFonts w:ascii="Arial" w:hAnsi="Arial" w:eastAsia="Arial" w:cs="Arial"/>
          <w:color w:val="000000"/>
          <w:sz w:val="20"/>
        </w:rPr>
      </w:pPr>
      <w:r>
        <w:rPr>
          <w:rFonts w:ascii="Arial" w:hAnsi="Arial" w:eastAsia="Arial" w:cs="Arial"/>
          <w:color w:val="000000"/>
          <w:sz w:val="20"/>
        </w:rPr>
        <w:t xml:space="preserve">Sexual assault support services provide direct services to children, young people and adults who have experienced sexual assault, as well as to their non-offending family members and support people. Services include crisis care, counselling, casework, advocacy and group work. </w:t>
      </w:r>
      <w:r>
        <w:br/>
      </w:r>
      <w:r>
        <w:rPr>
          <w:rFonts w:ascii="Arial" w:hAnsi="Arial" w:eastAsia="Arial" w:cs="Arial"/>
          <w:color w:val="000000"/>
          <w:sz w:val="20"/>
        </w:rPr>
        <w:t>The crisis care response includes:</w:t>
      </w:r>
      <w:r>
        <w:br/>
      </w:r>
      <w:r>
        <w:rPr>
          <w:rFonts w:ascii="Arial" w:hAnsi="Arial" w:eastAsia="Arial" w:cs="Arial"/>
          <w:color w:val="000000"/>
          <w:sz w:val="20"/>
        </w:rPr>
        <w:t>•	an after-hours telephone service providing counselling, information and coordination of crisis care support.</w:t>
      </w:r>
      <w:r>
        <w:br/>
      </w:r>
      <w:r>
        <w:rPr>
          <w:rFonts w:ascii="Arial" w:hAnsi="Arial" w:eastAsia="Arial" w:cs="Arial"/>
          <w:color w:val="000000"/>
          <w:sz w:val="20"/>
        </w:rPr>
        <w:t>•	services to victims/survivors of recent sexual assault including e crisis intervention, counselling, advocacy, liaison and coordination of support with child protection, police, forensic and other medical personnel.</w:t>
      </w:r>
      <w:r>
        <w:br/>
      </w:r>
      <w:r>
        <w:rPr>
          <w:rFonts w:ascii="Arial" w:hAnsi="Arial" w:eastAsia="Arial" w:cs="Arial"/>
          <w:color w:val="000000"/>
          <w:sz w:val="20"/>
        </w:rPr>
        <w:t>Counselling advocacy and support services are also provided to adult survivors of childhood sexual assault or past adult sexual assault who present for assistance.</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3. Client group</w:t>
      </w:r>
    </w:p>
    <w:p>
      <w:pPr>
        <w:spacing w:line="288" w:lineRule="auto"/>
        <w:ind w:left="111" w:right="105"/>
        <w:rPr>
          <w:rFonts w:ascii="Arial" w:hAnsi="Arial" w:eastAsia="Arial" w:cs="Arial"/>
          <w:color w:val="000000"/>
          <w:sz w:val="20"/>
        </w:rPr>
      </w:pPr>
      <w:r>
        <w:rPr>
          <w:rFonts w:ascii="Arial" w:hAnsi="Arial" w:eastAsia="Arial" w:cs="Arial"/>
          <w:color w:val="000000"/>
          <w:sz w:val="20"/>
        </w:rPr>
        <w:t>This activity is targeted at children, young people and adults who have experienced sexual assault, and non-offending family members and support people.</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4. Obligations specific to this activity</w:t>
      </w:r>
    </w:p>
    <w:p>
      <w:pPr>
        <w:spacing w:line="288" w:lineRule="auto"/>
        <w:ind w:left="111" w:right="105"/>
        <w:rPr>
          <w:rFonts w:ascii="Arial" w:hAnsi="Arial" w:eastAsia="Arial" w:cs="Arial"/>
          <w:color w:val="000000"/>
          <w:sz w:val="20"/>
        </w:rPr>
      </w:pPr>
      <w:r>
        <w:rPr>
          <w:rFonts w:ascii="Arial" w:hAnsi="Arial" w:eastAsia="Arial" w:cs="Arial"/>
          <w:color w:val="000000"/>
          <w:sz w:val="20"/>
        </w:rPr>
        <w:t>In addition to the obligations listed in the Service Agreement, organisations funded to deliver this activity must comply with the following:</w:t>
      </w:r>
    </w:p>
    <w:p>
      <w:pPr>
        <w:spacing w:before="240" w:after="90" w:line="320" w:lineRule="atLeast"/>
        <w:ind w:left="111" w:right="105"/>
        <w:rPr>
          <w:rFonts w:ascii="Arial" w:hAnsi="Arial" w:eastAsia="Arial" w:cs="Arial"/>
          <w:b/>
          <w:bCs/>
          <w:color w:val="201547"/>
          <w:sz w:val="22"/>
        </w:rPr>
      </w:pPr>
      <w:r>
        <w:rPr>
          <w:rFonts w:ascii="Arial" w:hAnsi="Arial" w:eastAsia="Arial" w:cs="Arial"/>
          <w:b/>
          <w:bCs/>
          <w:color w:val="201547"/>
          <w:sz w:val="22"/>
        </w:rPr>
        <w:t>4a. Registration and Accreditation</w:t>
      </w:r>
    </w:p>
    <w:p>
      <w:pPr>
        <w:numPr>
          <w:ilvl w:val="0"/>
          <w:numId w:val="7"/>
        </w:numPr>
        <w:spacing w:after="40" w:line="270" w:lineRule="atLeast"/>
        <w:rPr>
          <w:rFonts w:ascii="Arial" w:hAnsi="Arial" w:eastAsia="Arial" w:cs="Arial"/>
          <w:b/>
          <w:bCs/>
          <w:color w:val="000000"/>
          <w:sz w:val="20"/>
        </w:rPr>
      </w:pPr>
      <w:r>
        <w:rPr>
          <w:rFonts w:ascii="Arial" w:hAnsi="Arial" w:eastAsia="Arial" w:cs="Arial"/>
          <w:color w:val="000000"/>
          <w:sz w:val="20"/>
        </w:rPr>
        <w:t>Providers of social services in Victoria who are in scope of the scheme must register with the Social Services Regulator (SSR) and comply with legislative requirements under the Social Services Regulation Act. Refer to the definitions in Part 1 of the Social Services Regulations 2023 (</w:t>
      </w:r>
      <w:hyperlink r:id="rId11" w:tgtFrame="_blank" w:history="1">
        <w:r>
          <w:rPr>
            <w:rFonts w:ascii="Arial" w:hAnsi="Arial" w:eastAsia="Arial" w:cs="Arial"/>
            <w:color w:val="3366FF"/>
            <w:sz w:val="20"/>
          </w:rPr>
          <w:t>https://www.legislation.vic.gov.au/as-made/statutory-rules/social-services-regulations-2023</w:t>
        </w:r>
      </w:hyperlink>
      <w:r>
        <w:rPr>
          <w:rFonts w:ascii="Arial" w:hAnsi="Arial" w:eastAsia="Arial" w:cs="Arial"/>
          <w:color w:val="000000"/>
          <w:sz w:val="20"/>
        </w:rPr>
        <w:t>) and the SSR website (</w:t>
      </w:r>
      <w:hyperlink r:id="rId12" w:tgtFrame="_blank" w:history="1">
        <w:r>
          <w:rPr>
            <w:rFonts w:ascii="Arial" w:hAnsi="Arial" w:eastAsia="Arial" w:cs="Arial"/>
            <w:color w:val="3366FF"/>
            <w:sz w:val="20"/>
          </w:rPr>
          <w:t>https://www.vic.gov.au/social-services-regulator</w:t>
        </w:r>
      </w:hyperlink>
      <w:r>
        <w:rPr>
          <w:rFonts w:ascii="Arial" w:hAnsi="Arial" w:eastAsia="Arial" w:cs="Arial"/>
          <w:color w:val="000000"/>
          <w:sz w:val="20"/>
        </w:rPr>
        <w:t>) to determine if services are in scope of registration.</w:t>
      </w:r>
      <w:r>
        <w:rPr>
          <w:rFonts w:ascii="Arial" w:hAnsi="Arial" w:eastAsia="Arial" w:cs="Arial"/>
          <w:b/>
          <w:bCs/>
          <w:color w:val="000000"/>
          <w:sz w:val="20"/>
        </w:rPr>
        <w:t xml:space="preserve"> </w:t>
      </w:r>
    </w:p>
    <w:p>
      <w:pPr>
        <w:spacing w:before="240" w:after="90" w:line="320" w:lineRule="atLeast"/>
        <w:ind w:left="111" w:right="105"/>
        <w:rPr>
          <w:rFonts w:ascii="Arial" w:hAnsi="Arial" w:eastAsia="Arial" w:cs="Arial"/>
          <w:color w:val="000000"/>
          <w:sz w:val="22"/>
        </w:rPr>
      </w:pPr>
      <w:r>
        <w:rPr>
          <w:rFonts w:ascii="Arial" w:hAnsi="Arial" w:eastAsia="Arial" w:cs="Arial"/>
          <w:b/>
          <w:bCs/>
          <w:color w:val="201547"/>
          <w:sz w:val="22"/>
        </w:rPr>
        <w:t>4b. Program requirements and other policy guidelines</w:t>
      </w:r>
      <w:r>
        <w:rPr>
          <w:rFonts w:ascii="Arial" w:hAnsi="Arial" w:eastAsia="Arial" w:cs="Arial"/>
          <w:color w:val="000000"/>
          <w:sz w:val="22"/>
        </w:rPr>
        <w:t/>
      </w:r>
    </w:p>
    <w:p>
      <w:pPr>
        <w:numPr>
          <w:ilvl w:val="0"/>
          <w:numId w:val="7"/>
        </w:numPr>
        <w:spacing w:after="40" w:line="270" w:lineRule="atLeast"/>
        <w:rPr>
          <w:rFonts w:ascii="Arial" w:hAnsi="Arial" w:eastAsia="Arial" w:cs="Arial"/>
          <w:color w:val="3366FF"/>
          <w:sz w:val="20"/>
        </w:rPr>
      </w:pPr>
      <w:hyperlink r:id="rId13" w:tgtFrame="_blank" w:history="1">
        <w:r>
          <w:rPr>
            <w:rFonts w:ascii="Arial" w:hAnsi="Arial" w:eastAsia="Arial" w:cs="Arial"/>
            <w:color w:val="3366FF"/>
            <w:sz w:val="20"/>
          </w:rPr>
          <w:t>Family Violence Information Sharing Guidelines: Guidance for Information Sharing Entities</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&lt;https://www.vic.gov.au/family-violence-information-sharing-scheme&gt;</w:t>
      </w:r>
    </w:p>
    <w:p>
      <w:pPr>
        <w:numPr>
          <w:ilvl w:val="0"/>
          <w:numId w:val="7"/>
        </w:numPr>
        <w:spacing w:after="40" w:line="270" w:lineRule="atLeast"/>
        <w:rPr>
          <w:rFonts w:ascii="Arial" w:hAnsi="Arial" w:eastAsia="Arial" w:cs="Arial"/>
          <w:color w:val="3366FF"/>
          <w:sz w:val="20"/>
        </w:rPr>
      </w:pPr>
      <w:hyperlink r:id="rId14" w:tgtFrame="_blank" w:history="1">
        <w:r>
          <w:rPr>
            <w:rFonts w:ascii="Arial" w:hAnsi="Arial" w:eastAsia="Arial" w:cs="Arial"/>
            <w:color w:val="3366FF"/>
            <w:sz w:val="20"/>
          </w:rPr>
          <w:t>Assessing children and young people experiencing family violence</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&lt;https://providers.dffh.vic.gov.au/assessing-children-and-young-people-experiencing-family-violence-practice-guide-word&gt;</w:t>
      </w:r>
    </w:p>
    <w:p>
      <w:pPr>
        <w:numPr>
          <w:ilvl w:val="0"/>
          <w:numId w:val="7"/>
        </w:numPr>
        <w:spacing w:after="40" w:line="270" w:lineRule="atLeast"/>
        <w:rPr>
          <w:rFonts w:ascii="Arial" w:hAnsi="Arial" w:eastAsia="Arial" w:cs="Arial"/>
          <w:color w:val="3366FF"/>
          <w:sz w:val="20"/>
        </w:rPr>
      </w:pPr>
      <w:hyperlink r:id="rId15" w:tgtFrame="_blank" w:history="1">
        <w:r>
          <w:rPr>
            <w:rFonts w:ascii="Arial" w:hAnsi="Arial" w:eastAsia="Arial" w:cs="Arial"/>
            <w:color w:val="3366FF"/>
            <w:sz w:val="20"/>
          </w:rPr>
          <w:t>Standards of Practice Manual for Services Against Sexual Violence</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&lt;https://www.nasasv.org.au/resources&gt;</w:t>
      </w:r>
    </w:p>
    <w:p>
      <w:pPr>
        <w:numPr>
          <w:ilvl w:val="0"/>
          <w:numId w:val="7"/>
        </w:numPr>
        <w:spacing w:after="40" w:line="270" w:lineRule="atLeast"/>
        <w:rPr>
          <w:rFonts w:ascii="Arial" w:hAnsi="Arial" w:eastAsia="Arial" w:cs="Arial"/>
          <w:color w:val="3366FF"/>
          <w:sz w:val="20"/>
        </w:rPr>
      </w:pPr>
      <w:hyperlink r:id="rId16" w:tgtFrame="_blank" w:history="1">
        <w:r>
          <w:rPr>
            <w:rFonts w:ascii="Arial" w:hAnsi="Arial" w:eastAsia="Arial" w:cs="Arial"/>
            <w:color w:val="3366FF"/>
            <w:sz w:val="20"/>
          </w:rPr>
          <w:t>Family Violence Risk Assessment and Risk Management Framework</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&lt;http://providers.dffh.vic.gov.au/family-violence-risk-assessment-and-risk-management-framework&gt;</w:t>
      </w:r>
    </w:p>
    <w:p>
      <w:pPr>
        <w:numPr>
          <w:ilvl w:val="0"/>
          <w:numId w:val="7"/>
        </w:numPr>
        <w:spacing w:after="40" w:line="270" w:lineRule="atLeast"/>
        <w:rPr>
          <w:rFonts w:ascii="Arial" w:hAnsi="Arial" w:eastAsia="Arial" w:cs="Arial"/>
          <w:color w:val="3366FF"/>
          <w:sz w:val="20"/>
        </w:rPr>
      </w:pPr>
      <w:hyperlink r:id="rId17" w:tgtFrame="_blank" w:history="1">
        <w:r>
          <w:rPr>
            <w:rFonts w:ascii="Arial" w:hAnsi="Arial" w:eastAsia="Arial" w:cs="Arial"/>
            <w:color w:val="3366FF"/>
            <w:sz w:val="20"/>
          </w:rPr>
          <w:t>Family Violence Multi-Agency Risk Assessment and Management (MARAM) Framework</w:t>
        </w:r>
      </w:hyperlink>
    </w:p>
    <w:p>
      <w:pPr>
        <w:spacing w:after="40" w:line="270" w:lineRule="atLeast"/>
        <w:ind w:left="395" w:right="105"/>
        <w:rPr>
          <w:rFonts w:ascii="Arial" w:hAnsi="Arial" w:eastAsia="Arial" w:cs="Arial"/>
          <w:color w:val="000000"/>
          <w:sz w:val="20"/>
        </w:rPr>
      </w:pPr>
      <w:r>
        <w:rPr>
          <w:rFonts w:ascii="Arial" w:hAnsi="Arial" w:eastAsia="Arial" w:cs="Arial"/>
          <w:color w:val="000000"/>
          <w:sz w:val="20"/>
        </w:rPr>
        <w:t>&lt;https://www.vic.gov.au/family-violence-multi-agency-risk-assessment-and-management&gt;</w:t>
      </w:r>
    </w:p>
    <w:p>
      <w:pPr>
        <w:spacing w:line="270" w:lineRule="atLeast"/>
        <w:ind w:left="111" w:right="105"/>
        <w:rPr>
          <w:rFonts w:ascii="Arial" w:hAnsi="Arial" w:eastAsia="Arial" w:cs="Arial"/>
          <w:color w:val="000000"/>
          <w:sz w:val="20"/>
        </w:rPr>
      </w:pPr>
      <w:r>
        <w:rPr>
          <w:rFonts w:ascii="Arial" w:hAnsi="Arial" w:eastAsia="Arial" w:cs="Arial"/>
          <w:color w:val="000000"/>
          <w:sz w:val="20"/>
        </w:rPr>
        <w:t/>
      </w:r>
    </w:p>
    <w:p>
      <w:pPr>
        <w:spacing w:before="320" w:after="200" w:line="440" w:lineRule="atLeast"/>
        <w:ind w:left="111" w:right="105"/>
        <w:rPr>
          <w:rFonts w:ascii="Arial" w:hAnsi="Arial" w:eastAsia="Arial" w:cs="Arial"/>
          <w:color w:val="000000"/>
          <w:sz w:val="20"/>
        </w:rPr>
      </w:pPr>
      <w:r>
        <w:rPr>
          <w:rFonts w:ascii="Arial" w:hAnsi="Arial" w:eastAsia="Arial" w:cs="Arial"/>
          <w:b/>
          <w:bCs/>
          <w:color w:val="201547"/>
          <w:sz w:val="28"/>
        </w:rPr>
        <w:t>5. Performance</w:t>
      </w:r>
      <w:r>
        <w:rPr>
          <w:rFonts w:ascii="Arial" w:hAnsi="Arial" w:eastAsia="Arial" w:cs="Arial"/>
          <w:color w:val="000000"/>
          <w:sz w:val="20"/>
        </w:rPr>
        <w:t/>
      </w:r>
    </w:p>
    <w:p>
      <w:pPr>
        <w:spacing w:line="288" w:lineRule="auto"/>
        <w:ind w:left="111" w:right="105"/>
        <w:rPr>
          <w:rFonts w:ascii="Arial" w:hAnsi="Arial" w:eastAsia="Arial" w:cs="Arial"/>
          <w:color w:val="000000"/>
          <w:sz w:val="20"/>
        </w:rPr>
      </w:pPr>
      <w:r>
        <w:rPr>
          <w:rFonts w:ascii="Arial" w:hAnsi="Arial" w:eastAsia="Arial" w:cs="Arial"/>
          <w:color w:val="000000"/>
          <w:sz w:val="20"/>
        </w:rPr>
        <w:t xml:space="preserve">Funding is subject to achieving the performance targets specified in Schedule 2 of the Service Agreement. </w:t>
      </w:r>
    </w:p>
    <w:p>
      <w:pPr>
        <w:spacing w:before="100" w:line="288" w:lineRule="auto"/>
        <w:ind w:left="111" w:right="105"/>
        <w:rPr>
          <w:rFonts w:ascii="Arial" w:hAnsi="Arial" w:eastAsia="Arial" w:cs="Arial"/>
          <w:b/>
          <w:bCs/>
          <w:color w:val="000000"/>
          <w:sz w:val="20"/>
        </w:rPr>
      </w:pPr>
      <w:r>
        <w:rPr>
          <w:rFonts w:ascii="Arial" w:hAnsi="Arial" w:eastAsia="Arial" w:cs="Arial"/>
          <w:color w:val="000000"/>
          <w:sz w:val="20"/>
        </w:rPr>
        <w:t>Performance is measured as follows:</w:t>
      </w:r>
      <w:r>
        <w:rPr>
          <w:rFonts w:ascii="Arial" w:hAnsi="Arial" w:eastAsia="Arial" w:cs="Arial"/>
          <w:b/>
          <w:bCs/>
          <w:color w:val="000000"/>
          <w:sz w:val="20"/>
        </w:rPr>
        <w:t xml:space="preserve"> </w:t>
      </w:r>
    </w:p>
    <w:p>
      <w:pPr>
        <w:spacing w:before="100" w:line="288" w:lineRule="auto"/>
        <w:ind w:left="111" w:right="105"/>
        <w:rPr>
          <w:rFonts w:ascii="Arial" w:hAnsi="Arial" w:eastAsia="Arial" w:cs="Arial"/>
          <w:b/>
          <w:bCs/>
          <w:color w:val="201547"/>
          <w:sz w:val="20"/>
        </w:rPr>
      </w:pPr>
      <w:r>
        <w:rPr>
          <w:rFonts w:ascii="Arial" w:hAnsi="Arial" w:eastAsia="Arial" w:cs="Arial"/>
          <w:b/>
          <w:bCs/>
          <w:color w:val="201547"/>
          <w:sz w:val="20"/>
        </w:rPr>
        <w:t>Key performance measure 1: Number of new cases</w:t>
      </w:r>
    </w:p>
    <w:tbl>
      <w:tblPr>
        <w:tblW w:w="0" w:type="auto"/>
        <w:tblInd w:w="111" w:type="dxa"/>
        <w:tblLayout w:type="fixed"/>
        <w:tblCellMar>
          <w:left w:w="0" w:type="dxa"/>
          <w:right w:w="0" w:type="dxa"/>
        </w:tblCellMar>
      </w:tblPr>
      <w:tblGrid>
        <w:gridCol w:w="2835"/>
        <w:gridCol w:w="7379"/>
      </w:tblGrid>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Aim/objective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aim of this performance measure is to monitor the number of new clients who received sexual assault support services during the reporting period</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Target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performance measure target is provided in the Service Agreement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Type of count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Cumulative</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Counting rule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Count the number of new cases that are opened during the reporting period.</w:t>
            </w:r>
            <w:r>
              <w:br/>
            </w:r>
            <w:r>
              <w:rPr>
                <w:rFonts w:ascii="Arial" w:hAnsi="Arial" w:eastAsia="Arial" w:cs="Arial"/>
                <w:color w:val="000000"/>
                <w:sz w:val="20"/>
              </w:rPr>
              <w:t xml:space="preserve">The counting rule seeks to capture new instances where either casework or crisis support is provided to clients. </w:t>
            </w:r>
            <w:r>
              <w:br/>
            </w:r>
            <w:r>
              <w:rPr>
                <w:rFonts w:ascii="Arial" w:hAnsi="Arial" w:eastAsia="Arial" w:cs="Arial"/>
                <w:color w:val="000000"/>
                <w:sz w:val="20"/>
              </w:rPr>
              <w:t xml:space="preserve">A new case is counted when a client receives services from a service provider for the first time within the past three months or when a client moves from crisis support to casework. </w:t>
            </w:r>
            <w:r>
              <w:br/>
            </w:r>
            <w:r>
              <w:rPr>
                <w:rFonts w:ascii="Arial" w:hAnsi="Arial" w:eastAsia="Arial" w:cs="Arial"/>
                <w:color w:val="000000"/>
                <w:sz w:val="20"/>
              </w:rPr>
              <w:t>For example, a new case is counted when a client receives crisis support and then moves into short, medium or long term casework with the same service provider. However, a new case is not counted when a client moves from short term to medium term casework with the same service provider.</w:t>
            </w:r>
            <w:r>
              <w:br/>
            </w:r>
            <w:r>
              <w:rPr>
                <w:rFonts w:ascii="Arial" w:hAnsi="Arial" w:eastAsia="Arial" w:cs="Arial"/>
                <w:color w:val="000000"/>
                <w:sz w:val="20"/>
              </w:rPr>
              <w:t>Count a new case when a client:</w:t>
            </w:r>
            <w:r>
              <w:br/>
            </w:r>
            <w:r>
              <w:rPr>
                <w:rFonts w:ascii="Arial" w:hAnsi="Arial" w:eastAsia="Arial" w:cs="Arial"/>
                <w:color w:val="000000"/>
                <w:sz w:val="20"/>
              </w:rPr>
              <w:t>•	starts casework with this service provider for the first time</w:t>
            </w:r>
            <w:r>
              <w:br/>
            </w:r>
            <w:r>
              <w:rPr>
                <w:rFonts w:ascii="Arial" w:hAnsi="Arial" w:eastAsia="Arial" w:cs="Arial"/>
                <w:color w:val="000000"/>
                <w:sz w:val="20"/>
              </w:rPr>
              <w:t>•	starts crisis support with this service provider for the first time</w:t>
            </w:r>
            <w:r>
              <w:br/>
            </w:r>
            <w:r>
              <w:rPr>
                <w:rFonts w:ascii="Arial" w:hAnsi="Arial" w:eastAsia="Arial" w:cs="Arial"/>
                <w:color w:val="000000"/>
                <w:sz w:val="20"/>
              </w:rPr>
              <w:t>•	is moved from crisis support to casework (if that client has not received casework from this service provider within the past three months)</w:t>
            </w:r>
            <w:r>
              <w:br/>
            </w:r>
            <w:r>
              <w:rPr>
                <w:rFonts w:ascii="Arial" w:hAnsi="Arial" w:eastAsia="Arial" w:cs="Arial"/>
                <w:color w:val="000000"/>
                <w:sz w:val="20"/>
              </w:rPr>
              <w:t xml:space="preserve">•	presents for services after a previous case has been closed or requires services relating to the same incident of assault, but has not received services from this service provider for three months or more. </w:t>
            </w:r>
            <w:r>
              <w:br/>
            </w:r>
            <w:r>
              <w:rPr>
                <w:rFonts w:ascii="Arial" w:hAnsi="Arial" w:eastAsia="Arial" w:cs="Arial"/>
                <w:color w:val="000000"/>
                <w:sz w:val="20"/>
              </w:rPr>
              <w:t xml:space="preserve">Do not count a new case when: </w:t>
            </w:r>
            <w:r>
              <w:br/>
            </w:r>
            <w:r>
              <w:rPr>
                <w:rFonts w:ascii="Arial" w:hAnsi="Arial" w:eastAsia="Arial" w:cs="Arial"/>
                <w:color w:val="000000"/>
                <w:sz w:val="20"/>
              </w:rPr>
              <w:t>• a client moves to a new term of casework (for example, from short term casework to long term casework, or medium term casework to long term casework)</w:t>
            </w:r>
            <w:r>
              <w:br/>
            </w:r>
            <w:r>
              <w:rPr>
                <w:rFonts w:ascii="Arial" w:hAnsi="Arial" w:eastAsia="Arial" w:cs="Arial"/>
                <w:color w:val="000000"/>
                <w:sz w:val="20"/>
              </w:rPr>
              <w:t>•	the client has received the same service from the service provider relating to the same incident within the last three months</w:t>
            </w:r>
            <w:r>
              <w:br/>
            </w:r>
            <w:r>
              <w:rPr>
                <w:rFonts w:ascii="Arial" w:hAnsi="Arial" w:eastAsia="Arial" w:cs="Arial"/>
                <w:color w:val="000000"/>
                <w:sz w:val="20"/>
              </w:rPr>
              <w:t xml:space="preserve">•	an existing case carries over into a new financial or calendar year </w:t>
            </w:r>
            <w:r>
              <w:br/>
            </w:r>
            <w:r>
              <w:rPr>
                <w:rFonts w:ascii="Arial" w:hAnsi="Arial" w:eastAsia="Arial" w:cs="Arial"/>
                <w:color w:val="000000"/>
                <w:sz w:val="20"/>
              </w:rPr>
              <w:t>•	an existing case carries over into a new month.</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source(s) collection</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Sexual Assault</w:t>
            </w:r>
          </w:p>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Service Delivery Tracking (SDT)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Definition of terms</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Clients refer to children young people and adults who are victims of sexual assault.</w:t>
            </w:r>
            <w:r>
              <w:br/>
            </w:r>
            <w:r>
              <w:rPr>
                <w:rFonts w:ascii="Arial" w:hAnsi="Arial" w:eastAsia="Arial" w:cs="Arial"/>
                <w:color w:val="000000"/>
                <w:sz w:val="20"/>
              </w:rPr>
              <w:t>The client is defined as the primary person to whom the service is being delivered. It is not an attending guardian or support person.</w:t>
            </w:r>
            <w:r>
              <w:br/>
            </w:r>
            <w:r>
              <w:rPr>
                <w:rFonts w:ascii="Arial" w:hAnsi="Arial" w:eastAsia="Arial" w:cs="Arial"/>
                <w:color w:val="000000"/>
                <w:sz w:val="20"/>
              </w:rPr>
              <w:t>The receipt of a service during the reporting period is defined as having provided at least one hour of continuous service to the client during the reporting period</w:t>
            </w:r>
          </w:p>
        </w:tc>
      </w:tr>
    </w:tbl>
    <w:p>
      <w:pPr>
        <w:spacing w:before="100" w:line="288" w:lineRule="auto"/>
        <w:ind w:left="111" w:right="105"/>
        <w:rPr>
          <w:rFonts w:ascii="Arial" w:hAnsi="Arial" w:eastAsia="Arial" w:cs="Arial"/>
          <w:b/>
          <w:bCs/>
          <w:color w:val="201547"/>
          <w:sz w:val="20"/>
        </w:rPr>
      </w:pPr>
      <w:r>
        <w:rPr>
          <w:rFonts w:ascii="Arial" w:hAnsi="Arial" w:eastAsia="Arial" w:cs="Arial"/>
          <w:b/>
          <w:bCs/>
          <w:color w:val="201547"/>
          <w:sz w:val="20"/>
        </w:rPr>
        <w:t>Performance measure 2: Percentage of clients receiving an initial response within five working days of referral</w:t>
      </w:r>
    </w:p>
    <w:tbl>
      <w:tblPr>
        <w:tblW w:w="0" w:type="auto"/>
        <w:tblInd w:w="111" w:type="dxa"/>
        <w:tblLayout w:type="fixed"/>
        <w:tblCellMar>
          <w:left w:w="0" w:type="dxa"/>
          <w:right w:w="0" w:type="dxa"/>
        </w:tblCellMar>
      </w:tblPr>
      <w:tblGrid>
        <w:gridCol w:w="2835"/>
        <w:gridCol w:w="7379"/>
      </w:tblGrid>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Aim/objective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aim of this performance measure is to monitor the timeliness of sexual assault support services’ responses to clients during the reporting period.</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Target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performance measure target is provided in the Service Agreement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Type of count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 Non-cumulative</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Counting rule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Count the number of clients who received an initial service response within five working days of referral divided by the total number of clients referred.</w:t>
            </w:r>
            <w:r>
              <w:br/>
            </w:r>
            <w:r>
              <w:rPr>
                <w:rFonts w:ascii="Arial" w:hAnsi="Arial" w:eastAsia="Arial" w:cs="Arial"/>
                <w:color w:val="000000"/>
                <w:sz w:val="20"/>
              </w:rPr>
              <w:t>For example:</w:t>
            </w:r>
            <w:r>
              <w:br/>
            </w:r>
            <w:r>
              <w:rPr>
                <w:rFonts w:ascii="Arial" w:hAnsi="Arial" w:eastAsia="Arial" w:cs="Arial"/>
                <w:color w:val="000000"/>
                <w:sz w:val="20"/>
              </w:rPr>
              <w:t>Number of clients receiving initial response within five working days = 3</w:t>
            </w:r>
            <w:r>
              <w:br/>
            </w:r>
            <w:r>
              <w:rPr>
                <w:rFonts w:ascii="Arial" w:hAnsi="Arial" w:eastAsia="Arial" w:cs="Arial"/>
                <w:color w:val="000000"/>
                <w:sz w:val="20"/>
              </w:rPr>
              <w:t>Total number of clients referred to a sexual assault support service = 4</w:t>
            </w:r>
            <w:r>
              <w:br/>
            </w:r>
            <w:r>
              <w:rPr>
                <w:rFonts w:ascii="Arial" w:hAnsi="Arial" w:eastAsia="Arial" w:cs="Arial"/>
                <w:color w:val="000000"/>
                <w:sz w:val="20"/>
              </w:rPr>
              <w:t>Percentage of clients receiving initial response within five working days of referral</w:t>
            </w:r>
            <w:r>
              <w:br/>
            </w:r>
            <w:r>
              <w:rPr>
                <w:rFonts w:ascii="Arial" w:hAnsi="Arial" w:eastAsia="Arial" w:cs="Arial"/>
                <w:color w:val="000000"/>
                <w:sz w:val="20"/>
              </w:rPr>
              <w:t>= 3/4 x 100</w:t>
            </w:r>
            <w:r>
              <w:br/>
            </w:r>
            <w:r>
              <w:rPr>
                <w:rFonts w:ascii="Arial" w:hAnsi="Arial" w:eastAsia="Arial" w:cs="Arial"/>
                <w:color w:val="000000"/>
                <w:sz w:val="20"/>
              </w:rPr>
              <w:t>= 75%</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source(s) collection</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Sexual Assault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Definition of terms</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A service response is defined as initial contact with the client that includes an assessment of the client’s needs and may include a telephone call, letter, etc.</w:t>
            </w:r>
            <w:r>
              <w:br/>
            </w:r>
            <w:r>
              <w:rPr>
                <w:rFonts w:ascii="Arial" w:hAnsi="Arial" w:eastAsia="Arial" w:cs="Arial"/>
                <w:color w:val="000000"/>
                <w:sz w:val="20"/>
              </w:rPr>
              <w:t>Working days are defined as Monday to Friday</w:t>
            </w:r>
          </w:p>
        </w:tc>
      </w:tr>
    </w:tbl>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6. Data collection</w:t>
      </w:r>
    </w:p>
    <w:p>
      <w:pPr>
        <w:spacing w:line="288" w:lineRule="auto"/>
        <w:ind w:left="111" w:right="105"/>
        <w:rPr>
          <w:rFonts w:ascii="Arial" w:hAnsi="Arial" w:eastAsia="Arial" w:cs="Arial"/>
          <w:b/>
          <w:bCs/>
          <w:color w:val="000000"/>
          <w:sz w:val="20"/>
        </w:rPr>
      </w:pPr>
      <w:r>
        <w:rPr>
          <w:rFonts w:ascii="Arial" w:hAnsi="Arial" w:eastAsia="Arial" w:cs="Arial"/>
          <w:color w:val="000000"/>
          <w:sz w:val="20"/>
        </w:rPr>
        <w:t>The reporting requirements for this service are:</w:t>
      </w:r>
      <w:r>
        <w:rPr>
          <w:rFonts w:ascii="Arial" w:hAnsi="Arial" w:eastAsia="Arial" w:cs="Arial"/>
          <w:b/>
          <w:bCs/>
          <w:color w:val="000000"/>
          <w:sz w:val="20"/>
        </w:rPr>
        <w:t xml:space="preserve"> </w:t>
      </w:r>
      <w:r>
        <w:rPr>
          <w:rFonts w:ascii="Arial" w:hAnsi="Arial" w:eastAsia="Arial" w:cs="Arial"/>
          <w:b/>
          <w:bCs/>
          <w:color w:val="000000"/>
          <w:sz w:val="20"/>
        </w:rPr>
        <w:t/>
      </w:r>
    </w:p>
    <w:tbl>
      <w:tblPr>
        <w:tblW w:w="0" w:type="auto"/>
        <w:tblInd w:w="111" w:type="dxa"/>
        <w:tblLayout w:type="fixed"/>
        <w:tblCellMar>
          <w:left w:w="0" w:type="dxa"/>
          <w:right w:w="0" w:type="dxa"/>
        </w:tblCellMar>
      </w:tblPr>
      <w:tblGrid>
        <w:gridCol w:w="2580"/>
        <w:gridCol w:w="2580"/>
        <w:gridCol w:w="2580"/>
        <w:gridCol w:w="2508"/>
      </w:tblGrid>
      <w:tr>
        <w:trPr>
          <w:tblHeader/>
        </w:trP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collection name</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000000"/>
                <w:sz w:val="20"/>
              </w:rPr>
            </w:pPr>
            <w:r>
              <w:rPr>
                <w:rFonts w:ascii="Arial" w:hAnsi="Arial" w:eastAsia="Arial" w:cs="Arial"/>
                <w:b/>
                <w:bCs/>
                <w:color w:val="201547"/>
                <w:sz w:val="20"/>
              </w:rPr>
              <w:t>Data system</w:t>
            </w:r>
            <w:r>
              <w:rPr>
                <w:rFonts w:ascii="Arial" w:hAnsi="Arial" w:eastAsia="Arial" w:cs="Arial"/>
                <w:b/>
                <w:bCs/>
                <w:color w:val="000000"/>
                <w:sz w:val="20"/>
              </w:rPr>
              <w:t xml:space="preserve">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000000"/>
                <w:sz w:val="20"/>
              </w:rPr>
            </w:pPr>
            <w:r>
              <w:rPr>
                <w:rFonts w:ascii="Arial" w:hAnsi="Arial" w:eastAsia="Arial" w:cs="Arial"/>
                <w:b/>
                <w:bCs/>
                <w:color w:val="201547"/>
                <w:sz w:val="20"/>
              </w:rPr>
              <w:t>Data set</w:t>
            </w:r>
            <w:r>
              <w:rPr>
                <w:rFonts w:ascii="Arial" w:hAnsi="Arial" w:eastAsia="Arial" w:cs="Arial"/>
                <w:b/>
                <w:bCs/>
                <w:color w:val="000000"/>
                <w:sz w:val="20"/>
              </w:rPr>
              <w:t xml:space="preserve">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Reporting cycle</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Sexual Assault</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IRIS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IRIS sexual assault services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Monthly</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SASS wait list</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Manual Data Collection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Manual Data Collection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Monthly</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Service Delivery Tracking (SDT)</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My Agency/SAM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SAMS2/Service delivery tracking data set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Monthly</w:t>
            </w:r>
          </w:p>
        </w:tc>
      </w:tr>
    </w:tbl>
    <w:p>
      <w:pPr>
        <w:spacing w:before="100" w:line="288" w:lineRule="auto"/>
        <w:ind w:left="111" w:right="105"/>
        <w:rPr>
          <w:rFonts w:ascii="Arial" w:hAnsi="Arial" w:eastAsia="Arial" w:cs="Arial"/>
          <w:color w:val="000000"/>
          <w:sz w:val="18"/>
        </w:rPr>
      </w:pPr>
      <w:r>
        <w:rPr>
          <w:rFonts w:ascii="Arial" w:hAnsi="Arial" w:eastAsia="Arial" w:cs="Arial"/>
          <w:color w:val="000000"/>
          <w:sz w:val="18"/>
        </w:rPr>
        <w:t/>
      </w:r>
    </w:p>
    <w:tbl>
      <w:tblPr>
        <w:tblW w:w="0" w:type="auto"/>
        <w:tblInd w:w="111" w:type="dxa"/>
        <w:tblLayout w:type="fixed"/>
        <w:tblCellMar>
          <w:left w:w="0" w:type="dxa"/>
          <w:right w:w="0" w:type="dxa"/>
        </w:tblCellMar>
      </w:tblPr>
      <w:tblGrid>
        <w:gridCol w:w="10204"/>
      </w:tblGrid>
      <w:tr>
        <w:trPr>
          <w:cantSplit/>
        </w:trPr>
        <w:tc>
          <w:tcPr>
            <w:tcW w:w="10204" w:type="dxa"/>
            <w:tcBorders>
              <w:top w:val="single" w:sz="4" w:space="0" w:color="000000"/>
              <w:bottom w:val="single" w:sz="4" w:space="0" w:color="000000"/>
              <w:left w:val="single" w:sz="4" w:space="0" w:color="000000"/>
              <w:right w:val="single" w:sz="4" w:space="0" w:color="000000"/>
            </w:tcBorders>
            <w:vAlign w:val="bottom"/>
            <w:shd w:val="clear" w:color="auto" w:fill="FFFFFF"/>
          </w:tcPr>
          <w:p>
            <w:pPr>
              <w:keepLines/>
              <w:spacing w:before="100" w:line="288" w:lineRule="auto"/>
              <w:ind w:left="108" w:right="108"/>
              <w:rPr>
                <w:rFonts w:ascii="Arial" w:hAnsi="Arial" w:eastAsia="Arial" w:cs="Arial"/>
                <w:color w:val="3366FF"/>
                <w:sz w:val="24"/>
              </w:rPr>
            </w:pPr>
            <w:r>
              <w:rPr>
                <w:rFonts w:ascii="Arial" w:hAnsi="Arial" w:eastAsia="Arial" w:cs="Arial"/>
                <w:color w:val="000000"/>
                <w:sz w:val="24"/>
              </w:rPr>
              <w:t xml:space="preserve">To receive this publication in an accessible format, email </w:t>
            </w:r>
            <w:r>
              <w:rPr>
                <w:rFonts w:ascii="Arial" w:hAnsi="Arial" w:eastAsia="Arial" w:cs="Arial"/>
                <w:color w:val="3366FF"/>
                <w:sz w:val="24"/>
              </w:rPr>
              <w:t>Monitoring Framework Helpdesk &lt;monitoringframework.helpdesk@dffh.vic.gov.au&gt;</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Authorised and published by the Victorian Government, 1 Treasury Place, Melbourne.</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 xml:space="preserve">© State of Victoria, Australia, Department of Families, Fairness and Housing, </w:t>
            </w:r>
            <w:r>
              <w:rPr>
                <w:rFonts w:ascii="Arial" w:hAnsi="Arial" w:eastAsia="Arial" w:cs="Arial"/>
                <w:color w:val="000000"/>
                <w:sz w:val="16"/>
              </w:rPr>
              <w:t>July 2026</w:t>
            </w:r>
            <w:r>
              <w:rPr>
                <w:rFonts w:ascii="Arial" w:hAnsi="Arial" w:eastAsia="Arial" w:cs="Arial"/>
                <w:color w:val="000000"/>
                <w:sz w:val="16"/>
              </w:rPr>
              <w:t xml:space="preserve">. </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In this document, ‘Aboriginal’ refers to both Aboriginal and Torres Strait Islander people. ‘Indigenous’ or ‘Koori/Koorie' is retained when part of the title of a report, program or quotation.</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ISSN 2653-0929 – Online (PDF/Word)</w:t>
            </w:r>
          </w:p>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Available at </w:t>
            </w:r>
            <w:r>
              <w:rPr>
                <w:rFonts w:ascii="Arial" w:hAnsi="Arial" w:eastAsia="Arial" w:cs="Arial"/>
                <w:color w:val="3366FF"/>
                <w:sz w:val="20"/>
              </w:rPr>
              <w:t xml:space="preserve">Department of Families, Fairness and Housing and Department of Health </w:t>
            </w:r>
            <w:r>
              <w:rPr>
                <w:rFonts w:ascii="Arial" w:hAnsi="Arial" w:eastAsia="Arial" w:cs="Arial"/>
                <w:color w:val="000000"/>
                <w:sz w:val="20"/>
              </w:rPr>
              <w:t>activity search</w:t>
            </w:r>
          </w:p>
          <w:p>
            <w:pPr>
              <w:keepLines/>
              <w:spacing w:before="100" w:line="288" w:lineRule="auto"/>
              <w:ind w:left="108" w:right="108"/>
              <w:rPr>
                <w:rFonts w:ascii="Arial" w:hAnsi="Arial" w:eastAsia="Arial" w:cs="Arial"/>
                <w:color w:val="000000"/>
                <w:sz w:val="20"/>
              </w:rPr>
            </w:pPr>
            <w:hyperlink r:id="rId18" w:tgtFrame="_blank" w:history="1">
              <w:r>
                <w:rPr>
                  <w:rFonts w:ascii="Arial" w:hAnsi="Arial" w:eastAsia="Arial" w:cs="Arial"/>
                  <w:color w:val="3366FF"/>
                  <w:sz w:val="20"/>
                </w:rPr>
                <w:t>&lt;http://providers.dffh.vic.gov.au/families-fairness-housing-health-activity-search</w:t>
              </w:r>
            </w:hyperlink>
            <w:r>
              <w:rPr>
                <w:rFonts w:ascii="Arial" w:hAnsi="Arial" w:eastAsia="Arial" w:cs="Arial"/>
                <w:color w:val="000000"/>
                <w:sz w:val="20"/>
              </w:rPr>
              <w:t>&gt;</w:t>
            </w:r>
          </w:p>
        </w:tc>
      </w:tr>
    </w:tbl>
    <w:p>
      <w:pPr>
        <w:spacing w:before="100" w:line="288" w:lineRule="auto"/>
        <w:ind w:left="111" w:right="105"/>
        <w:rPr>
          <w:rFonts w:ascii="Arial" w:hAnsi="Arial" w:eastAsia="Arial" w:cs="Arial"/>
          <w:color w:val="000000"/>
          <w:sz w:val="18"/>
        </w:rPr>
      </w:pPr>
      <w:bookmarkStart w:id="0" w:name="page_total_master0"/>
      <w:r>
        <w:rPr>
          <w:rFonts w:ascii="Arial" w:hAnsi="Arial" w:eastAsia="Arial" w:cs="Arial"/>
          <w:color w:val="000000"/>
          <w:sz w:val="18"/>
        </w:rPr>
        <w:t/>
      </w:r>
      <w:bookmarkEnd w:id="0"/>
      <w:bookmarkStart w:id="1" w:name="page_total"/>
      <w:r>
        <w:rPr>
          <w:rFonts w:ascii="Arial" w:hAnsi="Arial" w:eastAsia="Arial" w:cs="Arial"/>
          <w:color w:val="000000"/>
          <w:sz w:val="18"/>
        </w:rPr>
        <w:t/>
      </w:r>
      <w:bookmarkEnd w:id="1"/>
    </w:p>
    <w:sectPr>
      <w:headerReference w:type="default" r:id="rId6"/>
      <w:headerReference w:type="first" r:id="rId7"/>
      <w:footerReference w:type="default" r:id="rId8"/>
      <w:footerReference w:type="first" r:id="rId9"/>
      <w:pgSz w:w="11900" w:h="16820"/>
      <w:pgMar w:top="560" w:right="740" w:bottom="1120" w:left="740" w:header="567" w:footer="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4428"/>
        <w:tab w:val="left" w:pos="9123"/>
        <w:tab w:val="right" w:pos="10314"/>
      </w:tabs>
      <w:ind w:left="111" w:right="105"/>
      <w:rPr/>
    </w:pPr>
    <w:r>
      <w:rPr>
        <w:rFonts w:ascii="Arial" w:hAnsi="Arial" w:eastAsia="Arial" w:cs="Arial"/>
        <w:color w:val="000000"/>
        <w:sz w:val="18"/>
      </w:rPr>
      <w:tab/>
    </w:r>
  </w:p>
  <w:tbl>
    <w:tblPr>
      <w:tblW w:w="0" w:type="auto"/>
      <w:tblInd w:w="-177" w:type="dxa"/>
      <w:tblLayout w:type="fixed"/>
      <w:tblCellMar>
        <w:left w:w="0" w:type="dxa"/>
        <w:right w:w="0" w:type="dxa"/>
      </w:tblCellMar>
    </w:tblPr>
    <w:tblGrid>
      <w:gridCol w:w="3473"/>
      <w:gridCol w:w="3473"/>
      <w:gridCol w:w="3692"/>
    </w:tblGrid>
    <w:tr>
      <w:tc>
        <w:tcPr>
          <w:tcW w:w="3473" w:type="dxa"/>
          <w:shd w:val="clear" w:color="auto" w:fill="FFFFFF"/>
        </w:tcPr>
        <w:p>
          <w:pPr>
            <w:ind w:left="108" w:right="108"/>
            <w:rPr/>
          </w:pPr>
        </w:p>
      </w:tc>
      <w:tc>
        <w:tcPr>
          <w:tcW w:w="3473" w:type="dxa"/>
          <w:vAlign w:val="bottom"/>
          <w:shd w:val="clear" w:color="auto" w:fill="FFFFFF"/>
        </w:tcPr>
        <w:p>
          <w:pPr>
            <w:tabs>
              <w:tab w:val="right" w:pos="10314"/>
            </w:tabs>
            <w:spacing w:before="240"/>
            <w:ind w:left="108" w:right="108"/>
            <w:jc w:val="center"/>
            <w:rPr>
              <w:rFonts w:ascii="Arial" w:hAnsi="Arial" w:eastAsia="Arial" w:cs="Arial"/>
              <w:b/>
              <w:bCs/>
              <w:color w:val="000000"/>
              <w:sz w:val="20"/>
            </w:rPr>
          </w:pPr>
          <w:r>
            <w:rPr>
              <w:rFonts w:ascii="Arial" w:hAnsi="Arial" w:eastAsia="Arial" w:cs="Arial"/>
              <w:b/>
              <w:bCs/>
              <w:color w:val="000000"/>
              <w:sz w:val="20"/>
            </w:rPr>
            <w:t xml:space="preserve">OFFICIAL                           </w:t>
          </w:r>
        </w:p>
      </w:tc>
      <w:tc>
        <w:tcPr>
          <w:tcW w:w="3692" w:type="dxa"/>
          <w:shd w:val="clear" w:color="auto" w:fill="FFFFFF"/>
        </w:tcPr>
        <w:p>
          <w:pPr>
            <w:tabs>
              <w:tab w:val="right" w:pos="10314"/>
            </w:tabs>
            <w:spacing w:before="240"/>
            <w:ind w:left="108"/>
            <w:jc w:val="center"/>
            <w:rPr>
              <w:rFonts w:ascii="Arial" w:hAnsi="Arial" w:eastAsia="Arial" w:cs="Arial"/>
              <w:color w:val="000000"/>
              <w:sz w:val="18"/>
            </w:rPr>
          </w:pPr>
          <w:r>
            <w:rPr>
              <w:rFonts w:ascii="Arial" w:hAnsi="Arial" w:eastAsia="Arial" w:cs="Arial"/>
              <w:color w:val="000000"/>
              <w:sz w:val="18"/>
            </w:rPr>
            <w:t xml:space="preserve">             </w:t>
          </w:r>
        </w:p>
        <w:p>
          <w:pPr>
            <w:tabs>
              <w:tab w:val="right" w:pos="10314"/>
            </w:tabs>
            <w:spacing w:before="240"/>
            <w:ind w:left="108"/>
            <w:jc w:val="center"/>
            <w:rPr/>
          </w:pPr>
          <w:r>
            <w:rPr>
              <w:noProof/>
            </w:rPr>
            <w:drawing>
              <wp:inline distT="0" distB="0" distL="0" distR="0">
                <wp:extent cx="1657350" cy="514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extLst>
                            <a:ext uri="{28A0092B-C50C-407E-A947-70E740481C1C}">
                              <a14:useLocalDpi xmlns:a14="http://schemas.microsoft.com/office/drawing/2010/main" val="0"/>
                            </a:ext>
                          </a:extLst>
                        </a:blip>
                        <a:stretch>
                          <a:fillRect/>
                        </a:stretch>
                      </pic:blipFill>
                      <pic:spPr>
                        <a:xfrm>
                          <a:off x="0" y="0"/>
                          <a:ext cx="1657350" cy="514350"/>
                        </a:xfrm>
                        <a:prstGeom prst="rect">
                          <a:avLst/>
                        </a:prstGeom>
                      </pic:spPr>
                    </pic:pic>
                  </a:graphicData>
                </a:graphic>
              </wp:inline>
            </w:drawing>
          </w:r>
        </w:p>
      </w:tc>
    </w:tr>
  </w:tbl>
  <w:p>
    <w:pPr>
      <w:tabs>
        <w:tab w:val="right" w:pos="10314"/>
      </w:tabs>
      <w:ind w:left="111" w:right="105"/>
      <w:jc w:val="center"/>
      <w:rPr>
        <w:rFonts w:ascii="Arial" w:hAnsi="Arial" w:eastAsia="Arial" w:cs="Arial"/>
        <w:color w:val="000000"/>
        <w:sz w:val="20"/>
      </w:rPr>
    </w:pPr>
    <w:r>
      <w:rPr>
        <w:rFonts w:ascii="Arial" w:hAnsi="Arial" w:eastAsia="Arial" w:cs="Arial"/>
        <w:color w:val="000000"/>
        <w:sz w:val="20"/>
      </w:rPr>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77" w:type="dxa"/>
      <w:tblLayout w:type="fixed"/>
      <w:tblCellMar>
        <w:left w:w="0" w:type="dxa"/>
        <w:right w:w="0" w:type="dxa"/>
      </w:tblCellMar>
    </w:tblPr>
    <w:tblGrid>
      <w:gridCol w:w="3473"/>
      <w:gridCol w:w="3473"/>
      <w:gridCol w:w="3473"/>
    </w:tblGrid>
    <w:tr>
      <w:tc>
        <w:tcPr>
          <w:tcW w:w="3473" w:type="dxa"/>
          <w:shd w:val="clear" w:color="auto" w:fill="FFFFFF"/>
        </w:tcPr>
        <w:p>
          <w:pPr>
            <w:ind w:left="108" w:right="108"/>
            <w:rPr/>
          </w:pPr>
        </w:p>
      </w:tc>
      <w:tc>
        <w:tcPr>
          <w:tcW w:w="3473" w:type="dxa"/>
          <w:vAlign w:val="bottom"/>
          <w:shd w:val="clear" w:color="auto" w:fill="FFFFFF"/>
        </w:tcPr>
        <w:p>
          <w:pPr>
            <w:tabs>
              <w:tab w:val="right" w:pos="10314"/>
            </w:tabs>
            <w:spacing w:before="240"/>
            <w:ind w:left="108" w:right="108"/>
            <w:jc w:val="center"/>
            <w:rPr>
              <w:rFonts w:ascii="Arial" w:hAnsi="Arial" w:eastAsia="Arial" w:cs="Arial"/>
              <w:b/>
              <w:bCs/>
              <w:color w:val="000000"/>
              <w:sz w:val="20"/>
            </w:rPr>
          </w:pPr>
          <w:r>
            <w:rPr>
              <w:rFonts w:ascii="Arial" w:hAnsi="Arial" w:eastAsia="Arial" w:cs="Arial"/>
              <w:b/>
              <w:bCs/>
              <w:color w:val="000000"/>
              <w:sz w:val="20"/>
            </w:rPr>
            <w:t xml:space="preserve">OFFICIAL                                                                </w:t>
          </w:r>
        </w:p>
      </w:tc>
      <w:tc>
        <w:tcPr>
          <w:tcW w:w="3473" w:type="dxa"/>
          <w:shd w:val="clear" w:color="auto" w:fill="FFFFFF"/>
        </w:tcPr>
        <w:p>
          <w:pPr>
            <w:tabs>
              <w:tab w:val="right" w:pos="10314"/>
            </w:tabs>
            <w:spacing w:before="240"/>
            <w:ind w:left="108"/>
            <w:jc w:val="center"/>
            <w:rPr/>
          </w:pPr>
          <w:r>
            <w:rPr>
              <w:noProof/>
            </w:rPr>
            <w:drawing>
              <wp:inline distT="0" distB="0" distL="0" distR="0">
                <wp:extent cx="165735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1657350" cy="514350"/>
                        </a:xfrm>
                        <a:prstGeom prst="rect">
                          <a:avLst/>
                        </a:prstGeom>
                      </pic:spPr>
                    </pic:pic>
                  </a:graphicData>
                </a:graphic>
              </wp:inline>
            </w:drawing>
          </w:r>
        </w:p>
      </w:tc>
    </w:tr>
  </w:tbl>
  <w:p>
    <w:pPr>
      <w:tabs>
        <w:tab w:val="right" w:pos="10314"/>
      </w:tabs>
      <w:spacing w:before="240"/>
      <w:ind w:left="111" w:right="105"/>
      <w:rPr>
        <w:rFonts w:ascii="Arial" w:hAnsi="Arial" w:eastAsia="Arial" w:cs="Arial"/>
        <w:color w:val="000000"/>
        <w:sz w:val="18"/>
      </w:rPr>
    </w:pPr>
    <w:r>
      <w:rPr>
        <w:rFonts w:ascii="Arial" w:hAnsi="Arial" w:eastAsia="Arial" w:cs="Arial"/>
        <w:color w:val="000000"/>
        <w:sz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408"/>
        <w:tab w:val="right" w:pos="10312"/>
      </w:tabs>
      <w:ind w:left="111" w:right="105"/>
      <w:rPr>
        <w:rFonts w:ascii="Arial" w:hAnsi="Arial" w:eastAsia="Arial" w:cs="Arial"/>
        <w:color w:val="000000"/>
        <w:sz w:val="18"/>
      </w:rPr>
    </w:pPr>
    <w:r>
      <w:rPr>
        <w:rFonts w:ascii="Arial" w:hAnsi="Arial" w:eastAsia="Arial" w:cs="Arial"/>
        <w:color w:val="000000"/>
        <w:sz w:val="18"/>
      </w:rPr>
      <w:t>Prevention of Family Violence 38016 Sexual Assault Support Services</w:t>
    </w:r>
    <w:r>
      <w:rPr>
        <w:rFonts w:ascii="Arial" w:hAnsi="Arial" w:eastAsia="Arial" w:cs="Arial"/>
        <w:color w:val="000000"/>
        <w:sz w:val="18"/>
      </w:rPr>
      <w:tab/>
    </w:r>
    <w:r>
      <w:rPr>
        <w:rFonts w:ascii="Arial" w:hAnsi="Arial" w:eastAsia="Arial" w:cs="Arial"/>
        <w:color w:val="000000"/>
        <w:sz w:val="18"/>
      </w:rPr>
      <w:fldChar w:fldCharType="begin"/>
    </w:r>
    <w:r>
      <w:rPr>
        <w:rFonts w:ascii="Arial" w:hAnsi="Arial" w:eastAsia="Arial" w:cs="Arial"/>
        <w:color w:val="000000"/>
        <w:sz w:val="18"/>
      </w:rPr>
      <w:instrText xml:space="preserve"> PAGE   \* MERGEFORMAT </w:instrText>
    </w:r>
    <w:r>
      <w:rPr>
        <w:rFonts w:ascii="Arial" w:hAnsi="Arial" w:eastAsia="Arial" w:cs="Arial"/>
        <w:color w:val="000000"/>
        <w:sz w:val="18"/>
      </w:rPr>
      <w:fldChar w:fldCharType="separate"/>
    </w:r>
    <w:r>
      <w:rPr>
        <w:rFonts w:ascii="Arial" w:hAnsi="Arial" w:eastAsia="Arial" w:cs="Arial"/>
        <w:color w:val="000000"/>
        <w:sz w:val="18"/>
      </w:rPr>
      <w:t>1</w:t>
    </w:r>
    <w:r>
      <w:rPr>
        <w:rFonts w:ascii="Arial" w:hAnsi="Arial" w:eastAsia="Arial" w:cs="Arial"/>
        <w:color w:val="000000"/>
        <w:sz w:val="18"/>
      </w:rPr>
      <w:fldChar w:fldCharType="end"/>
    </w:r>
  </w:p>
  <w:p>
    <w:pPr>
      <w:tabs>
        <w:tab w:val="right" w:pos="10314"/>
      </w:tabs>
      <w:ind w:left="111" w:right="105"/>
      <w:rPr>
        <w:rFonts w:ascii="Arial" w:hAnsi="Arial" w:eastAsia="Arial" w:cs="Arial"/>
        <w:color w:val="000000"/>
        <w:sz w:val="18"/>
      </w:rPr>
    </w:pPr>
    <w:r>
      <w:rPr>
        <w:rFonts w:ascii="Arial" w:hAnsi="Arial" w:eastAsia="Arial" w:cs="Arial"/>
        <w:color w:val="000000"/>
        <w:sz w:val="18"/>
      </w:rPr>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right" w:pos="10314"/>
      </w:tabs>
      <w:ind w:left="111" w:right="105"/>
      <w:rPr>
        <w:rFonts w:ascii="Arial" w:hAnsi="Arial" w:eastAsia="Arial" w:cs="Arial"/>
        <w:color w:val="000000"/>
        <w:sz w:val="18"/>
      </w:rPr>
    </w:pPr>
    <w:r>
      <w:rPr>
        <w:rFonts w:ascii="Arial" w:hAnsi="Arial" w:eastAsia="Arial" w:cs="Arial"/>
        <w:color w:val="000000"/>
        <w:sz w:val="18"/>
      </w:rP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1">
    <w:multiLevelType w:val="hybridMultilevel"/>
    <w:lvl w:ilvl="0">
      <w:start w:val="1"/>
      <w:numFmt w:val="bullet"/>
      <w:lvlText w:val=""/>
      <w:lvlJc w:val="start"/>
      <w:pPr>
        <w:ind w:left="468" w:hanging="360"/>
      </w:pPr>
      <w:rPr>
        <w:rFonts w:ascii="Symbol" w:hAnsi="Symbol" w:eastAsia="Symbol" w:cs="Symbol" w:hint="default"/>
        <w:color w:val="000000"/>
        <w:sz w:val="24"/>
      </w:rPr>
    </w:lvl>
    <w:lvl w:ilvl="1">
      <w:start w:val="1"/>
      <w:numFmt w:val="bullet"/>
      <w:lvlText w:val="o"/>
      <w:lvlJc w:val="start"/>
      <w:pPr>
        <w:ind w:left="1188" w:hanging="360"/>
      </w:pPr>
      <w:rPr>
        <w:rFonts w:ascii="Courier New" w:hAnsi="Courier New" w:eastAsia="Courier New" w:cs="Courier New" w:hint="default"/>
        <w:color w:val="000000"/>
        <w:sz w:val="24"/>
      </w:rPr>
    </w:lvl>
    <w:lvl w:ilvl="2">
      <w:start w:val="1"/>
      <w:numFmt w:val="bullet"/>
      <w:lvlText w:val=""/>
      <w:lvlJc w:val="start"/>
      <w:pPr>
        <w:ind w:left="1908" w:hanging="360"/>
      </w:pPr>
      <w:rPr>
        <w:rFonts w:ascii="Wingdings" w:hAnsi="Wingdings" w:eastAsia="Wingdings" w:cs="Wingdings" w:hint="default"/>
        <w:color w:val="000000"/>
        <w:sz w:val="24"/>
      </w:rPr>
    </w:lvl>
    <w:lvl w:ilvl="3">
      <w:start w:val="1"/>
      <w:numFmt w:val="bullet"/>
      <w:lvlText w:val=""/>
      <w:lvlJc w:val="start"/>
      <w:pPr>
        <w:ind w:left="2628" w:hanging="360"/>
      </w:pPr>
      <w:rPr>
        <w:rFonts w:ascii="Symbol" w:hAnsi="Symbol" w:eastAsia="Symbol" w:cs="Symbol" w:hint="default"/>
        <w:color w:val="000000"/>
        <w:sz w:val="24"/>
      </w:rPr>
    </w:lvl>
    <w:lvl w:ilvl="4">
      <w:start w:val="1"/>
      <w:numFmt w:val="bullet"/>
      <w:lvlText w:val="o"/>
      <w:lvlJc w:val="start"/>
      <w:pPr>
        <w:ind w:left="3348" w:hanging="360"/>
      </w:pPr>
      <w:rPr>
        <w:rFonts w:ascii="Courier New" w:hAnsi="Courier New" w:eastAsia="Courier New" w:cs="Courier New" w:hint="default"/>
        <w:color w:val="000000"/>
        <w:sz w:val="24"/>
      </w:rPr>
    </w:lvl>
    <w:lvl w:ilvl="5">
      <w:start w:val="1"/>
      <w:numFmt w:val="bullet"/>
      <w:lvlText w:val=""/>
      <w:lvlJc w:val="start"/>
      <w:pPr>
        <w:ind w:left="4068" w:hanging="360"/>
      </w:pPr>
      <w:rPr>
        <w:rFonts w:ascii="Wingdings" w:hAnsi="Wingdings" w:eastAsia="Wingdings" w:cs="Wingdings" w:hint="default"/>
        <w:color w:val="000000"/>
        <w:sz w:val="24"/>
      </w:rPr>
    </w:lvl>
    <w:lvl w:ilvl="6">
      <w:start w:val="1"/>
      <w:numFmt w:val="bullet"/>
      <w:lvlText w:val=""/>
      <w:lvlJc w:val="start"/>
      <w:pPr>
        <w:ind w:left="4788" w:hanging="360"/>
      </w:pPr>
      <w:rPr>
        <w:rFonts w:ascii="Symbol" w:hAnsi="Symbol" w:eastAsia="Symbol" w:cs="Symbol" w:hint="default"/>
        <w:color w:val="000000"/>
        <w:sz w:val="24"/>
      </w:rPr>
    </w:lvl>
    <w:lvl w:ilvl="7">
      <w:start w:val="1"/>
      <w:numFmt w:val="bullet"/>
      <w:lvlText w:val="o"/>
      <w:lvlJc w:val="start"/>
      <w:pPr>
        <w:ind w:left="5508" w:hanging="360"/>
      </w:pPr>
      <w:rPr>
        <w:rFonts w:ascii="Courier New" w:hAnsi="Courier New" w:eastAsia="Courier New" w:cs="Courier New" w:hint="default"/>
        <w:color w:val="000000"/>
        <w:sz w:val="24"/>
      </w:rPr>
    </w:lvl>
    <w:lvl w:ilvl="8">
      <w:start w:val="1"/>
      <w:numFmt w:val="bullet"/>
      <w:lvlText w:val=""/>
      <w:lvlJc w:val="start"/>
      <w:pPr>
        <w:ind w:left="6228" w:hanging="360"/>
      </w:pPr>
      <w:rPr>
        <w:rFonts w:ascii="Wingdings" w:hAnsi="Wingdings" w:eastAsia="Wingdings" w:cs="Wingdings" w:hint="default"/>
        <w:color w:val="000000"/>
        <w:sz w:val="24"/>
      </w:rPr>
    </w:lvl>
  </w:abstractNum>
  <w:abstractNum w:abstractNumId="2">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3">
    <w:multiLevelType w:val="hybridMultilevel"/>
    <w:lvl w:ilvl="0">
      <w:start w:val="1"/>
      <w:numFmt w:val="bullet"/>
      <w:lvlText w:val=""/>
      <w:lvlJc w:val="start"/>
      <w:pPr>
        <w:ind w:left="392" w:hanging="284"/>
      </w:pPr>
      <w:rPr>
        <w:rFonts w:ascii="Symbol" w:hAnsi="Symbol" w:eastAsia="Symbol" w:cs="Symbol" w:hint="default"/>
        <w:color w:val="000000"/>
        <w:sz w:val="24"/>
      </w:rPr>
    </w:lvl>
    <w:lvl w:ilvl="1">
      <w:start w:val="1"/>
      <w:numFmt w:val="bullet"/>
      <w:lvlText w:val=""/>
      <w:lvlJc w:val="start"/>
      <w:pPr>
        <w:ind w:left="392" w:hanging="284"/>
      </w:pPr>
      <w:rPr>
        <w:rFonts w:ascii="Symbol" w:hAnsi="Symbol" w:eastAsia="Symbol" w:cs="Symbol" w:hint="default"/>
        <w:color w:val="000000"/>
        <w:sz w:val="24"/>
      </w:rPr>
    </w:lvl>
    <w:lvl w:ilvl="2">
      <w:start w:val="1"/>
      <w:numFmt w:val="bullet"/>
      <w:lvlText w:val="–"/>
      <w:lvlJc w:val="start"/>
      <w:pPr>
        <w:ind w:left="675" w:hanging="283"/>
      </w:pPr>
      <w:rPr>
        <w:rFonts w:ascii="Calibri" w:hAnsi="Calibri" w:eastAsia="Calibri" w:cs="Calibri" w:hint="default"/>
        <w:color w:val="000000"/>
        <w:sz w:val="24"/>
      </w:rPr>
    </w:lvl>
    <w:lvl w:ilvl="3">
      <w:start w:val="1"/>
      <w:numFmt w:val="bullet"/>
      <w:lvlText w:val="–"/>
      <w:lvlJc w:val="start"/>
      <w:pPr>
        <w:ind w:left="675" w:hanging="283"/>
      </w:pPr>
      <w:rPr>
        <w:rFonts w:ascii="Calibri" w:hAnsi="Calibri" w:eastAsia="Calibri" w:cs="Calibri" w:hint="default"/>
        <w:color w:val="000000"/>
        <w:sz w:val="24"/>
      </w:rPr>
    </w:lvl>
    <w:lvl w:ilvl="4">
      <w:start w:val="1"/>
      <w:numFmt w:val="bullet"/>
      <w:lvlText w:val=""/>
      <w:lvlJc w:val="start"/>
      <w:pPr>
        <w:ind w:left="788" w:hanging="283"/>
      </w:pPr>
      <w:rPr>
        <w:rFonts w:ascii="Symbol" w:hAnsi="Symbol" w:eastAsia="Symbol" w:cs="Symbol" w:hint="default"/>
        <w:color w:val="000000"/>
        <w:sz w:val="24"/>
      </w:rPr>
    </w:lvl>
    <w:lvl w:ilvl="5">
      <w:start w:val="1"/>
      <w:numFmt w:val="bullet"/>
      <w:lvlText w:val=""/>
      <w:lvlJc w:val="start"/>
      <w:pPr>
        <w:ind w:left="788" w:hanging="283"/>
      </w:pPr>
      <w:rPr>
        <w:rFonts w:ascii="Symbol" w:hAnsi="Symbol" w:eastAsia="Symbol" w:cs="Symbol" w:hint="default"/>
        <w:color w:val="000000"/>
        <w:sz w:val="24"/>
      </w:rPr>
    </w:lvl>
    <w:lvl w:ilvl="6">
      <w:start w:val="1"/>
      <w:numFmt w:val="bullet"/>
      <w:lvlText w:val=""/>
      <w:lvlJc w:val="start"/>
      <w:pPr>
        <w:ind w:left="335" w:hanging="227"/>
      </w:pPr>
      <w:rPr>
        <w:rFonts w:ascii="Symbol" w:hAnsi="Symbol" w:eastAsia="Symbol" w:cs="Symbol"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start"/>
      <w:pPr>
        <w:ind w:left="108" w:hanging="0"/>
      </w:pPr>
      <w:rPr>
        <w:rFonts w:ascii="Calibri" w:hAnsi="Calibri" w:eastAsia="Calibri" w:cs="Calibri" w:hint="default"/>
        <w:color w:val="000000"/>
        <w:sz w:val="24"/>
      </w:rPr>
    </w:lvl>
  </w:abstractNum>
  <w:abstractNum w:abstractNumId="4">
    <w:multiLevelType w:val="hybridMultilevel"/>
    <w:lvl w:ilvl="0">
      <w:start w:val="1"/>
      <w:numFmt w:val="bullet"/>
      <w:lvlText w:val=""/>
      <w:lvlJc w:val="start"/>
      <w:pPr>
        <w:ind w:left="468" w:hanging="360"/>
      </w:pPr>
      <w:rPr>
        <w:rFonts w:ascii="Symbol" w:hAnsi="Symbol" w:eastAsia="Symbol" w:cs="Symbol" w:hint="default"/>
        <w:color w:val="000000"/>
        <w:sz w:val="24"/>
      </w:rPr>
    </w:lvl>
    <w:lvl w:ilvl="1">
      <w:start w:val="1"/>
      <w:numFmt w:val="bullet"/>
      <w:lvlText w:val="o"/>
      <w:lvlJc w:val="start"/>
      <w:pPr>
        <w:ind w:left="1188" w:hanging="360"/>
      </w:pPr>
      <w:rPr>
        <w:rFonts w:ascii="Courier New" w:hAnsi="Courier New" w:eastAsia="Courier New" w:cs="Courier New" w:hint="default"/>
        <w:color w:val="000000"/>
        <w:sz w:val="24"/>
      </w:rPr>
    </w:lvl>
    <w:lvl w:ilvl="2">
      <w:start w:val="1"/>
      <w:numFmt w:val="bullet"/>
      <w:lvlText w:val=""/>
      <w:lvlJc w:val="start"/>
      <w:pPr>
        <w:ind w:left="1908" w:hanging="360"/>
      </w:pPr>
      <w:rPr>
        <w:rFonts w:ascii="Wingdings" w:hAnsi="Wingdings" w:eastAsia="Wingdings" w:cs="Wingdings" w:hint="default"/>
        <w:color w:val="000000"/>
        <w:sz w:val="24"/>
      </w:rPr>
    </w:lvl>
    <w:lvl w:ilvl="3">
      <w:start w:val="1"/>
      <w:numFmt w:val="bullet"/>
      <w:lvlText w:val=""/>
      <w:lvlJc w:val="start"/>
      <w:pPr>
        <w:ind w:left="2628" w:hanging="360"/>
      </w:pPr>
      <w:rPr>
        <w:rFonts w:ascii="Symbol" w:hAnsi="Symbol" w:eastAsia="Symbol" w:cs="Symbol" w:hint="default"/>
        <w:color w:val="000000"/>
        <w:sz w:val="24"/>
      </w:rPr>
    </w:lvl>
    <w:lvl w:ilvl="4">
      <w:start w:val="1"/>
      <w:numFmt w:val="bullet"/>
      <w:lvlText w:val="o"/>
      <w:lvlJc w:val="start"/>
      <w:pPr>
        <w:ind w:left="3348" w:hanging="360"/>
      </w:pPr>
      <w:rPr>
        <w:rFonts w:ascii="Courier New" w:hAnsi="Courier New" w:eastAsia="Courier New" w:cs="Courier New" w:hint="default"/>
        <w:color w:val="000000"/>
        <w:sz w:val="24"/>
      </w:rPr>
    </w:lvl>
    <w:lvl w:ilvl="5">
      <w:start w:val="1"/>
      <w:numFmt w:val="bullet"/>
      <w:lvlText w:val=""/>
      <w:lvlJc w:val="start"/>
      <w:pPr>
        <w:ind w:left="4068" w:hanging="360"/>
      </w:pPr>
      <w:rPr>
        <w:rFonts w:ascii="Wingdings" w:hAnsi="Wingdings" w:eastAsia="Wingdings" w:cs="Wingdings" w:hint="default"/>
        <w:color w:val="000000"/>
        <w:sz w:val="24"/>
      </w:rPr>
    </w:lvl>
    <w:lvl w:ilvl="6">
      <w:start w:val="1"/>
      <w:numFmt w:val="bullet"/>
      <w:lvlText w:val=""/>
      <w:lvlJc w:val="start"/>
      <w:pPr>
        <w:ind w:left="4788" w:hanging="360"/>
      </w:pPr>
      <w:rPr>
        <w:rFonts w:ascii="Symbol" w:hAnsi="Symbol" w:eastAsia="Symbol" w:cs="Symbol" w:hint="default"/>
        <w:color w:val="000000"/>
        <w:sz w:val="24"/>
      </w:rPr>
    </w:lvl>
    <w:lvl w:ilvl="7">
      <w:start w:val="1"/>
      <w:numFmt w:val="bullet"/>
      <w:lvlText w:val="o"/>
      <w:lvlJc w:val="start"/>
      <w:pPr>
        <w:ind w:left="5508" w:hanging="360"/>
      </w:pPr>
      <w:rPr>
        <w:rFonts w:ascii="Courier New" w:hAnsi="Courier New" w:eastAsia="Courier New" w:cs="Courier New" w:hint="default"/>
        <w:color w:val="000000"/>
        <w:sz w:val="24"/>
      </w:rPr>
    </w:lvl>
    <w:lvl w:ilvl="8">
      <w:start w:val="1"/>
      <w:numFmt w:val="bullet"/>
      <w:lvlText w:val=""/>
      <w:lvlJc w:val="start"/>
      <w:pPr>
        <w:ind w:left="6228" w:hanging="360"/>
      </w:pPr>
      <w:rPr>
        <w:rFonts w:ascii="Wingdings" w:hAnsi="Wingdings" w:eastAsia="Wingdings" w:cs="Wingdings" w:hint="default"/>
        <w:color w:val="000000"/>
        <w:sz w:val="24"/>
      </w:rPr>
    </w:lvl>
  </w:abstractNum>
  <w:abstractNum w:abstractNumId="5">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6">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7">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8">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9">
    <w:multiLevelType w:val="hybridMultilevel"/>
    <w:lvl w:ilvl="0">
      <w:start w:val="1"/>
      <w:numFmt w:val="decimal"/>
      <w:lvlText w:val="%1."/>
      <w:lvlJc w:val="start"/>
      <w:pPr>
        <w:ind w:left="468" w:hanging="360"/>
      </w:pPr>
      <w:rPr>
        <w:rFonts w:ascii="Calibri" w:hAnsi="Calibri" w:eastAsia="Calibri" w:cs="Calibri" w:hint="default"/>
        <w:color w:val="000000"/>
        <w:sz w:val="24"/>
      </w:rPr>
    </w:lvl>
    <w:lvl w:ilvl="1">
      <w:start w:val="1"/>
      <w:numFmt w:val="lowerLetter"/>
      <w:lvlText w:val="%2."/>
      <w:lvlJc w:val="start"/>
      <w:pPr>
        <w:ind w:left="1188" w:hanging="360"/>
      </w:pPr>
      <w:rPr>
        <w:rFonts w:ascii="Calibri" w:hAnsi="Calibri" w:eastAsia="Calibri" w:cs="Calibri" w:hint="default"/>
        <w:color w:val="000000"/>
        <w:sz w:val="24"/>
      </w:rPr>
    </w:lvl>
    <w:lvl w:ilvl="2">
      <w:start w:val="1"/>
      <w:numFmt w:val="lowerRoman"/>
      <w:lvlText w:val="%3."/>
      <w:lvlJc w:val="end"/>
      <w:pPr>
        <w:ind w:left="1908" w:hanging="180"/>
      </w:pPr>
      <w:rPr>
        <w:rFonts w:ascii="Calibri" w:hAnsi="Calibri" w:eastAsia="Calibri" w:cs="Calibri" w:hint="default"/>
        <w:color w:val="000000"/>
        <w:sz w:val="24"/>
      </w:rPr>
    </w:lvl>
    <w:lvl w:ilvl="3">
      <w:start w:val="1"/>
      <w:numFmt w:val="decimal"/>
      <w:lvlText w:val="%4."/>
      <w:lvlJc w:val="start"/>
      <w:pPr>
        <w:ind w:left="2628" w:hanging="360"/>
      </w:pPr>
      <w:rPr>
        <w:rFonts w:ascii="Calibri" w:hAnsi="Calibri" w:eastAsia="Calibri" w:cs="Calibri" w:hint="default"/>
        <w:color w:val="000000"/>
        <w:sz w:val="24"/>
      </w:rPr>
    </w:lvl>
    <w:lvl w:ilvl="4">
      <w:start w:val="1"/>
      <w:numFmt w:val="lowerLetter"/>
      <w:lvlText w:val="%5."/>
      <w:lvlJc w:val="start"/>
      <w:pPr>
        <w:ind w:left="3348" w:hanging="360"/>
      </w:pPr>
      <w:rPr>
        <w:rFonts w:ascii="Calibri" w:hAnsi="Calibri" w:eastAsia="Calibri" w:cs="Calibri" w:hint="default"/>
        <w:color w:val="000000"/>
        <w:sz w:val="24"/>
      </w:rPr>
    </w:lvl>
    <w:lvl w:ilvl="5">
      <w:start w:val="1"/>
      <w:numFmt w:val="lowerRoman"/>
      <w:lvlText w:val="%6."/>
      <w:lvlJc w:val="end"/>
      <w:pPr>
        <w:ind w:left="4068" w:hanging="180"/>
      </w:pPr>
      <w:rPr>
        <w:rFonts w:ascii="Calibri" w:hAnsi="Calibri" w:eastAsia="Calibri" w:cs="Calibri" w:hint="default"/>
        <w:color w:val="000000"/>
        <w:sz w:val="24"/>
      </w:rPr>
    </w:lvl>
    <w:lvl w:ilvl="6">
      <w:start w:val="1"/>
      <w:numFmt w:val="decimal"/>
      <w:lvlText w:val="%7."/>
      <w:lvlJc w:val="start"/>
      <w:pPr>
        <w:ind w:left="4788" w:hanging="360"/>
      </w:pPr>
      <w:rPr>
        <w:rFonts w:ascii="Calibri" w:hAnsi="Calibri" w:eastAsia="Calibri" w:cs="Calibri" w:hint="default"/>
        <w:color w:val="000000"/>
        <w:sz w:val="24"/>
      </w:rPr>
    </w:lvl>
    <w:lvl w:ilvl="7">
      <w:start w:val="1"/>
      <w:numFmt w:val="lowerLetter"/>
      <w:lvlText w:val="%8."/>
      <w:lvlJc w:val="start"/>
      <w:pPr>
        <w:ind w:left="5508" w:hanging="360"/>
      </w:pPr>
      <w:rPr>
        <w:rFonts w:ascii="Calibri" w:hAnsi="Calibri" w:eastAsia="Calibri" w:cs="Calibri" w:hint="default"/>
        <w:color w:val="000000"/>
        <w:sz w:val="24"/>
      </w:rPr>
    </w:lvl>
    <w:lvl w:ilvl="8">
      <w:start w:val="1"/>
      <w:numFmt w:val="lowerRoman"/>
      <w:lvlText w:val="%9."/>
      <w:lvlJc w:val="end"/>
      <w:pPr>
        <w:ind w:left="6228" w:hanging="180"/>
      </w:pPr>
      <w:rPr>
        <w:rFonts w:ascii="Calibri" w:hAnsi="Calibri" w:eastAsia="Calibri" w:cs="Calibri" w:hint="default"/>
        <w:color w:val="000000"/>
        <w:sz w:val="24"/>
      </w:rPr>
    </w:lvl>
  </w:abstractNum>
  <w:abstractNum w:abstractNumId="10">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11">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12">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13">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14">
    <w:multiLevelType w:val="hybridMultilevel"/>
    <w:lvl w:ilvl="0">
      <w:start w:val="1"/>
      <w:numFmt w:val="bullet"/>
      <w:lvlText w:val="•"/>
      <w:lvlJc w:val="start"/>
      <w:pPr>
        <w:ind w:left="392" w:hanging="284"/>
      </w:pPr>
      <w:rPr>
        <w:rFonts w:ascii="Calibri" w:hAnsi="Calibri" w:eastAsia="Calibri" w:cs="Calibri" w:hint="default"/>
        <w:color w:val="000000"/>
        <w:sz w:val="20"/>
      </w:rPr>
    </w:lvl>
    <w:lvl w:ilvl="1">
      <w:start w:val="1"/>
      <w:numFmt w:val="bullet"/>
      <w:lvlText w:val="•"/>
      <w:lvlJc w:val="start"/>
      <w:pPr>
        <w:ind w:left="392" w:hanging="284"/>
      </w:pPr>
      <w:rPr>
        <w:rFonts w:ascii="Calibri" w:hAnsi="Calibri" w:eastAsia="Calibri" w:cs="Calibri" w:hint="default"/>
        <w:color w:val="000000"/>
        <w:sz w:val="24"/>
      </w:rPr>
    </w:lvl>
    <w:lvl w:ilvl="2">
      <w:start w:val="1"/>
      <w:numFmt w:val="bullet"/>
      <w:lvlText w:val="–"/>
      <w:lvlJc w:val="start"/>
      <w:pPr>
        <w:ind w:left="675" w:hanging="283"/>
      </w:pPr>
      <w:rPr>
        <w:rFonts w:ascii="Arial" w:hAnsi="Arial" w:eastAsia="Arial" w:cs="Arial" w:hint="default"/>
        <w:color w:val="000000"/>
        <w:sz w:val="24"/>
      </w:rPr>
    </w:lvl>
    <w:lvl w:ilvl="3">
      <w:start w:val="1"/>
      <w:numFmt w:val="bullet"/>
      <w:lvlText w:val="–"/>
      <w:lvlJc w:val="start"/>
      <w:pPr>
        <w:ind w:left="675" w:hanging="283"/>
      </w:pPr>
      <w:rPr>
        <w:rFonts w:ascii="Arial" w:hAnsi="Arial" w:eastAsia="Arial" w:cs="Arial" w:hint="default"/>
        <w:color w:val="000000"/>
        <w:sz w:val="24"/>
      </w:rPr>
    </w:lvl>
    <w:lvl w:ilvl="4">
      <w:start w:val="1"/>
      <w:numFmt w:val="bullet"/>
      <w:lvlText w:val="•"/>
      <w:lvlJc w:val="start"/>
      <w:pPr>
        <w:ind w:left="788" w:hanging="283"/>
      </w:pPr>
      <w:rPr>
        <w:rFonts w:ascii="Calibri" w:hAnsi="Calibri" w:eastAsia="Calibri" w:cs="Calibri" w:hint="default"/>
        <w:color w:val="000000"/>
        <w:sz w:val="24"/>
      </w:rPr>
    </w:lvl>
    <w:lvl w:ilvl="5">
      <w:start w:val="1"/>
      <w:numFmt w:val="bullet"/>
      <w:lvlText w:val="•"/>
      <w:lvlJc w:val="start"/>
      <w:pPr>
        <w:ind w:left="788" w:hanging="283"/>
      </w:pPr>
      <w:rPr>
        <w:rFonts w:ascii="Calibri" w:hAnsi="Calibri" w:eastAsia="Calibri" w:cs="Calibri" w:hint="default"/>
        <w:color w:val="000000"/>
        <w:sz w:val="24"/>
      </w:rPr>
    </w:lvl>
    <w:lvl w:ilvl="6">
      <w:start w:val="1"/>
      <w:numFmt w:val="bullet"/>
      <w:lvlText w:val="•"/>
      <w:lvlJc w:val="start"/>
      <w:pPr>
        <w:ind w:left="335" w:hanging="227"/>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start"/>
      <w:pPr>
        <w:ind w:left="108" w:hanging="0"/>
      </w:pPr>
      <w:rPr>
        <w:rFonts w:ascii="Calibri" w:hAnsi="Calibri" w:eastAsia="Calibri" w:cs="Calibri" w:hint="default"/>
        <w:color w:val="000000"/>
        <w:sz w:val="24"/>
      </w:rPr>
    </w:lvl>
  </w:abstractNum>
  <w:num w:numId="19">
    <w:abstractNumId w:val="13"/>
  </w:num>
  <w:num w:numId="18">
    <w:abstractNumId w:val="14"/>
  </w:num>
  <w:num w:numId="17">
    <w:abstractNumId w:val="0"/>
  </w:num>
  <w:num w:numId="16">
    <w:abstractNumId w:val="6"/>
  </w:num>
  <w:num w:numId="15">
    <w:abstractNumId w:val="4"/>
  </w:num>
  <w:num w:numId="14">
    <w:abstractNumId w:val="1"/>
  </w:num>
  <w:num w:numId="13">
    <w:abstractNumId w:val="8"/>
  </w:num>
  <w:num w:numId="12">
    <w:abstractNumId w:val="12"/>
  </w:num>
  <w:num w:numId="11">
    <w:abstractNumId w:val="5"/>
  </w:num>
  <w:num w:numId="10">
    <w:abstractNumId w:val="9"/>
  </w:num>
  <w:num w:numId="9">
    <w:abstractNumId w:val="10"/>
  </w:num>
  <w:num w:numId="8">
    <w:abstractNumId w:val="7"/>
  </w:num>
  <w:num w:numId="7">
    <w:abstractNumId w:val="14"/>
  </w:num>
  <w:num w:numId="6">
    <w:abstractNumId w:val="2"/>
  </w:num>
  <w:num w:numId="5">
    <w:abstractNumId w:val="2"/>
  </w:num>
  <w:num w:numId="4">
    <w:abstractNumId w:val="2"/>
  </w:num>
  <w:num w:numId="3">
    <w:abstractNumId w:val="11"/>
  </w:num>
  <w:num w:numId="2">
    <w:abstractNumId w:val="2"/>
  </w:num>
  <w:num w:numId="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