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Sexual Assault Support Services 38016</dc:title>
  <dc:subject/>
  <cp:keywords/>
  <dc:description>Generated by Oracle BI Publisher 12.2.1.3.0</dc:description>
  <cp:revision>2</cp:revision>
  <dcterms:created xsi:type="dcterms:W3CDTF">2013-02-11T20:57:00Z</dcterms:created>
  <dcterms:modified xsi:type="dcterms:W3CDTF">2013-02-11T20:57:00Z</dcterms:modified>
</cp:corePropertie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.vic.gov.au/family-violence-information-sharing-scheme" TargetMode="External"/>
<Relationship Id="rId12" Type="http://schemas.openxmlformats.org/officeDocument/2006/relationships/hyperlink" Target="https://providers.dffh.vic.gov.au/assessing-children-and-young-people-experiencing-family-violence-practice-guide-word" TargetMode="External"/>
<Relationship Id="rId13" Type="http://schemas.openxmlformats.org/officeDocument/2006/relationships/hyperlink" Target="https://www.nasasv.org.au/resources" TargetMode="External"/>
<Relationship Id="rId14" Type="http://schemas.openxmlformats.org/officeDocument/2006/relationships/hyperlink" Target="http://providers.dffh.vic.gov.au/family-violence-risk-assessment-and-risk-management-framework" TargetMode="External"/>
<Relationship Id="rId15" Type="http://schemas.openxmlformats.org/officeDocument/2006/relationships/hyperlink" Target="https://www.vic.gov.au/family-violence-multi-agency-risk-assessment-and-management" TargetMode="External"/>
<Relationship Id="rId16" Type="http://schemas.openxmlformats.org/officeDocument/2006/relationships/hyperlink" Target="http://providers.dffh.vic.gov.au/families-fairness-housing-health-activity-search" TargetMode="External"/>
<Relationship Id="rId17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Sexual Assault Support Services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38016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Prevention of Family Violence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Family Violence Service Delivery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Sexual assault support services aim to:</w:t>
      </w:r>
      <w:r>
        <w:br/>
      </w:r>
      <w:r>
        <w:rPr>
          <w:rFonts w:ascii="Arial" w:hAnsi="Arial" w:eastAsia="Arial" w:cs="Arial"/>
          <w:color w:val="000000"/>
          <w:sz w:val="20"/>
        </w:rPr>
        <w:t>•	provide high quality service responses to children, young people and adults who are victims/survivors of sexual assault, and</w:t>
      </w:r>
      <w:r>
        <w:br/>
      </w:r>
      <w:r>
        <w:rPr>
          <w:rFonts w:ascii="Arial" w:hAnsi="Arial" w:eastAsia="Arial" w:cs="Arial"/>
          <w:color w:val="000000"/>
          <w:sz w:val="20"/>
        </w:rPr>
        <w:t>•	develop and participate in community education strategies that work towards the prevention and early identification of sexual assault.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Sexual assault support services provide direct services to children, young people and adults who have experienced sexual assault, as well as to their non-offending family members and support people. Services include crisis care, counselling, casework, advocacy and group work. </w:t>
      </w:r>
      <w:r>
        <w:br/>
      </w:r>
      <w:r>
        <w:rPr>
          <w:rFonts w:ascii="Arial" w:hAnsi="Arial" w:eastAsia="Arial" w:cs="Arial"/>
          <w:color w:val="000000"/>
          <w:sz w:val="20"/>
        </w:rPr>
        <w:t>The crisis care response includes:</w:t>
      </w:r>
      <w:r>
        <w:br/>
      </w:r>
      <w:r>
        <w:rPr>
          <w:rFonts w:ascii="Arial" w:hAnsi="Arial" w:eastAsia="Arial" w:cs="Arial"/>
          <w:color w:val="000000"/>
          <w:sz w:val="20"/>
        </w:rPr>
        <w:t>•	an after-hours telephone service providing counselling, information and coordination of crisis care support.</w:t>
      </w:r>
      <w:r>
        <w:br/>
      </w:r>
      <w:r>
        <w:rPr>
          <w:rFonts w:ascii="Arial" w:hAnsi="Arial" w:eastAsia="Arial" w:cs="Arial"/>
          <w:color w:val="000000"/>
          <w:sz w:val="20"/>
        </w:rPr>
        <w:t>•	services to victims/survivors of recent sexual assault including e crisis intervention, counselling, advocacy, liaison and coordination of support with child protection, police, forensic and other medical personnel.</w:t>
      </w:r>
      <w:r>
        <w:br/>
      </w:r>
      <w:r>
        <w:rPr>
          <w:rFonts w:ascii="Arial" w:hAnsi="Arial" w:eastAsia="Arial" w:cs="Arial"/>
          <w:color w:val="000000"/>
          <w:sz w:val="20"/>
        </w:rPr>
        <w:t>Counselling advocacy and support services are also provided to adult survivors of childhood sexual assault or past adult sexual assault who present for assistance.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children, young people and adults who have experienced sexual assault, and non-offending family members and support people.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Family Violence Information Sharing Guidelines: Guidance for Information Sharing Entities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&lt;https://www.vic.gov.au/family-violence-information-sharing-scheme&gt;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Assessing children and young people experiencing family violence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&lt;https://providers.dffh.vic.gov.au/assessing-children-and-young-people-experiencing-family-violence-practice-guide-word&gt;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Standards of Practice Manual for Services Against Sexual Violence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&lt;https://www.nasasv.org.au/resources&gt;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Family Violence Risk Assessment and Risk Management Framework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&lt;http://providers.dffh.vic.gov.au/family-violence-risk-assessment-and-risk-management-framework&gt;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5" w:tgtFrame="_blank" w:history="1">
        <w:r>
          <w:rPr>
            <w:rFonts w:ascii="Arial" w:hAnsi="Arial" w:eastAsia="Arial" w:cs="Arial"/>
            <w:color w:val="3366FF"/>
            <w:sz w:val="20"/>
          </w:rPr>
          <w:t>Family Violence Multi-Agency Risk Assessment and Management Framework (MARAM)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&lt;https://www.vic.gov.au/family-violence-multi-agency-risk-assessment-and-management&gt;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new cases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new clients who received sexual assault support services during the reporting period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new cases that are opened during the reporting period.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The counting rule seeks to capture new instances where either casework or crisis support is provided to clients.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A new case is counted when a client receives services from a service provider for the first time within the past three months or when a client moves from crisis support to casework.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For example, a new case is counted when a client receives crisis support and then moves into short, medium or long term casework with the same service provider. However, a new case is not counted when a client moves from short term to medium term casework with the same service provider.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Count a new case when a client: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starts casework with this service provider for the first time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starts crisis support with this service provider for the first time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is moved from crisis support to casework (if that client has not received casework from this service provider within the past three months)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	presents for services after a previous case has been closed or requires services relating to the same incident of assault, but has not received services from this service provider for three months or more.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Do not count a new case when: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 a client moves to a new term of casework (for example, from short term casework to long term casework, or medium term casework to long term casework)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the client has received the same service from the service provider relating to the same incident within the last three months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•	an existing case carries over into a new financial or calendar year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•	an existing case carries over into a new month.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Sexual Assault</w:t>
            </w:r>
          </w:p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Clients refer to children young people and adults who are victims of sexual assault.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The client is defined as the primary person to whom the service is being delivered. It is not an attending guardian or support person.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The receipt of a service during the reporting period is defined as having provided at least one hour of continuous service to the client during the reporting period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Performance measure 2: Percentage of clients receiving an initial response within five working days of referral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timeliness of sexual assault support services’ responses to clients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 Non-cumulative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clients who received an initial service response within five working days of referral divided by the total number of clients referred.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For example: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Number of clients receiving initial response within five working days = 3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Total number of clients referred to a sexual assault support service = 4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Percentage of clients receiving initial response within five working days of referral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= 3/4 x 100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= 75%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Sexual Assault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 service response is defined as initial contact with the client that includes an assessment of the client’s needs and may include a telephone call, letter, etc.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Working days are defined as Monday to Friday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Sexual Assault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IRIS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IRIS sexual assault services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SASS wait list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My Agency/SAM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SAMS2/Service delivery tracking data set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May 2025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6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Prevention of Family Violence 38016 Sexual Assault Support Services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