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C3AB9" w14:textId="77777777" w:rsidR="0074696E" w:rsidRPr="004C6EEE" w:rsidRDefault="006A58F5" w:rsidP="00AD784C">
      <w:pPr>
        <w:pStyle w:val="Spacerparatopoffirstpage"/>
      </w:pPr>
      <w:bookmarkStart w:id="0" w:name="_GoBack"/>
      <w:bookmarkEnd w:id="0"/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15B8C7B5" wp14:editId="6CD239E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5B695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65E0A994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556A30D8" w14:textId="77777777" w:rsidR="00AD784C" w:rsidRPr="00161AA0" w:rsidRDefault="006A58F5" w:rsidP="006A58F5">
            <w:pPr>
              <w:pStyle w:val="DHHSmainheading"/>
            </w:pPr>
            <w:r w:rsidRPr="006A58F5">
              <w:lastRenderedPageBreak/>
              <w:t xml:space="preserve">Service </w:t>
            </w:r>
            <w:r>
              <w:t>m</w:t>
            </w:r>
            <w:r w:rsidRPr="006A58F5">
              <w:t xml:space="preserve">odel and </w:t>
            </w:r>
            <w:r>
              <w:t>a</w:t>
            </w:r>
            <w:r w:rsidRPr="006A58F5">
              <w:t>pproach</w:t>
            </w:r>
            <w:r>
              <w:t xml:space="preserve"> –</w:t>
            </w:r>
            <w:r w:rsidRPr="006A58F5">
              <w:t xml:space="preserve"> </w:t>
            </w:r>
            <w:r>
              <w:t>d</w:t>
            </w:r>
            <w:r w:rsidRPr="006A58F5">
              <w:t xml:space="preserve">ecision </w:t>
            </w:r>
            <w:r>
              <w:t>making p</w:t>
            </w:r>
            <w:r w:rsidRPr="006A58F5">
              <w:t>rocess</w:t>
            </w:r>
          </w:p>
        </w:tc>
      </w:tr>
      <w:tr w:rsidR="00AD784C" w14:paraId="20190E0B" w14:textId="77777777" w:rsidTr="006A58F5">
        <w:trPr>
          <w:trHeight w:hRule="exact" w:val="851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76D68E2B" w14:textId="77777777" w:rsidR="00357B4E" w:rsidRPr="00AD784C" w:rsidRDefault="006A58F5" w:rsidP="00357B4E">
            <w:pPr>
              <w:pStyle w:val="DHHSmainsubheading"/>
              <w:rPr>
                <w:szCs w:val="28"/>
              </w:rPr>
            </w:pPr>
            <w:r w:rsidRPr="006A58F5">
              <w:rPr>
                <w:szCs w:val="28"/>
              </w:rPr>
              <w:t>Aborigi</w:t>
            </w:r>
            <w:r>
              <w:rPr>
                <w:szCs w:val="28"/>
              </w:rPr>
              <w:t>nal Children’s Forum Priority 5</w:t>
            </w:r>
          </w:p>
        </w:tc>
      </w:tr>
    </w:tbl>
    <w:p w14:paraId="7C3C90BD" w14:textId="77777777" w:rsidR="007173CA" w:rsidRDefault="007173CA" w:rsidP="007173CA">
      <w:pPr>
        <w:pStyle w:val="DHHSbody"/>
      </w:pPr>
    </w:p>
    <w:p w14:paraId="3A898D35" w14:textId="77777777" w:rsidR="007173CA" w:rsidRDefault="007173CA" w:rsidP="007173CA">
      <w:pPr>
        <w:pStyle w:val="DHHSbody"/>
        <w:sectPr w:rsidR="007173CA" w:rsidSect="00F01E5F">
          <w:headerReference w:type="default" r:id="rId15"/>
          <w:footerReference w:type="default" r:id="rId16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1" w:name="_Toc440566508"/>
    </w:p>
    <w:bookmarkEnd w:id="1"/>
    <w:p w14:paraId="49FB0F7B" w14:textId="77777777" w:rsidR="006A58F5" w:rsidRDefault="006A58F5" w:rsidP="00383336">
      <w:pPr>
        <w:pStyle w:val="Heading1"/>
      </w:pPr>
      <w:r w:rsidRPr="006A58F5">
        <w:lastRenderedPageBreak/>
        <w:t>Aboriginal Children’s Forum Priority 5</w:t>
      </w:r>
    </w:p>
    <w:p w14:paraId="3F8DCABC" w14:textId="77777777" w:rsidR="006A58F5" w:rsidRPr="006A58F5" w:rsidRDefault="006A58F5" w:rsidP="006A58F5">
      <w:pPr>
        <w:pStyle w:val="DHHSbody"/>
        <w:rPr>
          <w:b/>
        </w:rPr>
      </w:pPr>
      <w:r w:rsidRPr="006A58F5">
        <w:rPr>
          <w:b/>
        </w:rPr>
        <w:t>Place all Aboriginal children and young people in out-of-home care under the authority, care and case management of an ACCO</w:t>
      </w:r>
      <w:r>
        <w:rPr>
          <w:b/>
        </w:rPr>
        <w:t>.</w:t>
      </w:r>
    </w:p>
    <w:p w14:paraId="3DA75B19" w14:textId="77777777" w:rsidR="00383336" w:rsidRPr="00B148F0" w:rsidRDefault="00383336" w:rsidP="006A58F5">
      <w:pPr>
        <w:pStyle w:val="Heading1"/>
      </w:pPr>
      <w:r w:rsidRPr="00383336">
        <w:t>Objectives</w:t>
      </w:r>
    </w:p>
    <w:p w14:paraId="585EAEE3" w14:textId="77777777" w:rsidR="00383336" w:rsidRPr="00225579" w:rsidRDefault="00383336" w:rsidP="00383336">
      <w:pPr>
        <w:pStyle w:val="DHHSbullet1"/>
        <w:numPr>
          <w:ilvl w:val="0"/>
          <w:numId w:val="1"/>
        </w:numPr>
      </w:pPr>
      <w:bookmarkStart w:id="2" w:name="_Toc410762196"/>
      <w:bookmarkStart w:id="3" w:name="_Toc440620742"/>
      <w:r w:rsidRPr="00225579">
        <w:t xml:space="preserve">To clarify the key decision-making options available to facilitate the </w:t>
      </w:r>
      <w:r>
        <w:t>transfer of Aboriginal children.</w:t>
      </w:r>
    </w:p>
    <w:p w14:paraId="43682E61" w14:textId="77777777" w:rsidR="00383336" w:rsidRPr="00225579" w:rsidRDefault="00383336" w:rsidP="00383336">
      <w:pPr>
        <w:pStyle w:val="DHHSbullet1"/>
        <w:numPr>
          <w:ilvl w:val="0"/>
          <w:numId w:val="1"/>
        </w:numPr>
        <w:rPr>
          <w:b/>
        </w:rPr>
      </w:pPr>
      <w:r w:rsidRPr="00225579">
        <w:t>To describe appropriate contingency/interim responses that ensures continuing best interests planning for children/young people</w:t>
      </w:r>
      <w:r>
        <w:t>.</w:t>
      </w:r>
    </w:p>
    <w:bookmarkEnd w:id="2"/>
    <w:bookmarkEnd w:id="3"/>
    <w:p w14:paraId="0EC81901" w14:textId="77777777" w:rsidR="00383336" w:rsidRPr="004C1FEB" w:rsidRDefault="00383336" w:rsidP="00383336">
      <w:pPr>
        <w:pStyle w:val="Heading1"/>
      </w:pPr>
      <w:r>
        <w:t>Overarching messages</w:t>
      </w:r>
    </w:p>
    <w:p w14:paraId="2D740611" w14:textId="77777777" w:rsidR="00383336" w:rsidRPr="00225579" w:rsidRDefault="00383336" w:rsidP="00383336">
      <w:pPr>
        <w:pStyle w:val="DHHSbullet1"/>
        <w:numPr>
          <w:ilvl w:val="0"/>
          <w:numId w:val="1"/>
        </w:numPr>
      </w:pPr>
      <w:r w:rsidRPr="00225579">
        <w:t>Commitment to Aboriginal self-determination and self-management</w:t>
      </w:r>
      <w:r>
        <w:t>.</w:t>
      </w:r>
    </w:p>
    <w:p w14:paraId="571997AF" w14:textId="77777777" w:rsidR="00383336" w:rsidRPr="00225579" w:rsidRDefault="00383336" w:rsidP="00383336">
      <w:pPr>
        <w:pStyle w:val="DHHSbullet1"/>
        <w:numPr>
          <w:ilvl w:val="0"/>
          <w:numId w:val="1"/>
        </w:numPr>
      </w:pPr>
      <w:r w:rsidRPr="00225579">
        <w:t>The Victorian government with</w:t>
      </w:r>
      <w:r>
        <w:t xml:space="preserve"> the</w:t>
      </w:r>
      <w:r w:rsidRPr="00225579">
        <w:t xml:space="preserve"> community through the Aboriginal Children’s Forum has committed to place all Aboriginal children and young people in out of home care under the authority, car</w:t>
      </w:r>
      <w:r>
        <w:t>e and case management of an Aboriginal community-controlled organisation (ACCO).</w:t>
      </w:r>
    </w:p>
    <w:p w14:paraId="0BDD08CB" w14:textId="77777777" w:rsidR="00383336" w:rsidRDefault="00383336" w:rsidP="00383336">
      <w:pPr>
        <w:pStyle w:val="DHHSbullet1"/>
        <w:numPr>
          <w:ilvl w:val="0"/>
          <w:numId w:val="1"/>
        </w:numPr>
      </w:pPr>
      <w:r w:rsidRPr="00225579">
        <w:t>All decisions guided by best interests of the child principles, individualised transition planning and collaborative practice approaches (including care team meetings, A</w:t>
      </w:r>
      <w:r>
        <w:t>boriginal Family-Led Decision Making meetings</w:t>
      </w:r>
      <w:r w:rsidRPr="00225579">
        <w:t xml:space="preserve">, </w:t>
      </w:r>
      <w:proofErr w:type="gramStart"/>
      <w:r w:rsidRPr="00225579">
        <w:t>clinical</w:t>
      </w:r>
      <w:proofErr w:type="gramEnd"/>
      <w:r w:rsidRPr="00225579">
        <w:t xml:space="preserve"> consultation)</w:t>
      </w:r>
      <w:r>
        <w:t>.</w:t>
      </w:r>
    </w:p>
    <w:p w14:paraId="39A6FCA8" w14:textId="77777777" w:rsidR="006A58F5" w:rsidRDefault="006A58F5" w:rsidP="006A58F5">
      <w:pPr>
        <w:pStyle w:val="Heading1"/>
      </w:pPr>
      <w:r>
        <w:t>D</w:t>
      </w:r>
      <w:r w:rsidRPr="006A58F5">
        <w:t>ecision making process</w:t>
      </w:r>
    </w:p>
    <w:tbl>
      <w:tblPr>
        <w:tblStyle w:val="TableGrid"/>
        <w:tblW w:w="0" w:type="auto"/>
        <w:tblBorders>
          <w:top w:val="single" w:sz="4" w:space="0" w:color="C5511A"/>
          <w:left w:val="single" w:sz="4" w:space="0" w:color="C5511A"/>
          <w:bottom w:val="single" w:sz="4" w:space="0" w:color="C5511A"/>
          <w:right w:val="single" w:sz="4" w:space="0" w:color="C5511A"/>
          <w:insideH w:val="single" w:sz="4" w:space="0" w:color="C5511A"/>
          <w:insideV w:val="single" w:sz="4" w:space="0" w:color="C5511A"/>
        </w:tblBorders>
        <w:tblLook w:val="04A0" w:firstRow="1" w:lastRow="0" w:firstColumn="1" w:lastColumn="0" w:noHBand="0" w:noVBand="1"/>
      </w:tblPr>
      <w:tblGrid>
        <w:gridCol w:w="3437"/>
        <w:gridCol w:w="3437"/>
        <w:gridCol w:w="3438"/>
      </w:tblGrid>
      <w:tr w:rsidR="00383336" w14:paraId="1AA28435" w14:textId="77777777" w:rsidTr="006A58F5">
        <w:trPr>
          <w:tblHeader/>
        </w:trPr>
        <w:tc>
          <w:tcPr>
            <w:tcW w:w="3437" w:type="dxa"/>
          </w:tcPr>
          <w:p w14:paraId="5637999D" w14:textId="77777777" w:rsidR="00383336" w:rsidRDefault="00383336" w:rsidP="00A71BF1">
            <w:pPr>
              <w:pStyle w:val="DHHStablecolhead"/>
            </w:pPr>
            <w:r>
              <w:t>Decision scenario</w:t>
            </w:r>
          </w:p>
        </w:tc>
        <w:tc>
          <w:tcPr>
            <w:tcW w:w="3437" w:type="dxa"/>
          </w:tcPr>
          <w:p w14:paraId="2E0CFB0C" w14:textId="77777777" w:rsidR="00383336" w:rsidRDefault="00383336" w:rsidP="00383336">
            <w:pPr>
              <w:pStyle w:val="DHHStablecolhead"/>
            </w:pPr>
            <w:r>
              <w:t>Option</w:t>
            </w:r>
          </w:p>
        </w:tc>
        <w:tc>
          <w:tcPr>
            <w:tcW w:w="3438" w:type="dxa"/>
          </w:tcPr>
          <w:p w14:paraId="4307BB20" w14:textId="77777777" w:rsidR="00383336" w:rsidRDefault="00383336" w:rsidP="00383336">
            <w:pPr>
              <w:pStyle w:val="DHHStablecolhead"/>
            </w:pPr>
            <w:r>
              <w:t>Response</w:t>
            </w:r>
          </w:p>
        </w:tc>
      </w:tr>
      <w:tr w:rsidR="00383336" w14:paraId="1CD4D5C8" w14:textId="77777777" w:rsidTr="006A58F5">
        <w:tc>
          <w:tcPr>
            <w:tcW w:w="3437" w:type="dxa"/>
          </w:tcPr>
          <w:p w14:paraId="67B6A6F7" w14:textId="617433AB" w:rsidR="00383336" w:rsidRPr="00383336" w:rsidRDefault="00383336" w:rsidP="00A71BF1">
            <w:pPr>
              <w:pStyle w:val="DHHStabletext"/>
              <w:rPr>
                <w:b/>
              </w:rPr>
            </w:pPr>
            <w:r w:rsidRPr="00383336">
              <w:rPr>
                <w:b/>
              </w:rPr>
              <w:t>1. Child and carer transfer to ACCO</w:t>
            </w:r>
            <w:r w:rsidR="007601AC">
              <w:rPr>
                <w:b/>
              </w:rPr>
              <w:t>.</w:t>
            </w:r>
          </w:p>
        </w:tc>
        <w:tc>
          <w:tcPr>
            <w:tcW w:w="3437" w:type="dxa"/>
          </w:tcPr>
          <w:p w14:paraId="65303708" w14:textId="77777777" w:rsidR="00383336" w:rsidRDefault="00383336" w:rsidP="00383336">
            <w:pPr>
              <w:pStyle w:val="DHHStabletext"/>
            </w:pPr>
            <w:r>
              <w:t>ACCO can undertake support of placement and case management of child.</w:t>
            </w:r>
          </w:p>
        </w:tc>
        <w:tc>
          <w:tcPr>
            <w:tcW w:w="3438" w:type="dxa"/>
          </w:tcPr>
          <w:p w14:paraId="05BC1DEE" w14:textId="77777777" w:rsidR="00383336" w:rsidRDefault="006A58F5" w:rsidP="006A58F5">
            <w:pPr>
              <w:pStyle w:val="DHHStabletext"/>
            </w:pPr>
            <w:r>
              <w:t xml:space="preserve">Case </w:t>
            </w:r>
            <w:r w:rsidR="00383336">
              <w:t>contracted to ACCO.</w:t>
            </w:r>
          </w:p>
        </w:tc>
      </w:tr>
      <w:tr w:rsidR="00383336" w14:paraId="07A71C35" w14:textId="77777777" w:rsidTr="006A58F5">
        <w:tc>
          <w:tcPr>
            <w:tcW w:w="3437" w:type="dxa"/>
            <w:vMerge w:val="restart"/>
          </w:tcPr>
          <w:p w14:paraId="2C1A147A" w14:textId="0A9717AE" w:rsidR="00383336" w:rsidRPr="00383336" w:rsidRDefault="00383336" w:rsidP="00383336">
            <w:pPr>
              <w:pStyle w:val="DHHStabletext"/>
              <w:rPr>
                <w:b/>
              </w:rPr>
            </w:pPr>
            <w:r w:rsidRPr="00383336">
              <w:rPr>
                <w:b/>
              </w:rPr>
              <w:t>2. (Exceptional circumstances): Child transfers from existing carer to new ACCO carer</w:t>
            </w:r>
            <w:r w:rsidR="007601AC">
              <w:rPr>
                <w:b/>
              </w:rPr>
              <w:t>.</w:t>
            </w:r>
          </w:p>
        </w:tc>
        <w:tc>
          <w:tcPr>
            <w:tcW w:w="3437" w:type="dxa"/>
          </w:tcPr>
          <w:p w14:paraId="7F905659" w14:textId="77777777" w:rsidR="00383336" w:rsidRPr="00383336" w:rsidRDefault="00383336" w:rsidP="00383336">
            <w:pPr>
              <w:pStyle w:val="DHHStabletext"/>
              <w:rPr>
                <w:b/>
                <w:color w:val="C5511A"/>
              </w:rPr>
            </w:pPr>
            <w:r w:rsidRPr="00383336">
              <w:rPr>
                <w:b/>
                <w:color w:val="C5511A"/>
              </w:rPr>
              <w:t>Option A</w:t>
            </w:r>
          </w:p>
          <w:p w14:paraId="5F4D7FDA" w14:textId="77777777" w:rsidR="00383336" w:rsidRDefault="00383336" w:rsidP="00383336">
            <w:pPr>
              <w:pStyle w:val="DHHStabletext"/>
            </w:pPr>
            <w:r>
              <w:t>ACCO has suitable carer available to provide placement and can provide placement support and case management</w:t>
            </w:r>
            <w:r w:rsidR="006A58F5">
              <w:t>.</w:t>
            </w:r>
          </w:p>
        </w:tc>
        <w:tc>
          <w:tcPr>
            <w:tcW w:w="3438" w:type="dxa"/>
          </w:tcPr>
          <w:p w14:paraId="3B2EC136" w14:textId="77777777" w:rsidR="00383336" w:rsidRPr="00383336" w:rsidRDefault="00383336" w:rsidP="00383336">
            <w:pPr>
              <w:pStyle w:val="DHHStabletext"/>
              <w:rPr>
                <w:b/>
                <w:color w:val="C5511A"/>
              </w:rPr>
            </w:pPr>
            <w:r w:rsidRPr="00383336">
              <w:rPr>
                <w:b/>
                <w:color w:val="C5511A"/>
              </w:rPr>
              <w:t>Option A</w:t>
            </w:r>
          </w:p>
          <w:p w14:paraId="0BB7077E" w14:textId="7B9E7FBB" w:rsidR="00383336" w:rsidRDefault="00383336" w:rsidP="00383336">
            <w:pPr>
              <w:pStyle w:val="DHHStabletext"/>
            </w:pPr>
            <w:r>
              <w:t>Case contracted to ACCO</w:t>
            </w:r>
            <w:r w:rsidR="007601AC">
              <w:t>.</w:t>
            </w:r>
          </w:p>
        </w:tc>
      </w:tr>
      <w:tr w:rsidR="00383336" w14:paraId="003B8608" w14:textId="77777777" w:rsidTr="006A58F5">
        <w:tc>
          <w:tcPr>
            <w:tcW w:w="3437" w:type="dxa"/>
            <w:vMerge/>
          </w:tcPr>
          <w:p w14:paraId="30F1CFE8" w14:textId="77777777" w:rsidR="00383336" w:rsidRPr="00383336" w:rsidRDefault="00383336" w:rsidP="00383336">
            <w:pPr>
              <w:pStyle w:val="DHHStabletext"/>
              <w:rPr>
                <w:b/>
              </w:rPr>
            </w:pPr>
          </w:p>
        </w:tc>
        <w:tc>
          <w:tcPr>
            <w:tcW w:w="3437" w:type="dxa"/>
          </w:tcPr>
          <w:p w14:paraId="47C1C907" w14:textId="77777777" w:rsidR="00383336" w:rsidRPr="00383336" w:rsidRDefault="00383336" w:rsidP="00383336">
            <w:pPr>
              <w:pStyle w:val="DHHStabletext"/>
              <w:rPr>
                <w:b/>
                <w:color w:val="C5511A"/>
              </w:rPr>
            </w:pPr>
            <w:r w:rsidRPr="00383336">
              <w:rPr>
                <w:b/>
                <w:color w:val="C5511A"/>
              </w:rPr>
              <w:t>Option B</w:t>
            </w:r>
          </w:p>
          <w:p w14:paraId="7049F1E6" w14:textId="77777777" w:rsidR="00383336" w:rsidRDefault="00383336" w:rsidP="00383336">
            <w:pPr>
              <w:pStyle w:val="DHHStabletext"/>
            </w:pPr>
            <w:r>
              <w:t>ACCO does not have available carer to provide service</w:t>
            </w:r>
            <w:r w:rsidR="006A58F5">
              <w:t>.</w:t>
            </w:r>
          </w:p>
        </w:tc>
        <w:tc>
          <w:tcPr>
            <w:tcW w:w="3438" w:type="dxa"/>
          </w:tcPr>
          <w:p w14:paraId="5FD1F505" w14:textId="77777777" w:rsidR="00383336" w:rsidRPr="00383336" w:rsidRDefault="00383336" w:rsidP="00383336">
            <w:pPr>
              <w:pStyle w:val="DHHStabletext"/>
              <w:rPr>
                <w:b/>
                <w:color w:val="C5511A"/>
              </w:rPr>
            </w:pPr>
            <w:r w:rsidRPr="00383336">
              <w:rPr>
                <w:b/>
                <w:color w:val="C5511A"/>
              </w:rPr>
              <w:t>Option B</w:t>
            </w:r>
          </w:p>
          <w:p w14:paraId="05F32392" w14:textId="77777777" w:rsidR="00383336" w:rsidRDefault="00383336" w:rsidP="00383336">
            <w:pPr>
              <w:pStyle w:val="DHHStabletext"/>
            </w:pPr>
            <w:r>
              <w:t>Existing arrangements continue with date set for transfer based on ACCO workforce availability; Interim flexible approaches explored; Ensure cultural support plans are strengthened, implemented and monitored during the interim.</w:t>
            </w:r>
          </w:p>
          <w:p w14:paraId="14B1B362" w14:textId="77777777" w:rsidR="00BE02F8" w:rsidRDefault="00BE02F8" w:rsidP="00383336">
            <w:pPr>
              <w:pStyle w:val="DHHStabletext"/>
            </w:pPr>
          </w:p>
        </w:tc>
      </w:tr>
      <w:tr w:rsidR="00383336" w14:paraId="132E5EE5" w14:textId="77777777" w:rsidTr="006A58F5">
        <w:tc>
          <w:tcPr>
            <w:tcW w:w="3437" w:type="dxa"/>
            <w:vMerge w:val="restart"/>
          </w:tcPr>
          <w:p w14:paraId="069182B4" w14:textId="41EF0F92" w:rsidR="00383336" w:rsidRPr="00383336" w:rsidRDefault="00383336" w:rsidP="00383336">
            <w:pPr>
              <w:pStyle w:val="DHHStabletext"/>
              <w:rPr>
                <w:b/>
              </w:rPr>
            </w:pPr>
            <w:r w:rsidRPr="00383336">
              <w:rPr>
                <w:b/>
              </w:rPr>
              <w:lastRenderedPageBreak/>
              <w:t>3. (Exceptional circumstances): Child does not transfer</w:t>
            </w:r>
            <w:r w:rsidR="007601AC">
              <w:rPr>
                <w:b/>
              </w:rPr>
              <w:t>.</w:t>
            </w:r>
          </w:p>
        </w:tc>
        <w:tc>
          <w:tcPr>
            <w:tcW w:w="3437" w:type="dxa"/>
          </w:tcPr>
          <w:p w14:paraId="174FE3CC" w14:textId="77777777" w:rsidR="00383336" w:rsidRPr="00383336" w:rsidRDefault="00383336" w:rsidP="00383336">
            <w:pPr>
              <w:pStyle w:val="DHHStabletext"/>
              <w:rPr>
                <w:b/>
                <w:color w:val="C5511A"/>
              </w:rPr>
            </w:pPr>
            <w:r w:rsidRPr="00383336">
              <w:rPr>
                <w:b/>
                <w:color w:val="C5511A"/>
              </w:rPr>
              <w:t>Option A</w:t>
            </w:r>
          </w:p>
          <w:p w14:paraId="6EE2D7FE" w14:textId="77777777" w:rsidR="00383336" w:rsidRDefault="00383336" w:rsidP="00383336">
            <w:pPr>
              <w:pStyle w:val="DHHStabletext"/>
            </w:pPr>
            <w:r>
              <w:t>Collaborative decision is that transfer is not in the child’s best interest at this point in time</w:t>
            </w:r>
            <w:r w:rsidR="006A58F5">
              <w:t>.</w:t>
            </w:r>
          </w:p>
        </w:tc>
        <w:tc>
          <w:tcPr>
            <w:tcW w:w="3438" w:type="dxa"/>
          </w:tcPr>
          <w:p w14:paraId="0F851EDB" w14:textId="77777777" w:rsidR="00383336" w:rsidRPr="00383336" w:rsidRDefault="00383336" w:rsidP="00383336">
            <w:pPr>
              <w:pStyle w:val="DHHStabletext"/>
              <w:rPr>
                <w:b/>
                <w:color w:val="C5511A"/>
              </w:rPr>
            </w:pPr>
            <w:r w:rsidRPr="00383336">
              <w:rPr>
                <w:b/>
                <w:color w:val="C5511A"/>
              </w:rPr>
              <w:t>Option A</w:t>
            </w:r>
          </w:p>
          <w:p w14:paraId="00FD5EE6" w14:textId="77777777" w:rsidR="00383336" w:rsidRDefault="00383336" w:rsidP="00383336">
            <w:pPr>
              <w:pStyle w:val="DHHStabletext"/>
            </w:pPr>
            <w:r>
              <w:t>Clearly articulated rationale for not proceeding with transfer including circumstances that would lead to a re</w:t>
            </w:r>
            <w:r w:rsidR="006A58F5">
              <w:t xml:space="preserve">view of the transfer decision. </w:t>
            </w:r>
            <w:r>
              <w:t>Consider a panel review with relevant agencies, ACCOs, CP and if required FCAV and/or Commissioner for Aboriginal Children and Young People to fully explore what is in the child’s best interest. Ensure cultural support plans are strengthened, implemented and monitored during the interim.</w:t>
            </w:r>
          </w:p>
        </w:tc>
      </w:tr>
      <w:tr w:rsidR="00383336" w14:paraId="536D99D8" w14:textId="77777777" w:rsidTr="006A58F5">
        <w:tc>
          <w:tcPr>
            <w:tcW w:w="3437" w:type="dxa"/>
            <w:vMerge/>
          </w:tcPr>
          <w:p w14:paraId="74FB39A7" w14:textId="77777777" w:rsidR="00383336" w:rsidRDefault="00383336" w:rsidP="00383336">
            <w:pPr>
              <w:pStyle w:val="DHHStabletext"/>
            </w:pPr>
          </w:p>
        </w:tc>
        <w:tc>
          <w:tcPr>
            <w:tcW w:w="3437" w:type="dxa"/>
          </w:tcPr>
          <w:p w14:paraId="64DFA56D" w14:textId="77777777" w:rsidR="00383336" w:rsidRPr="00383336" w:rsidRDefault="00383336" w:rsidP="00383336">
            <w:pPr>
              <w:pStyle w:val="DHHStabletext"/>
              <w:rPr>
                <w:b/>
                <w:color w:val="C5511A"/>
              </w:rPr>
            </w:pPr>
            <w:r w:rsidRPr="00383336">
              <w:rPr>
                <w:b/>
                <w:color w:val="C5511A"/>
              </w:rPr>
              <w:t>Option B</w:t>
            </w:r>
          </w:p>
          <w:p w14:paraId="72DA4274" w14:textId="77777777" w:rsidR="00383336" w:rsidRDefault="00383336" w:rsidP="00383336">
            <w:pPr>
              <w:pStyle w:val="DHHStabletext"/>
            </w:pPr>
            <w:r>
              <w:t>Child/child’s family choose to remain with current organisation and is considered in child’s best interest</w:t>
            </w:r>
            <w:r w:rsidR="006A58F5">
              <w:t>.</w:t>
            </w:r>
          </w:p>
        </w:tc>
        <w:tc>
          <w:tcPr>
            <w:tcW w:w="3438" w:type="dxa"/>
          </w:tcPr>
          <w:p w14:paraId="3A343FA5" w14:textId="77777777" w:rsidR="00383336" w:rsidRPr="00383336" w:rsidRDefault="00383336" w:rsidP="00383336">
            <w:pPr>
              <w:pStyle w:val="DHHStabletext"/>
              <w:rPr>
                <w:b/>
                <w:color w:val="C5511A"/>
              </w:rPr>
            </w:pPr>
            <w:r w:rsidRPr="00383336">
              <w:rPr>
                <w:b/>
                <w:color w:val="C5511A"/>
              </w:rPr>
              <w:t>Option B</w:t>
            </w:r>
          </w:p>
          <w:p w14:paraId="017A7F2D" w14:textId="0B3535D3" w:rsidR="00383336" w:rsidRDefault="00383336" w:rsidP="00383336">
            <w:pPr>
              <w:pStyle w:val="DHHStabletext"/>
            </w:pPr>
            <w:r>
              <w:t>Consider as part of case planning process</w:t>
            </w:r>
            <w:r w:rsidR="007601AC">
              <w:t>.</w:t>
            </w:r>
          </w:p>
        </w:tc>
      </w:tr>
    </w:tbl>
    <w:p w14:paraId="2EB3CBA9" w14:textId="77777777" w:rsidR="00383336" w:rsidRDefault="00383336"/>
    <w:tbl>
      <w:tblPr>
        <w:tblW w:w="4963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343"/>
      </w:tblGrid>
      <w:tr w:rsidR="00383336" w:rsidRPr="002802E3" w14:paraId="4A68CC38" w14:textId="77777777" w:rsidTr="0038333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8EFAE" w14:textId="77777777" w:rsidR="00383336" w:rsidRPr="00254F58" w:rsidRDefault="00383336" w:rsidP="00A71BF1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>
              <w:t xml:space="preserve"> accessible format, </w:t>
            </w:r>
            <w:hyperlink r:id="rId17" w:history="1">
              <w:r w:rsidRPr="00FF1E66">
                <w:rPr>
                  <w:rStyle w:val="Hyperlink"/>
                </w:rPr>
                <w:t>email the Transitioning Aboriginal Children team</w:t>
              </w:r>
            </w:hyperlink>
            <w:r>
              <w:rPr>
                <w:rStyle w:val="Hyperlink"/>
              </w:rPr>
              <w:t xml:space="preserve"> </w:t>
            </w:r>
            <w:hyperlink r:id="rId18" w:history="1">
              <w:r w:rsidRPr="007974C8">
                <w:rPr>
                  <w:rStyle w:val="Hyperlink"/>
                </w:rPr>
                <w:t>transitioningaboriginalchildrensteam@dhhs.vic.gov.au</w:t>
              </w:r>
            </w:hyperlink>
            <w:r>
              <w:t>.</w:t>
            </w:r>
          </w:p>
          <w:p w14:paraId="23BAA56B" w14:textId="641295F5" w:rsidR="00383336" w:rsidRPr="0059361A" w:rsidRDefault="00383336" w:rsidP="001165AC">
            <w:pPr>
              <w:pStyle w:val="DHHSbody"/>
              <w:rPr>
                <w:szCs w:val="19"/>
              </w:rPr>
            </w:pPr>
            <w:r w:rsidRPr="00254F58">
              <w:t>Authorised and published by the Victorian Governmen</w:t>
            </w:r>
            <w:r>
              <w:t>t, 1 Treasury Place, Melbourne.</w:t>
            </w:r>
            <w:r w:rsidR="001165AC">
              <w:br/>
            </w:r>
            <w:r w:rsidRPr="00254F58">
              <w:t>© State of Vic</w:t>
            </w:r>
            <w:r>
              <w:t>toria, Department of Health and</w:t>
            </w:r>
            <w:r w:rsidRPr="00254F58">
              <w:t xml:space="preserve"> Human Services</w:t>
            </w:r>
            <w:r>
              <w:rPr>
                <w:color w:val="008950"/>
              </w:rPr>
              <w:t xml:space="preserve">, </w:t>
            </w:r>
            <w:r w:rsidRPr="0059361A">
              <w:t>Version 1, March 2018.</w:t>
            </w:r>
            <w:r w:rsidR="001165AC">
              <w:br/>
            </w:r>
            <w:r w:rsidRPr="0059361A">
              <w:t>Where the term ‘Aboriginal’ is used it refers to both Aboriginal and Torres Strait Islander people. Indigenous is retained when it is part of the title of a report, program or quotation.</w:t>
            </w:r>
            <w:r w:rsidR="001165AC">
              <w:br/>
            </w:r>
            <w:r w:rsidRPr="00254F58">
              <w:t>ISBN</w:t>
            </w:r>
            <w:r w:rsidR="007601AC">
              <w:t xml:space="preserve"> 978-1-76069-315-2 (pdf/online)</w:t>
            </w:r>
            <w:r w:rsidR="001165AC">
              <w:br/>
            </w:r>
            <w:r w:rsidRPr="00254F58">
              <w:rPr>
                <w:szCs w:val="19"/>
              </w:rPr>
              <w:t xml:space="preserve">Available at </w:t>
            </w:r>
            <w:hyperlink r:id="rId19" w:history="1">
              <w:r w:rsidRPr="00D54A1F">
                <w:rPr>
                  <w:rStyle w:val="Hyperlink"/>
                  <w:szCs w:val="19"/>
                </w:rPr>
                <w:t xml:space="preserve">Aboriginal </w:t>
              </w:r>
              <w:r w:rsidRPr="00D54A1F">
                <w:rPr>
                  <w:rStyle w:val="Hyperlink"/>
                </w:rPr>
                <w:t>children in care</w:t>
              </w:r>
            </w:hyperlink>
            <w:r>
              <w:rPr>
                <w:rStyle w:val="Hyperlink"/>
              </w:rPr>
              <w:t xml:space="preserve"> </w:t>
            </w:r>
            <w:r w:rsidRPr="00D54A1F">
              <w:t>&lt;http://providers.dhhs.vic.gov.au/aboriginal-children-care&gt;</w:t>
            </w:r>
          </w:p>
        </w:tc>
      </w:tr>
    </w:tbl>
    <w:p w14:paraId="316F4BB9" w14:textId="77777777" w:rsidR="00B2752E" w:rsidRDefault="00B2752E" w:rsidP="00383336">
      <w:pPr>
        <w:pStyle w:val="DHHSbody"/>
      </w:pPr>
    </w:p>
    <w:sectPr w:rsidR="00B2752E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2064E" w14:textId="77777777" w:rsidR="00383336" w:rsidRDefault="00383336">
      <w:r>
        <w:separator/>
      </w:r>
    </w:p>
  </w:endnote>
  <w:endnote w:type="continuationSeparator" w:id="0">
    <w:p w14:paraId="28FF60C7" w14:textId="77777777" w:rsidR="00383336" w:rsidRDefault="0038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AFFCA" w14:textId="77777777" w:rsidR="006A58F5" w:rsidRDefault="006A58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EB545" w14:textId="77777777" w:rsidR="009D70A4" w:rsidRPr="00F65AA9" w:rsidRDefault="006A58F5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60A3F7EA" wp14:editId="0D6AC73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7E7F9" w14:textId="77777777" w:rsidR="006A58F5" w:rsidRDefault="006A58F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15BDF" w14:textId="77777777" w:rsidR="009D70A4" w:rsidRPr="00A11421" w:rsidRDefault="006A58F5" w:rsidP="006A58F5">
    <w:pPr>
      <w:pStyle w:val="DHHSfooter"/>
    </w:pPr>
    <w:r>
      <w:t>Service model and approach – decision making process: Aboriginal Children’s Forum Priority 5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B954FB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33F62" w14:textId="77777777" w:rsidR="00383336" w:rsidRDefault="00383336" w:rsidP="002862F1">
      <w:pPr>
        <w:spacing w:before="120"/>
      </w:pPr>
      <w:r>
        <w:separator/>
      </w:r>
    </w:p>
  </w:footnote>
  <w:footnote w:type="continuationSeparator" w:id="0">
    <w:p w14:paraId="0D896573" w14:textId="77777777" w:rsidR="00383336" w:rsidRDefault="00383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487D6" w14:textId="77777777" w:rsidR="006A58F5" w:rsidRDefault="006A58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4256D" w14:textId="77777777" w:rsidR="006A58F5" w:rsidRDefault="006A58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D825E" w14:textId="77777777" w:rsidR="006A58F5" w:rsidRDefault="006A58F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0C59E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36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165AC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83336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B54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6FD7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A58F5"/>
    <w:rsid w:val="006B077C"/>
    <w:rsid w:val="006B6803"/>
    <w:rsid w:val="006D2A3F"/>
    <w:rsid w:val="006D2FBC"/>
    <w:rsid w:val="006E138B"/>
    <w:rsid w:val="006F1FDC"/>
    <w:rsid w:val="0070082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3FB1"/>
    <w:rsid w:val="007450F8"/>
    <w:rsid w:val="0074696E"/>
    <w:rsid w:val="00750135"/>
    <w:rsid w:val="00750EC2"/>
    <w:rsid w:val="00752B28"/>
    <w:rsid w:val="00754E36"/>
    <w:rsid w:val="007601AC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B3623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54FB"/>
    <w:rsid w:val="00B9714C"/>
    <w:rsid w:val="00BA3F8D"/>
    <w:rsid w:val="00BB7A10"/>
    <w:rsid w:val="00BC7468"/>
    <w:rsid w:val="00BC7D4F"/>
    <w:rsid w:val="00BC7ED7"/>
    <w:rsid w:val="00BD2850"/>
    <w:rsid w:val="00BE02F8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629A1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54F0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383336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6A58F5"/>
    <w:pPr>
      <w:keepNext/>
      <w:keepLines/>
      <w:spacing w:before="240" w:after="120" w:line="400" w:lineRule="atLeast"/>
      <w:outlineLvl w:val="0"/>
    </w:pPr>
    <w:rPr>
      <w:rFonts w:ascii="Arial" w:eastAsia="MS Gothic" w:hAnsi="Arial" w:cs="Arial"/>
      <w:bCs/>
      <w:color w:val="C5511A"/>
      <w:kern w:val="32"/>
      <w:sz w:val="32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06B54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6A58F5"/>
    <w:rPr>
      <w:rFonts w:ascii="Arial" w:eastAsia="MS Gothic" w:hAnsi="Arial" w:cs="Arial"/>
      <w:bCs/>
      <w:color w:val="C5511A"/>
      <w:kern w:val="32"/>
      <w:sz w:val="32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06B54"/>
    <w:rPr>
      <w:rFonts w:ascii="Arial" w:hAnsi="Arial"/>
      <w:b/>
      <w:color w:val="C5511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06B54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06B54"/>
    <w:rPr>
      <w:rFonts w:ascii="Arial" w:hAnsi="Arial"/>
      <w:b/>
      <w:color w:val="C5511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506B54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383336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6A58F5"/>
    <w:pPr>
      <w:keepNext/>
      <w:keepLines/>
      <w:spacing w:before="240" w:after="120" w:line="400" w:lineRule="atLeast"/>
      <w:outlineLvl w:val="0"/>
    </w:pPr>
    <w:rPr>
      <w:rFonts w:ascii="Arial" w:eastAsia="MS Gothic" w:hAnsi="Arial" w:cs="Arial"/>
      <w:bCs/>
      <w:color w:val="C5511A"/>
      <w:kern w:val="32"/>
      <w:sz w:val="32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06B54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6A58F5"/>
    <w:rPr>
      <w:rFonts w:ascii="Arial" w:eastAsia="MS Gothic" w:hAnsi="Arial" w:cs="Arial"/>
      <w:bCs/>
      <w:color w:val="C5511A"/>
      <w:kern w:val="32"/>
      <w:sz w:val="32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06B54"/>
    <w:rPr>
      <w:rFonts w:ascii="Arial" w:hAnsi="Arial"/>
      <w:b/>
      <w:color w:val="C5511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06B54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06B54"/>
    <w:rPr>
      <w:rFonts w:ascii="Arial" w:hAnsi="Arial"/>
      <w:b/>
      <w:color w:val="C5511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506B54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transitioningaboriginalchildrensteam@dhhs.vic.gov.a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TransitioningAboriginalChildrensTeam@dhhs.vic.gov.au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customXml" Target="../customXml/item2.xml"/><Relationship Id="rId10" Type="http://schemas.openxmlformats.org/officeDocument/2006/relationships/header" Target="header2.xml"/><Relationship Id="rId19" Type="http://schemas.openxmlformats.org/officeDocument/2006/relationships/hyperlink" Target="http://providers.dhhs.vic.gov.au/aboriginal-children-car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448C79A4-01E6-44D9-84F4-21CB507F5814}"/>
</file>

<file path=customXml/itemProps2.xml><?xml version="1.0" encoding="utf-8"?>
<ds:datastoreItem xmlns:ds="http://schemas.openxmlformats.org/officeDocument/2006/customXml" ds:itemID="{157CE53B-C6BD-405B-8A5A-35002D719E06}"/>
</file>

<file path=customXml/itemProps3.xml><?xml version="1.0" encoding="utf-8"?>
<ds:datastoreItem xmlns:ds="http://schemas.openxmlformats.org/officeDocument/2006/customXml" ds:itemID="{99B106EA-17B0-4703-9FBC-0533BE30E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3049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model and approach – decision making process: Aboriginal Children’s Forum Priority 5</vt:lpstr>
    </vt:vector>
  </TitlesOfParts>
  <Company>Department of Health and Human Services</Company>
  <LinksUpToDate>false</LinksUpToDate>
  <CharactersWithSpaces>3490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model and approach – decision making process: Aboriginal Children’s Forum Priority 5</dc:title>
  <dc:subject>Transitioning Aboriginal children</dc:subject>
  <dc:creator>Community Services Programs and Designs</dc:creator>
  <cp:keywords>transitioning, Aboriginal, children, child protection</cp:keywords>
  <cp:lastModifiedBy>Lena Catto</cp:lastModifiedBy>
  <cp:revision>2</cp:revision>
  <cp:lastPrinted>2015-08-21T03:17:00Z</cp:lastPrinted>
  <dcterms:created xsi:type="dcterms:W3CDTF">2018-03-28T05:15:00Z</dcterms:created>
  <dcterms:modified xsi:type="dcterms:W3CDTF">2018-03-28T05:15:00Z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