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484ABB32" w:rsidR="0074696E" w:rsidRPr="00280C4B" w:rsidRDefault="007C21AA" w:rsidP="00280C4B">
      <w:pPr>
        <w:pStyle w:val="Sectionbreakfirstpage"/>
      </w:pPr>
      <w:r>
        <w:rPr>
          <w:lang w:eastAsia="en-AU"/>
        </w:rPr>
        <w:drawing>
          <wp:anchor distT="0" distB="0" distL="114300" distR="114300" simplePos="0" relativeHeight="251659264" behindDoc="1" locked="1" layoutInCell="0" allowOverlap="1" wp14:anchorId="75FC52C4" wp14:editId="627DBC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200" cy="2073600"/>
            <wp:effectExtent l="0" t="0" r="0" b="3175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7C21AA">
        <w:trPr>
          <w:trHeight w:val="1418"/>
        </w:trPr>
        <w:tc>
          <w:tcPr>
            <w:tcW w:w="7655" w:type="dxa"/>
            <w:vAlign w:val="bottom"/>
          </w:tcPr>
          <w:p w14:paraId="1B06FE4C" w14:textId="3C29AF74" w:rsidR="00AD784C" w:rsidRPr="0009050A" w:rsidRDefault="00B10489" w:rsidP="0016037B">
            <w:pPr>
              <w:pStyle w:val="Documenttitle"/>
            </w:pPr>
            <w:r w:rsidRPr="00B10489">
              <w:t>Family violence and child wellbeing and safety reforms</w:t>
            </w:r>
          </w:p>
        </w:tc>
      </w:tr>
      <w:tr w:rsidR="000B2117" w:rsidRPr="00A9162C" w14:paraId="5DF317EC" w14:textId="77777777" w:rsidTr="007C21AA">
        <w:trPr>
          <w:trHeight w:val="1247"/>
        </w:trPr>
        <w:tc>
          <w:tcPr>
            <w:tcW w:w="7655" w:type="dxa"/>
          </w:tcPr>
          <w:p w14:paraId="69C24C39" w14:textId="485EB6E5" w:rsidR="000B2117" w:rsidRPr="00A9162C" w:rsidRDefault="00B10489" w:rsidP="0016037B">
            <w:pPr>
              <w:pStyle w:val="Documentsubtitle"/>
            </w:pPr>
            <w:r w:rsidRPr="00A9162C">
              <w:t xml:space="preserve">Information for people receiving Department of Families, Fairness and </w:t>
            </w:r>
            <w:r w:rsidR="005D313C">
              <w:t>H</w:t>
            </w:r>
            <w:r w:rsidRPr="00A9162C">
              <w:t>ousing services</w:t>
            </w:r>
          </w:p>
        </w:tc>
      </w:tr>
    </w:tbl>
    <w:p w14:paraId="623B2D43" w14:textId="19524F9F" w:rsidR="007173CA" w:rsidRPr="00A9162C" w:rsidRDefault="007173CA" w:rsidP="00D079AA">
      <w:pPr>
        <w:pStyle w:val="Body"/>
      </w:pPr>
    </w:p>
    <w:p w14:paraId="13445742" w14:textId="77777777" w:rsidR="00580394" w:rsidRPr="00A9162C" w:rsidRDefault="00580394" w:rsidP="007173CA">
      <w:pPr>
        <w:pStyle w:val="Body"/>
        <w:sectPr w:rsidR="00580394" w:rsidRPr="00A9162C" w:rsidSect="00593A99">
          <w:headerReference w:type="default" r:id="rId13"/>
          <w:footerReference w:type="default" r:id="rId14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1DF09451" w14:textId="77777777" w:rsidR="00B10489" w:rsidRPr="00A9162C" w:rsidRDefault="00B10489" w:rsidP="00B10489">
      <w:pPr>
        <w:pStyle w:val="Heading1"/>
      </w:pPr>
      <w:r w:rsidRPr="00A9162C">
        <w:t>What is family violence?</w:t>
      </w:r>
    </w:p>
    <w:p w14:paraId="3176A22C" w14:textId="77777777" w:rsidR="00B10489" w:rsidRPr="00A9162C" w:rsidRDefault="00B10489" w:rsidP="00B10489">
      <w:pPr>
        <w:pStyle w:val="Body"/>
      </w:pPr>
      <w:r w:rsidRPr="00A9162C">
        <w:t>Family violence:</w:t>
      </w:r>
    </w:p>
    <w:p w14:paraId="2F38350C" w14:textId="52A77B52" w:rsidR="00B10489" w:rsidRPr="00A9162C" w:rsidRDefault="00B10489" w:rsidP="00B10489">
      <w:pPr>
        <w:pStyle w:val="Bullet1"/>
      </w:pPr>
      <w:r w:rsidRPr="00A9162C">
        <w:t xml:space="preserve">is when a person that is considered a family member (including a partner, an ex-partner or an extended family member/s) uses threatening, controlling or violent behaviour that makes someone (an adult or a child) feel scared or afraid for themselves or for another person </w:t>
      </w:r>
    </w:p>
    <w:p w14:paraId="1A57D6A4" w14:textId="7E32C9B5" w:rsidR="00B10489" w:rsidRPr="00A9162C" w:rsidRDefault="00B10489" w:rsidP="00B10489">
      <w:pPr>
        <w:pStyle w:val="Bullet1"/>
      </w:pPr>
      <w:r w:rsidRPr="00A9162C">
        <w:t>can be physical, emotional, financial, sexual, psychological or verbal abuse</w:t>
      </w:r>
    </w:p>
    <w:p w14:paraId="36D21DC8" w14:textId="7D712B8C" w:rsidR="00B10489" w:rsidRPr="00A9162C" w:rsidRDefault="00B10489" w:rsidP="00B10489">
      <w:pPr>
        <w:pStyle w:val="Bullet1"/>
      </w:pPr>
      <w:r w:rsidRPr="00A9162C">
        <w:t xml:space="preserve">can involve many harmful, abusive behaviours. </w:t>
      </w:r>
    </w:p>
    <w:p w14:paraId="35CD5115" w14:textId="77777777" w:rsidR="00B10489" w:rsidRPr="00A9162C" w:rsidRDefault="00B10489" w:rsidP="007C21AA">
      <w:pPr>
        <w:pStyle w:val="Bodyafterbullets"/>
        <w:rPr>
          <w:b/>
          <w:bCs/>
        </w:rPr>
      </w:pPr>
      <w:r w:rsidRPr="00A9162C">
        <w:rPr>
          <w:b/>
          <w:bCs/>
        </w:rPr>
        <w:t xml:space="preserve">Family violence is never okay. </w:t>
      </w:r>
    </w:p>
    <w:p w14:paraId="20AC5AC9" w14:textId="77777777" w:rsidR="00B10489" w:rsidRPr="00A9162C" w:rsidRDefault="00B10489" w:rsidP="00B10489">
      <w:pPr>
        <w:pStyle w:val="Heading1"/>
      </w:pPr>
      <w:r w:rsidRPr="00A9162C">
        <w:t>How can I access support?</w:t>
      </w:r>
    </w:p>
    <w:p w14:paraId="0F23A7CA" w14:textId="77777777" w:rsidR="00B10489" w:rsidRPr="00A9162C" w:rsidRDefault="00B10489" w:rsidP="00B10489">
      <w:pPr>
        <w:pStyle w:val="Body"/>
      </w:pPr>
      <w:r w:rsidRPr="00A9162C">
        <w:t>If there is an emergency, and you need immediate help, call triple zero (000).</w:t>
      </w:r>
    </w:p>
    <w:p w14:paraId="65E8B0E5" w14:textId="77777777" w:rsidR="00B10489" w:rsidRPr="00A9162C" w:rsidRDefault="00B10489" w:rsidP="00B10489">
      <w:pPr>
        <w:pStyle w:val="Body"/>
      </w:pPr>
      <w:r w:rsidRPr="00A9162C">
        <w:t xml:space="preserve">If it is not an emergency but you need help, call Safe Steps on 1800 015 188. Safe Steps is open 24 hours a day, seven days a week, every day of the year. </w:t>
      </w:r>
    </w:p>
    <w:p w14:paraId="2AD72A18" w14:textId="77777777" w:rsidR="00B10489" w:rsidRPr="00A9162C" w:rsidRDefault="00B10489" w:rsidP="00B10489">
      <w:pPr>
        <w:pStyle w:val="Heading1"/>
      </w:pPr>
      <w:r w:rsidRPr="00A9162C">
        <w:t>Family violence legislation</w:t>
      </w:r>
    </w:p>
    <w:p w14:paraId="1B769996" w14:textId="77777777" w:rsidR="00B10489" w:rsidRPr="00A9162C" w:rsidRDefault="00B10489" w:rsidP="00B10489">
      <w:pPr>
        <w:pStyle w:val="Heading2"/>
      </w:pPr>
      <w:r w:rsidRPr="00A9162C">
        <w:t>Child and Family Violence Information Sharing Schemes</w:t>
      </w:r>
    </w:p>
    <w:p w14:paraId="2FEED22E" w14:textId="5C4212B9" w:rsidR="00B10489" w:rsidRPr="00A9162C" w:rsidRDefault="00B10489" w:rsidP="00B10489">
      <w:pPr>
        <w:pStyle w:val="Body"/>
      </w:pPr>
      <w:r w:rsidRPr="00A9162C">
        <w:t xml:space="preserve">In Victoria there are laws </w:t>
      </w:r>
      <w:r w:rsidR="00C64F3E">
        <w:t>that</w:t>
      </w:r>
      <w:r w:rsidRPr="00A9162C">
        <w:t xml:space="preserve"> make it easier for organisations and services to share information to keep families and communities safer. </w:t>
      </w:r>
    </w:p>
    <w:p w14:paraId="7801FB82" w14:textId="77777777" w:rsidR="00B10489" w:rsidRPr="00A9162C" w:rsidRDefault="00B10489" w:rsidP="00B10489">
      <w:pPr>
        <w:pStyle w:val="Body"/>
      </w:pPr>
      <w:r w:rsidRPr="00A9162C">
        <w:t>The Child Information Sharing Scheme allows authorised organisations and services to share information to promote the wellbeing or safety of children.</w:t>
      </w:r>
    </w:p>
    <w:p w14:paraId="7F1AB165" w14:textId="77777777" w:rsidR="00B10489" w:rsidRPr="00A9162C" w:rsidRDefault="00B10489" w:rsidP="00B10489">
      <w:pPr>
        <w:pStyle w:val="Body"/>
      </w:pPr>
      <w:r w:rsidRPr="00A9162C">
        <w:t>The Family Violence Information Sharing Scheme allows authorised organisations and services to share information to assess and manage family violence risk to children and adults.</w:t>
      </w:r>
    </w:p>
    <w:p w14:paraId="3E14639B" w14:textId="77777777" w:rsidR="00B10489" w:rsidRPr="00A9162C" w:rsidRDefault="00B10489" w:rsidP="00B10489">
      <w:pPr>
        <w:pStyle w:val="Body"/>
      </w:pPr>
      <w:r w:rsidRPr="00A9162C">
        <w:t xml:space="preserve">These Schemes are being implemented with the Family Violence Multi-Agency Risk Assessment and Management Framework (MARAM). </w:t>
      </w:r>
    </w:p>
    <w:p w14:paraId="36DEFC60" w14:textId="77777777" w:rsidR="00F16C7C" w:rsidRPr="00A9162C" w:rsidRDefault="00F16C7C">
      <w:pPr>
        <w:spacing w:after="0" w:line="240" w:lineRule="auto"/>
        <w:rPr>
          <w:b/>
          <w:color w:val="C5511A"/>
          <w:sz w:val="32"/>
          <w:szCs w:val="28"/>
        </w:rPr>
      </w:pPr>
      <w:r w:rsidRPr="00A9162C">
        <w:br w:type="page"/>
      </w:r>
    </w:p>
    <w:p w14:paraId="2F3E0B26" w14:textId="3F3A33B8" w:rsidR="00B10489" w:rsidRPr="00A9162C" w:rsidRDefault="00B10489" w:rsidP="00B10489">
      <w:pPr>
        <w:pStyle w:val="Heading2"/>
      </w:pPr>
      <w:r w:rsidRPr="00A9162C">
        <w:lastRenderedPageBreak/>
        <w:t>MARAM</w:t>
      </w:r>
    </w:p>
    <w:p w14:paraId="7A3E8279" w14:textId="77777777" w:rsidR="00B10489" w:rsidRPr="00A9162C" w:rsidRDefault="00B10489" w:rsidP="00B10489">
      <w:pPr>
        <w:pStyle w:val="Body"/>
      </w:pPr>
      <w:r w:rsidRPr="00A9162C">
        <w:t>MARAM helps organisations and services to identify, assess and manage family violence risk.</w:t>
      </w:r>
    </w:p>
    <w:p w14:paraId="4B205BB6" w14:textId="77777777" w:rsidR="00B10489" w:rsidRPr="00A9162C" w:rsidRDefault="00B10489" w:rsidP="00B10489">
      <w:pPr>
        <w:pStyle w:val="Body"/>
      </w:pPr>
      <w:r w:rsidRPr="00A9162C">
        <w:t>MARAM will:</w:t>
      </w:r>
    </w:p>
    <w:p w14:paraId="336B236B" w14:textId="79A0915E" w:rsidR="00B10489" w:rsidRPr="00A9162C" w:rsidRDefault="00B10489" w:rsidP="00B10489">
      <w:pPr>
        <w:pStyle w:val="Bullet1"/>
      </w:pPr>
      <w:r w:rsidRPr="00A9162C">
        <w:t>increase the safety and wellbeing of Victorians</w:t>
      </w:r>
    </w:p>
    <w:p w14:paraId="303A9298" w14:textId="1FF5B890" w:rsidR="00B10489" w:rsidRPr="00A9162C" w:rsidRDefault="00B10489" w:rsidP="00B10489">
      <w:pPr>
        <w:pStyle w:val="Bullet1"/>
      </w:pPr>
      <w:r w:rsidRPr="00A9162C">
        <w:t>help services to work together better to keep families safer</w:t>
      </w:r>
    </w:p>
    <w:p w14:paraId="52169913" w14:textId="30B63811" w:rsidR="00B10489" w:rsidRPr="00A9162C" w:rsidRDefault="00B10489" w:rsidP="00B10489">
      <w:pPr>
        <w:pStyle w:val="Bullet1"/>
      </w:pPr>
      <w:r w:rsidRPr="00A9162C">
        <w:t>create a shared understanding of family violence</w:t>
      </w:r>
    </w:p>
    <w:p w14:paraId="47FB4F29" w14:textId="5991B027" w:rsidR="00B10489" w:rsidRPr="00A9162C" w:rsidRDefault="00B10489" w:rsidP="00B10489">
      <w:pPr>
        <w:pStyle w:val="Bullet1"/>
      </w:pPr>
      <w:r w:rsidRPr="00A9162C">
        <w:t>help more people access supports.</w:t>
      </w:r>
    </w:p>
    <w:p w14:paraId="0F18A8E5" w14:textId="77777777" w:rsidR="00B10489" w:rsidRPr="00A9162C" w:rsidRDefault="00B10489" w:rsidP="00B10489">
      <w:pPr>
        <w:pStyle w:val="Heading1"/>
      </w:pPr>
      <w:r w:rsidRPr="00A9162C">
        <w:t>Who can share information?</w:t>
      </w:r>
    </w:p>
    <w:p w14:paraId="40141A3B" w14:textId="77777777" w:rsidR="00B10489" w:rsidRPr="00A9162C" w:rsidRDefault="00B10489" w:rsidP="00B10489">
      <w:pPr>
        <w:pStyle w:val="Body"/>
      </w:pPr>
      <w:r w:rsidRPr="00A9162C">
        <w:t xml:space="preserve">People and services that can share information include: </w:t>
      </w:r>
    </w:p>
    <w:p w14:paraId="5E3F1662" w14:textId="451FA90D" w:rsidR="00B10489" w:rsidRPr="00A9162C" w:rsidRDefault="00B10489" w:rsidP="00B10489">
      <w:pPr>
        <w:pStyle w:val="Bullet1"/>
      </w:pPr>
      <w:r w:rsidRPr="00A9162C">
        <w:t>doctors and nurses</w:t>
      </w:r>
    </w:p>
    <w:p w14:paraId="354A9C59" w14:textId="6AA52C3D" w:rsidR="00B10489" w:rsidRPr="00A9162C" w:rsidRDefault="00B10489" w:rsidP="00B10489">
      <w:pPr>
        <w:pStyle w:val="Bullet1"/>
      </w:pPr>
      <w:r w:rsidRPr="00A9162C">
        <w:t xml:space="preserve">ambulance attendants </w:t>
      </w:r>
    </w:p>
    <w:p w14:paraId="0A5CC7A5" w14:textId="3F1191D8" w:rsidR="00B10489" w:rsidRPr="00A9162C" w:rsidRDefault="00A9162C" w:rsidP="00B10489">
      <w:pPr>
        <w:pStyle w:val="Bullet1"/>
      </w:pPr>
      <w:r w:rsidRPr="00A9162C">
        <w:t>m</w:t>
      </w:r>
      <w:r w:rsidR="00B10489" w:rsidRPr="00A9162C">
        <w:t xml:space="preserve">aternal and </w:t>
      </w:r>
      <w:r w:rsidRPr="00A9162C">
        <w:t>c</w:t>
      </w:r>
      <w:r w:rsidR="00B10489" w:rsidRPr="00A9162C">
        <w:t xml:space="preserve">hild </w:t>
      </w:r>
      <w:r w:rsidRPr="00A9162C">
        <w:t>h</w:t>
      </w:r>
      <w:r w:rsidR="00B10489" w:rsidRPr="00A9162C">
        <w:t>ealth</w:t>
      </w:r>
    </w:p>
    <w:p w14:paraId="2463B918" w14:textId="3C0868B3" w:rsidR="00B10489" w:rsidRPr="00A9162C" w:rsidRDefault="00B10489" w:rsidP="00B10489">
      <w:pPr>
        <w:pStyle w:val="Bullet1"/>
      </w:pPr>
      <w:r w:rsidRPr="00A9162C">
        <w:t xml:space="preserve">hospitals </w:t>
      </w:r>
    </w:p>
    <w:p w14:paraId="20C09162" w14:textId="29A57505" w:rsidR="00B10489" w:rsidRPr="00A9162C" w:rsidRDefault="00B10489" w:rsidP="00B10489">
      <w:pPr>
        <w:pStyle w:val="Bullet1"/>
      </w:pPr>
      <w:r w:rsidRPr="00A9162C">
        <w:t xml:space="preserve">schools </w:t>
      </w:r>
    </w:p>
    <w:p w14:paraId="169610E8" w14:textId="4B86FA10" w:rsidR="00B10489" w:rsidRPr="00A9162C" w:rsidRDefault="00B10489" w:rsidP="00B10489">
      <w:pPr>
        <w:pStyle w:val="Bullet1"/>
      </w:pPr>
      <w:r w:rsidRPr="00A9162C">
        <w:t>childcare centres</w:t>
      </w:r>
    </w:p>
    <w:p w14:paraId="16133F85" w14:textId="143408F6" w:rsidR="00B10489" w:rsidRPr="00A9162C" w:rsidRDefault="00B10489" w:rsidP="00B10489">
      <w:pPr>
        <w:pStyle w:val="Bullet1"/>
      </w:pPr>
      <w:r w:rsidRPr="00A9162C">
        <w:t>community housing and community health organisations</w:t>
      </w:r>
    </w:p>
    <w:p w14:paraId="7B787D5F" w14:textId="2E604637" w:rsidR="00B10489" w:rsidRPr="00A9162C" w:rsidRDefault="00F55A0E" w:rsidP="00B10489">
      <w:pPr>
        <w:pStyle w:val="Bullet1"/>
      </w:pPr>
      <w:r>
        <w:t>c</w:t>
      </w:r>
      <w:r w:rsidR="00B10489" w:rsidRPr="00A9162C">
        <w:t xml:space="preserve">hild </w:t>
      </w:r>
      <w:r>
        <w:t>pr</w:t>
      </w:r>
      <w:r w:rsidR="00B10489" w:rsidRPr="00A9162C">
        <w:t>otection</w:t>
      </w:r>
    </w:p>
    <w:p w14:paraId="586E9E38" w14:textId="5D9F4E82" w:rsidR="00B10489" w:rsidRPr="00A9162C" w:rsidRDefault="00A9162C" w:rsidP="00B10489">
      <w:pPr>
        <w:pStyle w:val="Bullet1"/>
      </w:pPr>
      <w:r w:rsidRPr="00A9162C">
        <w:t>h</w:t>
      </w:r>
      <w:r w:rsidR="00B10489" w:rsidRPr="00A9162C">
        <w:t xml:space="preserve">ousing, through the Department of Families Fairness and Housing </w:t>
      </w:r>
    </w:p>
    <w:p w14:paraId="26B8BC29" w14:textId="4B0CB457" w:rsidR="00B10489" w:rsidRPr="00A9162C" w:rsidRDefault="00B10489" w:rsidP="00B10489">
      <w:pPr>
        <w:pStyle w:val="Bullet1"/>
      </w:pPr>
      <w:r w:rsidRPr="00A9162C">
        <w:t>police</w:t>
      </w:r>
    </w:p>
    <w:p w14:paraId="1817475D" w14:textId="416F523C" w:rsidR="00B10489" w:rsidRDefault="00B10489" w:rsidP="00B10489">
      <w:pPr>
        <w:pStyle w:val="Bullet1"/>
      </w:pPr>
      <w:r>
        <w:t>courts.</w:t>
      </w:r>
    </w:p>
    <w:p w14:paraId="501985CA" w14:textId="77777777" w:rsidR="00B10489" w:rsidRDefault="00B10489" w:rsidP="00B10489">
      <w:pPr>
        <w:pStyle w:val="Heading1"/>
      </w:pPr>
      <w:r>
        <w:t xml:space="preserve">More information </w:t>
      </w:r>
    </w:p>
    <w:p w14:paraId="2EDACCAB" w14:textId="6A586075" w:rsidR="003B1BDC" w:rsidRPr="003B1BDC" w:rsidRDefault="00B10489" w:rsidP="00B10489">
      <w:pPr>
        <w:pStyle w:val="Body"/>
      </w:pPr>
      <w:r>
        <w:t xml:space="preserve">For more information about MARAM and the information sharing schemes, visit </w:t>
      </w:r>
      <w:hyperlink r:id="rId15" w:history="1">
        <w:r w:rsidRPr="00F16C7C">
          <w:rPr>
            <w:rStyle w:val="Hyperlink"/>
          </w:rPr>
          <w:t>Information sharing and MARAM reforms</w:t>
        </w:r>
      </w:hyperlink>
      <w:r>
        <w:t xml:space="preserve"> &lt;www.infosharing.vic.gov.au&gt;.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0208CB48" w14:textId="7697F001" w:rsidR="00B10489" w:rsidRDefault="00B10489" w:rsidP="00B10489">
            <w:pPr>
              <w:pStyle w:val="Accessibilitypara"/>
            </w:pPr>
            <w:bookmarkStart w:id="0" w:name="_Hlk37240926"/>
            <w:r>
              <w:t xml:space="preserve">To receive this publication in an accessible format </w:t>
            </w:r>
            <w:hyperlink r:id="rId16" w:history="1">
              <w:r w:rsidR="00F55A0E">
                <w:rPr>
                  <w:rStyle w:val="Hyperlink"/>
                </w:rPr>
                <w:t>email the MARAM and Information Sharing Implementation team</w:t>
              </w:r>
            </w:hyperlink>
            <w:r>
              <w:t xml:space="preserve"> &lt;infosharing@dffh.vic.gov.au&gt; </w:t>
            </w:r>
          </w:p>
          <w:p w14:paraId="266B2781" w14:textId="77777777" w:rsidR="00B10489" w:rsidRDefault="00B10489" w:rsidP="00B10489">
            <w:pPr>
              <w:pStyle w:val="Imprint"/>
            </w:pPr>
            <w:r>
              <w:t>Authorised and published by the Victorian Government, 1 Treasury Place, Melbourne.</w:t>
            </w:r>
          </w:p>
          <w:p w14:paraId="77D748FE" w14:textId="77777777" w:rsidR="00B10489" w:rsidRDefault="00B10489" w:rsidP="00B10489">
            <w:pPr>
              <w:pStyle w:val="Imprint"/>
            </w:pPr>
            <w:r>
              <w:t>© State of Victoria, Australia, March 2021.</w:t>
            </w:r>
          </w:p>
          <w:p w14:paraId="1D57F1FD" w14:textId="77777777" w:rsidR="00A9162C" w:rsidRDefault="00A9162C" w:rsidP="00B10489">
            <w:pPr>
              <w:pStyle w:val="Imprint"/>
            </w:pPr>
            <w:r w:rsidRPr="00A9162C">
              <w:t xml:space="preserve">ISBN 978-1-76096-922-6 (pdf/online/MS word) </w:t>
            </w:r>
          </w:p>
          <w:p w14:paraId="0C92739F" w14:textId="2BCE033E" w:rsidR="0055119B" w:rsidRDefault="00390BFA" w:rsidP="00B10489">
            <w:pPr>
              <w:pStyle w:val="Imprint"/>
            </w:pPr>
            <w:r>
              <w:t xml:space="preserve">Available at </w:t>
            </w:r>
            <w:hyperlink r:id="rId17" w:history="1">
              <w:r>
                <w:rPr>
                  <w:rStyle w:val="Hyperlink"/>
                </w:rPr>
                <w:t>Family violence multi-agency risk assessment and management framework - DFFH Service Providers</w:t>
              </w:r>
            </w:hyperlink>
            <w:r>
              <w:t xml:space="preserve"> &lt;https://providers.dffh.vic.gov.au/family-violence-risk-assessment-and-risk-management-framework&gt;</w:t>
            </w:r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AE15" w14:textId="77777777" w:rsidR="00C04F42" w:rsidRDefault="00C04F42">
      <w:r>
        <w:separator/>
      </w:r>
    </w:p>
    <w:p w14:paraId="4DFF195F" w14:textId="77777777" w:rsidR="00C04F42" w:rsidRDefault="00C04F42"/>
  </w:endnote>
  <w:endnote w:type="continuationSeparator" w:id="0">
    <w:p w14:paraId="31120318" w14:textId="77777777" w:rsidR="00C04F42" w:rsidRDefault="00C04F42">
      <w:r>
        <w:continuationSeparator/>
      </w:r>
    </w:p>
    <w:p w14:paraId="1B0D8AE9" w14:textId="77777777" w:rsidR="00C04F42" w:rsidRDefault="00C04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70352A68" w:rsidR="00E261B3" w:rsidRPr="00F65AA9" w:rsidRDefault="007C21AA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9504" behindDoc="1" locked="1" layoutInCell="0" allowOverlap="1" wp14:anchorId="0B3C5F61" wp14:editId="0B9CF73D">
          <wp:simplePos x="542925" y="10201275"/>
          <wp:positionH relativeFrom="page">
            <wp:align>left</wp:align>
          </wp:positionH>
          <wp:positionV relativeFrom="page">
            <wp:align>bottom</wp:align>
          </wp:positionV>
          <wp:extent cx="7560000" cy="792000"/>
          <wp:effectExtent l="0" t="0" r="3175" b="8255"/>
          <wp:wrapNone/>
          <wp:docPr id="2" name="Picture 2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0EDC9EA4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B192" w14:textId="77777777" w:rsidR="00C04F42" w:rsidRDefault="00C04F42" w:rsidP="00207717">
      <w:pPr>
        <w:spacing w:before="120"/>
      </w:pPr>
      <w:r>
        <w:separator/>
      </w:r>
    </w:p>
  </w:footnote>
  <w:footnote w:type="continuationSeparator" w:id="0">
    <w:p w14:paraId="085DD31F" w14:textId="77777777" w:rsidR="00C04F42" w:rsidRDefault="00C04F42">
      <w:r>
        <w:continuationSeparator/>
      </w:r>
    </w:p>
    <w:p w14:paraId="1278FC72" w14:textId="77777777" w:rsidR="00C04F42" w:rsidRDefault="00C04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E8E4" w14:textId="77777777" w:rsidR="00F16C7C" w:rsidRDefault="00F16C7C" w:rsidP="00F16C7C">
    <w:pPr>
      <w:pStyle w:val="Header"/>
    </w:pPr>
    <w:r>
      <w:t>Family violence and child wellbeing and safety reforms</w:t>
    </w:r>
  </w:p>
  <w:p w14:paraId="01FD96D1" w14:textId="04562932" w:rsidR="00E261B3" w:rsidRPr="00F16C7C" w:rsidRDefault="00F16C7C" w:rsidP="00F16C7C">
    <w:pPr>
      <w:pStyle w:val="Header"/>
    </w:pPr>
    <w:r w:rsidRPr="00A9162C">
      <w:rPr>
        <w:b w:val="0"/>
        <w:bCs/>
      </w:rPr>
      <w:t xml:space="preserve">Information for people receiving Department of Families, Fairness and </w:t>
    </w:r>
    <w:r w:rsidR="005D313C">
      <w:rPr>
        <w:b w:val="0"/>
        <w:bCs/>
      </w:rPr>
      <w:t>H</w:t>
    </w:r>
    <w:r w:rsidRPr="00A9162C">
      <w:rPr>
        <w:b w:val="0"/>
        <w:bCs/>
      </w:rPr>
      <w:t>ousing services</w:t>
    </w:r>
    <w:r w:rsidR="00B14B5F" w:rsidRPr="00A9162C">
      <w:rPr>
        <w:b w:val="0"/>
        <w:bCs/>
      </w:rPr>
      <w:ptab w:relativeTo="margin" w:alignment="right" w:leader="none"/>
    </w:r>
    <w:r w:rsidR="00B14B5F" w:rsidRPr="00A9162C">
      <w:fldChar w:fldCharType="begin"/>
    </w:r>
    <w:r w:rsidR="00B14B5F" w:rsidRPr="00A9162C">
      <w:instrText xml:space="preserve"> PAGE </w:instrText>
    </w:r>
    <w:r w:rsidR="00B14B5F" w:rsidRPr="00A9162C">
      <w:fldChar w:fldCharType="separate"/>
    </w:r>
    <w:r w:rsidR="00B14B5F" w:rsidRPr="00A9162C">
      <w:t>2</w:t>
    </w:r>
    <w:r w:rsidR="00B14B5F" w:rsidRPr="00A9162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</w:num>
  <w:num w:numId="42">
    <w:abstractNumId w:val="21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3A24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0BFA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313C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1AA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0FE9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162C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0489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4F3E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679D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6E61"/>
    <w:rsid w:val="00F101B8"/>
    <w:rsid w:val="00F10C7D"/>
    <w:rsid w:val="00F11037"/>
    <w:rsid w:val="00F16C7C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A0E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C21A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848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7C21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C5511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7C21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000000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7C21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0000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7C21A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B10489"/>
    <w:pPr>
      <w:spacing w:after="160" w:line="32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7C21AA"/>
    <w:rPr>
      <w:rFonts w:ascii="Arial" w:eastAsia="MS Gothic" w:hAnsi="Arial" w:cs="Arial"/>
      <w:bCs/>
      <w:color w:val="00848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C21AA"/>
    <w:rPr>
      <w:rFonts w:ascii="Arial" w:hAnsi="Arial"/>
      <w:b/>
      <w:color w:val="C5511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7C21AA"/>
    <w:rPr>
      <w:rFonts w:ascii="Arial" w:eastAsia="MS Gothic" w:hAnsi="Arial"/>
      <w:bCs/>
      <w:color w:val="000000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7C21AA"/>
    <w:rPr>
      <w:rFonts w:ascii="Arial" w:eastAsia="MS Mincho" w:hAnsi="Arial"/>
      <w:b/>
      <w:bCs/>
      <w:color w:val="000000" w:themeColor="text1"/>
      <w:sz w:val="24"/>
      <w:szCs w:val="22"/>
      <w:lang w:eastAsia="en-US"/>
    </w:rPr>
  </w:style>
  <w:style w:type="paragraph" w:styleId="Header">
    <w:name w:val="header"/>
    <w:uiPriority w:val="10"/>
    <w:rsid w:val="00F16C7C"/>
    <w:rPr>
      <w:rFonts w:ascii="Arial" w:hAnsi="Arial" w:cs="Arial"/>
      <w:b/>
      <w:color w:val="000000" w:themeColor="text1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7C21AA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16C7C"/>
    <w:pPr>
      <w:spacing w:after="80" w:line="480" w:lineRule="atLeast"/>
    </w:pPr>
    <w:rPr>
      <w:rFonts w:ascii="Arial" w:hAnsi="Arial"/>
      <w:b/>
      <w:color w:val="000000" w:themeColor="text1"/>
      <w:sz w:val="44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7C21AA"/>
    <w:pPr>
      <w:spacing w:after="100" w:line="360" w:lineRule="atLeast"/>
    </w:pPr>
    <w:rPr>
      <w:rFonts w:ascii="Arial" w:hAnsi="Arial"/>
      <w:color w:val="000000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B10489"/>
    <w:rPr>
      <w:rFonts w:ascii="Arial" w:eastAsia="Times" w:hAnsi="Arial"/>
      <w:sz w:val="22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viders.dffh.vic.gov.au/family-violence-risk-assessment-and-risk-management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sharing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nfosharing.vic.gov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5FA63-47EE-4F0F-9275-5EB5702FBF92}"/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fe161729-0ef4-4b53-b9e8-ddb61266bb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violence and child wellbeing and safety reforms - Information for people receiving Department of Families, Fairness and Housing services</vt:lpstr>
    </vt:vector>
  </TitlesOfParts>
  <Company>Victoria State Government, Department of Families, Fairness and Housing</Company>
  <LinksUpToDate>false</LinksUpToDate>
  <CharactersWithSpaces>3094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and child wellbeing and safety reforms - Information for people receiving Department of Families, Fairness and Housing services</dc:title>
  <dc:subject>Family violence and child wellbeing and safety reforms</dc:subject>
  <dc:creator>MARAM and Information Sharing Implementation team</dc:creator>
  <cp:keywords>Family violence; child wellbeing and safety; reforms; Information for people receiving Department of Families, Fairness and housing services</cp:keywords>
  <cp:lastModifiedBy>Clare Mellody (DFFH)</cp:lastModifiedBy>
  <cp:revision>3</cp:revision>
  <cp:lastPrinted>2021-01-29T05:27:00Z</cp:lastPrinted>
  <dcterms:created xsi:type="dcterms:W3CDTF">2022-07-20T05:18:00Z</dcterms:created>
  <dcterms:modified xsi:type="dcterms:W3CDTF">2022-07-21T06:00:00Z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SIP_Label_efdf5488-3066-4b6c-8fea-9472b8a1f34c_Enabled">
    <vt:lpwstr>true</vt:lpwstr>
  </property>
  <property fmtid="{D5CDD505-2E9C-101B-9397-08002B2CF9AE}" pid="17" name="MSIP_Label_efdf5488-3066-4b6c-8fea-9472b8a1f34c_SetDate">
    <vt:lpwstr>2022-07-13T07:04:12Z</vt:lpwstr>
  </property>
  <property fmtid="{D5CDD505-2E9C-101B-9397-08002B2CF9AE}" pid="18" name="MSIP_Label_efdf5488-3066-4b6c-8fea-9472b8a1f34c_Method">
    <vt:lpwstr>Privileged</vt:lpwstr>
  </property>
  <property fmtid="{D5CDD505-2E9C-101B-9397-08002B2CF9AE}" pid="19" name="MSIP_Label_efdf5488-3066-4b6c-8fea-9472b8a1f34c_Name">
    <vt:lpwstr>efdf5488-3066-4b6c-8fea-9472b8a1f34c</vt:lpwstr>
  </property>
  <property fmtid="{D5CDD505-2E9C-101B-9397-08002B2CF9AE}" pid="20" name="MSIP_Label_efdf5488-3066-4b6c-8fea-9472b8a1f34c_SiteId">
    <vt:lpwstr>c0e0601f-0fac-449c-9c88-a104c4eb9f28</vt:lpwstr>
  </property>
  <property fmtid="{D5CDD505-2E9C-101B-9397-08002B2CF9AE}" pid="21" name="MSIP_Label_efdf5488-3066-4b6c-8fea-9472b8a1f34c_ActionId">
    <vt:lpwstr>394233fa-a75c-4eb6-a333-139cf83b3e60</vt:lpwstr>
  </property>
  <property fmtid="{D5CDD505-2E9C-101B-9397-08002B2CF9AE}" pid="22" name="MSIP_Label_efdf5488-3066-4b6c-8fea-9472b8a1f34c_ContentBits">
    <vt:lpwstr>0</vt:lpwstr>
  </property>
</Properties>
</file>