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Rural Small High Care Supplement 13107</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myagedcare.gov.au/" TargetMode="External"/>
<Relationship Id="rId12" Type="http://schemas.openxmlformats.org/officeDocument/2006/relationships/hyperlink" Target="https://agedcare.health.gov.au/publications-articles/factsheets" TargetMode="External"/>
<Relationship Id="rId13" Type="http://schemas.openxmlformats.org/officeDocument/2006/relationships/hyperlink" Target="https://www.health.vic.gov.au/policy-and-funding-guidelines-for-health-services" TargetMode="External"/>
<Relationship Id="rId14" Type="http://schemas.openxmlformats.org/officeDocument/2006/relationships/hyperlink" Target="https://agedcare.health.gov.au/publications-articles/guides-advice-policy" TargetMode="External"/>
<Relationship Id="rId15" Type="http://schemas.openxmlformats.org/officeDocument/2006/relationships/hyperlink" Target="file:/F:/Oracle/Middleware/Oracle_Home/user_projects/domains/bi" TargetMode="External"/>
<Relationship Id="rId16" Type="http://schemas.openxmlformats.org/officeDocument/2006/relationships/hyperlink" Target="file:/F:/Oracle/Middleware/Oracle_Home/user_projects/domains/bi" TargetMode="External"/>
<Relationship Id="rId17" Type="http://schemas.openxmlformats.org/officeDocument/2006/relationships/hyperlink" Target="file:/F:/Oracle/Middleware/Oracle_Home/user_projects/domains/bi" TargetMode="External"/>
<Relationship Id="rId18" Type="http://schemas.openxmlformats.org/officeDocument/2006/relationships/hyperlink" Target="http://providers.dffh.vic.gov.au/families-fairness-housing-health-activity-search" TargetMode="External"/>
<Relationship Id="rId19"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Rural Small High Care Supplement</w:t>
            </w:r>
          </w:p>
          <w:p>
            <w:pPr>
              <w:spacing w:line="560" w:lineRule="atLeast"/>
              <w:rPr>
                <w:rFonts w:ascii="Arial" w:hAnsi="Arial" w:eastAsia="Arial" w:cs="Arial"/>
                <w:color w:val="201547"/>
                <w:sz w:val="44"/>
              </w:rPr>
            </w:pPr>
            <w:r>
              <w:rPr>
                <w:rFonts w:ascii="Arial" w:hAnsi="Arial" w:eastAsia="Arial" w:cs="Arial"/>
                <w:color w:val="201547"/>
                <w:sz w:val="44"/>
              </w:rPr>
              <w:t>13107</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Ageing, Aged and Home Care</w:t>
            </w:r>
          </w:p>
          <w:p>
            <w:pPr>
              <w:spacing w:after="120"/>
              <w:rPr>
                <w:rFonts w:ascii="Arial" w:hAnsi="Arial" w:eastAsia="Arial" w:cs="Arial"/>
                <w:color w:val="201547"/>
                <w:sz w:val="28"/>
              </w:rPr>
            </w:pPr>
            <w:r>
              <w:rPr>
                <w:rFonts w:ascii="Arial" w:hAnsi="Arial" w:eastAsia="Arial" w:cs="Arial"/>
                <w:color w:val="201547"/>
                <w:sz w:val="28"/>
              </w:rPr>
              <w:t>Output: Residential Aged Care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Rural Small High Care Supplement is a viability supplement targeting small public sector residential aged care services designated as High Care and located in rural and regional Victoria.</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Funds designated small-sized high-care public sector residential aged care services (up to 30 places) that are located in rural Victoria. There are three levels of supplement paid for services of various sizes:</w:t>
      </w:r>
      <w:r>
        <w:br/>
      </w:r>
      <w:r>
        <w:rPr>
          <w:rFonts w:ascii="Arial" w:hAnsi="Arial" w:eastAsia="Arial" w:cs="Arial"/>
          <w:color w:val="000000"/>
          <w:sz w:val="20"/>
        </w:rPr>
        <w:t>•     services with one to 10 high-care places</w:t>
      </w:r>
      <w:r>
        <w:br/>
      </w:r>
      <w:r>
        <w:rPr>
          <w:rFonts w:ascii="Arial" w:hAnsi="Arial" w:eastAsia="Arial" w:cs="Arial"/>
          <w:color w:val="000000"/>
          <w:sz w:val="20"/>
        </w:rPr>
        <w:t>•     services with 11–20 high-care places</w:t>
      </w:r>
      <w:r>
        <w:br/>
      </w:r>
      <w:r>
        <w:rPr>
          <w:rFonts w:ascii="Arial" w:hAnsi="Arial" w:eastAsia="Arial" w:cs="Arial"/>
          <w:color w:val="000000"/>
          <w:sz w:val="20"/>
        </w:rPr>
        <w:t>•     services with 21–30 high-care places.</w:t>
      </w:r>
      <w:r>
        <w:br/>
      </w:r>
      <w:r>
        <w:br/>
      </w:r>
      <w:r>
        <w:rPr>
          <w:rFonts w:ascii="Arial" w:hAnsi="Arial" w:eastAsia="Arial" w:cs="Arial"/>
          <w:color w:val="000000"/>
          <w:sz w:val="20"/>
        </w:rPr>
        <w:t>Funding to public sector residential aged care services (PSRACS) classified as High Care for the purposes of State Government Funding, consists of different components or supplements with the final payment per bed dependent upon the service size, location and whether these places are subject to ASR, or if they are designated as Complex Care places.</w:t>
      </w:r>
      <w:r>
        <w:br/>
      </w:r>
      <w:r>
        <w:br/>
      </w:r>
      <w:r>
        <w:rPr>
          <w:rFonts w:ascii="Arial" w:hAnsi="Arial" w:eastAsia="Arial" w:cs="Arial"/>
          <w:color w:val="000000"/>
          <w:sz w:val="20"/>
        </w:rPr>
        <w:t>The only Supplement that all High Care places receive is the High Care Supplement, consequently all service obligations are attached to that Supplement.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This supplement applies only to High Care services with 30 or fewer places (beds) and are located in rural and regional Victoria. </w:t>
      </w:r>
      <w:r>
        <w:br/>
      </w:r>
      <w:r>
        <w:rPr>
          <w:rFonts w:ascii="Arial" w:hAnsi="Arial" w:eastAsia="Arial" w:cs="Arial"/>
          <w:color w:val="000000"/>
          <w:sz w:val="20"/>
        </w:rPr>
        <w:t>The client group this activity is targeted at is people with higher care needs who require permanent residential aged care or respite and who are located in rural and regional Victoria.</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Accredited by the Australian Aged Care Quality and Safety Commission</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My Aged Care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&lt;https://www.myagedcare.gov.au/&gt;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Aged care reform fact sheets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&lt;https://agedcare.health.gov.au/publications-articles/factsheets&gt;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Policy and funding guidelines for health services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&lt;https://www.health.vic.gov.au/policy-and-funding-guidelines-for-health-services&gt;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Aged Care Guides and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&lt;https://agedcare.health.gov.au/publications-articles/guides-advice-policy&gt;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PSRACS financial data submitted to the department for the F1 data collection must be submitted using the Campus codes allocated to each Health Service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VICNISS infection control module; participation in the annual Aged Care National Antimicrobial Prescribing Survey (acNAPS); monitoring and reporting on Significant organisms such as MRSA, VRE and CDI; resident vaccination rates for influenza, herpes zoster and pneumococcal; staff vaccination rates for influenza. (for assistance contact VICNISS Coordinating Centre by phone 9342 9333 or VICNISS email &lt;vicniss@mh.org.au&gt;)</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AIMS Public sector residential aged care services quality indicators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occupied bed days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encourage efficient utilisation of funded places (beds).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Occupied bed days is derived by summing the total bed days for permanent residents (RCS and ACFI), Respite, Uncategorised Residents and Short-Term Restorative Care for all DHHS funded High Care places in the service. This is then expressed as a percentage of the available (i.e. operational) bed days to determine occupancy.   Counting rules are contained in a document provided to personnel entering the data for each agency.</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Residential Aged Care Services Data Collection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RCS – Resident Classification Scale: resident classification used to determine Commonwealth funding up to July 2007.</w:t>
            </w:r>
            <w:r>
              <w:br/>
            </w:r>
            <w:r>
              <w:rPr>
                <w:rFonts w:ascii="Arial" w:hAnsi="Arial" w:eastAsia="Arial" w:cs="Arial"/>
                <w:color w:val="000000"/>
                <w:sz w:val="20"/>
              </w:rPr>
              <w:t>ACFI – Aged Care Funding Instrument: resident classification used to determine Commonwealth funding since August 2007.</w:t>
            </w:r>
            <w:r>
              <w:br/>
            </w:r>
            <w:r>
              <w:rPr>
                <w:rFonts w:ascii="Arial" w:hAnsi="Arial" w:eastAsia="Arial" w:cs="Arial"/>
                <w:color w:val="000000"/>
                <w:sz w:val="20"/>
              </w:rPr>
              <w:t>Respite: residents in residential aged care short term.</w:t>
            </w:r>
            <w:r>
              <w:br/>
            </w:r>
            <w:r>
              <w:rPr>
                <w:rFonts w:ascii="Arial" w:hAnsi="Arial" w:eastAsia="Arial" w:cs="Arial"/>
                <w:color w:val="000000"/>
                <w:sz w:val="20"/>
              </w:rPr>
              <w:t>Uncategorised: residents who have not been assessed under the ACFI.</w:t>
            </w:r>
            <w:r>
              <w:br/>
            </w:r>
            <w:r>
              <w:rPr>
                <w:rFonts w:ascii="Arial" w:hAnsi="Arial" w:eastAsia="Arial" w:cs="Arial"/>
                <w:color w:val="000000"/>
                <w:sz w:val="20"/>
              </w:rPr>
              <w:t>Short-Term Restorative Care: residents in residential care short term</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Residential Aged Care Services Data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AIMS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Residential aged care – Form S5_129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Residential Services Data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AIMS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Residential Aged Persons Mental Health Data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AIMS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Aged persons mental health Form S5_115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November 2023</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8"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Ageing, Aged and Home Care 13107 Rural Small High Care Supplement</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