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B206" w14:textId="039CCB5D" w:rsidR="00D02C03" w:rsidRPr="00DA4141" w:rsidRDefault="00A01FB1" w:rsidP="001957B6">
      <w:pPr>
        <w:pStyle w:val="Documenttitle"/>
      </w:pPr>
      <w:r w:rsidRPr="00DA4141">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r w:rsidR="00D02C03" w:rsidRPr="00DA4141">
        <w:t>Respecting and valuing older people: Victoria’s Primary Prevention of Elder Abuse Framework</w:t>
      </w:r>
      <w:r w:rsidR="00837509">
        <w:t xml:space="preserve"> </w:t>
      </w:r>
      <w:r w:rsidR="00D02C03" w:rsidRPr="00DA4141">
        <w:t>Handbook</w:t>
      </w:r>
    </w:p>
    <w:p w14:paraId="2F683BC2" w14:textId="77777777" w:rsidR="00286400" w:rsidRPr="00DA4141" w:rsidRDefault="00731257" w:rsidP="00430393">
      <w:pPr>
        <w:pStyle w:val="Bannermarking"/>
      </w:pPr>
      <w:fldSimple w:instr=" FILLIN  &quot;Type the protective marking&quot; \d OFFICIAL \o  \* MERGEFORMAT ">
        <w:r w:rsidRPr="00DA4141">
          <w:t>OFFICIAL</w:t>
        </w:r>
      </w:fldSimple>
    </w:p>
    <w:p w14:paraId="4CC94416" w14:textId="77777777" w:rsidR="00FE4081" w:rsidRPr="00DA4141" w:rsidRDefault="00FE4081" w:rsidP="00FE4081">
      <w:pPr>
        <w:pStyle w:val="Body"/>
      </w:pPr>
    </w:p>
    <w:p w14:paraId="6045EC30" w14:textId="77777777" w:rsidR="00FE4081" w:rsidRPr="00DA4141" w:rsidRDefault="00FE4081" w:rsidP="00FE4081">
      <w:pPr>
        <w:pStyle w:val="Body"/>
        <w:sectPr w:rsidR="00FE4081" w:rsidRPr="00DA414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512D9150" w14:textId="50F1762C" w:rsidR="006F3959" w:rsidRPr="00DA4141" w:rsidRDefault="00261133" w:rsidP="00270B02">
      <w:pPr>
        <w:pStyle w:val="Accessibilitypara"/>
        <w:rPr>
          <w:rStyle w:val="Hyperlink"/>
        </w:rPr>
      </w:pPr>
      <w:r w:rsidRPr="00DA4141">
        <w:lastRenderedPageBreak/>
        <w:t xml:space="preserve">To receive this document in another format, email Elder Abuse Reform: </w:t>
      </w:r>
      <w:hyperlink r:id="rId15" w:history="1">
        <w:r w:rsidR="007C692F" w:rsidRPr="00DA4141">
          <w:rPr>
            <w:rStyle w:val="Hyperlink"/>
          </w:rPr>
          <w:t>elder.abuse@dffh.vic.gov.au</w:t>
        </w:r>
      </w:hyperlink>
    </w:p>
    <w:p w14:paraId="3F555760" w14:textId="77777777" w:rsidR="00261133" w:rsidRPr="00DA4141" w:rsidRDefault="00261133" w:rsidP="00EA313A">
      <w:pPr>
        <w:pStyle w:val="Imprint"/>
      </w:pPr>
      <w:r w:rsidRPr="00DA4141">
        <w:t>Authorised and published by the Victorian Government, 1 Treasury Place, Melbourne.</w:t>
      </w:r>
    </w:p>
    <w:p w14:paraId="4805DA69" w14:textId="7F0CE403" w:rsidR="00261133" w:rsidRPr="00DA4141" w:rsidRDefault="00261133" w:rsidP="00EA313A">
      <w:pPr>
        <w:pStyle w:val="Imprint"/>
      </w:pPr>
      <w:r w:rsidRPr="00DA4141">
        <w:t>© State of Victoria, Australia, Department of Families, Fairness and Housing</w:t>
      </w:r>
      <w:r w:rsidR="00524179" w:rsidRPr="00DA4141">
        <w:t>,</w:t>
      </w:r>
      <w:r w:rsidRPr="00DA4141">
        <w:t xml:space="preserve"> June 2026.</w:t>
      </w:r>
    </w:p>
    <w:p w14:paraId="2398D480" w14:textId="77777777" w:rsidR="00261133" w:rsidRPr="00DA4141" w:rsidRDefault="00261133" w:rsidP="00EA313A">
      <w:pPr>
        <w:pStyle w:val="Imprint"/>
      </w:pPr>
      <w:r w:rsidRPr="00DA4141">
        <w:t>In this document, ‘Aboriginal’ refers to both Aboriginal and Torres Strait Islander people. ‘Indigenous’ or ‘Koori/Koorie’ is retained when part of the title of a report, program or quotation.</w:t>
      </w:r>
    </w:p>
    <w:p w14:paraId="391CEA9F" w14:textId="77777777" w:rsidR="00261133" w:rsidRPr="00DA4141" w:rsidRDefault="00261133" w:rsidP="00EA313A">
      <w:pPr>
        <w:pStyle w:val="Imprint"/>
      </w:pPr>
      <w:r w:rsidRPr="00DA4141">
        <w:t>978-1-76171-117-6 (online/PDF/Word)</w:t>
      </w:r>
    </w:p>
    <w:p w14:paraId="783E98F3" w14:textId="6CE78418" w:rsidR="00270B02" w:rsidRPr="00DA4141" w:rsidRDefault="00261133" w:rsidP="00EA313A">
      <w:pPr>
        <w:pStyle w:val="Imprint"/>
      </w:pPr>
      <w:r w:rsidRPr="00DA4141">
        <w:t xml:space="preserve">Available at </w:t>
      </w:r>
      <w:hyperlink r:id="rId16" w:history="1">
        <w:r w:rsidR="00EA313A" w:rsidRPr="00DA4141">
          <w:rPr>
            <w:rStyle w:val="Hyperlink"/>
          </w:rPr>
          <w:t xml:space="preserve">DFFH </w:t>
        </w:r>
        <w:r w:rsidR="006F3959" w:rsidRPr="00DA4141">
          <w:rPr>
            <w:rStyle w:val="Hyperlink"/>
          </w:rPr>
          <w:t>Service p</w:t>
        </w:r>
        <w:r w:rsidR="00EA313A" w:rsidRPr="00DA4141">
          <w:rPr>
            <w:rStyle w:val="Hyperlink"/>
          </w:rPr>
          <w:t>roviders – Preventing elder abuse</w:t>
        </w:r>
      </w:hyperlink>
      <w:r w:rsidRPr="00DA4141">
        <w:t xml:space="preserve"> https://providers.dffh.vic.gov.au/preventing-elder-abuse </w:t>
      </w:r>
    </w:p>
    <w:p w14:paraId="2FE25563" w14:textId="5987F74E" w:rsidR="00261133" w:rsidRPr="00DA4141" w:rsidRDefault="00261133" w:rsidP="00EA313A">
      <w:pPr>
        <w:pStyle w:val="Imprint"/>
      </w:pPr>
      <w:r w:rsidRPr="00DA4141">
        <w:t>(2506383)</w:t>
      </w:r>
    </w:p>
    <w:p w14:paraId="77C2284D" w14:textId="77777777" w:rsidR="00AD784C" w:rsidRPr="00DA4141" w:rsidRDefault="00AD784C" w:rsidP="002365B4">
      <w:pPr>
        <w:pStyle w:val="TOCheadingreport"/>
      </w:pPr>
      <w:r w:rsidRPr="00DA4141">
        <w:lastRenderedPageBreak/>
        <w:t>Contents</w:t>
      </w:r>
    </w:p>
    <w:p w14:paraId="72958A5B" w14:textId="2AC7E5F3" w:rsidR="00EA0EA2" w:rsidRDefault="00AD784C">
      <w:pPr>
        <w:pStyle w:val="TOC1"/>
        <w:rPr>
          <w:rFonts w:asciiTheme="minorHAnsi" w:eastAsiaTheme="minorEastAsia" w:hAnsiTheme="minorHAnsi" w:cstheme="minorBidi"/>
          <w:b w:val="0"/>
          <w:kern w:val="2"/>
          <w:szCs w:val="24"/>
          <w:lang w:eastAsia="en-AU"/>
          <w14:ligatures w14:val="standardContextual"/>
        </w:rPr>
      </w:pPr>
      <w:r w:rsidRPr="00DA4141">
        <w:fldChar w:fldCharType="begin"/>
      </w:r>
      <w:r w:rsidRPr="00DA4141">
        <w:instrText xml:space="preserve"> TOC \h \z \t "Heading 1,1,Heading 2,2" </w:instrText>
      </w:r>
      <w:r w:rsidRPr="00DA4141">
        <w:fldChar w:fldCharType="separate"/>
      </w:r>
      <w:hyperlink w:anchor="_Toc230956224" w:history="1">
        <w:r w:rsidR="00EA0EA2" w:rsidRPr="00886114">
          <w:rPr>
            <w:rStyle w:val="Hyperlink"/>
          </w:rPr>
          <w:t>Introduction</w:t>
        </w:r>
        <w:r w:rsidR="00EA0EA2">
          <w:rPr>
            <w:webHidden/>
          </w:rPr>
          <w:tab/>
        </w:r>
        <w:r w:rsidR="00EA0EA2">
          <w:rPr>
            <w:webHidden/>
          </w:rPr>
          <w:fldChar w:fldCharType="begin"/>
        </w:r>
        <w:r w:rsidR="00EA0EA2">
          <w:rPr>
            <w:webHidden/>
          </w:rPr>
          <w:instrText xml:space="preserve"> PAGEREF _Toc230956224 \h </w:instrText>
        </w:r>
        <w:r w:rsidR="00EA0EA2">
          <w:rPr>
            <w:webHidden/>
          </w:rPr>
        </w:r>
        <w:r w:rsidR="00EA0EA2">
          <w:rPr>
            <w:webHidden/>
          </w:rPr>
          <w:fldChar w:fldCharType="separate"/>
        </w:r>
        <w:r w:rsidR="00EA0EA2">
          <w:rPr>
            <w:webHidden/>
          </w:rPr>
          <w:t>4</w:t>
        </w:r>
        <w:r w:rsidR="00EA0EA2">
          <w:rPr>
            <w:webHidden/>
          </w:rPr>
          <w:fldChar w:fldCharType="end"/>
        </w:r>
      </w:hyperlink>
    </w:p>
    <w:p w14:paraId="6DE9C5DC" w14:textId="523846E4" w:rsidR="00EA0EA2" w:rsidRDefault="00EA0EA2">
      <w:pPr>
        <w:pStyle w:val="TOC1"/>
        <w:rPr>
          <w:rFonts w:asciiTheme="minorHAnsi" w:eastAsiaTheme="minorEastAsia" w:hAnsiTheme="minorHAnsi" w:cstheme="minorBidi"/>
          <w:b w:val="0"/>
          <w:kern w:val="2"/>
          <w:szCs w:val="24"/>
          <w:lang w:eastAsia="en-AU"/>
          <w14:ligatures w14:val="standardContextual"/>
        </w:rPr>
      </w:pPr>
      <w:hyperlink w:anchor="_Toc230956225" w:history="1">
        <w:r w:rsidRPr="00886114">
          <w:rPr>
            <w:rStyle w:val="Hyperlink"/>
          </w:rPr>
          <w:t>Framework for the primary prevention of elder abuse in Victoria</w:t>
        </w:r>
        <w:r>
          <w:rPr>
            <w:webHidden/>
          </w:rPr>
          <w:tab/>
        </w:r>
        <w:r>
          <w:rPr>
            <w:webHidden/>
          </w:rPr>
          <w:fldChar w:fldCharType="begin"/>
        </w:r>
        <w:r>
          <w:rPr>
            <w:webHidden/>
          </w:rPr>
          <w:instrText xml:space="preserve"> PAGEREF _Toc230956225 \h </w:instrText>
        </w:r>
        <w:r>
          <w:rPr>
            <w:webHidden/>
          </w:rPr>
        </w:r>
        <w:r>
          <w:rPr>
            <w:webHidden/>
          </w:rPr>
          <w:fldChar w:fldCharType="separate"/>
        </w:r>
        <w:r>
          <w:rPr>
            <w:webHidden/>
          </w:rPr>
          <w:t>5</w:t>
        </w:r>
        <w:r>
          <w:rPr>
            <w:webHidden/>
          </w:rPr>
          <w:fldChar w:fldCharType="end"/>
        </w:r>
      </w:hyperlink>
    </w:p>
    <w:p w14:paraId="3C586C0D" w14:textId="4BBB0441"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26" w:history="1">
        <w:r w:rsidRPr="00886114">
          <w:rPr>
            <w:rStyle w:val="Hyperlink"/>
          </w:rPr>
          <w:t>Guiding principles</w:t>
        </w:r>
        <w:r>
          <w:rPr>
            <w:webHidden/>
          </w:rPr>
          <w:tab/>
        </w:r>
        <w:r>
          <w:rPr>
            <w:webHidden/>
          </w:rPr>
          <w:fldChar w:fldCharType="begin"/>
        </w:r>
        <w:r>
          <w:rPr>
            <w:webHidden/>
          </w:rPr>
          <w:instrText xml:space="preserve"> PAGEREF _Toc230956226 \h </w:instrText>
        </w:r>
        <w:r>
          <w:rPr>
            <w:webHidden/>
          </w:rPr>
        </w:r>
        <w:r>
          <w:rPr>
            <w:webHidden/>
          </w:rPr>
          <w:fldChar w:fldCharType="separate"/>
        </w:r>
        <w:r>
          <w:rPr>
            <w:webHidden/>
          </w:rPr>
          <w:t>5</w:t>
        </w:r>
        <w:r>
          <w:rPr>
            <w:webHidden/>
          </w:rPr>
          <w:fldChar w:fldCharType="end"/>
        </w:r>
      </w:hyperlink>
    </w:p>
    <w:p w14:paraId="2736148D" w14:textId="530B15D8"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27" w:history="1">
        <w:r w:rsidRPr="00886114">
          <w:rPr>
            <w:rStyle w:val="Hyperlink"/>
          </w:rPr>
          <w:t>Themes for action</w:t>
        </w:r>
        <w:r>
          <w:rPr>
            <w:webHidden/>
          </w:rPr>
          <w:tab/>
        </w:r>
        <w:r>
          <w:rPr>
            <w:webHidden/>
          </w:rPr>
          <w:fldChar w:fldCharType="begin"/>
        </w:r>
        <w:r>
          <w:rPr>
            <w:webHidden/>
          </w:rPr>
          <w:instrText xml:space="preserve"> PAGEREF _Toc230956227 \h </w:instrText>
        </w:r>
        <w:r>
          <w:rPr>
            <w:webHidden/>
          </w:rPr>
        </w:r>
        <w:r>
          <w:rPr>
            <w:webHidden/>
          </w:rPr>
          <w:fldChar w:fldCharType="separate"/>
        </w:r>
        <w:r>
          <w:rPr>
            <w:webHidden/>
          </w:rPr>
          <w:t>5</w:t>
        </w:r>
        <w:r>
          <w:rPr>
            <w:webHidden/>
          </w:rPr>
          <w:fldChar w:fldCharType="end"/>
        </w:r>
      </w:hyperlink>
    </w:p>
    <w:p w14:paraId="60BF394A" w14:textId="3D9D4249" w:rsidR="00EA0EA2" w:rsidRDefault="00EA0EA2">
      <w:pPr>
        <w:pStyle w:val="TOC1"/>
        <w:rPr>
          <w:rFonts w:asciiTheme="minorHAnsi" w:eastAsiaTheme="minorEastAsia" w:hAnsiTheme="minorHAnsi" w:cstheme="minorBidi"/>
          <w:b w:val="0"/>
          <w:kern w:val="2"/>
          <w:szCs w:val="24"/>
          <w:lang w:eastAsia="en-AU"/>
          <w14:ligatures w14:val="standardContextual"/>
        </w:rPr>
      </w:pPr>
      <w:hyperlink w:anchor="_Toc230956228" w:history="1">
        <w:r w:rsidRPr="00886114">
          <w:rPr>
            <w:rStyle w:val="Hyperlink"/>
          </w:rPr>
          <w:t>Example actions for change</w:t>
        </w:r>
        <w:r>
          <w:rPr>
            <w:webHidden/>
          </w:rPr>
          <w:tab/>
        </w:r>
        <w:r>
          <w:rPr>
            <w:webHidden/>
          </w:rPr>
          <w:fldChar w:fldCharType="begin"/>
        </w:r>
        <w:r>
          <w:rPr>
            <w:webHidden/>
          </w:rPr>
          <w:instrText xml:space="preserve"> PAGEREF _Toc230956228 \h </w:instrText>
        </w:r>
        <w:r>
          <w:rPr>
            <w:webHidden/>
          </w:rPr>
        </w:r>
        <w:r>
          <w:rPr>
            <w:webHidden/>
          </w:rPr>
          <w:fldChar w:fldCharType="separate"/>
        </w:r>
        <w:r>
          <w:rPr>
            <w:webHidden/>
          </w:rPr>
          <w:t>7</w:t>
        </w:r>
        <w:r>
          <w:rPr>
            <w:webHidden/>
          </w:rPr>
          <w:fldChar w:fldCharType="end"/>
        </w:r>
      </w:hyperlink>
    </w:p>
    <w:p w14:paraId="2305C472" w14:textId="33554A70"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29" w:history="1">
        <w:r w:rsidRPr="00886114">
          <w:rPr>
            <w:rStyle w:val="Hyperlink"/>
          </w:rPr>
          <w:t>Example actions for change by ‘</w:t>
        </w:r>
        <w:r w:rsidRPr="00886114">
          <w:rPr>
            <w:rStyle w:val="Hyperlink"/>
            <w:bCs/>
          </w:rPr>
          <w:t>Respect’ theme across 3 levels</w:t>
        </w:r>
        <w:r>
          <w:rPr>
            <w:webHidden/>
          </w:rPr>
          <w:tab/>
        </w:r>
        <w:r>
          <w:rPr>
            <w:webHidden/>
          </w:rPr>
          <w:fldChar w:fldCharType="begin"/>
        </w:r>
        <w:r>
          <w:rPr>
            <w:webHidden/>
          </w:rPr>
          <w:instrText xml:space="preserve"> PAGEREF _Toc230956229 \h </w:instrText>
        </w:r>
        <w:r>
          <w:rPr>
            <w:webHidden/>
          </w:rPr>
        </w:r>
        <w:r>
          <w:rPr>
            <w:webHidden/>
          </w:rPr>
          <w:fldChar w:fldCharType="separate"/>
        </w:r>
        <w:r>
          <w:rPr>
            <w:webHidden/>
          </w:rPr>
          <w:t>7</w:t>
        </w:r>
        <w:r>
          <w:rPr>
            <w:webHidden/>
          </w:rPr>
          <w:fldChar w:fldCharType="end"/>
        </w:r>
      </w:hyperlink>
    </w:p>
    <w:p w14:paraId="2F4E06DB" w14:textId="573C38B2"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30" w:history="1">
        <w:r w:rsidRPr="00886114">
          <w:rPr>
            <w:rStyle w:val="Hyperlink"/>
          </w:rPr>
          <w:t>Example actions for change by ‘Intergenerational connection’ theme across 3 levels</w:t>
        </w:r>
        <w:r>
          <w:rPr>
            <w:webHidden/>
          </w:rPr>
          <w:tab/>
        </w:r>
        <w:r>
          <w:rPr>
            <w:webHidden/>
          </w:rPr>
          <w:fldChar w:fldCharType="begin"/>
        </w:r>
        <w:r>
          <w:rPr>
            <w:webHidden/>
          </w:rPr>
          <w:instrText xml:space="preserve"> PAGEREF _Toc230956230 \h </w:instrText>
        </w:r>
        <w:r>
          <w:rPr>
            <w:webHidden/>
          </w:rPr>
        </w:r>
        <w:r>
          <w:rPr>
            <w:webHidden/>
          </w:rPr>
          <w:fldChar w:fldCharType="separate"/>
        </w:r>
        <w:r>
          <w:rPr>
            <w:webHidden/>
          </w:rPr>
          <w:t>8</w:t>
        </w:r>
        <w:r>
          <w:rPr>
            <w:webHidden/>
          </w:rPr>
          <w:fldChar w:fldCharType="end"/>
        </w:r>
      </w:hyperlink>
    </w:p>
    <w:p w14:paraId="5F69D74C" w14:textId="13E2B6D0"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31" w:history="1">
        <w:r w:rsidRPr="00886114">
          <w:rPr>
            <w:rStyle w:val="Hyperlink"/>
          </w:rPr>
          <w:t>Example actions for change by ‘Inclusion’ theme across 3 levels</w:t>
        </w:r>
        <w:r>
          <w:rPr>
            <w:webHidden/>
          </w:rPr>
          <w:tab/>
        </w:r>
        <w:r>
          <w:rPr>
            <w:webHidden/>
          </w:rPr>
          <w:fldChar w:fldCharType="begin"/>
        </w:r>
        <w:r>
          <w:rPr>
            <w:webHidden/>
          </w:rPr>
          <w:instrText xml:space="preserve"> PAGEREF _Toc230956231 \h </w:instrText>
        </w:r>
        <w:r>
          <w:rPr>
            <w:webHidden/>
          </w:rPr>
        </w:r>
        <w:r>
          <w:rPr>
            <w:webHidden/>
          </w:rPr>
          <w:fldChar w:fldCharType="separate"/>
        </w:r>
        <w:r>
          <w:rPr>
            <w:webHidden/>
          </w:rPr>
          <w:t>9</w:t>
        </w:r>
        <w:r>
          <w:rPr>
            <w:webHidden/>
          </w:rPr>
          <w:fldChar w:fldCharType="end"/>
        </w:r>
      </w:hyperlink>
    </w:p>
    <w:p w14:paraId="7A757358" w14:textId="4420FE2F"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32" w:history="1">
        <w:r w:rsidRPr="00886114">
          <w:rPr>
            <w:rStyle w:val="Hyperlink"/>
          </w:rPr>
          <w:t xml:space="preserve">Example actions for change by ‘Gender equality’ theme </w:t>
        </w:r>
        <w:r w:rsidRPr="00886114">
          <w:rPr>
            <w:rStyle w:val="Hyperlink"/>
            <w:bCs/>
          </w:rPr>
          <w:t>across 3 levels</w:t>
        </w:r>
        <w:r>
          <w:rPr>
            <w:webHidden/>
          </w:rPr>
          <w:tab/>
        </w:r>
        <w:r>
          <w:rPr>
            <w:webHidden/>
          </w:rPr>
          <w:fldChar w:fldCharType="begin"/>
        </w:r>
        <w:r>
          <w:rPr>
            <w:webHidden/>
          </w:rPr>
          <w:instrText xml:space="preserve"> PAGEREF _Toc230956232 \h </w:instrText>
        </w:r>
        <w:r>
          <w:rPr>
            <w:webHidden/>
          </w:rPr>
        </w:r>
        <w:r>
          <w:rPr>
            <w:webHidden/>
          </w:rPr>
          <w:fldChar w:fldCharType="separate"/>
        </w:r>
        <w:r>
          <w:rPr>
            <w:webHidden/>
          </w:rPr>
          <w:t>10</w:t>
        </w:r>
        <w:r>
          <w:rPr>
            <w:webHidden/>
          </w:rPr>
          <w:fldChar w:fldCharType="end"/>
        </w:r>
      </w:hyperlink>
    </w:p>
    <w:p w14:paraId="06D6F706" w14:textId="41E596B6" w:rsidR="00EA0EA2" w:rsidRDefault="00EA0EA2">
      <w:pPr>
        <w:pStyle w:val="TOC1"/>
        <w:rPr>
          <w:rFonts w:asciiTheme="minorHAnsi" w:eastAsiaTheme="minorEastAsia" w:hAnsiTheme="minorHAnsi" w:cstheme="minorBidi"/>
          <w:b w:val="0"/>
          <w:kern w:val="2"/>
          <w:szCs w:val="24"/>
          <w:lang w:eastAsia="en-AU"/>
          <w14:ligatures w14:val="standardContextual"/>
        </w:rPr>
      </w:pPr>
      <w:hyperlink w:anchor="_Toc230956233" w:history="1">
        <w:r w:rsidRPr="00886114">
          <w:rPr>
            <w:rStyle w:val="Hyperlink"/>
          </w:rPr>
          <w:t>Settings and population groups</w:t>
        </w:r>
        <w:r>
          <w:rPr>
            <w:webHidden/>
          </w:rPr>
          <w:tab/>
        </w:r>
        <w:r>
          <w:rPr>
            <w:webHidden/>
          </w:rPr>
          <w:fldChar w:fldCharType="begin"/>
        </w:r>
        <w:r>
          <w:rPr>
            <w:webHidden/>
          </w:rPr>
          <w:instrText xml:space="preserve"> PAGEREF _Toc230956233 \h </w:instrText>
        </w:r>
        <w:r>
          <w:rPr>
            <w:webHidden/>
          </w:rPr>
        </w:r>
        <w:r>
          <w:rPr>
            <w:webHidden/>
          </w:rPr>
          <w:fldChar w:fldCharType="separate"/>
        </w:r>
        <w:r>
          <w:rPr>
            <w:webHidden/>
          </w:rPr>
          <w:t>11</w:t>
        </w:r>
        <w:r>
          <w:rPr>
            <w:webHidden/>
          </w:rPr>
          <w:fldChar w:fldCharType="end"/>
        </w:r>
      </w:hyperlink>
    </w:p>
    <w:p w14:paraId="7FCF64FC" w14:textId="1698B812"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34" w:history="1">
        <w:r w:rsidRPr="00886114">
          <w:rPr>
            <w:rStyle w:val="Hyperlink"/>
          </w:rPr>
          <w:t>Settings</w:t>
        </w:r>
        <w:r>
          <w:rPr>
            <w:webHidden/>
          </w:rPr>
          <w:tab/>
        </w:r>
        <w:r>
          <w:rPr>
            <w:webHidden/>
          </w:rPr>
          <w:fldChar w:fldCharType="begin"/>
        </w:r>
        <w:r>
          <w:rPr>
            <w:webHidden/>
          </w:rPr>
          <w:instrText xml:space="preserve"> PAGEREF _Toc230956234 \h </w:instrText>
        </w:r>
        <w:r>
          <w:rPr>
            <w:webHidden/>
          </w:rPr>
        </w:r>
        <w:r>
          <w:rPr>
            <w:webHidden/>
          </w:rPr>
          <w:fldChar w:fldCharType="separate"/>
        </w:r>
        <w:r>
          <w:rPr>
            <w:webHidden/>
          </w:rPr>
          <w:t>12</w:t>
        </w:r>
        <w:r>
          <w:rPr>
            <w:webHidden/>
          </w:rPr>
          <w:fldChar w:fldCharType="end"/>
        </w:r>
      </w:hyperlink>
    </w:p>
    <w:p w14:paraId="52622682" w14:textId="02ABC18A" w:rsidR="00EA0EA2" w:rsidRDefault="00EA0EA2">
      <w:pPr>
        <w:pStyle w:val="TOC2"/>
        <w:rPr>
          <w:rFonts w:asciiTheme="minorHAnsi" w:eastAsiaTheme="minorEastAsia" w:hAnsiTheme="minorHAnsi" w:cstheme="minorBidi"/>
          <w:kern w:val="2"/>
          <w:szCs w:val="24"/>
          <w:lang w:eastAsia="en-AU"/>
          <w14:ligatures w14:val="standardContextual"/>
        </w:rPr>
      </w:pPr>
      <w:hyperlink w:anchor="_Toc230956235" w:history="1">
        <w:r w:rsidRPr="00886114">
          <w:rPr>
            <w:rStyle w:val="Hyperlink"/>
          </w:rPr>
          <w:t>Population groups</w:t>
        </w:r>
        <w:r>
          <w:rPr>
            <w:webHidden/>
          </w:rPr>
          <w:tab/>
        </w:r>
        <w:r>
          <w:rPr>
            <w:webHidden/>
          </w:rPr>
          <w:fldChar w:fldCharType="begin"/>
        </w:r>
        <w:r>
          <w:rPr>
            <w:webHidden/>
          </w:rPr>
          <w:instrText xml:space="preserve"> PAGEREF _Toc230956235 \h </w:instrText>
        </w:r>
        <w:r>
          <w:rPr>
            <w:webHidden/>
          </w:rPr>
        </w:r>
        <w:r>
          <w:rPr>
            <w:webHidden/>
          </w:rPr>
          <w:fldChar w:fldCharType="separate"/>
        </w:r>
        <w:r>
          <w:rPr>
            <w:webHidden/>
          </w:rPr>
          <w:t>15</w:t>
        </w:r>
        <w:r>
          <w:rPr>
            <w:webHidden/>
          </w:rPr>
          <w:fldChar w:fldCharType="end"/>
        </w:r>
      </w:hyperlink>
    </w:p>
    <w:p w14:paraId="4138284D" w14:textId="1A6C38F2" w:rsidR="00FB1F6E" w:rsidRPr="00DA4141" w:rsidRDefault="00AD784C" w:rsidP="00D079AA">
      <w:pPr>
        <w:pStyle w:val="Body"/>
      </w:pPr>
      <w:r w:rsidRPr="00DA4141">
        <w:fldChar w:fldCharType="end"/>
      </w:r>
    </w:p>
    <w:p w14:paraId="3D7FD5D0" w14:textId="77777777" w:rsidR="00342367" w:rsidRPr="00DA4141" w:rsidRDefault="00FB1F6E" w:rsidP="00342367">
      <w:pPr>
        <w:pStyle w:val="Body"/>
      </w:pPr>
      <w:r w:rsidRPr="00DA4141">
        <w:br w:type="page"/>
      </w:r>
    </w:p>
    <w:p w14:paraId="4C701EF0" w14:textId="35E5F351" w:rsidR="00342367" w:rsidRPr="00DA4141" w:rsidRDefault="00342367" w:rsidP="00261133">
      <w:pPr>
        <w:pStyle w:val="Heading1"/>
      </w:pPr>
      <w:bookmarkStart w:id="0" w:name="_Toc230956224"/>
      <w:r w:rsidRPr="00DA4141">
        <w:lastRenderedPageBreak/>
        <w:t>Introduction</w:t>
      </w:r>
      <w:bookmarkEnd w:id="0"/>
    </w:p>
    <w:p w14:paraId="0ED9107A" w14:textId="28F66F2B" w:rsidR="00342367" w:rsidRPr="00DA4141" w:rsidRDefault="00342367" w:rsidP="00342367">
      <w:pPr>
        <w:pStyle w:val="Body"/>
      </w:pPr>
      <w:r w:rsidRPr="00DA4141">
        <w:t>Respecting and valuing older people: Victoria’s Primary Prevention of Elder Abuse Framework</w:t>
      </w:r>
      <w:r w:rsidR="008D69DA">
        <w:t xml:space="preserve"> </w:t>
      </w:r>
      <w:r w:rsidRPr="00DA4141">
        <w:t>is for professionals working to prevent elder abuse from happening in the first place.</w:t>
      </w:r>
    </w:p>
    <w:p w14:paraId="3859DC95" w14:textId="77777777" w:rsidR="00342367" w:rsidRPr="00DA4141" w:rsidRDefault="00342367" w:rsidP="00342367">
      <w:pPr>
        <w:pStyle w:val="Body"/>
      </w:pPr>
      <w:r w:rsidRPr="00DA4141">
        <w:t>The framework has 2 parts:</w:t>
      </w:r>
    </w:p>
    <w:p w14:paraId="6A7005CF" w14:textId="75405B53" w:rsidR="00342367" w:rsidRPr="00DA4141" w:rsidRDefault="00342367" w:rsidP="00261133">
      <w:pPr>
        <w:pStyle w:val="Bullet1"/>
      </w:pPr>
      <w:r w:rsidRPr="00DA4141">
        <w:t>handbook</w:t>
      </w:r>
    </w:p>
    <w:p w14:paraId="669BD38D" w14:textId="40FC7C82" w:rsidR="00342367" w:rsidRPr="00DA4141" w:rsidRDefault="00342367" w:rsidP="00261133">
      <w:pPr>
        <w:pStyle w:val="Bullet1"/>
      </w:pPr>
      <w:r w:rsidRPr="00DA4141">
        <w:t>companion guide.</w:t>
      </w:r>
    </w:p>
    <w:p w14:paraId="030FC402" w14:textId="77777777" w:rsidR="00342367" w:rsidRPr="00DA4141" w:rsidRDefault="00342367" w:rsidP="00A1137A">
      <w:pPr>
        <w:pStyle w:val="Bodyafterbullets"/>
      </w:pPr>
      <w:r w:rsidRPr="00DA4141">
        <w:t>This handbook steps you through the core framework. It provides a structure for designing primary prevention of elder abuse actions informed by the available and emerging evidence base.</w:t>
      </w:r>
    </w:p>
    <w:p w14:paraId="0EDF36E7" w14:textId="77777777" w:rsidR="00342367" w:rsidRPr="00DA4141" w:rsidRDefault="00342367" w:rsidP="00342367">
      <w:pPr>
        <w:pStyle w:val="Body"/>
      </w:pPr>
      <w:r w:rsidRPr="00DA4141">
        <w:t>It can be used flexibly and can also support:</w:t>
      </w:r>
    </w:p>
    <w:p w14:paraId="2449FBE9" w14:textId="31415CB9" w:rsidR="00342367" w:rsidRPr="00DA4141" w:rsidRDefault="00342367" w:rsidP="00A1137A">
      <w:pPr>
        <w:pStyle w:val="Bullet1"/>
      </w:pPr>
      <w:r w:rsidRPr="00DA4141">
        <w:t>strategic planning</w:t>
      </w:r>
    </w:p>
    <w:p w14:paraId="4551E8C5" w14:textId="338EE259" w:rsidR="00342367" w:rsidRPr="00DA4141" w:rsidRDefault="00342367" w:rsidP="00A1137A">
      <w:pPr>
        <w:pStyle w:val="Bullet1"/>
      </w:pPr>
      <w:r w:rsidRPr="00DA4141">
        <w:t>program development</w:t>
      </w:r>
    </w:p>
    <w:p w14:paraId="725BA036" w14:textId="0B8E5291" w:rsidR="00342367" w:rsidRPr="00DA4141" w:rsidRDefault="00342367" w:rsidP="00A1137A">
      <w:pPr>
        <w:pStyle w:val="Bullet1"/>
      </w:pPr>
      <w:r w:rsidRPr="00DA4141">
        <w:t>community engagement</w:t>
      </w:r>
    </w:p>
    <w:p w14:paraId="401E1EDE" w14:textId="6E023D2B" w:rsidR="00342367" w:rsidRPr="00DA4141" w:rsidRDefault="00342367" w:rsidP="00A1137A">
      <w:pPr>
        <w:pStyle w:val="Bullet1"/>
      </w:pPr>
      <w:r w:rsidRPr="00DA4141">
        <w:t>workforce capability building</w:t>
      </w:r>
    </w:p>
    <w:p w14:paraId="5E93102D" w14:textId="66F1992C" w:rsidR="00342367" w:rsidRPr="00DA4141" w:rsidRDefault="00342367" w:rsidP="00A1137A">
      <w:pPr>
        <w:pStyle w:val="Bullet1"/>
      </w:pPr>
      <w:r w:rsidRPr="00DA4141">
        <w:t>organisational reform.</w:t>
      </w:r>
    </w:p>
    <w:p w14:paraId="4AE06CE8" w14:textId="77777777" w:rsidR="00342367" w:rsidRPr="00DA4141" w:rsidRDefault="00342367" w:rsidP="00A1137A">
      <w:pPr>
        <w:pStyle w:val="Bodyafterbullets"/>
      </w:pPr>
      <w:r w:rsidRPr="00DA4141">
        <w:t>The framework has guiding principles and 4 key themes for action. These themes address ageism and gender inequality. The available and emerging evidence suggests these are the underlying drivers of elder abuse, alongside other intersecting forms of discrimination.</w:t>
      </w:r>
    </w:p>
    <w:p w14:paraId="1C15D9AD" w14:textId="77777777" w:rsidR="00342367" w:rsidRPr="00DA4141" w:rsidRDefault="00342367" w:rsidP="00342367">
      <w:pPr>
        <w:pStyle w:val="Body"/>
      </w:pPr>
      <w:r w:rsidRPr="00DA4141">
        <w:t>Examples of possible actions span a 3-level socio-ecological model to support change across all society. The 3 levels are:</w:t>
      </w:r>
    </w:p>
    <w:p w14:paraId="0D4C8151" w14:textId="5D8E253E" w:rsidR="00342367" w:rsidRPr="00DA4141" w:rsidRDefault="00342367" w:rsidP="00A1137A">
      <w:pPr>
        <w:pStyle w:val="Bullet1"/>
      </w:pPr>
      <w:r w:rsidRPr="00DA4141">
        <w:t>individuals, families and relationship actions</w:t>
      </w:r>
    </w:p>
    <w:p w14:paraId="4B09AE22" w14:textId="3137A9D2" w:rsidR="00342367" w:rsidRPr="00DA4141" w:rsidRDefault="00342367" w:rsidP="00A1137A">
      <w:pPr>
        <w:pStyle w:val="Bullet1"/>
      </w:pPr>
      <w:r w:rsidRPr="00DA4141">
        <w:t>communities and organisational actions</w:t>
      </w:r>
    </w:p>
    <w:p w14:paraId="4D6A208C" w14:textId="3F7A9F27" w:rsidR="00342367" w:rsidRPr="00DA4141" w:rsidRDefault="00342367" w:rsidP="00A1137A">
      <w:pPr>
        <w:pStyle w:val="Bullet1"/>
      </w:pPr>
      <w:r w:rsidRPr="00DA4141">
        <w:t>societal actions.</w:t>
      </w:r>
    </w:p>
    <w:p w14:paraId="7B6F7EA9" w14:textId="77777777" w:rsidR="00342367" w:rsidRPr="00DA4141" w:rsidRDefault="00342367" w:rsidP="00A1137A">
      <w:pPr>
        <w:pStyle w:val="Bodyafterbullets"/>
      </w:pPr>
      <w:r w:rsidRPr="00DA4141">
        <w:t>The examples range from general to targeted. They give professionals a sense of what primary prevention of elder abuse action can look like.</w:t>
      </w:r>
    </w:p>
    <w:p w14:paraId="7F5B177F" w14:textId="77777777" w:rsidR="00342367" w:rsidRPr="00DA4141" w:rsidRDefault="00342367" w:rsidP="00342367">
      <w:pPr>
        <w:pStyle w:val="Body"/>
      </w:pPr>
      <w:r w:rsidRPr="00DA4141">
        <w:t xml:space="preserve">Professionals are not limited to the example actions listed. They are encouraged to innovate </w:t>
      </w:r>
      <w:proofErr w:type="gramStart"/>
      <w:r w:rsidRPr="00DA4141">
        <w:t>and also</w:t>
      </w:r>
      <w:proofErr w:type="gramEnd"/>
      <w:r w:rsidRPr="00DA4141">
        <w:t xml:space="preserve"> address intersecting forms of discrimination. Some actions may also apply to more than one theme.</w:t>
      </w:r>
    </w:p>
    <w:p w14:paraId="64A157F3" w14:textId="0D4F7442" w:rsidR="00A1137A" w:rsidRPr="00DA4141" w:rsidRDefault="00342367" w:rsidP="00342367">
      <w:pPr>
        <w:pStyle w:val="Body"/>
      </w:pPr>
      <w:r w:rsidRPr="00DA4141">
        <w:t>The framework also includes example settings and population groups to consider targeting when designing actions. This broad list encourages action across society to help create the cultural change needed to prevent elder abuse from happening in the first place.</w:t>
      </w:r>
    </w:p>
    <w:p w14:paraId="55FFC7AC" w14:textId="5D84B7E6" w:rsidR="00342367" w:rsidRPr="00DA4141" w:rsidRDefault="00342367" w:rsidP="00A1137A">
      <w:pPr>
        <w:pStyle w:val="Heading1"/>
      </w:pPr>
      <w:bookmarkStart w:id="1" w:name="_Toc230956225"/>
      <w:r w:rsidRPr="00DA4141">
        <w:lastRenderedPageBreak/>
        <w:t>Framework for the primary prevention of elder abuse in Victoria</w:t>
      </w:r>
      <w:bookmarkEnd w:id="1"/>
    </w:p>
    <w:p w14:paraId="093AD9D8" w14:textId="77777777" w:rsidR="00342367" w:rsidRPr="00DA4141" w:rsidRDefault="00342367" w:rsidP="0032238E">
      <w:pPr>
        <w:pStyle w:val="Introtext"/>
        <w:ind w:right="-200"/>
      </w:pPr>
      <w:r w:rsidRPr="00DA4141">
        <w:t>Towards a future where older people are valued, respected and treated fairly</w:t>
      </w:r>
    </w:p>
    <w:p w14:paraId="31C3EE24" w14:textId="77777777" w:rsidR="00342367" w:rsidRPr="00DA4141" w:rsidRDefault="00342367" w:rsidP="00904E24">
      <w:pPr>
        <w:pStyle w:val="Introtext"/>
      </w:pPr>
      <w:r w:rsidRPr="00DA4141">
        <w:t>Addressing ageism and gender inequality, alongside other intersecting forms of discrimination</w:t>
      </w:r>
    </w:p>
    <w:p w14:paraId="4493972C" w14:textId="77777777" w:rsidR="00342367" w:rsidRPr="00DA4141" w:rsidRDefault="00342367" w:rsidP="00A1137A">
      <w:pPr>
        <w:pStyle w:val="Heading2"/>
      </w:pPr>
      <w:bookmarkStart w:id="2" w:name="_Toc230956226"/>
      <w:r w:rsidRPr="00DA4141">
        <w:t>Guiding principles</w:t>
      </w:r>
      <w:bookmarkEnd w:id="2"/>
    </w:p>
    <w:p w14:paraId="16BFFBB2" w14:textId="77777777" w:rsidR="00342367" w:rsidRPr="00DA4141" w:rsidRDefault="00342367" w:rsidP="00A1137A">
      <w:pPr>
        <w:pStyle w:val="Bullet1"/>
      </w:pPr>
      <w:r w:rsidRPr="00DA4141">
        <w:t>Human rights</w:t>
      </w:r>
    </w:p>
    <w:p w14:paraId="4427A5E0" w14:textId="47604964" w:rsidR="00342367" w:rsidRPr="00DA4141" w:rsidRDefault="00342367" w:rsidP="00D14FEE">
      <w:pPr>
        <w:pStyle w:val="Bullet1"/>
      </w:pPr>
      <w:r w:rsidRPr="00DA4141">
        <w:t>Aboriginal</w:t>
      </w:r>
      <w:r w:rsidR="00A1137A" w:rsidRPr="00DA4141">
        <w:t xml:space="preserve"> </w:t>
      </w:r>
      <w:r w:rsidRPr="00DA4141">
        <w:t>self-determination</w:t>
      </w:r>
    </w:p>
    <w:p w14:paraId="4238767B" w14:textId="31B11FEC" w:rsidR="00342367" w:rsidRPr="00DA4141" w:rsidRDefault="00342367" w:rsidP="00A1137A">
      <w:pPr>
        <w:pStyle w:val="Bullet1"/>
      </w:pPr>
      <w:r w:rsidRPr="00DA4141">
        <w:t>Lived experience</w:t>
      </w:r>
    </w:p>
    <w:p w14:paraId="4FDA88C9" w14:textId="77777777" w:rsidR="00342367" w:rsidRPr="00DA4141" w:rsidRDefault="00342367" w:rsidP="00A1137A">
      <w:pPr>
        <w:pStyle w:val="Bullet1"/>
      </w:pPr>
      <w:r w:rsidRPr="00DA4141">
        <w:t>Intersectionality</w:t>
      </w:r>
    </w:p>
    <w:p w14:paraId="16A912EE" w14:textId="77777777" w:rsidR="00342367" w:rsidRPr="00DA4141" w:rsidRDefault="00342367" w:rsidP="00A1137A">
      <w:pPr>
        <w:pStyle w:val="Bullet1"/>
      </w:pPr>
      <w:r w:rsidRPr="00DA4141">
        <w:t>Multigenerational change</w:t>
      </w:r>
    </w:p>
    <w:p w14:paraId="36CA3AA4" w14:textId="77777777" w:rsidR="00342367" w:rsidRPr="00DA4141" w:rsidRDefault="00342367" w:rsidP="00A1137A">
      <w:pPr>
        <w:pStyle w:val="Bullet1"/>
      </w:pPr>
      <w:r w:rsidRPr="00DA4141">
        <w:t>Community-led and culturally safe</w:t>
      </w:r>
    </w:p>
    <w:p w14:paraId="1DBC3AB3" w14:textId="77777777" w:rsidR="00342367" w:rsidRPr="00DA4141" w:rsidRDefault="00342367" w:rsidP="00A1137A">
      <w:pPr>
        <w:pStyle w:val="Bullet1"/>
      </w:pPr>
      <w:r w:rsidRPr="00DA4141">
        <w:t>Evidence-informed</w:t>
      </w:r>
    </w:p>
    <w:p w14:paraId="6F933526" w14:textId="77777777" w:rsidR="00342367" w:rsidRPr="00DA4141" w:rsidRDefault="00342367" w:rsidP="00A1137A">
      <w:pPr>
        <w:pStyle w:val="Bullet1"/>
      </w:pPr>
      <w:r w:rsidRPr="00DA4141">
        <w:t>Socio-ecological approach</w:t>
      </w:r>
    </w:p>
    <w:p w14:paraId="5240CD0A" w14:textId="77777777" w:rsidR="00342367" w:rsidRPr="00DA4141" w:rsidRDefault="00342367" w:rsidP="00A1137A">
      <w:pPr>
        <w:pStyle w:val="Heading2"/>
      </w:pPr>
      <w:bookmarkStart w:id="3" w:name="_Toc230956227"/>
      <w:r w:rsidRPr="00DA4141">
        <w:t>Themes for action</w:t>
      </w:r>
      <w:bookmarkEnd w:id="3"/>
    </w:p>
    <w:p w14:paraId="3C05CDF4" w14:textId="77777777" w:rsidR="00342367" w:rsidRPr="00DA4141" w:rsidRDefault="00342367" w:rsidP="00A1137A">
      <w:pPr>
        <w:pStyle w:val="Heading3"/>
      </w:pPr>
      <w:r w:rsidRPr="00DA4141">
        <w:t>Respect</w:t>
      </w:r>
    </w:p>
    <w:p w14:paraId="45BADF49" w14:textId="5E38680B" w:rsidR="00342367" w:rsidRPr="00DA4141" w:rsidRDefault="00342367" w:rsidP="00A1137A">
      <w:pPr>
        <w:pStyle w:val="Bullet1"/>
      </w:pPr>
      <w:r w:rsidRPr="00DA4141">
        <w:t>Older people are valued, honoured, treated with respect and supported to live a life that reflects personal preferences</w:t>
      </w:r>
    </w:p>
    <w:p w14:paraId="2D14BE99" w14:textId="34FC55C6" w:rsidR="00342367" w:rsidRPr="00DA4141" w:rsidRDefault="00342367" w:rsidP="00A1137A">
      <w:pPr>
        <w:pStyle w:val="Bullet1"/>
      </w:pPr>
      <w:r w:rsidRPr="00DA4141">
        <w:t>Ageist stereotypes and prejudices are addressed</w:t>
      </w:r>
    </w:p>
    <w:p w14:paraId="0FE0CD93" w14:textId="4F73565C" w:rsidR="00342367" w:rsidRPr="00DA4141" w:rsidRDefault="00342367" w:rsidP="00A1137A">
      <w:pPr>
        <w:pStyle w:val="Bullet1"/>
      </w:pPr>
      <w:r w:rsidRPr="00DA4141">
        <w:t>Common attitudes, beliefs, language and imagery about older people and ageing are positive</w:t>
      </w:r>
    </w:p>
    <w:p w14:paraId="3E3B39A6" w14:textId="16C4E190" w:rsidR="00342367" w:rsidRPr="00DA4141" w:rsidRDefault="00342367" w:rsidP="00A1137A">
      <w:pPr>
        <w:pStyle w:val="Bullet1"/>
      </w:pPr>
      <w:r w:rsidRPr="00DA4141">
        <w:t>Harmful assumptions about older people are dismantled</w:t>
      </w:r>
    </w:p>
    <w:p w14:paraId="2CAA3F1E" w14:textId="27E657B8" w:rsidR="00342367" w:rsidRPr="00DA4141" w:rsidRDefault="00A1137A" w:rsidP="00A1137A">
      <w:pPr>
        <w:pStyle w:val="Heading3"/>
      </w:pPr>
      <w:r w:rsidRPr="00DA4141">
        <w:t>I</w:t>
      </w:r>
      <w:r w:rsidR="00342367" w:rsidRPr="00DA4141">
        <w:t>ntergenerational connection</w:t>
      </w:r>
    </w:p>
    <w:p w14:paraId="1A44269D" w14:textId="1A0E187F" w:rsidR="00342367" w:rsidRPr="00DA4141" w:rsidRDefault="00342367" w:rsidP="00A1137A">
      <w:pPr>
        <w:pStyle w:val="Bullet1"/>
      </w:pPr>
      <w:r w:rsidRPr="00DA4141">
        <w:t>Positive connections between older and younger people are fostered</w:t>
      </w:r>
    </w:p>
    <w:p w14:paraId="438A034E" w14:textId="29CE890B" w:rsidR="00342367" w:rsidRPr="00DA4141" w:rsidRDefault="00342367" w:rsidP="00A1137A">
      <w:pPr>
        <w:pStyle w:val="Bullet1"/>
      </w:pPr>
      <w:r w:rsidRPr="00DA4141">
        <w:t>People of all ages have positive experiences with older people</w:t>
      </w:r>
    </w:p>
    <w:p w14:paraId="20AD9441" w14:textId="736C3AB8" w:rsidR="00342367" w:rsidRPr="00DA4141" w:rsidRDefault="00342367" w:rsidP="00A1137A">
      <w:pPr>
        <w:pStyle w:val="Bullet1"/>
      </w:pPr>
      <w:r w:rsidRPr="00DA4141">
        <w:t>Respectful relationships between generations are built via:</w:t>
      </w:r>
    </w:p>
    <w:p w14:paraId="3E1D335E" w14:textId="248C547F" w:rsidR="00342367" w:rsidRPr="00DA4141" w:rsidRDefault="00342367" w:rsidP="007C692F">
      <w:pPr>
        <w:pStyle w:val="Bullet2"/>
      </w:pPr>
      <w:r w:rsidRPr="00DA4141">
        <w:t>understanding</w:t>
      </w:r>
    </w:p>
    <w:p w14:paraId="01486802" w14:textId="23FE1771" w:rsidR="00342367" w:rsidRPr="00DA4141" w:rsidRDefault="00342367" w:rsidP="007C692F">
      <w:pPr>
        <w:pStyle w:val="Bullet2"/>
      </w:pPr>
      <w:r w:rsidRPr="00DA4141">
        <w:t>commonality</w:t>
      </w:r>
    </w:p>
    <w:p w14:paraId="51CAB372" w14:textId="5FF8785B" w:rsidR="00342367" w:rsidRPr="00DA4141" w:rsidRDefault="00342367" w:rsidP="007C692F">
      <w:pPr>
        <w:pStyle w:val="Bullet2"/>
      </w:pPr>
      <w:r w:rsidRPr="00DA4141">
        <w:t>working with families as partners in prevention</w:t>
      </w:r>
    </w:p>
    <w:p w14:paraId="4AC17FA8" w14:textId="77777777" w:rsidR="006919D7" w:rsidRPr="00DA4141" w:rsidRDefault="006919D7">
      <w:pPr>
        <w:spacing w:after="0" w:line="240" w:lineRule="auto"/>
        <w:rPr>
          <w:rFonts w:eastAsia="MS Gothic"/>
          <w:bCs/>
          <w:color w:val="201547"/>
          <w:sz w:val="32"/>
          <w:szCs w:val="26"/>
        </w:rPr>
      </w:pPr>
      <w:r w:rsidRPr="00DA4141">
        <w:br w:type="page"/>
      </w:r>
    </w:p>
    <w:p w14:paraId="54759974" w14:textId="371C10E9" w:rsidR="00342367" w:rsidRPr="00DA4141" w:rsidRDefault="00342367" w:rsidP="00A1137A">
      <w:pPr>
        <w:pStyle w:val="Heading3"/>
      </w:pPr>
      <w:r w:rsidRPr="00DA4141">
        <w:lastRenderedPageBreak/>
        <w:t>Inclusion</w:t>
      </w:r>
    </w:p>
    <w:p w14:paraId="3E8CC8AA" w14:textId="1A1588E0" w:rsidR="00342367" w:rsidRPr="00DA4141" w:rsidRDefault="00342367" w:rsidP="00A1137A">
      <w:pPr>
        <w:pStyle w:val="Bullet1"/>
      </w:pPr>
      <w:r w:rsidRPr="00DA4141">
        <w:t>Older people are fairly included, in all their diversity, to address age discrimination</w:t>
      </w:r>
    </w:p>
    <w:p w14:paraId="39FAED36" w14:textId="4730BFBC" w:rsidR="00342367" w:rsidRPr="00DA4141" w:rsidRDefault="00342367" w:rsidP="00A1137A">
      <w:pPr>
        <w:pStyle w:val="Bullet1"/>
      </w:pPr>
      <w:r w:rsidRPr="00DA4141">
        <w:t>All older people are visible, represented and recognised</w:t>
      </w:r>
    </w:p>
    <w:p w14:paraId="6A6B0715" w14:textId="34385847" w:rsidR="00342367" w:rsidRPr="00DA4141" w:rsidRDefault="00342367" w:rsidP="00A1137A">
      <w:pPr>
        <w:pStyle w:val="Bullet1"/>
      </w:pPr>
      <w:r w:rsidRPr="00DA4141">
        <w:t>Diverse voices and perspectives are heard and valued equally</w:t>
      </w:r>
    </w:p>
    <w:p w14:paraId="26FBA1FF" w14:textId="709F727B" w:rsidR="00342367" w:rsidRPr="00DA4141" w:rsidRDefault="00342367" w:rsidP="00A1137A">
      <w:pPr>
        <w:pStyle w:val="Bullet1"/>
      </w:pPr>
      <w:r w:rsidRPr="00DA4141">
        <w:t>Participation is fair and accessible for older people, including on digital platforms</w:t>
      </w:r>
    </w:p>
    <w:p w14:paraId="1074BEC4" w14:textId="77777777" w:rsidR="00342367" w:rsidRPr="00DA4141" w:rsidRDefault="00342367" w:rsidP="00A1137A">
      <w:pPr>
        <w:pStyle w:val="Heading3"/>
      </w:pPr>
      <w:r w:rsidRPr="00DA4141">
        <w:t>Gender equality</w:t>
      </w:r>
    </w:p>
    <w:p w14:paraId="69C70F9C" w14:textId="2FF7DEF5" w:rsidR="00342367" w:rsidRPr="00DA4141" w:rsidRDefault="00342367" w:rsidP="00A1137A">
      <w:pPr>
        <w:pStyle w:val="Bullet1"/>
      </w:pPr>
      <w:r w:rsidRPr="00DA4141">
        <w:t>Gender equality is promoted and sexism against older women and gender diverse people is addressed</w:t>
      </w:r>
    </w:p>
    <w:p w14:paraId="14AECC89" w14:textId="533123A9" w:rsidR="00342367" w:rsidRPr="00DA4141" w:rsidRDefault="00342367" w:rsidP="00A1137A">
      <w:pPr>
        <w:pStyle w:val="Bullet1"/>
      </w:pPr>
      <w:r w:rsidRPr="00DA4141">
        <w:t>Rigid gender stereotypes are addressed</w:t>
      </w:r>
    </w:p>
    <w:p w14:paraId="10E956B9" w14:textId="1F31EF40" w:rsidR="00342367" w:rsidRPr="00DA4141" w:rsidRDefault="00342367" w:rsidP="00A1137A">
      <w:pPr>
        <w:pStyle w:val="Bullet1"/>
      </w:pPr>
      <w:r w:rsidRPr="00DA4141">
        <w:t>Women’s independence and decision making is promoted</w:t>
      </w:r>
    </w:p>
    <w:p w14:paraId="62B0BE76" w14:textId="59B43075" w:rsidR="00342367" w:rsidRPr="00DA4141" w:rsidRDefault="00342367" w:rsidP="00A1137A">
      <w:pPr>
        <w:pStyle w:val="Bullet1"/>
      </w:pPr>
      <w:r w:rsidRPr="00DA4141">
        <w:t>People challenge condoning of violence against older women</w:t>
      </w:r>
    </w:p>
    <w:p w14:paraId="3187AB1B" w14:textId="70B3D9E8" w:rsidR="00342367" w:rsidRPr="00DA4141" w:rsidRDefault="00342367" w:rsidP="00A1137A">
      <w:pPr>
        <w:pStyle w:val="Bullet1"/>
      </w:pPr>
      <w:r w:rsidRPr="00DA4141">
        <w:t>People encourage healthy expressions of masculinity</w:t>
      </w:r>
    </w:p>
    <w:p w14:paraId="3CBBF669" w14:textId="3EBB9E94" w:rsidR="00342367" w:rsidRPr="00DA4141" w:rsidRDefault="00342367" w:rsidP="00A1137A">
      <w:pPr>
        <w:pStyle w:val="Bullet1"/>
      </w:pPr>
      <w:r w:rsidRPr="00DA4141">
        <w:t>Transgender and gender diverse older people are supported, validated and celebrated, no matter what age they transition</w:t>
      </w:r>
    </w:p>
    <w:p w14:paraId="4196B349" w14:textId="77777777" w:rsidR="003D3310" w:rsidRPr="00DA4141" w:rsidRDefault="003D3310">
      <w:pPr>
        <w:spacing w:after="0" w:line="240" w:lineRule="auto"/>
        <w:rPr>
          <w:rFonts w:eastAsia="MS Gothic" w:cs="Arial"/>
          <w:bCs/>
          <w:color w:val="201547"/>
          <w:kern w:val="32"/>
          <w:sz w:val="44"/>
          <w:szCs w:val="44"/>
        </w:rPr>
      </w:pPr>
      <w:r w:rsidRPr="00DA4141">
        <w:br w:type="page"/>
      </w:r>
    </w:p>
    <w:p w14:paraId="65BE08A0" w14:textId="2E9BA10C" w:rsidR="00D5123C" w:rsidRPr="00DA4141" w:rsidRDefault="006F2DB4" w:rsidP="000D3C04">
      <w:pPr>
        <w:pStyle w:val="Heading1"/>
      </w:pPr>
      <w:bookmarkStart w:id="4" w:name="_Toc230956228"/>
      <w:r w:rsidRPr="00DA4141">
        <w:lastRenderedPageBreak/>
        <w:t>Example actions for change</w:t>
      </w:r>
      <w:bookmarkEnd w:id="4"/>
    </w:p>
    <w:p w14:paraId="465DC6D4" w14:textId="78D3ABCC" w:rsidR="00D5123C" w:rsidRPr="00DA4141" w:rsidRDefault="00D5123C" w:rsidP="00D5123C">
      <w:pPr>
        <w:pStyle w:val="Heading2"/>
      </w:pPr>
      <w:bookmarkStart w:id="5" w:name="_Toc230956229"/>
      <w:r w:rsidRPr="00DA4141">
        <w:t>Example actions</w:t>
      </w:r>
      <w:r w:rsidR="00330F4D">
        <w:t xml:space="preserve"> for change</w:t>
      </w:r>
      <w:r w:rsidRPr="00DA4141">
        <w:t xml:space="preserve"> by ‘</w:t>
      </w:r>
      <w:r w:rsidRPr="00DA4141">
        <w:rPr>
          <w:bCs/>
        </w:rPr>
        <w:t>Respect’ theme</w:t>
      </w:r>
      <w:r w:rsidR="00451F02" w:rsidRPr="00DA4141">
        <w:rPr>
          <w:bCs/>
        </w:rPr>
        <w:t xml:space="preserve"> across 3 levels</w:t>
      </w:r>
      <w:bookmarkEnd w:id="5"/>
    </w:p>
    <w:p w14:paraId="4505BBB0" w14:textId="52414032" w:rsidR="00451F02" w:rsidRPr="00DA4141" w:rsidRDefault="0014287E" w:rsidP="00451F02">
      <w:pPr>
        <w:pStyle w:val="Heading3"/>
      </w:pPr>
      <w:r w:rsidRPr="00DA4141">
        <w:t>‘</w:t>
      </w:r>
      <w:r w:rsidR="00EE501F" w:rsidRPr="00DA4141">
        <w:t>Respect</w:t>
      </w:r>
      <w:r w:rsidRPr="00DA4141">
        <w:t>’</w:t>
      </w:r>
      <w:r w:rsidR="00EE501F" w:rsidRPr="00DA4141">
        <w:t xml:space="preserve"> theme: </w:t>
      </w:r>
      <w:r w:rsidR="00451F02" w:rsidRPr="00DA4141">
        <w:t>Individual, family and relationship action</w:t>
      </w:r>
      <w:r w:rsidR="008F3198">
        <w:t>s</w:t>
      </w:r>
    </w:p>
    <w:p w14:paraId="60C9CD97" w14:textId="4FE2A5F6" w:rsidR="00451F02" w:rsidRPr="00DA4141" w:rsidRDefault="00451F02" w:rsidP="00451F02">
      <w:pPr>
        <w:pStyle w:val="Bullet1"/>
      </w:pPr>
      <w:r w:rsidRPr="00DA4141">
        <w:t>Help peers reflect on internalised ageist beliefs, language and behaviours</w:t>
      </w:r>
    </w:p>
    <w:p w14:paraId="38E0FCFD" w14:textId="77777777" w:rsidR="00451F02" w:rsidRPr="00DA4141" w:rsidRDefault="00451F02" w:rsidP="00451F02">
      <w:pPr>
        <w:pStyle w:val="Bullet1"/>
      </w:pPr>
      <w:r w:rsidRPr="00DA4141">
        <w:t>Support older people to have a voice in family contexts, with kind and sincere respect for opinions, views and decision-making capabilities</w:t>
      </w:r>
    </w:p>
    <w:p w14:paraId="2A56354D" w14:textId="77777777" w:rsidR="00451F02" w:rsidRPr="00DA4141" w:rsidRDefault="00451F02" w:rsidP="00451F02">
      <w:pPr>
        <w:pStyle w:val="Bullet1"/>
      </w:pPr>
      <w:r w:rsidRPr="00DA4141">
        <w:t>Use age-positive language and imagery in everyday communications</w:t>
      </w:r>
    </w:p>
    <w:p w14:paraId="48479813" w14:textId="77777777" w:rsidR="00451F02" w:rsidRPr="00DA4141" w:rsidRDefault="00451F02" w:rsidP="00451F02">
      <w:pPr>
        <w:pStyle w:val="Bullet1"/>
      </w:pPr>
      <w:r w:rsidRPr="00DA4141">
        <w:t>Read and tell stories that respect and value older people and diversity of age</w:t>
      </w:r>
    </w:p>
    <w:p w14:paraId="7DA1E737" w14:textId="77777777" w:rsidR="00451F02" w:rsidRPr="00DA4141" w:rsidRDefault="00451F02" w:rsidP="00451F02">
      <w:pPr>
        <w:pStyle w:val="Bullet1"/>
      </w:pPr>
      <w:r w:rsidRPr="00DA4141">
        <w:t>Promote the value of older people’s wisdom</w:t>
      </w:r>
    </w:p>
    <w:p w14:paraId="16A191A7" w14:textId="473032C6" w:rsidR="00D5123C" w:rsidRPr="00DA4141" w:rsidRDefault="00451F02" w:rsidP="00EE501F">
      <w:pPr>
        <w:pStyle w:val="Bullet1"/>
        <w:rPr>
          <w:bCs/>
        </w:rPr>
      </w:pPr>
      <w:r w:rsidRPr="00DA4141">
        <w:t>Address attitudes of ageist entitlement towards older people by adult children</w:t>
      </w:r>
    </w:p>
    <w:p w14:paraId="05FFE74F" w14:textId="2FC8A79A" w:rsidR="00EE501F" w:rsidRPr="00DA4141" w:rsidRDefault="0014287E" w:rsidP="00EE501F">
      <w:pPr>
        <w:pStyle w:val="Heading3"/>
      </w:pPr>
      <w:r w:rsidRPr="00DA4141">
        <w:t>‘</w:t>
      </w:r>
      <w:r w:rsidR="00EE501F" w:rsidRPr="00DA4141">
        <w:t>Respect</w:t>
      </w:r>
      <w:r w:rsidRPr="00DA4141">
        <w:t>’</w:t>
      </w:r>
      <w:r w:rsidR="00EE501F" w:rsidRPr="00DA4141">
        <w:t xml:space="preserve"> theme: Community and organisational actions</w:t>
      </w:r>
    </w:p>
    <w:p w14:paraId="1B7C301C" w14:textId="77777777" w:rsidR="00EE501F" w:rsidRPr="00DA4141" w:rsidRDefault="00EE501F" w:rsidP="00EE501F">
      <w:pPr>
        <w:pStyle w:val="Bullet1"/>
      </w:pPr>
      <w:r w:rsidRPr="00DA4141">
        <w:t>Review and update organisational communications to remove ageist language and imagery</w:t>
      </w:r>
    </w:p>
    <w:p w14:paraId="064E73C6" w14:textId="77777777" w:rsidR="00EE501F" w:rsidRPr="00DA4141" w:rsidRDefault="00EE501F" w:rsidP="00EE501F">
      <w:pPr>
        <w:pStyle w:val="Bullet1"/>
      </w:pPr>
      <w:r w:rsidRPr="00DA4141">
        <w:t>Educate community groups to address ageism and promote age positive messaging</w:t>
      </w:r>
    </w:p>
    <w:p w14:paraId="0ABC1EFE" w14:textId="77777777" w:rsidR="00EE501F" w:rsidRPr="00DA4141" w:rsidRDefault="00EE501F" w:rsidP="00EE501F">
      <w:pPr>
        <w:pStyle w:val="Bullet1"/>
      </w:pPr>
      <w:r w:rsidRPr="00DA4141">
        <w:t>Teach school-aged children about addressing ageism against both younger and older people</w:t>
      </w:r>
    </w:p>
    <w:p w14:paraId="6DFDA241" w14:textId="77777777" w:rsidR="00EE501F" w:rsidRPr="00DA4141" w:rsidRDefault="00EE501F" w:rsidP="00EE501F">
      <w:pPr>
        <w:pStyle w:val="Bullet1"/>
      </w:pPr>
      <w:r w:rsidRPr="00DA4141">
        <w:t>Showcase the strengths and contributions of older people in community settings and workplaces</w:t>
      </w:r>
    </w:p>
    <w:p w14:paraId="3646895B" w14:textId="77777777" w:rsidR="00EE501F" w:rsidRPr="00DA4141" w:rsidRDefault="00EE501F" w:rsidP="00EE501F">
      <w:pPr>
        <w:pStyle w:val="Bullet1"/>
      </w:pPr>
      <w:r w:rsidRPr="00DA4141">
        <w:t>Train workplaces on ageism to address ageist work practices</w:t>
      </w:r>
    </w:p>
    <w:p w14:paraId="4B1037B5" w14:textId="77777777" w:rsidR="00EE501F" w:rsidRPr="00DA4141" w:rsidRDefault="00EE501F" w:rsidP="00EE501F">
      <w:pPr>
        <w:pStyle w:val="Bullet1"/>
      </w:pPr>
      <w:r w:rsidRPr="00DA4141">
        <w:t>Review service systems to support older people’s self-determination</w:t>
      </w:r>
    </w:p>
    <w:p w14:paraId="4835F7D1" w14:textId="77777777" w:rsidR="00EE501F" w:rsidRPr="00DA4141" w:rsidRDefault="00EE501F" w:rsidP="00EE501F">
      <w:pPr>
        <w:pStyle w:val="Bullet1"/>
      </w:pPr>
      <w:r w:rsidRPr="00DA4141">
        <w:t>Run adult education programs on interpersonal ageism</w:t>
      </w:r>
    </w:p>
    <w:p w14:paraId="1358B7E0" w14:textId="3216F82A" w:rsidR="00EE501F" w:rsidRPr="00DA4141" w:rsidRDefault="0014287E" w:rsidP="00EE501F">
      <w:pPr>
        <w:pStyle w:val="Heading3"/>
      </w:pPr>
      <w:r w:rsidRPr="00DA4141">
        <w:t>‘</w:t>
      </w:r>
      <w:r w:rsidR="00EE501F" w:rsidRPr="00DA4141">
        <w:t>Respect</w:t>
      </w:r>
      <w:r w:rsidRPr="00DA4141">
        <w:t>’</w:t>
      </w:r>
      <w:r w:rsidR="00EE501F" w:rsidRPr="00DA4141">
        <w:t xml:space="preserve"> theme: Societal actions</w:t>
      </w:r>
    </w:p>
    <w:p w14:paraId="0D743805" w14:textId="77777777" w:rsidR="00EE501F" w:rsidRPr="00DA4141" w:rsidRDefault="00EE501F" w:rsidP="00EE501F">
      <w:pPr>
        <w:pStyle w:val="Bullet1"/>
      </w:pPr>
      <w:r w:rsidRPr="00DA4141">
        <w:t>Partner with media outlets to include positive ageing messaging in guidelines</w:t>
      </w:r>
    </w:p>
    <w:p w14:paraId="3E95BE1B" w14:textId="77777777" w:rsidR="00EE501F" w:rsidRPr="00DA4141" w:rsidRDefault="00EE501F" w:rsidP="00EE501F">
      <w:pPr>
        <w:pStyle w:val="Bullet1"/>
      </w:pPr>
      <w:r w:rsidRPr="00DA4141">
        <w:t>Update ageist public messages about older people</w:t>
      </w:r>
    </w:p>
    <w:p w14:paraId="11AAE4AF" w14:textId="77777777" w:rsidR="00EE501F" w:rsidRPr="00DA4141" w:rsidRDefault="00EE501F" w:rsidP="00EE501F">
      <w:pPr>
        <w:pStyle w:val="Bullet1"/>
      </w:pPr>
      <w:r w:rsidRPr="00DA4141">
        <w:t>Replace negative media imagery stereotyping older people with age-positive imagery</w:t>
      </w:r>
    </w:p>
    <w:p w14:paraId="6413BD01" w14:textId="77777777" w:rsidR="00EE501F" w:rsidRPr="00DA4141" w:rsidRDefault="00EE501F" w:rsidP="00EE501F">
      <w:pPr>
        <w:pStyle w:val="Bullet1"/>
      </w:pPr>
      <w:r w:rsidRPr="00DA4141">
        <w:t>Share and promote older people’s stories publicly to address ageist stereotypes and assumptions about interests and abilities</w:t>
      </w:r>
    </w:p>
    <w:p w14:paraId="6446A860" w14:textId="77777777" w:rsidR="00EE501F" w:rsidRPr="00DA4141" w:rsidRDefault="00EE501F" w:rsidP="00EE501F">
      <w:pPr>
        <w:pStyle w:val="Bullet1"/>
      </w:pPr>
      <w:r w:rsidRPr="00DA4141">
        <w:t>Normalise and promote positive messages about ageing with social media influencers</w:t>
      </w:r>
    </w:p>
    <w:p w14:paraId="15C212BC" w14:textId="05B662FD" w:rsidR="00EE501F" w:rsidRPr="00DA4141" w:rsidRDefault="00EE501F" w:rsidP="00EE501F">
      <w:pPr>
        <w:pStyle w:val="Bullet1"/>
      </w:pPr>
      <w:r w:rsidRPr="00DA4141">
        <w:t>Run public behaviour change campaigns to address ageist stereotypes and promote respect for older people</w:t>
      </w:r>
    </w:p>
    <w:p w14:paraId="3B8F0E4D" w14:textId="77777777" w:rsidR="00D5123C" w:rsidRPr="00DA4141" w:rsidRDefault="00D5123C" w:rsidP="00D5123C">
      <w:pPr>
        <w:spacing w:after="0" w:line="240" w:lineRule="auto"/>
        <w:rPr>
          <w:b/>
          <w:color w:val="201547"/>
          <w:sz w:val="32"/>
          <w:szCs w:val="28"/>
        </w:rPr>
      </w:pPr>
      <w:r w:rsidRPr="00DA4141">
        <w:br w:type="page"/>
      </w:r>
    </w:p>
    <w:p w14:paraId="7A246102" w14:textId="2917A6AD" w:rsidR="00D5123C" w:rsidRPr="00DA4141" w:rsidRDefault="00D5123C" w:rsidP="00D5123C">
      <w:pPr>
        <w:pStyle w:val="Heading2"/>
      </w:pPr>
      <w:bookmarkStart w:id="6" w:name="_Toc230956230"/>
      <w:r w:rsidRPr="00DA4141">
        <w:lastRenderedPageBreak/>
        <w:t xml:space="preserve">Example actions </w:t>
      </w:r>
      <w:r w:rsidR="00330F4D">
        <w:t>for change</w:t>
      </w:r>
      <w:r w:rsidR="00330F4D" w:rsidRPr="00DA4141">
        <w:t xml:space="preserve"> </w:t>
      </w:r>
      <w:r w:rsidRPr="00DA4141">
        <w:t xml:space="preserve">by ‘Intergenerational connection’ theme </w:t>
      </w:r>
      <w:r w:rsidR="00EE501F" w:rsidRPr="00DA4141">
        <w:t>across 3 levels</w:t>
      </w:r>
      <w:bookmarkEnd w:id="6"/>
    </w:p>
    <w:p w14:paraId="3FAE9BE6" w14:textId="326E7312" w:rsidR="00EE501F" w:rsidRPr="00DA4141" w:rsidRDefault="0014287E" w:rsidP="00D81994">
      <w:pPr>
        <w:pStyle w:val="Heading3"/>
      </w:pPr>
      <w:r w:rsidRPr="00DA4141">
        <w:t>‘</w:t>
      </w:r>
      <w:r w:rsidR="00EE501F" w:rsidRPr="00DA4141">
        <w:t>Intergenerational connection theme</w:t>
      </w:r>
      <w:r w:rsidRPr="00DA4141">
        <w:t>’</w:t>
      </w:r>
      <w:r w:rsidR="00EE501F" w:rsidRPr="00DA4141">
        <w:t>: Individual, family and relationship action</w:t>
      </w:r>
      <w:r w:rsidR="008F3198">
        <w:t>s</w:t>
      </w:r>
    </w:p>
    <w:p w14:paraId="2F6A557E" w14:textId="710DF64B" w:rsidR="00EE501F" w:rsidRPr="00DA4141" w:rsidRDefault="00EE501F" w:rsidP="00EE501F">
      <w:pPr>
        <w:pStyle w:val="Bullet1"/>
      </w:pPr>
      <w:r w:rsidRPr="00DA4141">
        <w:t>Hold positive family gatherings with people from different generations including older people</w:t>
      </w:r>
    </w:p>
    <w:p w14:paraId="1D5E810B" w14:textId="77777777" w:rsidR="00EE501F" w:rsidRPr="00DA4141" w:rsidRDefault="00EE501F" w:rsidP="00EE501F">
      <w:pPr>
        <w:pStyle w:val="Bullet1"/>
      </w:pPr>
      <w:r w:rsidRPr="00DA4141">
        <w:t>Develop positive relationships with older neighbours of a different generation</w:t>
      </w:r>
    </w:p>
    <w:p w14:paraId="4D89344C" w14:textId="77777777" w:rsidR="00EE501F" w:rsidRPr="00DA4141" w:rsidRDefault="00EE501F" w:rsidP="00EE501F">
      <w:pPr>
        <w:pStyle w:val="Bullet1"/>
      </w:pPr>
      <w:r w:rsidRPr="00DA4141">
        <w:t>Share stories to encourage positive conversations between younger and older generations</w:t>
      </w:r>
    </w:p>
    <w:p w14:paraId="263D7680" w14:textId="77777777" w:rsidR="00EE501F" w:rsidRPr="00DA4141" w:rsidRDefault="00EE501F" w:rsidP="00EE501F">
      <w:pPr>
        <w:pStyle w:val="Bullet1"/>
      </w:pPr>
      <w:r w:rsidRPr="00DA4141">
        <w:t xml:space="preserve">Set up regular videocalls between children and grandparents that foster positive interactions </w:t>
      </w:r>
    </w:p>
    <w:p w14:paraId="5B914C7F" w14:textId="477BEDED" w:rsidR="00EE501F" w:rsidRPr="00DA4141" w:rsidRDefault="0014287E" w:rsidP="00D81994">
      <w:pPr>
        <w:pStyle w:val="Heading3"/>
      </w:pPr>
      <w:r w:rsidRPr="00DA4141">
        <w:t>‘</w:t>
      </w:r>
      <w:r w:rsidR="00D81994" w:rsidRPr="00DA4141">
        <w:t>Intergenerational connection theme</w:t>
      </w:r>
      <w:r w:rsidRPr="00DA4141">
        <w:t>’</w:t>
      </w:r>
      <w:r w:rsidR="00D81994" w:rsidRPr="00DA4141">
        <w:t xml:space="preserve">: </w:t>
      </w:r>
      <w:r w:rsidR="00EE501F" w:rsidRPr="00DA4141">
        <w:t xml:space="preserve">Community and organisational actions </w:t>
      </w:r>
    </w:p>
    <w:p w14:paraId="20E56535" w14:textId="5BB57689" w:rsidR="00EE501F" w:rsidRPr="00DA4141" w:rsidRDefault="00EE501F" w:rsidP="00EE501F">
      <w:pPr>
        <w:pStyle w:val="Tablebullet1"/>
      </w:pPr>
      <w:r w:rsidRPr="00DA4141">
        <w:t>Establish skills exchange and companionship programs with older people and other generations</w:t>
      </w:r>
    </w:p>
    <w:p w14:paraId="1B685429" w14:textId="77777777" w:rsidR="00EE501F" w:rsidRPr="00DA4141" w:rsidRDefault="00EE501F" w:rsidP="00EE501F">
      <w:pPr>
        <w:pStyle w:val="Tablebullet1"/>
      </w:pPr>
      <w:r w:rsidRPr="00DA4141">
        <w:t>Put in place older people mentorship programs for younger generations in workplaces</w:t>
      </w:r>
    </w:p>
    <w:p w14:paraId="0C715B53" w14:textId="77777777" w:rsidR="00EE501F" w:rsidRPr="00DA4141" w:rsidRDefault="00EE501F" w:rsidP="00EE501F">
      <w:pPr>
        <w:pStyle w:val="Tablebullet1"/>
      </w:pPr>
      <w:r w:rsidRPr="00DA4141">
        <w:t>Develop intergenerational sessions in recreation and sport clubs</w:t>
      </w:r>
    </w:p>
    <w:p w14:paraId="73C93BFE" w14:textId="77777777" w:rsidR="00EE501F" w:rsidRPr="00DA4141" w:rsidRDefault="00EE501F" w:rsidP="00EE501F">
      <w:pPr>
        <w:pStyle w:val="Tablebullet1"/>
      </w:pPr>
      <w:r w:rsidRPr="00DA4141">
        <w:t>Involve older people involved in early years intergenerational library story time, play or music groups</w:t>
      </w:r>
    </w:p>
    <w:p w14:paraId="0A0F6BFF" w14:textId="77777777" w:rsidR="00EE501F" w:rsidRPr="00DA4141" w:rsidRDefault="00EE501F" w:rsidP="00EE501F">
      <w:pPr>
        <w:pStyle w:val="Tablebullet1"/>
      </w:pPr>
      <w:r w:rsidRPr="00DA4141">
        <w:t>Give families tools, education and support to foster positive intergenerational relationships</w:t>
      </w:r>
    </w:p>
    <w:p w14:paraId="40006876" w14:textId="374A5A1B" w:rsidR="00EE501F" w:rsidRPr="00DA4141" w:rsidRDefault="0014287E" w:rsidP="00EE501F">
      <w:pPr>
        <w:pStyle w:val="Heading3"/>
      </w:pPr>
      <w:r w:rsidRPr="00DA4141">
        <w:t>‘</w:t>
      </w:r>
      <w:r w:rsidR="00D81994" w:rsidRPr="00DA4141">
        <w:t>Intergenerational connection theme</w:t>
      </w:r>
      <w:r w:rsidRPr="00DA4141">
        <w:t>’</w:t>
      </w:r>
      <w:r w:rsidR="00D81994" w:rsidRPr="00DA4141">
        <w:t xml:space="preserve">: </w:t>
      </w:r>
      <w:r w:rsidR="00EE501F" w:rsidRPr="00DA4141">
        <w:t>Societal actions</w:t>
      </w:r>
    </w:p>
    <w:p w14:paraId="4190391E" w14:textId="77777777" w:rsidR="00EE501F" w:rsidRPr="00DA4141" w:rsidRDefault="00EE501F" w:rsidP="00D81994">
      <w:pPr>
        <w:pStyle w:val="Bullet1"/>
      </w:pPr>
      <w:r w:rsidRPr="00DA4141">
        <w:t>Showcase positive intergenerational relationships in news public advertising and media</w:t>
      </w:r>
    </w:p>
    <w:p w14:paraId="54EBFDB4" w14:textId="77777777" w:rsidR="00EE501F" w:rsidRPr="00DA4141" w:rsidRDefault="00EE501F" w:rsidP="00D81994">
      <w:pPr>
        <w:pStyle w:val="Bullet1"/>
      </w:pPr>
      <w:r w:rsidRPr="00DA4141">
        <w:t>Publish and publicise children’s storybooks with positive and respectful relationships between younger and older people</w:t>
      </w:r>
    </w:p>
    <w:p w14:paraId="7C70B901" w14:textId="77777777" w:rsidR="00EE501F" w:rsidRPr="00DA4141" w:rsidRDefault="00EE501F" w:rsidP="00D81994">
      <w:pPr>
        <w:pStyle w:val="Bullet1"/>
      </w:pPr>
      <w:r w:rsidRPr="00DA4141">
        <w:t>Broadcast positive panel discussions and interviews in the media with younger and older people</w:t>
      </w:r>
    </w:p>
    <w:p w14:paraId="0B765AAC" w14:textId="77777777" w:rsidR="00EE501F" w:rsidRPr="00DA4141" w:rsidRDefault="00EE501F" w:rsidP="00D81994">
      <w:pPr>
        <w:pStyle w:val="Bullet1"/>
      </w:pPr>
      <w:r w:rsidRPr="00DA4141">
        <w:t>Develop social policy promoting positive intergenerational connections and communities</w:t>
      </w:r>
    </w:p>
    <w:p w14:paraId="3F903E3F" w14:textId="77777777" w:rsidR="00D5123C" w:rsidRPr="00DA4141" w:rsidRDefault="00D5123C" w:rsidP="00D5123C">
      <w:pPr>
        <w:spacing w:after="0" w:line="240" w:lineRule="auto"/>
        <w:rPr>
          <w:b/>
          <w:color w:val="201547"/>
          <w:sz w:val="32"/>
          <w:szCs w:val="28"/>
        </w:rPr>
      </w:pPr>
      <w:r w:rsidRPr="00DA4141">
        <w:br w:type="page"/>
      </w:r>
    </w:p>
    <w:p w14:paraId="1BB0C38A" w14:textId="0B61F5D2" w:rsidR="00D5123C" w:rsidRPr="00DA4141" w:rsidRDefault="00D5123C" w:rsidP="00D5123C">
      <w:pPr>
        <w:pStyle w:val="Heading2"/>
      </w:pPr>
      <w:bookmarkStart w:id="7" w:name="_Toc230956231"/>
      <w:r w:rsidRPr="00DA4141">
        <w:lastRenderedPageBreak/>
        <w:t xml:space="preserve">Example actions </w:t>
      </w:r>
      <w:r w:rsidR="00330F4D">
        <w:t>for change</w:t>
      </w:r>
      <w:r w:rsidR="00330F4D" w:rsidRPr="00DA4141">
        <w:t xml:space="preserve"> </w:t>
      </w:r>
      <w:r w:rsidRPr="00DA4141">
        <w:t xml:space="preserve">by ‘Inclusion’ theme </w:t>
      </w:r>
      <w:r w:rsidR="00D371EC" w:rsidRPr="00DA4141">
        <w:t>across 3 levels</w:t>
      </w:r>
      <w:bookmarkEnd w:id="7"/>
    </w:p>
    <w:p w14:paraId="5C25F3A1" w14:textId="74105A8B" w:rsidR="000D3C04" w:rsidRPr="00DA4141" w:rsidRDefault="0014287E" w:rsidP="0014287E">
      <w:pPr>
        <w:pStyle w:val="Heading3"/>
      </w:pPr>
      <w:r w:rsidRPr="00DA4141">
        <w:t xml:space="preserve">‘Inclusion’ </w:t>
      </w:r>
      <w:r w:rsidR="000D3C04" w:rsidRPr="00DA4141">
        <w:t>theme: Individual, family and relationship action</w:t>
      </w:r>
      <w:r w:rsidR="008F3198">
        <w:t>s</w:t>
      </w:r>
    </w:p>
    <w:p w14:paraId="423CBB58" w14:textId="77777777" w:rsidR="0014287E" w:rsidRPr="00DA4141" w:rsidRDefault="0014287E" w:rsidP="0014287E">
      <w:pPr>
        <w:pStyle w:val="Bullet1"/>
      </w:pPr>
      <w:r w:rsidRPr="00DA4141">
        <w:t>Foster older people’s sense of belonging among family by embracing and celebrating older members, including diverse identities and cultures</w:t>
      </w:r>
    </w:p>
    <w:p w14:paraId="2EEBF36A" w14:textId="77777777" w:rsidR="0014287E" w:rsidRPr="00DA4141" w:rsidRDefault="0014287E" w:rsidP="0014287E">
      <w:pPr>
        <w:pStyle w:val="Bullet1"/>
      </w:pPr>
      <w:r w:rsidRPr="00DA4141">
        <w:t>Support inclusive family activities and discussions with older people, including on digital platforms</w:t>
      </w:r>
    </w:p>
    <w:p w14:paraId="29BDF4B1" w14:textId="2CE5F82F" w:rsidR="0014287E" w:rsidRPr="00DA4141" w:rsidRDefault="0014287E" w:rsidP="00330F4D">
      <w:pPr>
        <w:pStyle w:val="Bullet1"/>
      </w:pPr>
      <w:r w:rsidRPr="00DA4141">
        <w:t>Review own assumptions about older people’s preferences for participation</w:t>
      </w:r>
    </w:p>
    <w:p w14:paraId="5D9B6543" w14:textId="2F5206EA" w:rsidR="0014287E" w:rsidRPr="00DA4141" w:rsidRDefault="0014287E" w:rsidP="0014287E">
      <w:pPr>
        <w:pStyle w:val="Heading3"/>
      </w:pPr>
      <w:r w:rsidRPr="00DA4141">
        <w:t>‘Inclusion’ theme: Community and organisational actions</w:t>
      </w:r>
    </w:p>
    <w:p w14:paraId="4D043203" w14:textId="77777777" w:rsidR="0014287E" w:rsidRPr="00DA4141" w:rsidRDefault="0014287E" w:rsidP="0014287E">
      <w:pPr>
        <w:pStyle w:val="Bullet1"/>
      </w:pPr>
      <w:r w:rsidRPr="00DA4141">
        <w:t>Audit policies and processes for ageism and other forms of discrimination.</w:t>
      </w:r>
    </w:p>
    <w:p w14:paraId="34FF7FFF" w14:textId="77777777" w:rsidR="0014287E" w:rsidRPr="00DA4141" w:rsidRDefault="0014287E" w:rsidP="0014287E">
      <w:pPr>
        <w:pStyle w:val="Bullet1"/>
      </w:pPr>
      <w:r w:rsidRPr="00DA4141">
        <w:t>Appoint local decision-making groups using population parity ratios for older people</w:t>
      </w:r>
    </w:p>
    <w:p w14:paraId="48DE2A7C" w14:textId="77777777" w:rsidR="0014287E" w:rsidRPr="00DA4141" w:rsidRDefault="0014287E" w:rsidP="0014287E">
      <w:pPr>
        <w:pStyle w:val="Bullet1"/>
      </w:pPr>
      <w:r w:rsidRPr="00DA4141">
        <w:t>Work on fair inclusion of older people with:</w:t>
      </w:r>
    </w:p>
    <w:p w14:paraId="0E10B084" w14:textId="77777777" w:rsidR="0014287E" w:rsidRPr="00DA4141" w:rsidRDefault="0014287E" w:rsidP="0014287E">
      <w:pPr>
        <w:pStyle w:val="Bullet2"/>
      </w:pPr>
      <w:r w:rsidRPr="00DA4141">
        <w:t>Aboriginal community-controlled organisations</w:t>
      </w:r>
    </w:p>
    <w:p w14:paraId="315066C9" w14:textId="77777777" w:rsidR="0014287E" w:rsidRPr="00DA4141" w:rsidRDefault="0014287E" w:rsidP="0014287E">
      <w:pPr>
        <w:pStyle w:val="Bullet2"/>
      </w:pPr>
      <w:r w:rsidRPr="00DA4141">
        <w:t>culturally and linguistically diverse organisations</w:t>
      </w:r>
    </w:p>
    <w:p w14:paraId="7483F4A6" w14:textId="77777777" w:rsidR="0014287E" w:rsidRPr="00DA4141" w:rsidRDefault="0014287E" w:rsidP="0014287E">
      <w:pPr>
        <w:pStyle w:val="Bullet2"/>
      </w:pPr>
      <w:r w:rsidRPr="00DA4141">
        <w:t>disability services</w:t>
      </w:r>
    </w:p>
    <w:p w14:paraId="054D7706" w14:textId="77777777" w:rsidR="0014287E" w:rsidRPr="00DA4141" w:rsidRDefault="0014287E" w:rsidP="0014287E">
      <w:pPr>
        <w:pStyle w:val="Bullet2"/>
      </w:pPr>
      <w:r w:rsidRPr="00DA4141">
        <w:t>LGBTIQA+ services</w:t>
      </w:r>
    </w:p>
    <w:p w14:paraId="6BE1169B" w14:textId="07DBD841" w:rsidR="0014287E" w:rsidRPr="00DA4141" w:rsidRDefault="0014287E" w:rsidP="0014287E">
      <w:pPr>
        <w:pStyle w:val="Bullet1"/>
      </w:pPr>
      <w:r w:rsidRPr="00DA4141">
        <w:t>Design built environments for fair access and participation across all generations</w:t>
      </w:r>
    </w:p>
    <w:p w14:paraId="1FCB8FD1" w14:textId="74D6A451" w:rsidR="0014287E" w:rsidRPr="00DA4141" w:rsidRDefault="0014287E" w:rsidP="0014287E">
      <w:pPr>
        <w:pStyle w:val="Heading3"/>
      </w:pPr>
      <w:r w:rsidRPr="00DA4141">
        <w:t>‘Inclusion’ theme: Societal actions</w:t>
      </w:r>
    </w:p>
    <w:p w14:paraId="29B3EBB0" w14:textId="05621BA7" w:rsidR="0014287E" w:rsidRPr="00A619A8" w:rsidRDefault="0014287E" w:rsidP="00A619A8">
      <w:pPr>
        <w:pStyle w:val="Bullet1"/>
      </w:pPr>
      <w:r w:rsidRPr="00A619A8">
        <w:t>Set up advisory groups with older people, including people facing multiple forms of discrimination, to inform policy</w:t>
      </w:r>
    </w:p>
    <w:p w14:paraId="766596FA" w14:textId="77777777" w:rsidR="0014287E" w:rsidRPr="00A619A8" w:rsidRDefault="0014287E" w:rsidP="00A619A8">
      <w:pPr>
        <w:pStyle w:val="Bullet1"/>
      </w:pPr>
      <w:r w:rsidRPr="00A619A8">
        <w:t>Create laws and policies that are fair for and reflect the diversity of older people</w:t>
      </w:r>
    </w:p>
    <w:p w14:paraId="325DDF12" w14:textId="77777777" w:rsidR="0014287E" w:rsidRPr="00A619A8" w:rsidRDefault="0014287E" w:rsidP="00A619A8">
      <w:pPr>
        <w:pStyle w:val="Bullet1"/>
      </w:pPr>
      <w:r w:rsidRPr="00A619A8">
        <w:t>Review imagery and language on social media to ensure positive and diverse representation of older people</w:t>
      </w:r>
    </w:p>
    <w:p w14:paraId="112D26BF" w14:textId="77777777" w:rsidR="00A619A8" w:rsidRPr="00A619A8" w:rsidRDefault="0014287E" w:rsidP="00A619A8">
      <w:pPr>
        <w:pStyle w:val="Bullet1"/>
      </w:pPr>
      <w:r w:rsidRPr="00A619A8">
        <w:t>Strengthen age discrimination protections policies</w:t>
      </w:r>
    </w:p>
    <w:p w14:paraId="3115DC83" w14:textId="6857F3B4" w:rsidR="00607585" w:rsidRPr="00DA4141" w:rsidRDefault="00607585" w:rsidP="0014287E">
      <w:pPr>
        <w:pStyle w:val="Bullet1"/>
        <w:rPr>
          <w:b/>
          <w:color w:val="201547"/>
          <w:sz w:val="32"/>
          <w:szCs w:val="28"/>
        </w:rPr>
      </w:pPr>
      <w:r w:rsidRPr="00DA4141">
        <w:br w:type="page"/>
      </w:r>
    </w:p>
    <w:p w14:paraId="3806BA11" w14:textId="48202AE4" w:rsidR="00F15ADF" w:rsidRPr="00DA4141" w:rsidRDefault="00F15ADF" w:rsidP="00F15ADF">
      <w:pPr>
        <w:pStyle w:val="Heading2"/>
        <w:rPr>
          <w:bCs/>
        </w:rPr>
      </w:pPr>
      <w:bookmarkStart w:id="8" w:name="_Toc230956232"/>
      <w:r w:rsidRPr="00DA4141">
        <w:lastRenderedPageBreak/>
        <w:t xml:space="preserve">Example actions </w:t>
      </w:r>
      <w:r w:rsidR="00330F4D">
        <w:t>for change</w:t>
      </w:r>
      <w:r w:rsidR="00330F4D" w:rsidRPr="00DA4141">
        <w:t xml:space="preserve"> </w:t>
      </w:r>
      <w:r w:rsidRPr="00DA4141">
        <w:t xml:space="preserve">by ‘Gender equality’ theme </w:t>
      </w:r>
      <w:r w:rsidRPr="00DA4141">
        <w:rPr>
          <w:bCs/>
        </w:rPr>
        <w:t>across 3 levels</w:t>
      </w:r>
      <w:bookmarkEnd w:id="8"/>
    </w:p>
    <w:p w14:paraId="68783DB8" w14:textId="007A6F66" w:rsidR="0014287E" w:rsidRPr="00DA4141" w:rsidRDefault="0014287E" w:rsidP="0014287E">
      <w:pPr>
        <w:pStyle w:val="Heading3"/>
      </w:pPr>
      <w:r w:rsidRPr="00DA4141">
        <w:t>‘Gender equality’ theme: Individual, family and relationship action</w:t>
      </w:r>
      <w:r w:rsidR="008F3198">
        <w:t>s</w:t>
      </w:r>
    </w:p>
    <w:p w14:paraId="5B92E76A" w14:textId="77777777" w:rsidR="0014287E" w:rsidRPr="00DA4141" w:rsidRDefault="0014287E" w:rsidP="00D14FEE">
      <w:pPr>
        <w:pStyle w:val="Bullet1"/>
      </w:pPr>
      <w:r w:rsidRPr="00DA4141">
        <w:t>Have respectful conversations to address harmful gender stereotypes and sexist remarks across generations</w:t>
      </w:r>
    </w:p>
    <w:p w14:paraId="2DC4C5B2" w14:textId="77777777" w:rsidR="0014287E" w:rsidRPr="00DA4141" w:rsidRDefault="0014287E" w:rsidP="00D14FEE">
      <w:pPr>
        <w:pStyle w:val="Bullet1"/>
      </w:pPr>
      <w:r w:rsidRPr="00DA4141">
        <w:t>Review own beliefs of rigid gender stereotypes about older people</w:t>
      </w:r>
    </w:p>
    <w:p w14:paraId="70E0FEA0" w14:textId="77777777" w:rsidR="0014287E" w:rsidRPr="00DA4141" w:rsidRDefault="0014287E" w:rsidP="00D14FEE">
      <w:pPr>
        <w:pStyle w:val="Bullet1"/>
      </w:pPr>
      <w:r w:rsidRPr="00DA4141">
        <w:t>Show allyship and support for trans older people in social circles</w:t>
      </w:r>
    </w:p>
    <w:p w14:paraId="02952C7A" w14:textId="77777777" w:rsidR="0014287E" w:rsidRPr="00DA4141" w:rsidRDefault="0014287E" w:rsidP="00D14FEE">
      <w:pPr>
        <w:pStyle w:val="Bullet1"/>
      </w:pPr>
      <w:r w:rsidRPr="00DA4141">
        <w:t>Invite respectful conversations when peers minimise or excuse violence against older women and gender diverse people</w:t>
      </w:r>
    </w:p>
    <w:p w14:paraId="2FD7EA9C" w14:textId="77777777" w:rsidR="0014287E" w:rsidRPr="00DA4141" w:rsidRDefault="0014287E" w:rsidP="00D14FEE">
      <w:pPr>
        <w:pStyle w:val="Bullet1"/>
      </w:pPr>
      <w:r w:rsidRPr="00DA4141">
        <w:t>Break down the belief that only young people transition</w:t>
      </w:r>
    </w:p>
    <w:p w14:paraId="0950358C" w14:textId="77777777" w:rsidR="0014287E" w:rsidRPr="00DA4141" w:rsidRDefault="0014287E" w:rsidP="00D14FEE">
      <w:pPr>
        <w:pStyle w:val="Bullet1"/>
      </w:pPr>
      <w:r w:rsidRPr="00DA4141">
        <w:t>Show support to older people exploring their gender identity if it is important to them</w:t>
      </w:r>
    </w:p>
    <w:p w14:paraId="5D26611E" w14:textId="39971D24" w:rsidR="0014287E" w:rsidRPr="00DA4141" w:rsidRDefault="0014287E" w:rsidP="0014287E">
      <w:pPr>
        <w:pStyle w:val="Heading3"/>
      </w:pPr>
      <w:r w:rsidRPr="00DA4141">
        <w:t>‘Gender equality’: Community and organisational actions</w:t>
      </w:r>
    </w:p>
    <w:p w14:paraId="4CAC6C07" w14:textId="77777777" w:rsidR="0014287E" w:rsidRPr="00DA4141" w:rsidRDefault="0014287E" w:rsidP="0014287E">
      <w:pPr>
        <w:pStyle w:val="Bullet1"/>
      </w:pPr>
      <w:r w:rsidRPr="00DA4141">
        <w:t>Include older women in strategies, research and actions around preventing violence against women</w:t>
      </w:r>
    </w:p>
    <w:p w14:paraId="0DB931F8" w14:textId="77777777" w:rsidR="0014287E" w:rsidRPr="00DA4141" w:rsidRDefault="0014287E" w:rsidP="0014287E">
      <w:pPr>
        <w:pStyle w:val="Bullet1"/>
      </w:pPr>
      <w:r w:rsidRPr="00DA4141">
        <w:t>Develop policies that support proportional representation of older women and trans and gender diverse people in leadership positions</w:t>
      </w:r>
    </w:p>
    <w:p w14:paraId="14BEC060" w14:textId="77777777" w:rsidR="0014287E" w:rsidRPr="00DA4141" w:rsidRDefault="0014287E" w:rsidP="0014287E">
      <w:pPr>
        <w:pStyle w:val="Bullet1"/>
      </w:pPr>
      <w:r w:rsidRPr="00DA4141">
        <w:t>Run community sessions that support older women’s independence and decision making</w:t>
      </w:r>
    </w:p>
    <w:p w14:paraId="5D870B56" w14:textId="74E6EF13" w:rsidR="0014287E" w:rsidRPr="00DA4141" w:rsidRDefault="0014287E" w:rsidP="009C71D3">
      <w:pPr>
        <w:pStyle w:val="Bullet1"/>
      </w:pPr>
      <w:r w:rsidRPr="00DA4141">
        <w:t>Promote the diversity of older women’s interests, achievements and careers</w:t>
      </w:r>
    </w:p>
    <w:p w14:paraId="1EE5C90D" w14:textId="37B511F5" w:rsidR="0014287E" w:rsidRPr="00DA4141" w:rsidRDefault="0014287E" w:rsidP="0014287E">
      <w:pPr>
        <w:pStyle w:val="Heading3"/>
      </w:pPr>
      <w:r w:rsidRPr="00DA4141">
        <w:t>‘Gender equality’: Societal actions</w:t>
      </w:r>
    </w:p>
    <w:p w14:paraId="6818C6F4" w14:textId="77777777" w:rsidR="0014287E" w:rsidRPr="00DA4141" w:rsidRDefault="0014287E" w:rsidP="00D14FEE">
      <w:pPr>
        <w:pStyle w:val="Bullet1"/>
      </w:pPr>
      <w:r w:rsidRPr="00DA4141">
        <w:t>Social policies and laws that promote gender equality for older women, trans and gender diverse people</w:t>
      </w:r>
    </w:p>
    <w:p w14:paraId="19956A77" w14:textId="77777777" w:rsidR="0014287E" w:rsidRPr="00DA4141" w:rsidRDefault="0014287E" w:rsidP="00D14FEE">
      <w:pPr>
        <w:pStyle w:val="Bullet1"/>
      </w:pPr>
      <w:r w:rsidRPr="00DA4141">
        <w:t>Publish positive depictions of older women, trans and gender diverse people that embrace ageing</w:t>
      </w:r>
    </w:p>
    <w:p w14:paraId="14221952" w14:textId="77777777" w:rsidR="0014287E" w:rsidRPr="00DA4141" w:rsidRDefault="0014287E" w:rsidP="00D14FEE">
      <w:pPr>
        <w:pStyle w:val="Bullet1"/>
      </w:pPr>
      <w:r w:rsidRPr="00DA4141">
        <w:t>Social media influencers teach healthy expressions of masculinity to boys and men of all ages</w:t>
      </w:r>
    </w:p>
    <w:p w14:paraId="7B321A34" w14:textId="77777777" w:rsidR="0014287E" w:rsidRPr="00DA4141" w:rsidRDefault="0014287E" w:rsidP="00D14FEE">
      <w:pPr>
        <w:pStyle w:val="Bullet1"/>
      </w:pPr>
      <w:r w:rsidRPr="00DA4141">
        <w:t>Develop journalist guides for reporting on the seriousness of violence against older women, trans and gender diverse people</w:t>
      </w:r>
    </w:p>
    <w:p w14:paraId="271FAEBB" w14:textId="77777777" w:rsidR="00F9250C" w:rsidRPr="00DA4141" w:rsidRDefault="00F9250C">
      <w:pPr>
        <w:spacing w:after="0" w:line="240" w:lineRule="auto"/>
        <w:rPr>
          <w:b/>
          <w:color w:val="201547"/>
          <w:sz w:val="32"/>
          <w:szCs w:val="28"/>
        </w:rPr>
      </w:pPr>
      <w:r w:rsidRPr="00DA4141">
        <w:br w:type="page"/>
      </w:r>
    </w:p>
    <w:p w14:paraId="386C7EDD" w14:textId="15BB4925" w:rsidR="00342367" w:rsidRPr="00DA4141" w:rsidRDefault="00342367" w:rsidP="00EB174D">
      <w:pPr>
        <w:pStyle w:val="Heading1"/>
      </w:pPr>
      <w:bookmarkStart w:id="9" w:name="_Toc230956233"/>
      <w:r w:rsidRPr="00DA4141">
        <w:lastRenderedPageBreak/>
        <w:t>Settings and population groups</w:t>
      </w:r>
      <w:bookmarkEnd w:id="9"/>
    </w:p>
    <w:p w14:paraId="354BB80F" w14:textId="6408C885" w:rsidR="00342367" w:rsidRPr="00DA4141" w:rsidRDefault="008F3198" w:rsidP="00342367">
      <w:pPr>
        <w:pStyle w:val="Body"/>
      </w:pPr>
      <w:r>
        <w:t xml:space="preserve">The sections </w:t>
      </w:r>
      <w:r w:rsidR="00DA4141" w:rsidRPr="00DA4141">
        <w:t>‘</w:t>
      </w:r>
      <w:hyperlink w:anchor="_Settings" w:history="1">
        <w:r w:rsidR="0094587B">
          <w:rPr>
            <w:rStyle w:val="Hyperlink"/>
          </w:rPr>
          <w:t>settings</w:t>
        </w:r>
      </w:hyperlink>
      <w:r w:rsidR="00DA4141" w:rsidRPr="00DA4141">
        <w:t xml:space="preserve">’ </w:t>
      </w:r>
      <w:r w:rsidR="00342367" w:rsidRPr="00DA4141">
        <w:t xml:space="preserve">and </w:t>
      </w:r>
      <w:r w:rsidR="00DA4141" w:rsidRPr="00DA4141">
        <w:t>‘</w:t>
      </w:r>
      <w:hyperlink w:anchor="_Population_groups_1" w:history="1">
        <w:r>
          <w:rPr>
            <w:rStyle w:val="Hyperlink"/>
          </w:rPr>
          <w:t>p</w:t>
        </w:r>
        <w:r w:rsidR="00DA4141" w:rsidRPr="00DA4141">
          <w:rPr>
            <w:rStyle w:val="Hyperlink"/>
          </w:rPr>
          <w:t>opulation groups</w:t>
        </w:r>
      </w:hyperlink>
      <w:r w:rsidR="00DA4141" w:rsidRPr="00DA4141">
        <w:t>’</w:t>
      </w:r>
      <w:r>
        <w:t xml:space="preserve"> below</w:t>
      </w:r>
      <w:r w:rsidR="00342367" w:rsidRPr="00DA4141">
        <w:t xml:space="preserve"> list possible settings and population groups for professionals to consider when designing or expanding the reach of elder abuse primary prevention actions. They can also be used to identify useful partnerships.</w:t>
      </w:r>
    </w:p>
    <w:p w14:paraId="34E0E4C7" w14:textId="77777777" w:rsidR="00342367" w:rsidRPr="00DA4141" w:rsidRDefault="00342367" w:rsidP="00342367">
      <w:pPr>
        <w:pStyle w:val="Body"/>
      </w:pPr>
      <w:r w:rsidRPr="00DA4141">
        <w:t>The breadth of settings reflects a whole-of-community approach – reinforcing that primary prevention messages and activities are most effective when they reach people across multiple settings. This helps to create meaningful, collective change at a population level to shift culture.</w:t>
      </w:r>
    </w:p>
    <w:p w14:paraId="32B56B27" w14:textId="77777777" w:rsidR="00342367" w:rsidRPr="00DA4141" w:rsidRDefault="00342367" w:rsidP="00342367">
      <w:pPr>
        <w:pStyle w:val="Body"/>
      </w:pPr>
      <w:r w:rsidRPr="00DA4141">
        <w:t>When designing primary prevention of elder abuse actions, it is important to remember that people’s experiences differ based on their many different identities, circumstances and experiences of privilege or marginalisation.</w:t>
      </w:r>
    </w:p>
    <w:p w14:paraId="74DC8E3B" w14:textId="77777777" w:rsidR="00342367" w:rsidRPr="00DA4141" w:rsidRDefault="00342367" w:rsidP="00342367">
      <w:pPr>
        <w:pStyle w:val="Body"/>
      </w:pPr>
      <w:r w:rsidRPr="00DA4141">
        <w:t>These identities can expose people to more forms of inequality. These include, but are not limited to:</w:t>
      </w:r>
    </w:p>
    <w:p w14:paraId="4C49702F" w14:textId="39720A66" w:rsidR="00342367" w:rsidRPr="00DA4141" w:rsidRDefault="00342367" w:rsidP="00EB174D">
      <w:pPr>
        <w:pStyle w:val="Bullet1"/>
      </w:pPr>
      <w:r w:rsidRPr="00DA4141">
        <w:t>racism</w:t>
      </w:r>
    </w:p>
    <w:p w14:paraId="38619391" w14:textId="6705BD53" w:rsidR="00342367" w:rsidRPr="00DA4141" w:rsidRDefault="00342367" w:rsidP="00EB174D">
      <w:pPr>
        <w:pStyle w:val="Bullet1"/>
      </w:pPr>
      <w:r w:rsidRPr="00DA4141">
        <w:t>colonialism</w:t>
      </w:r>
    </w:p>
    <w:p w14:paraId="1266E903" w14:textId="623D03EC" w:rsidR="00342367" w:rsidRPr="00DA4141" w:rsidRDefault="00342367" w:rsidP="00EB174D">
      <w:pPr>
        <w:pStyle w:val="Bullet1"/>
      </w:pPr>
      <w:r w:rsidRPr="00DA4141">
        <w:t>ableism</w:t>
      </w:r>
    </w:p>
    <w:p w14:paraId="1105C892" w14:textId="59CC6EB7" w:rsidR="00342367" w:rsidRPr="00DA4141" w:rsidRDefault="00342367" w:rsidP="00EB174D">
      <w:pPr>
        <w:pStyle w:val="Bullet1"/>
      </w:pPr>
      <w:r w:rsidRPr="00DA4141">
        <w:t>cisnormativity</w:t>
      </w:r>
    </w:p>
    <w:p w14:paraId="25EC5086" w14:textId="12C05799" w:rsidR="00342367" w:rsidRPr="00DA4141" w:rsidRDefault="00342367" w:rsidP="00EB174D">
      <w:pPr>
        <w:pStyle w:val="Bullet1"/>
      </w:pPr>
      <w:r w:rsidRPr="00DA4141">
        <w:t>heteronormativity.</w:t>
      </w:r>
    </w:p>
    <w:p w14:paraId="42E9F552" w14:textId="2031CB79" w:rsidR="00342367" w:rsidRPr="00DA4141" w:rsidRDefault="00342367" w:rsidP="00BD6B19">
      <w:pPr>
        <w:pStyle w:val="Bodyafterbullets"/>
      </w:pPr>
      <w:r w:rsidRPr="00DA4141">
        <w:t>Understanding how identities and inequalities intersect is sometimes called</w:t>
      </w:r>
      <w:r w:rsidR="00EB174D" w:rsidRPr="00DA4141">
        <w:t xml:space="preserve"> </w:t>
      </w:r>
      <w:r w:rsidRPr="00DA4141">
        <w:rPr>
          <w:b/>
          <w:bCs/>
        </w:rPr>
        <w:t>intersectionality</w:t>
      </w:r>
      <w:r w:rsidRPr="00DA4141">
        <w:t>. Professionals should take an intersectional approach by recognising and addressing overlapping forms of discrimination that worsen experiences for marginalised communities. This requires acting meaningfully, in solidarity with communities leading this work.</w:t>
      </w:r>
    </w:p>
    <w:p w14:paraId="445C6B0F" w14:textId="77777777" w:rsidR="003B39B5" w:rsidRDefault="003B39B5">
      <w:pPr>
        <w:spacing w:after="0" w:line="240" w:lineRule="auto"/>
        <w:rPr>
          <w:b/>
          <w:color w:val="201547"/>
          <w:sz w:val="36"/>
          <w:szCs w:val="28"/>
        </w:rPr>
      </w:pPr>
      <w:r>
        <w:br w:type="page"/>
      </w:r>
    </w:p>
    <w:p w14:paraId="00B97E50" w14:textId="1A0EC9B2" w:rsidR="009C71D3" w:rsidRDefault="009C71D3" w:rsidP="009C71D3">
      <w:pPr>
        <w:pStyle w:val="Heading2"/>
      </w:pPr>
      <w:bookmarkStart w:id="10" w:name="_Settings"/>
      <w:bookmarkStart w:id="11" w:name="_Toc230956234"/>
      <w:bookmarkEnd w:id="10"/>
      <w:r>
        <w:lastRenderedPageBreak/>
        <w:t>Settings</w:t>
      </w:r>
      <w:bookmarkEnd w:id="11"/>
      <w:r>
        <w:t xml:space="preserve"> </w:t>
      </w:r>
    </w:p>
    <w:p w14:paraId="246A0EB1" w14:textId="051B2B02" w:rsidR="001D2004" w:rsidRPr="00DA4141" w:rsidRDefault="001D2004" w:rsidP="009C71D3">
      <w:pPr>
        <w:pStyle w:val="Heading3"/>
      </w:pPr>
      <w:r w:rsidRPr="00DA4141">
        <w:t xml:space="preserve">Possible target settings when designing </w:t>
      </w:r>
      <w:r w:rsidR="008F3198">
        <w:t xml:space="preserve">primary </w:t>
      </w:r>
      <w:r w:rsidRPr="00DA4141">
        <w:t>prevention actions</w:t>
      </w:r>
    </w:p>
    <w:p w14:paraId="5D83436C" w14:textId="2038EC8C" w:rsidR="001D2004" w:rsidRPr="00DA4141" w:rsidRDefault="001D2004" w:rsidP="009C71D3">
      <w:pPr>
        <w:pStyle w:val="Heading4"/>
      </w:pPr>
      <w:r w:rsidRPr="00DA4141">
        <w:t>Community</w:t>
      </w:r>
      <w:r w:rsidR="00894C95" w:rsidRPr="00DA4141">
        <w:t xml:space="preserve"> </w:t>
      </w:r>
      <w:r w:rsidR="00DA4141" w:rsidRPr="00DA4141">
        <w:t xml:space="preserve">setting </w:t>
      </w:r>
      <w:r w:rsidR="00894C95" w:rsidRPr="00DA4141">
        <w:t>examples</w:t>
      </w:r>
    </w:p>
    <w:p w14:paraId="1AB7E969" w14:textId="6535D6EE" w:rsidR="001D2004" w:rsidRPr="00DA4141" w:rsidRDefault="001D2004" w:rsidP="001D2004">
      <w:pPr>
        <w:pStyle w:val="Bullet1"/>
      </w:pPr>
      <w:r w:rsidRPr="00DA4141">
        <w:t>Public transport</w:t>
      </w:r>
    </w:p>
    <w:p w14:paraId="1C822A47" w14:textId="77777777" w:rsidR="001D2004" w:rsidRPr="00DA4141" w:rsidRDefault="001D2004" w:rsidP="001D2004">
      <w:pPr>
        <w:pStyle w:val="Bullet1"/>
      </w:pPr>
      <w:r w:rsidRPr="00DA4141">
        <w:t>Public spaces (such as community squares, parks, promenades)</w:t>
      </w:r>
    </w:p>
    <w:p w14:paraId="489CA40F" w14:textId="77777777" w:rsidR="001D2004" w:rsidRPr="00DA4141" w:rsidRDefault="001D2004" w:rsidP="001D2004">
      <w:pPr>
        <w:pStyle w:val="Bullet1"/>
      </w:pPr>
      <w:r w:rsidRPr="00DA4141">
        <w:t>Libraries, including story time and community classes</w:t>
      </w:r>
    </w:p>
    <w:p w14:paraId="3C4EAB1E" w14:textId="77777777" w:rsidR="001D2004" w:rsidRPr="00DA4141" w:rsidRDefault="001D2004" w:rsidP="001D2004">
      <w:pPr>
        <w:pStyle w:val="Bullet1"/>
      </w:pPr>
      <w:r w:rsidRPr="00DA4141">
        <w:t>Community centres</w:t>
      </w:r>
    </w:p>
    <w:p w14:paraId="3107654E" w14:textId="77777777" w:rsidR="001D2004" w:rsidRPr="00DA4141" w:rsidRDefault="001D2004" w:rsidP="001D2004">
      <w:pPr>
        <w:pStyle w:val="Bullet1"/>
      </w:pPr>
      <w:r w:rsidRPr="00DA4141">
        <w:t>Shopping centres</w:t>
      </w:r>
    </w:p>
    <w:p w14:paraId="03C63F26" w14:textId="77777777" w:rsidR="001D2004" w:rsidRPr="00DA4141" w:rsidRDefault="001D2004" w:rsidP="001D2004">
      <w:pPr>
        <w:pStyle w:val="Bullet1"/>
      </w:pPr>
      <w:r w:rsidRPr="00DA4141">
        <w:t>Gathering places, including cafes</w:t>
      </w:r>
    </w:p>
    <w:p w14:paraId="6771582A" w14:textId="77777777" w:rsidR="001D2004" w:rsidRPr="00DA4141" w:rsidRDefault="001D2004" w:rsidP="001D2004">
      <w:pPr>
        <w:pStyle w:val="Bullet1"/>
      </w:pPr>
      <w:r w:rsidRPr="00DA4141">
        <w:t>Yarning groups</w:t>
      </w:r>
    </w:p>
    <w:p w14:paraId="0250286A" w14:textId="77777777" w:rsidR="001D2004" w:rsidRPr="00DA4141" w:rsidRDefault="001D2004" w:rsidP="001D2004">
      <w:pPr>
        <w:pStyle w:val="Bullet1"/>
      </w:pPr>
      <w:r w:rsidRPr="00DA4141">
        <w:t>Community events (such as cultural or religious festivals, Seniors Festival, Pride events)</w:t>
      </w:r>
    </w:p>
    <w:p w14:paraId="04CFB795" w14:textId="610549A6" w:rsidR="001D2004" w:rsidRPr="00DA4141" w:rsidRDefault="001D2004" w:rsidP="009C71D3">
      <w:pPr>
        <w:pStyle w:val="Heading4"/>
        <w:rPr>
          <w:rFonts w:eastAsia="Times"/>
          <w:color w:val="auto"/>
          <w:szCs w:val="20"/>
        </w:rPr>
      </w:pPr>
      <w:r w:rsidRPr="00DA4141">
        <w:t>Culture and faith</w:t>
      </w:r>
      <w:r w:rsidR="00894C95" w:rsidRPr="00DA4141">
        <w:t xml:space="preserve"> </w:t>
      </w:r>
      <w:r w:rsidR="00DA4141" w:rsidRPr="00DA4141">
        <w:t xml:space="preserve">setting </w:t>
      </w:r>
      <w:r w:rsidR="00894C95" w:rsidRPr="00DA4141">
        <w:t>examples</w:t>
      </w:r>
    </w:p>
    <w:p w14:paraId="582B2639" w14:textId="0F8BE4A8" w:rsidR="001D2004" w:rsidRPr="00DA4141" w:rsidRDefault="001D2004" w:rsidP="001D2004">
      <w:pPr>
        <w:pStyle w:val="Bullet1"/>
      </w:pPr>
      <w:r w:rsidRPr="00DA4141">
        <w:t>Cultural groups, networks and associations</w:t>
      </w:r>
    </w:p>
    <w:p w14:paraId="0A665000" w14:textId="77777777" w:rsidR="001D2004" w:rsidRPr="00DA4141" w:rsidRDefault="001D2004" w:rsidP="001D2004">
      <w:pPr>
        <w:pStyle w:val="Bullet1"/>
      </w:pPr>
      <w:r w:rsidRPr="00DA4141">
        <w:t>Faith-based networks and associations</w:t>
      </w:r>
    </w:p>
    <w:p w14:paraId="1217BAB6" w14:textId="77777777" w:rsidR="001D2004" w:rsidRPr="00DA4141" w:rsidRDefault="001D2004" w:rsidP="001D2004">
      <w:pPr>
        <w:pStyle w:val="Bullet1"/>
      </w:pPr>
      <w:r w:rsidRPr="00DA4141">
        <w:t>Places of worship (such as temples, mosques, synagogues, churches)</w:t>
      </w:r>
    </w:p>
    <w:p w14:paraId="067A2F15" w14:textId="7ED68925" w:rsidR="005C42FB" w:rsidRDefault="001D2004" w:rsidP="005C42FB">
      <w:pPr>
        <w:pStyle w:val="Heading4"/>
      </w:pPr>
      <w:r w:rsidRPr="00DA4141">
        <w:t>Education</w:t>
      </w:r>
      <w:r w:rsidR="005C42FB">
        <w:t xml:space="preserve"> setting examples</w:t>
      </w:r>
    </w:p>
    <w:p w14:paraId="3362A020" w14:textId="186CFEEA" w:rsidR="001D2004" w:rsidRPr="00DA4141" w:rsidRDefault="001D2004" w:rsidP="001D2004">
      <w:pPr>
        <w:pStyle w:val="Bullet1"/>
      </w:pPr>
      <w:r w:rsidRPr="00DA4141">
        <w:t>Childcare and kindergartens (early years)</w:t>
      </w:r>
    </w:p>
    <w:p w14:paraId="69A5B474" w14:textId="77777777" w:rsidR="001D2004" w:rsidRPr="00DA4141" w:rsidRDefault="001D2004" w:rsidP="001D2004">
      <w:pPr>
        <w:pStyle w:val="Bullet1"/>
      </w:pPr>
      <w:r w:rsidRPr="00DA4141">
        <w:t>Primary and secondary schools</w:t>
      </w:r>
    </w:p>
    <w:p w14:paraId="1508B543" w14:textId="77777777" w:rsidR="001D2004" w:rsidRPr="00DA4141" w:rsidRDefault="001D2004" w:rsidP="001D2004">
      <w:pPr>
        <w:pStyle w:val="Bullet1"/>
      </w:pPr>
      <w:r w:rsidRPr="00DA4141">
        <w:t>Tertiary institutions including universities and TAFEs</w:t>
      </w:r>
    </w:p>
    <w:p w14:paraId="0A1E8D21" w14:textId="77777777" w:rsidR="001D2004" w:rsidRPr="00DA4141" w:rsidRDefault="001D2004" w:rsidP="001D2004">
      <w:pPr>
        <w:pStyle w:val="Bullet1"/>
      </w:pPr>
      <w:r w:rsidRPr="00DA4141">
        <w:t>Research institutions</w:t>
      </w:r>
    </w:p>
    <w:p w14:paraId="5118F0E5" w14:textId="77777777" w:rsidR="001D2004" w:rsidRPr="00DA4141" w:rsidRDefault="001D2004" w:rsidP="001D2004">
      <w:pPr>
        <w:pStyle w:val="Bullet1"/>
      </w:pPr>
      <w:r w:rsidRPr="00DA4141">
        <w:t>English language learning organisations</w:t>
      </w:r>
    </w:p>
    <w:p w14:paraId="2ECBADC8" w14:textId="22E74E22" w:rsidR="001D2004" w:rsidRPr="00DA4141" w:rsidRDefault="001D2004" w:rsidP="009C71D3">
      <w:pPr>
        <w:pStyle w:val="Heading4"/>
      </w:pPr>
      <w:r w:rsidRPr="00DA4141">
        <w:t>Health</w:t>
      </w:r>
      <w:r w:rsidR="00894C95" w:rsidRPr="00DA4141">
        <w:t xml:space="preserve"> </w:t>
      </w:r>
      <w:r w:rsidR="00DA4141" w:rsidRPr="00DA4141">
        <w:t xml:space="preserve">setting </w:t>
      </w:r>
      <w:r w:rsidR="00894C95" w:rsidRPr="00DA4141">
        <w:t>examples</w:t>
      </w:r>
    </w:p>
    <w:p w14:paraId="44DE6D17" w14:textId="56D6A5E0" w:rsidR="001D2004" w:rsidRPr="00DA4141" w:rsidRDefault="001D2004" w:rsidP="001D2004">
      <w:pPr>
        <w:pStyle w:val="Bullet1"/>
      </w:pPr>
      <w:r w:rsidRPr="00DA4141">
        <w:t>Community health</w:t>
      </w:r>
    </w:p>
    <w:p w14:paraId="240BD46A" w14:textId="77777777" w:rsidR="001D2004" w:rsidRPr="00DA4141" w:rsidRDefault="001D2004" w:rsidP="001D2004">
      <w:pPr>
        <w:pStyle w:val="Bullet1"/>
      </w:pPr>
      <w:r w:rsidRPr="00DA4141">
        <w:t>GPs</w:t>
      </w:r>
    </w:p>
    <w:p w14:paraId="74E09DCD" w14:textId="77777777" w:rsidR="001D2004" w:rsidRPr="00DA4141" w:rsidRDefault="001D2004" w:rsidP="001D2004">
      <w:pPr>
        <w:pStyle w:val="Bullet1"/>
      </w:pPr>
      <w:r w:rsidRPr="00DA4141">
        <w:t>Pharmacies</w:t>
      </w:r>
    </w:p>
    <w:p w14:paraId="6812C39F" w14:textId="77777777" w:rsidR="001D2004" w:rsidRPr="00DA4141" w:rsidRDefault="001D2004" w:rsidP="001D2004">
      <w:pPr>
        <w:pStyle w:val="Bullet1"/>
      </w:pPr>
      <w:r w:rsidRPr="00DA4141">
        <w:t>Allied health</w:t>
      </w:r>
    </w:p>
    <w:p w14:paraId="32E7983C" w14:textId="77777777" w:rsidR="001D2004" w:rsidRPr="00DA4141" w:rsidRDefault="001D2004" w:rsidP="001D2004">
      <w:pPr>
        <w:pStyle w:val="Bullet1"/>
      </w:pPr>
      <w:r w:rsidRPr="00DA4141">
        <w:t>Hospitals</w:t>
      </w:r>
    </w:p>
    <w:p w14:paraId="79C7F7BB" w14:textId="77777777" w:rsidR="001D2004" w:rsidRPr="00DA4141" w:rsidRDefault="001D2004" w:rsidP="001D2004">
      <w:pPr>
        <w:pStyle w:val="Bullet1"/>
      </w:pPr>
      <w:r w:rsidRPr="00DA4141">
        <w:t>Maternal and child health</w:t>
      </w:r>
    </w:p>
    <w:p w14:paraId="0777BB25" w14:textId="77777777" w:rsidR="001D2004" w:rsidRPr="00DA4141" w:rsidRDefault="001D2004" w:rsidP="001D2004">
      <w:pPr>
        <w:pStyle w:val="Bullet1"/>
      </w:pPr>
      <w:r w:rsidRPr="00DA4141">
        <w:t>Health professional training colleges</w:t>
      </w:r>
    </w:p>
    <w:p w14:paraId="4F17F289" w14:textId="1EAD2640" w:rsidR="001D2004" w:rsidRPr="00DA4141" w:rsidRDefault="001D2004" w:rsidP="009C71D3">
      <w:pPr>
        <w:pStyle w:val="Heading4"/>
      </w:pPr>
      <w:r w:rsidRPr="00DA4141">
        <w:t>Media and communications</w:t>
      </w:r>
      <w:r w:rsidR="00894C95" w:rsidRPr="00DA4141">
        <w:t xml:space="preserve"> </w:t>
      </w:r>
      <w:r w:rsidR="00DA4141" w:rsidRPr="00DA4141">
        <w:t xml:space="preserve">setting </w:t>
      </w:r>
      <w:r w:rsidR="00894C95" w:rsidRPr="00DA4141">
        <w:t>examples</w:t>
      </w:r>
    </w:p>
    <w:p w14:paraId="175337CF" w14:textId="397EC352" w:rsidR="001D2004" w:rsidRPr="00345CCD" w:rsidRDefault="001D2004" w:rsidP="00345CCD">
      <w:pPr>
        <w:pStyle w:val="Bullet1"/>
      </w:pPr>
      <w:r w:rsidRPr="00345CCD">
        <w:t>Community broadcasting radio and television stations</w:t>
      </w:r>
    </w:p>
    <w:p w14:paraId="6E90D0F8" w14:textId="77777777" w:rsidR="001D2004" w:rsidRPr="00345CCD" w:rsidRDefault="001D2004" w:rsidP="00345CCD">
      <w:pPr>
        <w:pStyle w:val="Bullet1"/>
      </w:pPr>
      <w:r w:rsidRPr="00345CCD">
        <w:t>Traditional media (such as news items, radio), including community, ethnic and independent media</w:t>
      </w:r>
    </w:p>
    <w:p w14:paraId="44ADB2F4" w14:textId="77777777" w:rsidR="001D2004" w:rsidRPr="00345CCD" w:rsidRDefault="001D2004" w:rsidP="00345CCD">
      <w:pPr>
        <w:pStyle w:val="Bullet1"/>
      </w:pPr>
      <w:r w:rsidRPr="00345CCD">
        <w:lastRenderedPageBreak/>
        <w:t>Online and social media, including websites (such as Seniors Online), apps, eLearning, webinars</w:t>
      </w:r>
    </w:p>
    <w:p w14:paraId="56B71407" w14:textId="77777777" w:rsidR="001D2004" w:rsidRPr="00345CCD" w:rsidRDefault="001D2004" w:rsidP="00345CCD">
      <w:pPr>
        <w:pStyle w:val="Bullet1"/>
      </w:pPr>
      <w:r w:rsidRPr="00345CCD">
        <w:t>Advertising and campaigns, including online and in public places (such as billboards, public toilets, street posters, bus shelters, shopping centres and storefronts)</w:t>
      </w:r>
    </w:p>
    <w:p w14:paraId="5E89186F" w14:textId="73A12C0E" w:rsidR="00894C95" w:rsidRPr="00DA4141" w:rsidRDefault="001D2004" w:rsidP="009C71D3">
      <w:pPr>
        <w:pStyle w:val="Heading4"/>
      </w:pPr>
      <w:r w:rsidRPr="00DA4141">
        <w:t>Residential</w:t>
      </w:r>
      <w:r w:rsidR="00894C95" w:rsidRPr="00DA4141">
        <w:t xml:space="preserve"> </w:t>
      </w:r>
      <w:r w:rsidR="00DA4141" w:rsidRPr="00DA4141">
        <w:t xml:space="preserve">setting </w:t>
      </w:r>
      <w:r w:rsidR="00894C95" w:rsidRPr="00DA4141">
        <w:t>examples</w:t>
      </w:r>
    </w:p>
    <w:p w14:paraId="48884522" w14:textId="07C399B8" w:rsidR="001D2004" w:rsidRPr="00DA4141" w:rsidRDefault="001D2004" w:rsidP="001D2004">
      <w:pPr>
        <w:pStyle w:val="Bullet1"/>
      </w:pPr>
      <w:r w:rsidRPr="00DA4141">
        <w:t>Retirement villages</w:t>
      </w:r>
    </w:p>
    <w:p w14:paraId="2ED0F51B" w14:textId="77777777" w:rsidR="001D2004" w:rsidRPr="00DA4141" w:rsidRDefault="001D2004" w:rsidP="001D2004">
      <w:pPr>
        <w:pStyle w:val="Bullet1"/>
      </w:pPr>
      <w:r w:rsidRPr="00DA4141">
        <w:t>Boarding schools</w:t>
      </w:r>
    </w:p>
    <w:p w14:paraId="27B4D9FB" w14:textId="092407E1" w:rsidR="00894C95" w:rsidRPr="00DA4141" w:rsidRDefault="001D2004" w:rsidP="009C71D3">
      <w:pPr>
        <w:pStyle w:val="Heading4"/>
      </w:pPr>
      <w:r w:rsidRPr="00DA4141">
        <w:t>Services</w:t>
      </w:r>
      <w:r w:rsidR="00894C95" w:rsidRPr="00DA4141">
        <w:t xml:space="preserve"> </w:t>
      </w:r>
      <w:r w:rsidR="00DA4141" w:rsidRPr="00DA4141">
        <w:t xml:space="preserve">setting </w:t>
      </w:r>
      <w:r w:rsidR="00894C95" w:rsidRPr="00DA4141">
        <w:t>examples</w:t>
      </w:r>
    </w:p>
    <w:p w14:paraId="2157D8CA" w14:textId="13FC46D0" w:rsidR="001D2004" w:rsidRPr="00DA4141" w:rsidRDefault="001D2004" w:rsidP="005D69BC">
      <w:pPr>
        <w:pStyle w:val="Bullet1"/>
      </w:pPr>
      <w:r w:rsidRPr="00DA4141">
        <w:t>Non-government organisations (NGOs) and charities</w:t>
      </w:r>
    </w:p>
    <w:p w14:paraId="422477E7" w14:textId="77777777" w:rsidR="001D2004" w:rsidRPr="00DA4141" w:rsidRDefault="001D2004" w:rsidP="005D69BC">
      <w:pPr>
        <w:pStyle w:val="Bullet1"/>
      </w:pPr>
      <w:r w:rsidRPr="00DA4141">
        <w:t xml:space="preserve">Aboriginal </w:t>
      </w:r>
      <w:proofErr w:type="gramStart"/>
      <w:r w:rsidRPr="00DA4141">
        <w:t>community controlled</w:t>
      </w:r>
      <w:proofErr w:type="gramEnd"/>
      <w:r w:rsidRPr="00DA4141">
        <w:t xml:space="preserve"> organisations (ACCOs), including health organisations</w:t>
      </w:r>
    </w:p>
    <w:p w14:paraId="0C18AD71" w14:textId="77777777" w:rsidR="001D2004" w:rsidRPr="00DA4141" w:rsidRDefault="001D2004" w:rsidP="005D69BC">
      <w:pPr>
        <w:pStyle w:val="Bullet1"/>
      </w:pPr>
      <w:r w:rsidRPr="00DA4141">
        <w:t>Faith-based organisations</w:t>
      </w:r>
    </w:p>
    <w:p w14:paraId="29C27755" w14:textId="77777777" w:rsidR="001D2004" w:rsidRPr="00DA4141" w:rsidRDefault="001D2004" w:rsidP="005D69BC">
      <w:pPr>
        <w:pStyle w:val="Bullet1"/>
      </w:pPr>
      <w:r w:rsidRPr="00DA4141">
        <w:t>Cultural, multicultural and settlement organisations and services</w:t>
      </w:r>
    </w:p>
    <w:p w14:paraId="2468C2F6" w14:textId="77777777" w:rsidR="001D2004" w:rsidRPr="00DA4141" w:rsidRDefault="001D2004" w:rsidP="005D69BC">
      <w:pPr>
        <w:pStyle w:val="Bullet1"/>
      </w:pPr>
      <w:r w:rsidRPr="00DA4141">
        <w:t>LGBTIQA+ organisations and services</w:t>
      </w:r>
    </w:p>
    <w:p w14:paraId="620C0AFE" w14:textId="77777777" w:rsidR="001D2004" w:rsidRPr="00DA4141" w:rsidRDefault="001D2004" w:rsidP="005D69BC">
      <w:pPr>
        <w:pStyle w:val="Bullet1"/>
      </w:pPr>
      <w:r w:rsidRPr="00DA4141">
        <w:t>Family violence organisations and services</w:t>
      </w:r>
    </w:p>
    <w:p w14:paraId="030E91E3" w14:textId="77777777" w:rsidR="001D2004" w:rsidRPr="00DA4141" w:rsidRDefault="001D2004" w:rsidP="005D69BC">
      <w:pPr>
        <w:pStyle w:val="Bullet1"/>
      </w:pPr>
      <w:r w:rsidRPr="00DA4141">
        <w:t>Women’s organisations and services</w:t>
      </w:r>
    </w:p>
    <w:p w14:paraId="60FF5C3F" w14:textId="77777777" w:rsidR="001D2004" w:rsidRPr="00DA4141" w:rsidRDefault="001D2004" w:rsidP="005D69BC">
      <w:pPr>
        <w:pStyle w:val="Bullet1"/>
      </w:pPr>
      <w:r w:rsidRPr="00DA4141">
        <w:t>Welfare and social services</w:t>
      </w:r>
    </w:p>
    <w:p w14:paraId="3F82D23A" w14:textId="77777777" w:rsidR="001D2004" w:rsidRPr="00DA4141" w:rsidRDefault="001D2004" w:rsidP="005D69BC">
      <w:pPr>
        <w:pStyle w:val="Bullet1"/>
      </w:pPr>
      <w:r w:rsidRPr="00DA4141">
        <w:t>Disability organisations and services</w:t>
      </w:r>
    </w:p>
    <w:p w14:paraId="18C7D6C9" w14:textId="77777777" w:rsidR="001D2004" w:rsidRPr="00DA4141" w:rsidRDefault="001D2004" w:rsidP="005D69BC">
      <w:pPr>
        <w:pStyle w:val="Bullet1"/>
      </w:pPr>
      <w:r w:rsidRPr="00DA4141">
        <w:t>Aged care services</w:t>
      </w:r>
    </w:p>
    <w:p w14:paraId="45879D15" w14:textId="77777777" w:rsidR="001D2004" w:rsidRPr="00DA4141" w:rsidRDefault="001D2004" w:rsidP="005D69BC">
      <w:pPr>
        <w:pStyle w:val="Bullet1"/>
      </w:pPr>
      <w:r w:rsidRPr="00DA4141">
        <w:t>Emergency services</w:t>
      </w:r>
    </w:p>
    <w:p w14:paraId="7EA21414" w14:textId="77777777" w:rsidR="001D2004" w:rsidRPr="00DA4141" w:rsidRDefault="001D2004" w:rsidP="005D69BC">
      <w:pPr>
        <w:pStyle w:val="Bullet1"/>
      </w:pPr>
      <w:r w:rsidRPr="00DA4141">
        <w:t>Financial services, including banks</w:t>
      </w:r>
    </w:p>
    <w:p w14:paraId="2AE94139" w14:textId="77777777" w:rsidR="001D2004" w:rsidRPr="00DA4141" w:rsidRDefault="001D2004" w:rsidP="005D69BC">
      <w:pPr>
        <w:pStyle w:val="Bullet1"/>
      </w:pPr>
      <w:r w:rsidRPr="00DA4141">
        <w:t>Unions</w:t>
      </w:r>
    </w:p>
    <w:p w14:paraId="5177E838" w14:textId="77777777" w:rsidR="001D2004" w:rsidRPr="00DA4141" w:rsidRDefault="001D2004" w:rsidP="005D69BC">
      <w:pPr>
        <w:pStyle w:val="Bullet1"/>
      </w:pPr>
      <w:r w:rsidRPr="00DA4141">
        <w:t>Transport infrastructure and facilities</w:t>
      </w:r>
    </w:p>
    <w:p w14:paraId="0014953F" w14:textId="77777777" w:rsidR="001D2004" w:rsidRPr="00DA4141" w:rsidRDefault="001D2004" w:rsidP="005D69BC">
      <w:pPr>
        <w:pStyle w:val="Bullet1"/>
      </w:pPr>
      <w:r w:rsidRPr="00DA4141">
        <w:t>Legal, justice and corrections services</w:t>
      </w:r>
    </w:p>
    <w:p w14:paraId="178A4276" w14:textId="464F00B4" w:rsidR="00894C95" w:rsidRPr="00DA4141" w:rsidRDefault="001D2004" w:rsidP="009C71D3">
      <w:pPr>
        <w:pStyle w:val="Heading4"/>
      </w:pPr>
      <w:r w:rsidRPr="00DA4141">
        <w:t>Sports, recreation and community groups</w:t>
      </w:r>
      <w:r w:rsidR="00894C95" w:rsidRPr="00DA4141">
        <w:t xml:space="preserve"> </w:t>
      </w:r>
      <w:r w:rsidR="00DA4141" w:rsidRPr="00DA4141">
        <w:t xml:space="preserve">setting </w:t>
      </w:r>
      <w:r w:rsidR="00894C95" w:rsidRPr="00DA4141">
        <w:t>examples</w:t>
      </w:r>
    </w:p>
    <w:p w14:paraId="30AE50C1" w14:textId="242F718A" w:rsidR="001D2004" w:rsidRPr="00DA4141" w:rsidRDefault="001D2004" w:rsidP="005D69BC">
      <w:pPr>
        <w:pStyle w:val="Bullet1"/>
      </w:pPr>
      <w:r w:rsidRPr="00DA4141">
        <w:t>Sport and leisure clubs</w:t>
      </w:r>
    </w:p>
    <w:p w14:paraId="2A5CBECD" w14:textId="77777777" w:rsidR="001D2004" w:rsidRPr="00DA4141" w:rsidRDefault="001D2004" w:rsidP="001D2004">
      <w:pPr>
        <w:pStyle w:val="Bullet1"/>
      </w:pPr>
      <w:r w:rsidRPr="00DA4141">
        <w:t>Sporting events (including community based)</w:t>
      </w:r>
    </w:p>
    <w:p w14:paraId="431098E9" w14:textId="77777777" w:rsidR="001D2004" w:rsidRPr="00DA4141" w:rsidRDefault="001D2004" w:rsidP="001D2004">
      <w:pPr>
        <w:pStyle w:val="Bullet1"/>
      </w:pPr>
      <w:r w:rsidRPr="00DA4141">
        <w:t>Community and veterans service clubs (such as Lions, Rotary, Returned and Services League (RSL))</w:t>
      </w:r>
    </w:p>
    <w:p w14:paraId="6EC705B2" w14:textId="77777777" w:rsidR="001D2004" w:rsidRPr="00DA4141" w:rsidRDefault="001D2004" w:rsidP="001D2004">
      <w:pPr>
        <w:pStyle w:val="Bullet1"/>
      </w:pPr>
      <w:r w:rsidRPr="00DA4141">
        <w:t>Senior citizen clubs</w:t>
      </w:r>
    </w:p>
    <w:p w14:paraId="643282CF" w14:textId="77777777" w:rsidR="001D2004" w:rsidRPr="00DA4141" w:rsidRDefault="001D2004" w:rsidP="001D2004">
      <w:pPr>
        <w:pStyle w:val="Bullet1"/>
      </w:pPr>
      <w:r w:rsidRPr="00DA4141">
        <w:t>Volunteer organisations</w:t>
      </w:r>
    </w:p>
    <w:p w14:paraId="00D136DD" w14:textId="77777777" w:rsidR="001D2004" w:rsidRPr="00DA4141" w:rsidRDefault="001D2004" w:rsidP="001D2004">
      <w:pPr>
        <w:pStyle w:val="Bullet1"/>
      </w:pPr>
      <w:r w:rsidRPr="00DA4141">
        <w:t>Neighbourhood houses</w:t>
      </w:r>
    </w:p>
    <w:p w14:paraId="753272D4" w14:textId="77777777" w:rsidR="001D2004" w:rsidRPr="00DA4141" w:rsidRDefault="001D2004" w:rsidP="001D2004">
      <w:pPr>
        <w:pStyle w:val="Bullet1"/>
      </w:pPr>
      <w:r w:rsidRPr="00DA4141">
        <w:t>Men’s sheds and women’s groups</w:t>
      </w:r>
    </w:p>
    <w:p w14:paraId="2B6C3836" w14:textId="77777777" w:rsidR="001D2004" w:rsidRPr="00DA4141" w:rsidRDefault="001D2004" w:rsidP="001D2004">
      <w:pPr>
        <w:pStyle w:val="Bullet1"/>
      </w:pPr>
      <w:r w:rsidRPr="00DA4141">
        <w:t>Gathering places</w:t>
      </w:r>
    </w:p>
    <w:p w14:paraId="71B5451C" w14:textId="77777777" w:rsidR="001D2004" w:rsidRPr="00DA4141" w:rsidRDefault="001D2004" w:rsidP="001D2004">
      <w:pPr>
        <w:pStyle w:val="Bullet1"/>
      </w:pPr>
      <w:r w:rsidRPr="00DA4141">
        <w:t>Youth groups and movements (such as Scouts and Guides)</w:t>
      </w:r>
    </w:p>
    <w:p w14:paraId="522926AD" w14:textId="77777777" w:rsidR="001D2004" w:rsidRPr="00DA4141" w:rsidRDefault="001D2004" w:rsidP="001D2004">
      <w:pPr>
        <w:pStyle w:val="Bullet1"/>
      </w:pPr>
      <w:r w:rsidRPr="00DA4141">
        <w:t>Champions of change groups in organisations</w:t>
      </w:r>
    </w:p>
    <w:p w14:paraId="0FBD9D15" w14:textId="77777777" w:rsidR="001D2004" w:rsidRPr="00DA4141" w:rsidRDefault="001D2004" w:rsidP="005F21A4">
      <w:pPr>
        <w:pStyle w:val="Bullet1"/>
      </w:pPr>
      <w:r w:rsidRPr="00DA4141">
        <w:t>Other community groups</w:t>
      </w:r>
    </w:p>
    <w:p w14:paraId="51519DBD" w14:textId="77777777" w:rsidR="003B39B5" w:rsidRDefault="003B39B5">
      <w:pPr>
        <w:spacing w:after="0" w:line="240" w:lineRule="auto"/>
        <w:rPr>
          <w:rFonts w:eastAsia="MS Mincho"/>
          <w:b/>
          <w:bCs/>
          <w:color w:val="201547"/>
          <w:sz w:val="24"/>
          <w:szCs w:val="22"/>
        </w:rPr>
      </w:pPr>
      <w:r>
        <w:br w:type="page"/>
      </w:r>
    </w:p>
    <w:p w14:paraId="6F142986" w14:textId="1F81CAE6" w:rsidR="00894C95" w:rsidRPr="00DA4141" w:rsidRDefault="001D2004" w:rsidP="009C71D3">
      <w:pPr>
        <w:pStyle w:val="Heading4"/>
      </w:pPr>
      <w:r w:rsidRPr="00DA4141">
        <w:lastRenderedPageBreak/>
        <w:t>The arts</w:t>
      </w:r>
      <w:r w:rsidR="00894C95" w:rsidRPr="00DA4141">
        <w:t xml:space="preserve"> </w:t>
      </w:r>
      <w:r w:rsidR="00DA4141" w:rsidRPr="00DA4141">
        <w:t xml:space="preserve">setting </w:t>
      </w:r>
      <w:r w:rsidR="00894C95" w:rsidRPr="00DA4141">
        <w:t>examples</w:t>
      </w:r>
    </w:p>
    <w:p w14:paraId="783FE71F" w14:textId="4F32406F" w:rsidR="001D2004" w:rsidRPr="00DA4141" w:rsidRDefault="001D2004" w:rsidP="005F21A4">
      <w:pPr>
        <w:pStyle w:val="Bullet1"/>
      </w:pPr>
      <w:r w:rsidRPr="00DA4141">
        <w:t>Art galleries and exhibitions</w:t>
      </w:r>
    </w:p>
    <w:p w14:paraId="46928ED1" w14:textId="77777777" w:rsidR="001D2004" w:rsidRPr="00DA4141" w:rsidRDefault="001D2004" w:rsidP="005F21A4">
      <w:pPr>
        <w:pStyle w:val="Bullet1"/>
      </w:pPr>
      <w:r w:rsidRPr="00DA4141">
        <w:t>Theatre, live performances, television and film</w:t>
      </w:r>
    </w:p>
    <w:p w14:paraId="68EFC30B" w14:textId="6A2561BF" w:rsidR="00894C95" w:rsidRPr="00DA4141" w:rsidRDefault="001D2004" w:rsidP="009C71D3">
      <w:pPr>
        <w:pStyle w:val="Heading4"/>
      </w:pPr>
      <w:r w:rsidRPr="00DA4141">
        <w:t>Workplaces</w:t>
      </w:r>
      <w:r w:rsidR="00894C95" w:rsidRPr="00DA4141">
        <w:t xml:space="preserve"> </w:t>
      </w:r>
      <w:r w:rsidR="00DA4141" w:rsidRPr="00DA4141">
        <w:t xml:space="preserve">setting </w:t>
      </w:r>
      <w:r w:rsidR="00894C95" w:rsidRPr="00DA4141">
        <w:t>examples</w:t>
      </w:r>
    </w:p>
    <w:p w14:paraId="7F7DB9D2" w14:textId="3CB7B630" w:rsidR="001D2004" w:rsidRPr="00DA4141" w:rsidRDefault="001D2004" w:rsidP="005F21A4">
      <w:pPr>
        <w:pStyle w:val="Bullet1"/>
      </w:pPr>
      <w:r w:rsidRPr="00DA4141">
        <w:t>Government and councils</w:t>
      </w:r>
    </w:p>
    <w:p w14:paraId="154E9B96" w14:textId="77777777" w:rsidR="001D2004" w:rsidRPr="00DA4141" w:rsidRDefault="001D2004" w:rsidP="005F21A4">
      <w:pPr>
        <w:pStyle w:val="Bullet1"/>
      </w:pPr>
      <w:r w:rsidRPr="00DA4141">
        <w:t>Research institutes</w:t>
      </w:r>
    </w:p>
    <w:p w14:paraId="03B38B5C" w14:textId="77777777" w:rsidR="001D2004" w:rsidRPr="00DA4141" w:rsidRDefault="001D2004" w:rsidP="005F21A4">
      <w:pPr>
        <w:pStyle w:val="Bullet1"/>
      </w:pPr>
      <w:r w:rsidRPr="00DA4141">
        <w:t>Sector institutions and industry associations, including entertainment, trades, fashion, beauty and hairdressing</w:t>
      </w:r>
    </w:p>
    <w:p w14:paraId="19F5EEF0" w14:textId="77777777" w:rsidR="001D2004" w:rsidRPr="00DA4141" w:rsidRDefault="001D2004" w:rsidP="005F21A4">
      <w:pPr>
        <w:pStyle w:val="Bullet1"/>
      </w:pPr>
      <w:r w:rsidRPr="00DA4141">
        <w:t>Private sector businesses, including banking and superannuation</w:t>
      </w:r>
    </w:p>
    <w:p w14:paraId="0850AD23" w14:textId="77777777" w:rsidR="003B39B5" w:rsidRDefault="003B39B5">
      <w:pPr>
        <w:spacing w:after="0" w:line="240" w:lineRule="auto"/>
        <w:rPr>
          <w:b/>
          <w:color w:val="201547"/>
          <w:sz w:val="36"/>
          <w:szCs w:val="28"/>
        </w:rPr>
      </w:pPr>
      <w:bookmarkStart w:id="12" w:name="_Population_groups"/>
      <w:bookmarkEnd w:id="12"/>
      <w:r>
        <w:br w:type="page"/>
      </w:r>
    </w:p>
    <w:p w14:paraId="226EE884" w14:textId="5ED0B8DC" w:rsidR="00832FCB" w:rsidRPr="00DA4141" w:rsidRDefault="00211F6B" w:rsidP="00A2631A">
      <w:pPr>
        <w:pStyle w:val="Heading2"/>
      </w:pPr>
      <w:bookmarkStart w:id="13" w:name="_Population_groups_1"/>
      <w:bookmarkStart w:id="14" w:name="_Toc230956235"/>
      <w:bookmarkEnd w:id="13"/>
      <w:r w:rsidRPr="00DA4141">
        <w:lastRenderedPageBreak/>
        <w:t>Population groups</w:t>
      </w:r>
      <w:bookmarkEnd w:id="14"/>
    </w:p>
    <w:p w14:paraId="72F3F4E9" w14:textId="34C516CB" w:rsidR="00832FCB" w:rsidRPr="00DA4141" w:rsidRDefault="00832FCB" w:rsidP="00A2631A">
      <w:pPr>
        <w:pStyle w:val="Heading3"/>
      </w:pPr>
      <w:bookmarkStart w:id="15" w:name="_Possible_target_groups"/>
      <w:bookmarkEnd w:id="15"/>
      <w:r w:rsidRPr="00DA4141">
        <w:t xml:space="preserve">Possible target groups when designing </w:t>
      </w:r>
      <w:r w:rsidR="008F3198">
        <w:t xml:space="preserve">primary </w:t>
      </w:r>
      <w:r w:rsidRPr="00DA4141">
        <w:t xml:space="preserve">prevention actions </w:t>
      </w:r>
    </w:p>
    <w:p w14:paraId="157EE56D" w14:textId="06A643DB" w:rsidR="00832FCB" w:rsidRPr="00DA4141" w:rsidRDefault="00832FCB" w:rsidP="00A2631A">
      <w:pPr>
        <w:pStyle w:val="Heading4"/>
      </w:pPr>
      <w:r w:rsidRPr="00DA4141">
        <w:t>First People examples</w:t>
      </w:r>
    </w:p>
    <w:p w14:paraId="57DE4440" w14:textId="2B18F1CB" w:rsidR="00832FCB" w:rsidRPr="00DA4141" w:rsidRDefault="00832FCB" w:rsidP="00832FCB">
      <w:pPr>
        <w:pStyle w:val="Bullet1"/>
      </w:pPr>
      <w:r w:rsidRPr="00DA4141">
        <w:t>First Peoples communities, including Elders</w:t>
      </w:r>
    </w:p>
    <w:p w14:paraId="558228D4" w14:textId="3385E939" w:rsidR="00832FCB" w:rsidRPr="00DA4141" w:rsidRDefault="00832FCB" w:rsidP="00A2631A">
      <w:pPr>
        <w:pStyle w:val="Heading4"/>
      </w:pPr>
      <w:r w:rsidRPr="00DA4141">
        <w:t>Carer examples</w:t>
      </w:r>
    </w:p>
    <w:p w14:paraId="04ED27A4" w14:textId="3CA4F407" w:rsidR="00832FCB" w:rsidRPr="00DA4141" w:rsidRDefault="00832FCB" w:rsidP="00832FCB">
      <w:pPr>
        <w:pStyle w:val="Bullet1"/>
      </w:pPr>
      <w:r w:rsidRPr="00DA4141">
        <w:t>Parents</w:t>
      </w:r>
    </w:p>
    <w:p w14:paraId="191670A2" w14:textId="77777777" w:rsidR="00832FCB" w:rsidRPr="00DA4141" w:rsidRDefault="00832FCB" w:rsidP="00832FCB">
      <w:pPr>
        <w:pStyle w:val="Bullet1"/>
      </w:pPr>
      <w:r w:rsidRPr="00DA4141">
        <w:t>Grandparents</w:t>
      </w:r>
    </w:p>
    <w:p w14:paraId="0CEBB738" w14:textId="77777777" w:rsidR="00832FCB" w:rsidRPr="00DA4141" w:rsidRDefault="00832FCB" w:rsidP="00832FCB">
      <w:pPr>
        <w:pStyle w:val="Bullet1"/>
      </w:pPr>
      <w:r w:rsidRPr="00DA4141">
        <w:t>Unpaid carers including adult children</w:t>
      </w:r>
    </w:p>
    <w:p w14:paraId="7A1D14C4" w14:textId="3351002E" w:rsidR="00832FCB" w:rsidRPr="00DA4141" w:rsidRDefault="00832FCB" w:rsidP="00A2631A">
      <w:pPr>
        <w:pStyle w:val="Heading4"/>
      </w:pPr>
      <w:r w:rsidRPr="00DA4141">
        <w:t>Diverse communit</w:t>
      </w:r>
      <w:r w:rsidR="00D440D6">
        <w:t>y</w:t>
      </w:r>
      <w:r w:rsidRPr="00DA4141">
        <w:t xml:space="preserve"> examples</w:t>
      </w:r>
    </w:p>
    <w:p w14:paraId="49E093F1" w14:textId="49B9DB40" w:rsidR="00832FCB" w:rsidRPr="00DA4141" w:rsidRDefault="00832FCB" w:rsidP="00832FCB">
      <w:pPr>
        <w:pStyle w:val="Bullet1"/>
      </w:pPr>
      <w:r w:rsidRPr="00DA4141">
        <w:t>LGBTIQA+ communities</w:t>
      </w:r>
    </w:p>
    <w:p w14:paraId="47987205" w14:textId="77777777" w:rsidR="00832FCB" w:rsidRPr="00DA4141" w:rsidRDefault="00832FCB" w:rsidP="00832FCB">
      <w:pPr>
        <w:pStyle w:val="Bullet1"/>
      </w:pPr>
      <w:r w:rsidRPr="00DA4141">
        <w:t>People with disabilities</w:t>
      </w:r>
    </w:p>
    <w:p w14:paraId="3E5B121E" w14:textId="77777777" w:rsidR="00832FCB" w:rsidRPr="00DA4141" w:rsidRDefault="00832FCB" w:rsidP="00832FCB">
      <w:pPr>
        <w:pStyle w:val="Bullet1"/>
      </w:pPr>
      <w:r w:rsidRPr="00DA4141">
        <w:t>Multicultural, including migrants, refugee and faith-based communities</w:t>
      </w:r>
    </w:p>
    <w:p w14:paraId="23D7473E" w14:textId="15E9129E" w:rsidR="00832FCB" w:rsidRPr="00DA4141" w:rsidRDefault="00832FCB" w:rsidP="00A2631A">
      <w:pPr>
        <w:pStyle w:val="Heading4"/>
      </w:pPr>
      <w:r w:rsidRPr="00DA4141">
        <w:t>Education and skills examples</w:t>
      </w:r>
    </w:p>
    <w:p w14:paraId="46D2DCBE" w14:textId="7611CC4B" w:rsidR="00832FCB" w:rsidRPr="00DA4141" w:rsidRDefault="00832FCB" w:rsidP="00832FCB">
      <w:pPr>
        <w:pStyle w:val="Bullet1"/>
      </w:pPr>
      <w:r w:rsidRPr="00DA4141">
        <w:t>Students (kindergarten, school and tertiary)</w:t>
      </w:r>
    </w:p>
    <w:p w14:paraId="226B48AE" w14:textId="77777777" w:rsidR="00832FCB" w:rsidRPr="00DA4141" w:rsidRDefault="00832FCB" w:rsidP="00832FCB">
      <w:pPr>
        <w:pStyle w:val="Bullet1"/>
      </w:pPr>
      <w:r w:rsidRPr="00DA4141">
        <w:t>Teachers (primary, secondary and tertiary)</w:t>
      </w:r>
    </w:p>
    <w:p w14:paraId="08D00505" w14:textId="77777777" w:rsidR="00832FCB" w:rsidRPr="00DA4141" w:rsidRDefault="00832FCB" w:rsidP="00832FCB">
      <w:pPr>
        <w:pStyle w:val="Bullet1"/>
      </w:pPr>
      <w:r w:rsidRPr="00DA4141">
        <w:t>Educators (including early years)</w:t>
      </w:r>
    </w:p>
    <w:p w14:paraId="2F5D4112" w14:textId="77777777" w:rsidR="00832FCB" w:rsidRPr="00DA4141" w:rsidRDefault="00832FCB" w:rsidP="00832FCB">
      <w:pPr>
        <w:pStyle w:val="Bullet1"/>
      </w:pPr>
      <w:r w:rsidRPr="00DA4141">
        <w:t>Mentors and coaches</w:t>
      </w:r>
    </w:p>
    <w:p w14:paraId="2796287B" w14:textId="77777777" w:rsidR="00832FCB" w:rsidRPr="00DA4141" w:rsidRDefault="00832FCB" w:rsidP="00832FCB">
      <w:pPr>
        <w:pStyle w:val="Bullet1"/>
      </w:pPr>
      <w:r w:rsidRPr="00DA4141">
        <w:t>Conference attendees</w:t>
      </w:r>
    </w:p>
    <w:p w14:paraId="469BC176" w14:textId="77777777" w:rsidR="00832FCB" w:rsidRPr="00DA4141" w:rsidRDefault="00832FCB" w:rsidP="00832FCB">
      <w:pPr>
        <w:pStyle w:val="Bullet1"/>
      </w:pPr>
      <w:r w:rsidRPr="00DA4141">
        <w:t>Professors</w:t>
      </w:r>
    </w:p>
    <w:p w14:paraId="6059B058" w14:textId="77777777" w:rsidR="00832FCB" w:rsidRPr="00DA4141" w:rsidRDefault="00832FCB" w:rsidP="00832FCB">
      <w:pPr>
        <w:pStyle w:val="Bullet1"/>
      </w:pPr>
      <w:r w:rsidRPr="00DA4141">
        <w:t>Researchers</w:t>
      </w:r>
    </w:p>
    <w:p w14:paraId="1390801E" w14:textId="74EF3049" w:rsidR="00832FCB" w:rsidRPr="00DA4141" w:rsidRDefault="00832FCB" w:rsidP="00A2631A">
      <w:pPr>
        <w:pStyle w:val="Heading4"/>
      </w:pPr>
      <w:r w:rsidRPr="00DA4141">
        <w:t>Gender identity examples</w:t>
      </w:r>
    </w:p>
    <w:p w14:paraId="6BCF100F" w14:textId="0CFE51B0" w:rsidR="00832FCB" w:rsidRPr="00DA4141" w:rsidRDefault="00832FCB" w:rsidP="00832FCB">
      <w:pPr>
        <w:pStyle w:val="Bullet1"/>
      </w:pPr>
      <w:r w:rsidRPr="00DA4141">
        <w:t>Men</w:t>
      </w:r>
    </w:p>
    <w:p w14:paraId="01A80577" w14:textId="77777777" w:rsidR="00832FCB" w:rsidRPr="00DA4141" w:rsidRDefault="00832FCB" w:rsidP="00832FCB">
      <w:pPr>
        <w:pStyle w:val="Bullet1"/>
      </w:pPr>
      <w:r w:rsidRPr="00DA4141">
        <w:t>Women</w:t>
      </w:r>
    </w:p>
    <w:p w14:paraId="25E65D01" w14:textId="77777777" w:rsidR="00832FCB" w:rsidRPr="00DA4141" w:rsidRDefault="00832FCB" w:rsidP="00832FCB">
      <w:pPr>
        <w:pStyle w:val="Bullet1"/>
      </w:pPr>
      <w:r w:rsidRPr="00DA4141">
        <w:t>Trans and gender diverse people</w:t>
      </w:r>
    </w:p>
    <w:p w14:paraId="118AC0BD" w14:textId="77777777" w:rsidR="00832FCB" w:rsidRPr="00DA4141" w:rsidRDefault="00832FCB" w:rsidP="00832FCB">
      <w:pPr>
        <w:pStyle w:val="Bullet1"/>
      </w:pPr>
      <w:r w:rsidRPr="00DA4141">
        <w:t>People born with variations of sex characteristics or intersex</w:t>
      </w:r>
    </w:p>
    <w:p w14:paraId="4DCB0F76" w14:textId="4580C1B2" w:rsidR="00832FCB" w:rsidRPr="00DA4141" w:rsidRDefault="00832FCB" w:rsidP="00A2631A">
      <w:pPr>
        <w:pStyle w:val="Heading4"/>
      </w:pPr>
      <w:r w:rsidRPr="00DA4141">
        <w:t>Life stage examples</w:t>
      </w:r>
    </w:p>
    <w:p w14:paraId="1310DBAE" w14:textId="087D6652" w:rsidR="00832FCB" w:rsidRPr="00DA4141" w:rsidRDefault="00832FCB" w:rsidP="00832FCB">
      <w:pPr>
        <w:pStyle w:val="Bullet1"/>
      </w:pPr>
      <w:r w:rsidRPr="00DA4141">
        <w:t>Children (including early years)</w:t>
      </w:r>
    </w:p>
    <w:p w14:paraId="08C86936" w14:textId="77777777" w:rsidR="00832FCB" w:rsidRPr="00DA4141" w:rsidRDefault="00832FCB" w:rsidP="00832FCB">
      <w:pPr>
        <w:pStyle w:val="Bullet1"/>
      </w:pPr>
      <w:r w:rsidRPr="00DA4141">
        <w:t>Young people</w:t>
      </w:r>
    </w:p>
    <w:p w14:paraId="0B78E0EC" w14:textId="77777777" w:rsidR="00832FCB" w:rsidRPr="00DA4141" w:rsidRDefault="00832FCB" w:rsidP="00832FCB">
      <w:pPr>
        <w:pStyle w:val="Bullet1"/>
      </w:pPr>
      <w:r w:rsidRPr="00DA4141">
        <w:t>Young adults</w:t>
      </w:r>
    </w:p>
    <w:p w14:paraId="37598494" w14:textId="77777777" w:rsidR="00832FCB" w:rsidRPr="00DA4141" w:rsidRDefault="00832FCB" w:rsidP="00832FCB">
      <w:pPr>
        <w:pStyle w:val="Bullet1"/>
      </w:pPr>
      <w:r w:rsidRPr="00DA4141">
        <w:t>Adults</w:t>
      </w:r>
    </w:p>
    <w:p w14:paraId="004004DD" w14:textId="77777777" w:rsidR="00832FCB" w:rsidRPr="00DA4141" w:rsidRDefault="00832FCB" w:rsidP="00832FCB">
      <w:pPr>
        <w:pStyle w:val="Bullet1"/>
      </w:pPr>
      <w:r w:rsidRPr="00DA4141">
        <w:t>Older people</w:t>
      </w:r>
    </w:p>
    <w:p w14:paraId="6AA23780" w14:textId="77777777" w:rsidR="003B39B5" w:rsidRDefault="003B39B5">
      <w:pPr>
        <w:spacing w:after="0" w:line="240" w:lineRule="auto"/>
        <w:rPr>
          <w:rFonts w:eastAsia="MS Mincho"/>
          <w:b/>
          <w:bCs/>
          <w:color w:val="201547"/>
          <w:sz w:val="24"/>
          <w:szCs w:val="22"/>
        </w:rPr>
      </w:pPr>
      <w:r>
        <w:br w:type="page"/>
      </w:r>
    </w:p>
    <w:p w14:paraId="31519759" w14:textId="2883FD89" w:rsidR="00832FCB" w:rsidRPr="00DA4141" w:rsidRDefault="00832FCB" w:rsidP="00A2631A">
      <w:pPr>
        <w:pStyle w:val="Heading4"/>
      </w:pPr>
      <w:r w:rsidRPr="00DA4141">
        <w:lastRenderedPageBreak/>
        <w:t>Media and communications examples</w:t>
      </w:r>
    </w:p>
    <w:p w14:paraId="33073B0C" w14:textId="39920188" w:rsidR="00832FCB" w:rsidRPr="00DA4141" w:rsidRDefault="00832FCB" w:rsidP="00832FCB">
      <w:pPr>
        <w:pStyle w:val="Bullet1"/>
      </w:pPr>
      <w:r w:rsidRPr="00DA4141">
        <w:t>Content creators and social media influencers</w:t>
      </w:r>
    </w:p>
    <w:p w14:paraId="37710E02" w14:textId="77777777" w:rsidR="00832FCB" w:rsidRPr="00DA4141" w:rsidRDefault="00832FCB" w:rsidP="00832FCB">
      <w:pPr>
        <w:pStyle w:val="Bullet1"/>
      </w:pPr>
      <w:r w:rsidRPr="00DA4141">
        <w:t>Journalists and media presenters</w:t>
      </w:r>
    </w:p>
    <w:p w14:paraId="07333201" w14:textId="77777777" w:rsidR="00832FCB" w:rsidRPr="00DA4141" w:rsidRDefault="00832FCB" w:rsidP="00832FCB">
      <w:pPr>
        <w:pStyle w:val="Bullet1"/>
      </w:pPr>
      <w:r w:rsidRPr="00DA4141">
        <w:t>Communications, visual design, marketing and advertising professionals</w:t>
      </w:r>
    </w:p>
    <w:p w14:paraId="118FDA88" w14:textId="3BA9F99C" w:rsidR="00832FCB" w:rsidRPr="00DA4141" w:rsidRDefault="00832FCB" w:rsidP="00A2631A">
      <w:pPr>
        <w:pStyle w:val="Heading4"/>
      </w:pPr>
      <w:r w:rsidRPr="00DA4141">
        <w:t>The arts examples</w:t>
      </w:r>
    </w:p>
    <w:p w14:paraId="52120A95" w14:textId="4DBE1DF3" w:rsidR="00832FCB" w:rsidRPr="00DA4141" w:rsidRDefault="00832FCB" w:rsidP="00832FCB">
      <w:pPr>
        <w:pStyle w:val="Bullet1"/>
      </w:pPr>
      <w:r w:rsidRPr="00DA4141">
        <w:t>Artists and creatives</w:t>
      </w:r>
    </w:p>
    <w:p w14:paraId="192CD524" w14:textId="77777777" w:rsidR="00832FCB" w:rsidRPr="00DA4141" w:rsidRDefault="00832FCB" w:rsidP="00832FCB">
      <w:pPr>
        <w:pStyle w:val="Bullet1"/>
      </w:pPr>
      <w:r w:rsidRPr="00DA4141">
        <w:t>Comedians</w:t>
      </w:r>
    </w:p>
    <w:p w14:paraId="67F985D7" w14:textId="77777777" w:rsidR="00832FCB" w:rsidRPr="00DA4141" w:rsidRDefault="00832FCB" w:rsidP="00832FCB">
      <w:pPr>
        <w:pStyle w:val="Bullet1"/>
      </w:pPr>
      <w:r w:rsidRPr="00DA4141">
        <w:t>Authors and illustrators</w:t>
      </w:r>
    </w:p>
    <w:p w14:paraId="6A90790C" w14:textId="77777777" w:rsidR="00832FCB" w:rsidRPr="00DA4141" w:rsidRDefault="00832FCB" w:rsidP="00832FCB">
      <w:pPr>
        <w:pStyle w:val="Bullet1"/>
      </w:pPr>
      <w:r w:rsidRPr="00DA4141">
        <w:t>Film and television writers and directors</w:t>
      </w:r>
    </w:p>
    <w:p w14:paraId="6C35A979" w14:textId="57F13479" w:rsidR="001D2004" w:rsidRPr="00DA4141" w:rsidRDefault="00832FCB" w:rsidP="00A2631A">
      <w:pPr>
        <w:pStyle w:val="Heading4"/>
      </w:pPr>
      <w:r w:rsidRPr="00DA4141">
        <w:t>Roles, professions and positions</w:t>
      </w:r>
      <w:r w:rsidR="001D2004" w:rsidRPr="00DA4141">
        <w:t xml:space="preserve"> examples</w:t>
      </w:r>
    </w:p>
    <w:p w14:paraId="089BE25A" w14:textId="77777777" w:rsidR="007C55BE" w:rsidRDefault="00832FCB" w:rsidP="00A2631A">
      <w:pPr>
        <w:pStyle w:val="Heading5"/>
      </w:pPr>
      <w:r w:rsidRPr="00DA4141">
        <w:t xml:space="preserve">Example roles: </w:t>
      </w:r>
    </w:p>
    <w:p w14:paraId="4380A96F" w14:textId="0F3F408C" w:rsidR="00832FCB" w:rsidRPr="00DA4141" w:rsidRDefault="00832FCB" w:rsidP="007C55BE">
      <w:pPr>
        <w:pStyle w:val="Bullet1"/>
      </w:pPr>
      <w:r w:rsidRPr="00DA4141">
        <w:t>Employers and employees</w:t>
      </w:r>
    </w:p>
    <w:p w14:paraId="39F0ECA1" w14:textId="77777777" w:rsidR="00832FCB" w:rsidRPr="00DA4141" w:rsidRDefault="00832FCB" w:rsidP="00832FCB">
      <w:pPr>
        <w:pStyle w:val="Bullet1"/>
      </w:pPr>
      <w:r w:rsidRPr="00DA4141">
        <w:t>Leaders (such as in education, organisations, unions, sports, business, government and politics, communities, cultural groups, faith leaders)</w:t>
      </w:r>
    </w:p>
    <w:p w14:paraId="6AB2A624" w14:textId="77777777" w:rsidR="00832FCB" w:rsidRPr="00DA4141" w:rsidRDefault="00832FCB" w:rsidP="00832FCB">
      <w:pPr>
        <w:pStyle w:val="Bullet1"/>
      </w:pPr>
      <w:r w:rsidRPr="00DA4141">
        <w:t>Commissioners</w:t>
      </w:r>
    </w:p>
    <w:p w14:paraId="629CA21F" w14:textId="77777777" w:rsidR="00832FCB" w:rsidRPr="00DA4141" w:rsidRDefault="00832FCB" w:rsidP="00832FCB">
      <w:pPr>
        <w:pStyle w:val="Bullet1"/>
      </w:pPr>
      <w:r w:rsidRPr="00DA4141">
        <w:t>Advisory groups</w:t>
      </w:r>
    </w:p>
    <w:p w14:paraId="2E046072" w14:textId="77777777" w:rsidR="00832FCB" w:rsidRPr="00DA4141" w:rsidRDefault="00832FCB" w:rsidP="00832FCB">
      <w:pPr>
        <w:pStyle w:val="Bullet1"/>
      </w:pPr>
      <w:r w:rsidRPr="00DA4141">
        <w:t>Public figures and celebrities</w:t>
      </w:r>
    </w:p>
    <w:p w14:paraId="78F4BF71" w14:textId="77777777" w:rsidR="00832FCB" w:rsidRPr="00DA4141" w:rsidRDefault="00832FCB" w:rsidP="00832FCB">
      <w:pPr>
        <w:pStyle w:val="Bullet1"/>
      </w:pPr>
      <w:r w:rsidRPr="00DA4141">
        <w:t>Advocates</w:t>
      </w:r>
    </w:p>
    <w:p w14:paraId="60613D92" w14:textId="77777777" w:rsidR="00832FCB" w:rsidRPr="00DA4141" w:rsidRDefault="00832FCB" w:rsidP="00832FCB">
      <w:pPr>
        <w:pStyle w:val="Bullet1"/>
      </w:pPr>
      <w:r w:rsidRPr="00DA4141">
        <w:t>Volunteers, including community care</w:t>
      </w:r>
    </w:p>
    <w:p w14:paraId="0D83FD0F" w14:textId="77777777" w:rsidR="00832FCB" w:rsidRPr="00DA4141" w:rsidRDefault="00832FCB" w:rsidP="00832FCB">
      <w:pPr>
        <w:pStyle w:val="Bullet1"/>
      </w:pPr>
      <w:r w:rsidRPr="00DA4141">
        <w:t>Carers</w:t>
      </w:r>
    </w:p>
    <w:p w14:paraId="1B8FD4F6" w14:textId="77777777" w:rsidR="00832FCB" w:rsidRPr="00DA4141" w:rsidRDefault="00832FCB" w:rsidP="00832FCB">
      <w:pPr>
        <w:pStyle w:val="Bullet1"/>
      </w:pPr>
      <w:r w:rsidRPr="00DA4141">
        <w:t>Frontline workers</w:t>
      </w:r>
    </w:p>
    <w:p w14:paraId="77E990CB" w14:textId="77777777" w:rsidR="00832FCB" w:rsidRPr="00DA4141" w:rsidRDefault="00832FCB" w:rsidP="00832FCB">
      <w:pPr>
        <w:pStyle w:val="Bullet1"/>
      </w:pPr>
      <w:r w:rsidRPr="00DA4141">
        <w:t>Customer service workers</w:t>
      </w:r>
    </w:p>
    <w:p w14:paraId="5664BB20" w14:textId="0A4B6F49" w:rsidR="00832FCB" w:rsidRPr="00DA4141" w:rsidRDefault="00832FCB" w:rsidP="00A2631A">
      <w:pPr>
        <w:pStyle w:val="Heading5"/>
      </w:pPr>
      <w:r w:rsidRPr="00DA4141">
        <w:t>Example professions</w:t>
      </w:r>
      <w:r w:rsidR="007C55BE">
        <w:t>:</w:t>
      </w:r>
    </w:p>
    <w:p w14:paraId="716B8C5E" w14:textId="77777777" w:rsidR="00832FCB" w:rsidRPr="00DA4141" w:rsidRDefault="00832FCB" w:rsidP="00832FCB">
      <w:pPr>
        <w:pStyle w:val="Bullet1"/>
      </w:pPr>
      <w:r w:rsidRPr="00DA4141">
        <w:t>Health and care professionals, including aged care workers Emergency services professionals, including police, fires and flood</w:t>
      </w:r>
    </w:p>
    <w:p w14:paraId="45F4F8DF" w14:textId="77777777" w:rsidR="00832FCB" w:rsidRPr="00DA4141" w:rsidRDefault="00832FCB" w:rsidP="00832FCB">
      <w:pPr>
        <w:pStyle w:val="Bullet1"/>
      </w:pPr>
      <w:r w:rsidRPr="00DA4141">
        <w:t>Disability workers</w:t>
      </w:r>
    </w:p>
    <w:p w14:paraId="61FC4D44" w14:textId="77777777" w:rsidR="00832FCB" w:rsidRPr="00DA4141" w:rsidRDefault="00832FCB" w:rsidP="00832FCB">
      <w:pPr>
        <w:pStyle w:val="Bullet1"/>
      </w:pPr>
      <w:r w:rsidRPr="00DA4141">
        <w:t>Government employees and public servants</w:t>
      </w:r>
    </w:p>
    <w:p w14:paraId="272D03C5" w14:textId="77777777" w:rsidR="00832FCB" w:rsidRPr="00DA4141" w:rsidRDefault="00832FCB" w:rsidP="00832FCB">
      <w:pPr>
        <w:pStyle w:val="Bullet1"/>
      </w:pPr>
      <w:r w:rsidRPr="00DA4141">
        <w:t>Legislators</w:t>
      </w:r>
    </w:p>
    <w:p w14:paraId="04F65CC9" w14:textId="77777777" w:rsidR="00832FCB" w:rsidRPr="00DA4141" w:rsidRDefault="00832FCB" w:rsidP="00832FCB">
      <w:pPr>
        <w:pStyle w:val="Bullet1"/>
      </w:pPr>
      <w:r w:rsidRPr="00DA4141">
        <w:t>Family violence and prevention practitioners</w:t>
      </w:r>
    </w:p>
    <w:p w14:paraId="7A5231AE" w14:textId="77777777" w:rsidR="00832FCB" w:rsidRPr="00DA4141" w:rsidRDefault="00832FCB" w:rsidP="00832FCB">
      <w:pPr>
        <w:pStyle w:val="Bullet1"/>
      </w:pPr>
      <w:r w:rsidRPr="00DA4141">
        <w:t>Human resources (or people and culture) professionals and recruiters</w:t>
      </w:r>
    </w:p>
    <w:p w14:paraId="3E48D5EC" w14:textId="77777777" w:rsidR="00832FCB" w:rsidRPr="00DA4141" w:rsidRDefault="00832FCB" w:rsidP="00832FCB">
      <w:pPr>
        <w:pStyle w:val="Bullet1"/>
      </w:pPr>
      <w:r w:rsidRPr="00DA4141">
        <w:t>Trades people</w:t>
      </w:r>
    </w:p>
    <w:p w14:paraId="0B43A65D" w14:textId="77777777" w:rsidR="00832FCB" w:rsidRPr="00DA4141" w:rsidRDefault="00832FCB" w:rsidP="00832FCB">
      <w:pPr>
        <w:pStyle w:val="Bullet1"/>
      </w:pPr>
      <w:r w:rsidRPr="00DA4141">
        <w:t>Public spaces and facility planners</w:t>
      </w:r>
    </w:p>
    <w:p w14:paraId="3D51F947" w14:textId="77777777" w:rsidR="00832FCB" w:rsidRPr="00DA4141" w:rsidRDefault="00832FCB" w:rsidP="00832FCB">
      <w:pPr>
        <w:pStyle w:val="Bullet1"/>
      </w:pPr>
      <w:r w:rsidRPr="00DA4141">
        <w:t>Finance</w:t>
      </w:r>
    </w:p>
    <w:p w14:paraId="0CD4FB2D" w14:textId="77777777" w:rsidR="00832FCB" w:rsidRPr="00DA4141" w:rsidRDefault="00832FCB" w:rsidP="00832FCB">
      <w:pPr>
        <w:pStyle w:val="Bullet1"/>
      </w:pPr>
      <w:r w:rsidRPr="00DA4141">
        <w:t>Researchers</w:t>
      </w:r>
    </w:p>
    <w:p w14:paraId="200852B0" w14:textId="77777777" w:rsidR="00F049F3" w:rsidRDefault="00F049F3">
      <w:pPr>
        <w:spacing w:after="0" w:line="240" w:lineRule="auto"/>
        <w:rPr>
          <w:rFonts w:eastAsia="MS Mincho"/>
          <w:b/>
          <w:bCs/>
          <w:iCs/>
          <w:color w:val="201547"/>
          <w:szCs w:val="26"/>
        </w:rPr>
      </w:pPr>
      <w:r>
        <w:br w:type="page"/>
      </w:r>
    </w:p>
    <w:p w14:paraId="61B4B3C7" w14:textId="467C0CEA" w:rsidR="00832FCB" w:rsidRPr="00DA4141" w:rsidRDefault="00832FCB" w:rsidP="00A2631A">
      <w:pPr>
        <w:pStyle w:val="Heading5"/>
      </w:pPr>
      <w:r w:rsidRPr="00DA4141">
        <w:lastRenderedPageBreak/>
        <w:t>Example positions</w:t>
      </w:r>
    </w:p>
    <w:p w14:paraId="6C61CF9A" w14:textId="77777777" w:rsidR="00832FCB" w:rsidRPr="00DA4141" w:rsidRDefault="00832FCB" w:rsidP="00832FCB">
      <w:pPr>
        <w:pStyle w:val="Bullet1"/>
      </w:pPr>
      <w:r w:rsidRPr="00DA4141">
        <w:t>Board directors</w:t>
      </w:r>
    </w:p>
    <w:p w14:paraId="7F663FE0" w14:textId="77777777" w:rsidR="00832FCB" w:rsidRPr="00DA4141" w:rsidRDefault="00832FCB" w:rsidP="00832FCB">
      <w:pPr>
        <w:pStyle w:val="Bullet1"/>
      </w:pPr>
      <w:r w:rsidRPr="00DA4141">
        <w:t>Governance officers</w:t>
      </w:r>
    </w:p>
    <w:p w14:paraId="10AD7B2D" w14:textId="77777777" w:rsidR="00832FCB" w:rsidRPr="00DA4141" w:rsidRDefault="00832FCB" w:rsidP="00832FCB">
      <w:pPr>
        <w:pStyle w:val="Bullet1"/>
      </w:pPr>
      <w:r w:rsidRPr="00DA4141">
        <w:t>Community connectors</w:t>
      </w:r>
    </w:p>
    <w:p w14:paraId="6A5B1821" w14:textId="77777777" w:rsidR="00832FCB" w:rsidRPr="00DA4141" w:rsidRDefault="00832FCB" w:rsidP="00832FCB">
      <w:pPr>
        <w:pStyle w:val="Bullet1"/>
      </w:pPr>
      <w:r w:rsidRPr="00DA4141">
        <w:t>Policy, program and grant advisers</w:t>
      </w:r>
    </w:p>
    <w:p w14:paraId="43B99F53" w14:textId="77777777" w:rsidR="00832FCB" w:rsidRPr="00DA4141" w:rsidRDefault="00832FCB" w:rsidP="00832FCB">
      <w:pPr>
        <w:pStyle w:val="Bullet1"/>
      </w:pPr>
      <w:r w:rsidRPr="00DA4141">
        <w:t>Equity, diversity and inclusion officers</w:t>
      </w:r>
    </w:p>
    <w:p w14:paraId="43221E3A" w14:textId="77777777" w:rsidR="00832FCB" w:rsidRPr="00DA4141" w:rsidRDefault="00832FCB" w:rsidP="00832FCB">
      <w:pPr>
        <w:pStyle w:val="Bullet1"/>
      </w:pPr>
      <w:r w:rsidRPr="00DA4141">
        <w:t>Health promotion officers</w:t>
      </w:r>
    </w:p>
    <w:p w14:paraId="0EEE6034" w14:textId="77777777" w:rsidR="00832FCB" w:rsidRPr="00DA4141" w:rsidRDefault="00832FCB" w:rsidP="00832FCB">
      <w:pPr>
        <w:pStyle w:val="Bullet1"/>
      </w:pPr>
      <w:r w:rsidRPr="00DA4141">
        <w:t>Ageing well and positive ageing officers</w:t>
      </w:r>
    </w:p>
    <w:p w14:paraId="69ED6927" w14:textId="77777777" w:rsidR="00832FCB" w:rsidRPr="00DA4141" w:rsidRDefault="00832FCB" w:rsidP="00832FCB">
      <w:pPr>
        <w:pStyle w:val="Bullet1"/>
      </w:pPr>
      <w:r w:rsidRPr="00DA4141">
        <w:t>Union members</w:t>
      </w:r>
    </w:p>
    <w:p w14:paraId="1F6DF792" w14:textId="77777777" w:rsidR="00FB1F6E" w:rsidRDefault="00FB1F6E" w:rsidP="000E6699">
      <w:pPr>
        <w:pStyle w:val="Body"/>
      </w:pPr>
    </w:p>
    <w:sectPr w:rsidR="00FB1F6E" w:rsidSect="006919D7">
      <w:headerReference w:type="even" r:id="rId17"/>
      <w:headerReference w:type="default" r:id="rId18"/>
      <w:footerReference w:type="even" r:id="rId19"/>
      <w:footerReference w:type="default" r:id="rId20"/>
      <w:pgSz w:w="11906" w:h="16838" w:code="9"/>
      <w:pgMar w:top="1701"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992C" w14:textId="77777777" w:rsidR="004F33FF" w:rsidRDefault="004F33FF">
      <w:r>
        <w:separator/>
      </w:r>
    </w:p>
    <w:p w14:paraId="3047FFEE" w14:textId="77777777" w:rsidR="004F33FF" w:rsidRDefault="004F33FF"/>
  </w:endnote>
  <w:endnote w:type="continuationSeparator" w:id="0">
    <w:p w14:paraId="008AA19B" w14:textId="77777777" w:rsidR="004F33FF" w:rsidRDefault="004F33FF">
      <w:r>
        <w:continuationSeparator/>
      </w:r>
    </w:p>
    <w:p w14:paraId="61666311" w14:textId="77777777" w:rsidR="004F33FF" w:rsidRDefault="004F3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C0D"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64F0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1464F0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3005"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B1917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5B1917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AC50"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8B4C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98B4C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7F7F"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504AD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E504AD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0516"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B392B"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EBB392B"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254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C27254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0834" w14:textId="77777777" w:rsidR="004F33FF" w:rsidRDefault="004F33FF" w:rsidP="00207717">
      <w:pPr>
        <w:spacing w:before="120"/>
      </w:pPr>
      <w:r>
        <w:separator/>
      </w:r>
    </w:p>
  </w:footnote>
  <w:footnote w:type="continuationSeparator" w:id="0">
    <w:p w14:paraId="67DB0AD0" w14:textId="77777777" w:rsidR="004F33FF" w:rsidRDefault="004F33FF">
      <w:r>
        <w:continuationSeparator/>
      </w:r>
    </w:p>
    <w:p w14:paraId="593AB004" w14:textId="77777777" w:rsidR="004F33FF" w:rsidRDefault="004F3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4216"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EC57" w14:textId="2D7F318D" w:rsidR="00562811" w:rsidRPr="001C7128" w:rsidRDefault="00D02C03" w:rsidP="001C7128">
    <w:pPr>
      <w:pStyle w:val="Header"/>
    </w:pPr>
    <w:r w:rsidRPr="00D02C03">
      <w:t>Respecting and valuing older people: Victoria’s Primary Prevention of Elder Abuse Framework</w:t>
    </w:r>
    <w:r>
      <w:t xml:space="preserve"> Handbook</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5800D47"/>
    <w:multiLevelType w:val="hybridMultilevel"/>
    <w:tmpl w:val="02FCEF5E"/>
    <w:lvl w:ilvl="0" w:tplc="96FE3A34">
      <w:numFmt w:val="bullet"/>
      <w:lvlText w:val="•"/>
      <w:lvlJc w:val="left"/>
      <w:pPr>
        <w:ind w:left="306" w:hanging="227"/>
      </w:pPr>
      <w:rPr>
        <w:rFonts w:ascii="VIC" w:eastAsia="VIC" w:hAnsi="VIC" w:cs="VIC" w:hint="default"/>
        <w:b w:val="0"/>
        <w:bCs w:val="0"/>
        <w:i w:val="0"/>
        <w:iCs w:val="0"/>
        <w:color w:val="231F20"/>
        <w:spacing w:val="0"/>
        <w:w w:val="100"/>
        <w:sz w:val="19"/>
        <w:szCs w:val="19"/>
        <w:lang w:val="en-US" w:eastAsia="en-US" w:bidi="ar-SA"/>
      </w:rPr>
    </w:lvl>
    <w:lvl w:ilvl="1" w:tplc="5A225116">
      <w:numFmt w:val="bullet"/>
      <w:lvlText w:val="•"/>
      <w:lvlJc w:val="left"/>
      <w:pPr>
        <w:ind w:left="678" w:hanging="227"/>
      </w:pPr>
      <w:rPr>
        <w:rFonts w:hint="default"/>
        <w:lang w:val="en-US" w:eastAsia="en-US" w:bidi="ar-SA"/>
      </w:rPr>
    </w:lvl>
    <w:lvl w:ilvl="2" w:tplc="3C9E0584">
      <w:numFmt w:val="bullet"/>
      <w:lvlText w:val="•"/>
      <w:lvlJc w:val="left"/>
      <w:pPr>
        <w:ind w:left="1056" w:hanging="227"/>
      </w:pPr>
      <w:rPr>
        <w:rFonts w:hint="default"/>
        <w:lang w:val="en-US" w:eastAsia="en-US" w:bidi="ar-SA"/>
      </w:rPr>
    </w:lvl>
    <w:lvl w:ilvl="3" w:tplc="F582286C">
      <w:numFmt w:val="bullet"/>
      <w:lvlText w:val="•"/>
      <w:lvlJc w:val="left"/>
      <w:pPr>
        <w:ind w:left="1434" w:hanging="227"/>
      </w:pPr>
      <w:rPr>
        <w:rFonts w:hint="default"/>
        <w:lang w:val="en-US" w:eastAsia="en-US" w:bidi="ar-SA"/>
      </w:rPr>
    </w:lvl>
    <w:lvl w:ilvl="4" w:tplc="FF261D2E">
      <w:numFmt w:val="bullet"/>
      <w:lvlText w:val="•"/>
      <w:lvlJc w:val="left"/>
      <w:pPr>
        <w:ind w:left="1812" w:hanging="227"/>
      </w:pPr>
      <w:rPr>
        <w:rFonts w:hint="default"/>
        <w:lang w:val="en-US" w:eastAsia="en-US" w:bidi="ar-SA"/>
      </w:rPr>
    </w:lvl>
    <w:lvl w:ilvl="5" w:tplc="F496D02E">
      <w:numFmt w:val="bullet"/>
      <w:lvlText w:val="•"/>
      <w:lvlJc w:val="left"/>
      <w:pPr>
        <w:ind w:left="2191" w:hanging="227"/>
      </w:pPr>
      <w:rPr>
        <w:rFonts w:hint="default"/>
        <w:lang w:val="en-US" w:eastAsia="en-US" w:bidi="ar-SA"/>
      </w:rPr>
    </w:lvl>
    <w:lvl w:ilvl="6" w:tplc="0C047AB6">
      <w:numFmt w:val="bullet"/>
      <w:lvlText w:val="•"/>
      <w:lvlJc w:val="left"/>
      <w:pPr>
        <w:ind w:left="2569" w:hanging="227"/>
      </w:pPr>
      <w:rPr>
        <w:rFonts w:hint="default"/>
        <w:lang w:val="en-US" w:eastAsia="en-US" w:bidi="ar-SA"/>
      </w:rPr>
    </w:lvl>
    <w:lvl w:ilvl="7" w:tplc="1AD00BB0">
      <w:numFmt w:val="bullet"/>
      <w:lvlText w:val="•"/>
      <w:lvlJc w:val="left"/>
      <w:pPr>
        <w:ind w:left="2947" w:hanging="227"/>
      </w:pPr>
      <w:rPr>
        <w:rFonts w:hint="default"/>
        <w:lang w:val="en-US" w:eastAsia="en-US" w:bidi="ar-SA"/>
      </w:rPr>
    </w:lvl>
    <w:lvl w:ilvl="8" w:tplc="B7221E7C">
      <w:numFmt w:val="bullet"/>
      <w:lvlText w:val="•"/>
      <w:lvlJc w:val="left"/>
      <w:pPr>
        <w:ind w:left="3325" w:hanging="227"/>
      </w:pPr>
      <w:rPr>
        <w:rFonts w:hint="default"/>
        <w:lang w:val="en-US" w:eastAsia="en-US" w:bidi="ar-SA"/>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2712383"/>
    <w:multiLevelType w:val="hybridMultilevel"/>
    <w:tmpl w:val="07CC9E1E"/>
    <w:lvl w:ilvl="0" w:tplc="816EE2B8">
      <w:numFmt w:val="bullet"/>
      <w:lvlText w:val="•"/>
      <w:lvlJc w:val="left"/>
      <w:pPr>
        <w:ind w:left="306" w:hanging="227"/>
      </w:pPr>
      <w:rPr>
        <w:rFonts w:ascii="VIC" w:eastAsia="VIC" w:hAnsi="VIC" w:cs="VIC" w:hint="default"/>
        <w:b w:val="0"/>
        <w:bCs w:val="0"/>
        <w:i w:val="0"/>
        <w:iCs w:val="0"/>
        <w:color w:val="231F20"/>
        <w:spacing w:val="0"/>
        <w:w w:val="100"/>
        <w:sz w:val="19"/>
        <w:szCs w:val="19"/>
        <w:lang w:val="en-US" w:eastAsia="en-US" w:bidi="ar-SA"/>
      </w:rPr>
    </w:lvl>
    <w:lvl w:ilvl="1" w:tplc="2C504C48">
      <w:numFmt w:val="bullet"/>
      <w:lvlText w:val="•"/>
      <w:lvlJc w:val="left"/>
      <w:pPr>
        <w:ind w:left="678" w:hanging="227"/>
      </w:pPr>
      <w:rPr>
        <w:rFonts w:hint="default"/>
        <w:lang w:val="en-US" w:eastAsia="en-US" w:bidi="ar-SA"/>
      </w:rPr>
    </w:lvl>
    <w:lvl w:ilvl="2" w:tplc="CD0C003C">
      <w:numFmt w:val="bullet"/>
      <w:lvlText w:val="•"/>
      <w:lvlJc w:val="left"/>
      <w:pPr>
        <w:ind w:left="1056" w:hanging="227"/>
      </w:pPr>
      <w:rPr>
        <w:rFonts w:hint="default"/>
        <w:lang w:val="en-US" w:eastAsia="en-US" w:bidi="ar-SA"/>
      </w:rPr>
    </w:lvl>
    <w:lvl w:ilvl="3" w:tplc="5360DBEC">
      <w:numFmt w:val="bullet"/>
      <w:lvlText w:val="•"/>
      <w:lvlJc w:val="left"/>
      <w:pPr>
        <w:ind w:left="1434" w:hanging="227"/>
      </w:pPr>
      <w:rPr>
        <w:rFonts w:hint="default"/>
        <w:lang w:val="en-US" w:eastAsia="en-US" w:bidi="ar-SA"/>
      </w:rPr>
    </w:lvl>
    <w:lvl w:ilvl="4" w:tplc="88688082">
      <w:numFmt w:val="bullet"/>
      <w:lvlText w:val="•"/>
      <w:lvlJc w:val="left"/>
      <w:pPr>
        <w:ind w:left="1812" w:hanging="227"/>
      </w:pPr>
      <w:rPr>
        <w:rFonts w:hint="default"/>
        <w:lang w:val="en-US" w:eastAsia="en-US" w:bidi="ar-SA"/>
      </w:rPr>
    </w:lvl>
    <w:lvl w:ilvl="5" w:tplc="98DC9D64">
      <w:numFmt w:val="bullet"/>
      <w:lvlText w:val="•"/>
      <w:lvlJc w:val="left"/>
      <w:pPr>
        <w:ind w:left="2191" w:hanging="227"/>
      </w:pPr>
      <w:rPr>
        <w:rFonts w:hint="default"/>
        <w:lang w:val="en-US" w:eastAsia="en-US" w:bidi="ar-SA"/>
      </w:rPr>
    </w:lvl>
    <w:lvl w:ilvl="6" w:tplc="8FFE9F88">
      <w:numFmt w:val="bullet"/>
      <w:lvlText w:val="•"/>
      <w:lvlJc w:val="left"/>
      <w:pPr>
        <w:ind w:left="2569" w:hanging="227"/>
      </w:pPr>
      <w:rPr>
        <w:rFonts w:hint="default"/>
        <w:lang w:val="en-US" w:eastAsia="en-US" w:bidi="ar-SA"/>
      </w:rPr>
    </w:lvl>
    <w:lvl w:ilvl="7" w:tplc="CED687CC">
      <w:numFmt w:val="bullet"/>
      <w:lvlText w:val="•"/>
      <w:lvlJc w:val="left"/>
      <w:pPr>
        <w:ind w:left="2947" w:hanging="227"/>
      </w:pPr>
      <w:rPr>
        <w:rFonts w:hint="default"/>
        <w:lang w:val="en-US" w:eastAsia="en-US" w:bidi="ar-SA"/>
      </w:rPr>
    </w:lvl>
    <w:lvl w:ilvl="8" w:tplc="35B83F84">
      <w:numFmt w:val="bullet"/>
      <w:lvlText w:val="•"/>
      <w:lvlJc w:val="left"/>
      <w:pPr>
        <w:ind w:left="3325" w:hanging="227"/>
      </w:pPr>
      <w:rPr>
        <w:rFonts w:hint="default"/>
        <w:lang w:val="en-US" w:eastAsia="en-US" w:bidi="ar-SA"/>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BDB4C04"/>
    <w:multiLevelType w:val="hybridMultilevel"/>
    <w:tmpl w:val="019E6940"/>
    <w:lvl w:ilvl="0" w:tplc="1BA04D4E">
      <w:numFmt w:val="bullet"/>
      <w:lvlText w:val="•"/>
      <w:lvlJc w:val="left"/>
      <w:pPr>
        <w:ind w:left="306" w:hanging="227"/>
      </w:pPr>
      <w:rPr>
        <w:rFonts w:ascii="VIC" w:eastAsia="VIC" w:hAnsi="VIC" w:cs="VIC" w:hint="default"/>
        <w:b w:val="0"/>
        <w:bCs w:val="0"/>
        <w:i w:val="0"/>
        <w:iCs w:val="0"/>
        <w:color w:val="231F20"/>
        <w:spacing w:val="0"/>
        <w:w w:val="100"/>
        <w:sz w:val="19"/>
        <w:szCs w:val="19"/>
        <w:lang w:val="en-US" w:eastAsia="en-US" w:bidi="ar-SA"/>
      </w:rPr>
    </w:lvl>
    <w:lvl w:ilvl="1" w:tplc="168692BA">
      <w:numFmt w:val="bullet"/>
      <w:lvlText w:val="•"/>
      <w:lvlJc w:val="left"/>
      <w:pPr>
        <w:ind w:left="678" w:hanging="227"/>
      </w:pPr>
      <w:rPr>
        <w:rFonts w:hint="default"/>
        <w:lang w:val="en-US" w:eastAsia="en-US" w:bidi="ar-SA"/>
      </w:rPr>
    </w:lvl>
    <w:lvl w:ilvl="2" w:tplc="6DD61A18">
      <w:numFmt w:val="bullet"/>
      <w:lvlText w:val="•"/>
      <w:lvlJc w:val="left"/>
      <w:pPr>
        <w:ind w:left="1056" w:hanging="227"/>
      </w:pPr>
      <w:rPr>
        <w:rFonts w:hint="default"/>
        <w:lang w:val="en-US" w:eastAsia="en-US" w:bidi="ar-SA"/>
      </w:rPr>
    </w:lvl>
    <w:lvl w:ilvl="3" w:tplc="91B66878">
      <w:numFmt w:val="bullet"/>
      <w:lvlText w:val="•"/>
      <w:lvlJc w:val="left"/>
      <w:pPr>
        <w:ind w:left="1434" w:hanging="227"/>
      </w:pPr>
      <w:rPr>
        <w:rFonts w:hint="default"/>
        <w:lang w:val="en-US" w:eastAsia="en-US" w:bidi="ar-SA"/>
      </w:rPr>
    </w:lvl>
    <w:lvl w:ilvl="4" w:tplc="1EDC6040">
      <w:numFmt w:val="bullet"/>
      <w:lvlText w:val="•"/>
      <w:lvlJc w:val="left"/>
      <w:pPr>
        <w:ind w:left="1812" w:hanging="227"/>
      </w:pPr>
      <w:rPr>
        <w:rFonts w:hint="default"/>
        <w:lang w:val="en-US" w:eastAsia="en-US" w:bidi="ar-SA"/>
      </w:rPr>
    </w:lvl>
    <w:lvl w:ilvl="5" w:tplc="14067E58">
      <w:numFmt w:val="bullet"/>
      <w:lvlText w:val="•"/>
      <w:lvlJc w:val="left"/>
      <w:pPr>
        <w:ind w:left="2191" w:hanging="227"/>
      </w:pPr>
      <w:rPr>
        <w:rFonts w:hint="default"/>
        <w:lang w:val="en-US" w:eastAsia="en-US" w:bidi="ar-SA"/>
      </w:rPr>
    </w:lvl>
    <w:lvl w:ilvl="6" w:tplc="5E660330">
      <w:numFmt w:val="bullet"/>
      <w:lvlText w:val="•"/>
      <w:lvlJc w:val="left"/>
      <w:pPr>
        <w:ind w:left="2569" w:hanging="227"/>
      </w:pPr>
      <w:rPr>
        <w:rFonts w:hint="default"/>
        <w:lang w:val="en-US" w:eastAsia="en-US" w:bidi="ar-SA"/>
      </w:rPr>
    </w:lvl>
    <w:lvl w:ilvl="7" w:tplc="88F24F44">
      <w:numFmt w:val="bullet"/>
      <w:lvlText w:val="•"/>
      <w:lvlJc w:val="left"/>
      <w:pPr>
        <w:ind w:left="2947" w:hanging="227"/>
      </w:pPr>
      <w:rPr>
        <w:rFonts w:hint="default"/>
        <w:lang w:val="en-US" w:eastAsia="en-US" w:bidi="ar-SA"/>
      </w:rPr>
    </w:lvl>
    <w:lvl w:ilvl="8" w:tplc="36EA1004">
      <w:numFmt w:val="bullet"/>
      <w:lvlText w:val="•"/>
      <w:lvlJc w:val="left"/>
      <w:pPr>
        <w:ind w:left="3325" w:hanging="227"/>
      </w:pPr>
      <w:rPr>
        <w:rFonts w:hint="default"/>
        <w:lang w:val="en-US" w:eastAsia="en-US" w:bidi="ar-SA"/>
      </w:rPr>
    </w:lvl>
  </w:abstractNum>
  <w:num w:numId="1" w16cid:durableId="82726511">
    <w:abstractNumId w:val="10"/>
  </w:num>
  <w:num w:numId="2" w16cid:durableId="1543592544">
    <w:abstractNumId w:val="17"/>
  </w:num>
  <w:num w:numId="3" w16cid:durableId="1233663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396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446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705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384583">
    <w:abstractNumId w:val="22"/>
  </w:num>
  <w:num w:numId="8" w16cid:durableId="1428303664">
    <w:abstractNumId w:val="16"/>
  </w:num>
  <w:num w:numId="9" w16cid:durableId="1036009083">
    <w:abstractNumId w:val="21"/>
  </w:num>
  <w:num w:numId="10" w16cid:durableId="1112166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6038195">
    <w:abstractNumId w:val="23"/>
  </w:num>
  <w:num w:numId="12" w16cid:durableId="39136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421464">
    <w:abstractNumId w:val="18"/>
  </w:num>
  <w:num w:numId="14" w16cid:durableId="703554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6604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261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308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5544">
    <w:abstractNumId w:val="25"/>
  </w:num>
  <w:num w:numId="19" w16cid:durableId="1341815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788215">
    <w:abstractNumId w:val="14"/>
  </w:num>
  <w:num w:numId="21" w16cid:durableId="1743025355">
    <w:abstractNumId w:val="12"/>
  </w:num>
  <w:num w:numId="22" w16cid:durableId="606616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8879870">
    <w:abstractNumId w:val="15"/>
  </w:num>
  <w:num w:numId="24" w16cid:durableId="23409995">
    <w:abstractNumId w:val="27"/>
  </w:num>
  <w:num w:numId="25" w16cid:durableId="650789284">
    <w:abstractNumId w:val="24"/>
  </w:num>
  <w:num w:numId="26" w16cid:durableId="770051908">
    <w:abstractNumId w:val="20"/>
  </w:num>
  <w:num w:numId="27" w16cid:durableId="40789684">
    <w:abstractNumId w:val="11"/>
  </w:num>
  <w:num w:numId="28" w16cid:durableId="335301959">
    <w:abstractNumId w:val="28"/>
  </w:num>
  <w:num w:numId="29" w16cid:durableId="1854145708">
    <w:abstractNumId w:val="9"/>
  </w:num>
  <w:num w:numId="30" w16cid:durableId="2031568382">
    <w:abstractNumId w:val="7"/>
  </w:num>
  <w:num w:numId="31" w16cid:durableId="1559168220">
    <w:abstractNumId w:val="6"/>
  </w:num>
  <w:num w:numId="32" w16cid:durableId="398675629">
    <w:abstractNumId w:val="5"/>
  </w:num>
  <w:num w:numId="33" w16cid:durableId="397872980">
    <w:abstractNumId w:val="4"/>
  </w:num>
  <w:num w:numId="34" w16cid:durableId="517355361">
    <w:abstractNumId w:val="8"/>
  </w:num>
  <w:num w:numId="35" w16cid:durableId="1755202199">
    <w:abstractNumId w:val="3"/>
  </w:num>
  <w:num w:numId="36" w16cid:durableId="1231502637">
    <w:abstractNumId w:val="2"/>
  </w:num>
  <w:num w:numId="37" w16cid:durableId="45683385">
    <w:abstractNumId w:val="1"/>
  </w:num>
  <w:num w:numId="38" w16cid:durableId="1358118331">
    <w:abstractNumId w:val="0"/>
  </w:num>
  <w:num w:numId="39" w16cid:durableId="1023823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4702020">
    <w:abstractNumId w:val="26"/>
  </w:num>
  <w:num w:numId="41" w16cid:durableId="898592853">
    <w:abstractNumId w:val="29"/>
  </w:num>
  <w:num w:numId="42" w16cid:durableId="119087288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57"/>
    <w:rsid w:val="00000719"/>
    <w:rsid w:val="00002D68"/>
    <w:rsid w:val="000033F7"/>
    <w:rsid w:val="00003403"/>
    <w:rsid w:val="00005347"/>
    <w:rsid w:val="00005BF1"/>
    <w:rsid w:val="000072B6"/>
    <w:rsid w:val="0001021B"/>
    <w:rsid w:val="00011D89"/>
    <w:rsid w:val="000154FD"/>
    <w:rsid w:val="000156D2"/>
    <w:rsid w:val="00016C77"/>
    <w:rsid w:val="00020678"/>
    <w:rsid w:val="00022271"/>
    <w:rsid w:val="000235E8"/>
    <w:rsid w:val="00024D89"/>
    <w:rsid w:val="000250B6"/>
    <w:rsid w:val="000336B4"/>
    <w:rsid w:val="00033D81"/>
    <w:rsid w:val="00033DC9"/>
    <w:rsid w:val="00037366"/>
    <w:rsid w:val="00041BF0"/>
    <w:rsid w:val="00042C8A"/>
    <w:rsid w:val="0004536B"/>
    <w:rsid w:val="00046B68"/>
    <w:rsid w:val="000527DD"/>
    <w:rsid w:val="000547F9"/>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2CDD"/>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D3C04"/>
    <w:rsid w:val="000E0970"/>
    <w:rsid w:val="000E37B8"/>
    <w:rsid w:val="000E3CC7"/>
    <w:rsid w:val="000E6699"/>
    <w:rsid w:val="000E6BD4"/>
    <w:rsid w:val="000E6D6D"/>
    <w:rsid w:val="000F1F1E"/>
    <w:rsid w:val="000F2259"/>
    <w:rsid w:val="000F2DDA"/>
    <w:rsid w:val="000F2EA0"/>
    <w:rsid w:val="000F5213"/>
    <w:rsid w:val="00101001"/>
    <w:rsid w:val="0010210D"/>
    <w:rsid w:val="00103276"/>
    <w:rsid w:val="0010392D"/>
    <w:rsid w:val="0010447F"/>
    <w:rsid w:val="00104FE3"/>
    <w:rsid w:val="0010714F"/>
    <w:rsid w:val="001120C5"/>
    <w:rsid w:val="00120BD3"/>
    <w:rsid w:val="001227DE"/>
    <w:rsid w:val="00122FEA"/>
    <w:rsid w:val="001232BD"/>
    <w:rsid w:val="00124ED5"/>
    <w:rsid w:val="001276FA"/>
    <w:rsid w:val="0012791B"/>
    <w:rsid w:val="0014287E"/>
    <w:rsid w:val="0014374C"/>
    <w:rsid w:val="001447B3"/>
    <w:rsid w:val="00152073"/>
    <w:rsid w:val="00152329"/>
    <w:rsid w:val="00154F90"/>
    <w:rsid w:val="00156598"/>
    <w:rsid w:val="0016186E"/>
    <w:rsid w:val="00161939"/>
    <w:rsid w:val="00161AA0"/>
    <w:rsid w:val="00161D2E"/>
    <w:rsid w:val="00161F3E"/>
    <w:rsid w:val="00162093"/>
    <w:rsid w:val="00162CA9"/>
    <w:rsid w:val="00164D57"/>
    <w:rsid w:val="00165459"/>
    <w:rsid w:val="00165A57"/>
    <w:rsid w:val="0017036E"/>
    <w:rsid w:val="001708A9"/>
    <w:rsid w:val="001712C2"/>
    <w:rsid w:val="00172BAF"/>
    <w:rsid w:val="00172ED0"/>
    <w:rsid w:val="0017674D"/>
    <w:rsid w:val="001771DD"/>
    <w:rsid w:val="00177995"/>
    <w:rsid w:val="00177A8C"/>
    <w:rsid w:val="0018244E"/>
    <w:rsid w:val="00183356"/>
    <w:rsid w:val="00186B33"/>
    <w:rsid w:val="00192F9D"/>
    <w:rsid w:val="001957B6"/>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2004"/>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1E1E"/>
    <w:rsid w:val="00211F6B"/>
    <w:rsid w:val="00212064"/>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600BD"/>
    <w:rsid w:val="00261133"/>
    <w:rsid w:val="002620BC"/>
    <w:rsid w:val="00262802"/>
    <w:rsid w:val="00263A90"/>
    <w:rsid w:val="0026408B"/>
    <w:rsid w:val="00264B8A"/>
    <w:rsid w:val="00267C3E"/>
    <w:rsid w:val="002709BB"/>
    <w:rsid w:val="00270B02"/>
    <w:rsid w:val="00271278"/>
    <w:rsid w:val="0027131C"/>
    <w:rsid w:val="00273BAC"/>
    <w:rsid w:val="002763B3"/>
    <w:rsid w:val="002802E3"/>
    <w:rsid w:val="0028088B"/>
    <w:rsid w:val="0028213D"/>
    <w:rsid w:val="00282A7F"/>
    <w:rsid w:val="002862F1"/>
    <w:rsid w:val="00286400"/>
    <w:rsid w:val="00291177"/>
    <w:rsid w:val="00291373"/>
    <w:rsid w:val="00294383"/>
    <w:rsid w:val="0029597D"/>
    <w:rsid w:val="002962C3"/>
    <w:rsid w:val="0029752B"/>
    <w:rsid w:val="002A0A9C"/>
    <w:rsid w:val="002A483C"/>
    <w:rsid w:val="002A6176"/>
    <w:rsid w:val="002B0C7C"/>
    <w:rsid w:val="002B1729"/>
    <w:rsid w:val="002B36C7"/>
    <w:rsid w:val="002B4DD4"/>
    <w:rsid w:val="002B5277"/>
    <w:rsid w:val="002B5375"/>
    <w:rsid w:val="002B77C1"/>
    <w:rsid w:val="002C0ED7"/>
    <w:rsid w:val="002C2728"/>
    <w:rsid w:val="002C5B7C"/>
    <w:rsid w:val="002D1E0D"/>
    <w:rsid w:val="002D5006"/>
    <w:rsid w:val="002D7C61"/>
    <w:rsid w:val="002D7EFF"/>
    <w:rsid w:val="002E01D0"/>
    <w:rsid w:val="002E161D"/>
    <w:rsid w:val="002E28A2"/>
    <w:rsid w:val="002E3100"/>
    <w:rsid w:val="002E6C95"/>
    <w:rsid w:val="002E7C36"/>
    <w:rsid w:val="002F3D32"/>
    <w:rsid w:val="002F5F31"/>
    <w:rsid w:val="002F5F46"/>
    <w:rsid w:val="00302216"/>
    <w:rsid w:val="00303E53"/>
    <w:rsid w:val="003050A6"/>
    <w:rsid w:val="00305CC1"/>
    <w:rsid w:val="00306E5F"/>
    <w:rsid w:val="00307E14"/>
    <w:rsid w:val="00314054"/>
    <w:rsid w:val="00316F27"/>
    <w:rsid w:val="003214F1"/>
    <w:rsid w:val="0032238E"/>
    <w:rsid w:val="00322E4B"/>
    <w:rsid w:val="00327870"/>
    <w:rsid w:val="00330F4D"/>
    <w:rsid w:val="0033259D"/>
    <w:rsid w:val="003333D2"/>
    <w:rsid w:val="00334686"/>
    <w:rsid w:val="00337339"/>
    <w:rsid w:val="00340345"/>
    <w:rsid w:val="003406C6"/>
    <w:rsid w:val="003418CC"/>
    <w:rsid w:val="00342367"/>
    <w:rsid w:val="003434EE"/>
    <w:rsid w:val="003459BD"/>
    <w:rsid w:val="00345CCD"/>
    <w:rsid w:val="00350D38"/>
    <w:rsid w:val="00351B36"/>
    <w:rsid w:val="00357B4E"/>
    <w:rsid w:val="00357FC1"/>
    <w:rsid w:val="003716FD"/>
    <w:rsid w:val="0037204B"/>
    <w:rsid w:val="00372E67"/>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39B5"/>
    <w:rsid w:val="003B408A"/>
    <w:rsid w:val="003C08A2"/>
    <w:rsid w:val="003C1C46"/>
    <w:rsid w:val="003C2045"/>
    <w:rsid w:val="003C43A1"/>
    <w:rsid w:val="003C4FC0"/>
    <w:rsid w:val="003C55F4"/>
    <w:rsid w:val="003C7897"/>
    <w:rsid w:val="003C7A3F"/>
    <w:rsid w:val="003D2766"/>
    <w:rsid w:val="003D2A74"/>
    <w:rsid w:val="003D3310"/>
    <w:rsid w:val="003D3D88"/>
    <w:rsid w:val="003D3E8F"/>
    <w:rsid w:val="003D6343"/>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09C"/>
    <w:rsid w:val="00406285"/>
    <w:rsid w:val="004115A2"/>
    <w:rsid w:val="004148F9"/>
    <w:rsid w:val="00417BF4"/>
    <w:rsid w:val="0042084E"/>
    <w:rsid w:val="00421EEF"/>
    <w:rsid w:val="00424D65"/>
    <w:rsid w:val="0042526D"/>
    <w:rsid w:val="00430393"/>
    <w:rsid w:val="00431806"/>
    <w:rsid w:val="00431A70"/>
    <w:rsid w:val="00431F42"/>
    <w:rsid w:val="00442C6C"/>
    <w:rsid w:val="00443CBE"/>
    <w:rsid w:val="00443E8A"/>
    <w:rsid w:val="004441BC"/>
    <w:rsid w:val="004468B4"/>
    <w:rsid w:val="00446D86"/>
    <w:rsid w:val="00451F02"/>
    <w:rsid w:val="0045230A"/>
    <w:rsid w:val="00454AD0"/>
    <w:rsid w:val="00457337"/>
    <w:rsid w:val="00462E3D"/>
    <w:rsid w:val="00466E79"/>
    <w:rsid w:val="00470D7D"/>
    <w:rsid w:val="0047372D"/>
    <w:rsid w:val="00473BA3"/>
    <w:rsid w:val="004743DD"/>
    <w:rsid w:val="00474CEA"/>
    <w:rsid w:val="00474ECE"/>
    <w:rsid w:val="00483968"/>
    <w:rsid w:val="00484051"/>
    <w:rsid w:val="004841BE"/>
    <w:rsid w:val="00484F86"/>
    <w:rsid w:val="004851FB"/>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0BEA"/>
    <w:rsid w:val="004C5541"/>
    <w:rsid w:val="004C6EEE"/>
    <w:rsid w:val="004C702B"/>
    <w:rsid w:val="004D0033"/>
    <w:rsid w:val="004D016B"/>
    <w:rsid w:val="004D1B22"/>
    <w:rsid w:val="004D2063"/>
    <w:rsid w:val="004D23CC"/>
    <w:rsid w:val="004D36F2"/>
    <w:rsid w:val="004E1106"/>
    <w:rsid w:val="004E138F"/>
    <w:rsid w:val="004E4649"/>
    <w:rsid w:val="004E5C2B"/>
    <w:rsid w:val="004F00DD"/>
    <w:rsid w:val="004F2133"/>
    <w:rsid w:val="004F33FF"/>
    <w:rsid w:val="004F5398"/>
    <w:rsid w:val="004F55F1"/>
    <w:rsid w:val="004F6936"/>
    <w:rsid w:val="00503DC6"/>
    <w:rsid w:val="00506F5D"/>
    <w:rsid w:val="00510C37"/>
    <w:rsid w:val="005126D0"/>
    <w:rsid w:val="00514667"/>
    <w:rsid w:val="0051568D"/>
    <w:rsid w:val="00516ECB"/>
    <w:rsid w:val="00524179"/>
    <w:rsid w:val="00526AC7"/>
    <w:rsid w:val="00526C15"/>
    <w:rsid w:val="00533EE9"/>
    <w:rsid w:val="00536499"/>
    <w:rsid w:val="00542A03"/>
    <w:rsid w:val="00543903"/>
    <w:rsid w:val="00543BCC"/>
    <w:rsid w:val="00543F11"/>
    <w:rsid w:val="00546305"/>
    <w:rsid w:val="00547A95"/>
    <w:rsid w:val="0055033D"/>
    <w:rsid w:val="0055119B"/>
    <w:rsid w:val="00561202"/>
    <w:rsid w:val="00562507"/>
    <w:rsid w:val="00562811"/>
    <w:rsid w:val="00572031"/>
    <w:rsid w:val="00572282"/>
    <w:rsid w:val="00573CE3"/>
    <w:rsid w:val="00576E84"/>
    <w:rsid w:val="00580394"/>
    <w:rsid w:val="005809CD"/>
    <w:rsid w:val="00580C68"/>
    <w:rsid w:val="00582B8C"/>
    <w:rsid w:val="0058757E"/>
    <w:rsid w:val="00596A4B"/>
    <w:rsid w:val="00597507"/>
    <w:rsid w:val="005A479D"/>
    <w:rsid w:val="005B1C6D"/>
    <w:rsid w:val="005B21B6"/>
    <w:rsid w:val="005B3A08"/>
    <w:rsid w:val="005B6AB9"/>
    <w:rsid w:val="005B7A63"/>
    <w:rsid w:val="005C0955"/>
    <w:rsid w:val="005C42FB"/>
    <w:rsid w:val="005C49DA"/>
    <w:rsid w:val="005C50F3"/>
    <w:rsid w:val="005C54B5"/>
    <w:rsid w:val="005C5D80"/>
    <w:rsid w:val="005C5D91"/>
    <w:rsid w:val="005D07B8"/>
    <w:rsid w:val="005D6597"/>
    <w:rsid w:val="005D69BC"/>
    <w:rsid w:val="005E14E7"/>
    <w:rsid w:val="005E26A3"/>
    <w:rsid w:val="005E2ECB"/>
    <w:rsid w:val="005E447E"/>
    <w:rsid w:val="005E4FD1"/>
    <w:rsid w:val="005F0775"/>
    <w:rsid w:val="005F0CF5"/>
    <w:rsid w:val="005F21A4"/>
    <w:rsid w:val="005F21EB"/>
    <w:rsid w:val="005F64CF"/>
    <w:rsid w:val="006040DC"/>
    <w:rsid w:val="006041AD"/>
    <w:rsid w:val="00605908"/>
    <w:rsid w:val="00607585"/>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9D7"/>
    <w:rsid w:val="00691B62"/>
    <w:rsid w:val="006933B5"/>
    <w:rsid w:val="00693546"/>
    <w:rsid w:val="00693D14"/>
    <w:rsid w:val="00693D2B"/>
    <w:rsid w:val="00696F27"/>
    <w:rsid w:val="006A18C2"/>
    <w:rsid w:val="006A1E11"/>
    <w:rsid w:val="006A2717"/>
    <w:rsid w:val="006A3383"/>
    <w:rsid w:val="006B077C"/>
    <w:rsid w:val="006B0C81"/>
    <w:rsid w:val="006B0EB2"/>
    <w:rsid w:val="006B6803"/>
    <w:rsid w:val="006D0F16"/>
    <w:rsid w:val="006D2A3F"/>
    <w:rsid w:val="006D2FBC"/>
    <w:rsid w:val="006D3EF9"/>
    <w:rsid w:val="006D6E34"/>
    <w:rsid w:val="006E138B"/>
    <w:rsid w:val="006E1867"/>
    <w:rsid w:val="006F0330"/>
    <w:rsid w:val="006F1FDC"/>
    <w:rsid w:val="006F2DB4"/>
    <w:rsid w:val="006F3959"/>
    <w:rsid w:val="006F5210"/>
    <w:rsid w:val="006F6B76"/>
    <w:rsid w:val="006F6B8C"/>
    <w:rsid w:val="007013EF"/>
    <w:rsid w:val="007055BD"/>
    <w:rsid w:val="00714943"/>
    <w:rsid w:val="007173CA"/>
    <w:rsid w:val="007216AA"/>
    <w:rsid w:val="00721AB5"/>
    <w:rsid w:val="00721CFB"/>
    <w:rsid w:val="00721DEF"/>
    <w:rsid w:val="0072385F"/>
    <w:rsid w:val="00723B69"/>
    <w:rsid w:val="00724A43"/>
    <w:rsid w:val="007273AC"/>
    <w:rsid w:val="00731257"/>
    <w:rsid w:val="00731AD4"/>
    <w:rsid w:val="007346E4"/>
    <w:rsid w:val="00735564"/>
    <w:rsid w:val="00740F22"/>
    <w:rsid w:val="0074165D"/>
    <w:rsid w:val="00741CF0"/>
    <w:rsid w:val="00741F1A"/>
    <w:rsid w:val="007447DA"/>
    <w:rsid w:val="007450F8"/>
    <w:rsid w:val="0074696E"/>
    <w:rsid w:val="00750135"/>
    <w:rsid w:val="00750EC2"/>
    <w:rsid w:val="0075251B"/>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2257"/>
    <w:rsid w:val="007833D8"/>
    <w:rsid w:val="00785677"/>
    <w:rsid w:val="00786F16"/>
    <w:rsid w:val="00791BD7"/>
    <w:rsid w:val="007933F7"/>
    <w:rsid w:val="00796E20"/>
    <w:rsid w:val="00797910"/>
    <w:rsid w:val="00797C32"/>
    <w:rsid w:val="007A11E8"/>
    <w:rsid w:val="007B0914"/>
    <w:rsid w:val="007B1374"/>
    <w:rsid w:val="007B32E5"/>
    <w:rsid w:val="007B3DB9"/>
    <w:rsid w:val="007B589F"/>
    <w:rsid w:val="007B6186"/>
    <w:rsid w:val="007B73BC"/>
    <w:rsid w:val="007C1838"/>
    <w:rsid w:val="007C20B9"/>
    <w:rsid w:val="007C55BE"/>
    <w:rsid w:val="007C692F"/>
    <w:rsid w:val="007C7301"/>
    <w:rsid w:val="007C7859"/>
    <w:rsid w:val="007C7F28"/>
    <w:rsid w:val="007D1466"/>
    <w:rsid w:val="007D2BDE"/>
    <w:rsid w:val="007D2FB6"/>
    <w:rsid w:val="007D49EB"/>
    <w:rsid w:val="007D4BA1"/>
    <w:rsid w:val="007D5E1C"/>
    <w:rsid w:val="007E0DE2"/>
    <w:rsid w:val="007E3667"/>
    <w:rsid w:val="007E3B98"/>
    <w:rsid w:val="007E417A"/>
    <w:rsid w:val="007F0C24"/>
    <w:rsid w:val="007F31B6"/>
    <w:rsid w:val="007F546C"/>
    <w:rsid w:val="007F625F"/>
    <w:rsid w:val="007F665E"/>
    <w:rsid w:val="00800412"/>
    <w:rsid w:val="00802E0B"/>
    <w:rsid w:val="0080587B"/>
    <w:rsid w:val="00806468"/>
    <w:rsid w:val="008119CA"/>
    <w:rsid w:val="008130C4"/>
    <w:rsid w:val="008155F0"/>
    <w:rsid w:val="00815FAF"/>
    <w:rsid w:val="00816735"/>
    <w:rsid w:val="00816760"/>
    <w:rsid w:val="00820141"/>
    <w:rsid w:val="00820E0C"/>
    <w:rsid w:val="0082191D"/>
    <w:rsid w:val="00823275"/>
    <w:rsid w:val="0082366F"/>
    <w:rsid w:val="00831B47"/>
    <w:rsid w:val="00832FCB"/>
    <w:rsid w:val="008338A2"/>
    <w:rsid w:val="00837509"/>
    <w:rsid w:val="00841AA9"/>
    <w:rsid w:val="008474FE"/>
    <w:rsid w:val="00847628"/>
    <w:rsid w:val="00850AE5"/>
    <w:rsid w:val="00853EE4"/>
    <w:rsid w:val="00855535"/>
    <w:rsid w:val="00857C5A"/>
    <w:rsid w:val="00860EF6"/>
    <w:rsid w:val="0086255E"/>
    <w:rsid w:val="008633F0"/>
    <w:rsid w:val="00863B7C"/>
    <w:rsid w:val="00865FC2"/>
    <w:rsid w:val="00867D9D"/>
    <w:rsid w:val="00872E0A"/>
    <w:rsid w:val="00873594"/>
    <w:rsid w:val="00875285"/>
    <w:rsid w:val="00877635"/>
    <w:rsid w:val="00884B62"/>
    <w:rsid w:val="0088529C"/>
    <w:rsid w:val="00887903"/>
    <w:rsid w:val="0089270A"/>
    <w:rsid w:val="00893AF6"/>
    <w:rsid w:val="00894BC4"/>
    <w:rsid w:val="00894C95"/>
    <w:rsid w:val="00896890"/>
    <w:rsid w:val="008A2634"/>
    <w:rsid w:val="008A28A8"/>
    <w:rsid w:val="008A5B32"/>
    <w:rsid w:val="008B04CC"/>
    <w:rsid w:val="008B1B87"/>
    <w:rsid w:val="008B2029"/>
    <w:rsid w:val="008B2EE4"/>
    <w:rsid w:val="008B3821"/>
    <w:rsid w:val="008B4D3D"/>
    <w:rsid w:val="008B57C7"/>
    <w:rsid w:val="008C2F92"/>
    <w:rsid w:val="008C3546"/>
    <w:rsid w:val="008C589D"/>
    <w:rsid w:val="008C6D51"/>
    <w:rsid w:val="008D2846"/>
    <w:rsid w:val="008D4236"/>
    <w:rsid w:val="008D462F"/>
    <w:rsid w:val="008D5753"/>
    <w:rsid w:val="008D69DA"/>
    <w:rsid w:val="008D6DCF"/>
    <w:rsid w:val="008E4376"/>
    <w:rsid w:val="008E7807"/>
    <w:rsid w:val="008E7A0A"/>
    <w:rsid w:val="008E7B49"/>
    <w:rsid w:val="008F3198"/>
    <w:rsid w:val="008F59F6"/>
    <w:rsid w:val="00900719"/>
    <w:rsid w:val="009017AC"/>
    <w:rsid w:val="00902A9A"/>
    <w:rsid w:val="00904A1C"/>
    <w:rsid w:val="00904E24"/>
    <w:rsid w:val="00905030"/>
    <w:rsid w:val="009050D2"/>
    <w:rsid w:val="00906490"/>
    <w:rsid w:val="009111B2"/>
    <w:rsid w:val="00913A04"/>
    <w:rsid w:val="009151F5"/>
    <w:rsid w:val="00924AE1"/>
    <w:rsid w:val="00924B57"/>
    <w:rsid w:val="009269B1"/>
    <w:rsid w:val="0092724D"/>
    <w:rsid w:val="009272B3"/>
    <w:rsid w:val="009315BE"/>
    <w:rsid w:val="009326DD"/>
    <w:rsid w:val="0093338F"/>
    <w:rsid w:val="00937BD9"/>
    <w:rsid w:val="0094587B"/>
    <w:rsid w:val="00945EF6"/>
    <w:rsid w:val="00946A84"/>
    <w:rsid w:val="00950E2C"/>
    <w:rsid w:val="00951D50"/>
    <w:rsid w:val="009525EB"/>
    <w:rsid w:val="0095470B"/>
    <w:rsid w:val="00954874"/>
    <w:rsid w:val="0095615A"/>
    <w:rsid w:val="00961400"/>
    <w:rsid w:val="00963646"/>
    <w:rsid w:val="0096506F"/>
    <w:rsid w:val="0096632D"/>
    <w:rsid w:val="00967124"/>
    <w:rsid w:val="0097073C"/>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5C3"/>
    <w:rsid w:val="009B05FD"/>
    <w:rsid w:val="009B0A6F"/>
    <w:rsid w:val="009B0A94"/>
    <w:rsid w:val="009B0C62"/>
    <w:rsid w:val="009B2AE8"/>
    <w:rsid w:val="009B5622"/>
    <w:rsid w:val="009B59E9"/>
    <w:rsid w:val="009B70AA"/>
    <w:rsid w:val="009C245E"/>
    <w:rsid w:val="009C3CF1"/>
    <w:rsid w:val="009C48A0"/>
    <w:rsid w:val="009C5E77"/>
    <w:rsid w:val="009C71D3"/>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37A"/>
    <w:rsid w:val="00A11421"/>
    <w:rsid w:val="00A1389F"/>
    <w:rsid w:val="00A157B1"/>
    <w:rsid w:val="00A204CF"/>
    <w:rsid w:val="00A22229"/>
    <w:rsid w:val="00A24442"/>
    <w:rsid w:val="00A24ADA"/>
    <w:rsid w:val="00A2631A"/>
    <w:rsid w:val="00A31871"/>
    <w:rsid w:val="00A32577"/>
    <w:rsid w:val="00A330BB"/>
    <w:rsid w:val="00A446F5"/>
    <w:rsid w:val="00A44882"/>
    <w:rsid w:val="00A45125"/>
    <w:rsid w:val="00A54715"/>
    <w:rsid w:val="00A6061C"/>
    <w:rsid w:val="00A619A8"/>
    <w:rsid w:val="00A62D44"/>
    <w:rsid w:val="00A62F14"/>
    <w:rsid w:val="00A67263"/>
    <w:rsid w:val="00A7161C"/>
    <w:rsid w:val="00A71CE4"/>
    <w:rsid w:val="00A77AA3"/>
    <w:rsid w:val="00A80972"/>
    <w:rsid w:val="00A8236D"/>
    <w:rsid w:val="00A854EB"/>
    <w:rsid w:val="00A872E5"/>
    <w:rsid w:val="00A91406"/>
    <w:rsid w:val="00A91FD9"/>
    <w:rsid w:val="00A96E65"/>
    <w:rsid w:val="00A96ECE"/>
    <w:rsid w:val="00A97C72"/>
    <w:rsid w:val="00AA310B"/>
    <w:rsid w:val="00AA63D4"/>
    <w:rsid w:val="00AA72AA"/>
    <w:rsid w:val="00AB06E8"/>
    <w:rsid w:val="00AB1CD3"/>
    <w:rsid w:val="00AB350E"/>
    <w:rsid w:val="00AB352F"/>
    <w:rsid w:val="00AB3C4F"/>
    <w:rsid w:val="00AC274B"/>
    <w:rsid w:val="00AC4764"/>
    <w:rsid w:val="00AC5DE8"/>
    <w:rsid w:val="00AC6669"/>
    <w:rsid w:val="00AC6D36"/>
    <w:rsid w:val="00AD0CBA"/>
    <w:rsid w:val="00AD26E2"/>
    <w:rsid w:val="00AD3B18"/>
    <w:rsid w:val="00AD784C"/>
    <w:rsid w:val="00AE126A"/>
    <w:rsid w:val="00AE1BAE"/>
    <w:rsid w:val="00AE3005"/>
    <w:rsid w:val="00AE3BD5"/>
    <w:rsid w:val="00AE59A0"/>
    <w:rsid w:val="00AE5FFC"/>
    <w:rsid w:val="00AF0C57"/>
    <w:rsid w:val="00AF26F3"/>
    <w:rsid w:val="00AF4E85"/>
    <w:rsid w:val="00AF4F8B"/>
    <w:rsid w:val="00AF5F04"/>
    <w:rsid w:val="00B00672"/>
    <w:rsid w:val="00B01B4D"/>
    <w:rsid w:val="00B04489"/>
    <w:rsid w:val="00B057D7"/>
    <w:rsid w:val="00B06571"/>
    <w:rsid w:val="00B068BA"/>
    <w:rsid w:val="00B07217"/>
    <w:rsid w:val="00B0757C"/>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6ADC"/>
    <w:rsid w:val="00B77B7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D6B19"/>
    <w:rsid w:val="00BE28D2"/>
    <w:rsid w:val="00BE2C56"/>
    <w:rsid w:val="00BE4A64"/>
    <w:rsid w:val="00BE5E43"/>
    <w:rsid w:val="00BF54A6"/>
    <w:rsid w:val="00BF557D"/>
    <w:rsid w:val="00BF658D"/>
    <w:rsid w:val="00BF7F58"/>
    <w:rsid w:val="00C01381"/>
    <w:rsid w:val="00C01AB1"/>
    <w:rsid w:val="00C026A0"/>
    <w:rsid w:val="00C039B1"/>
    <w:rsid w:val="00C06137"/>
    <w:rsid w:val="00C06929"/>
    <w:rsid w:val="00C079B8"/>
    <w:rsid w:val="00C10037"/>
    <w:rsid w:val="00C115E1"/>
    <w:rsid w:val="00C123EA"/>
    <w:rsid w:val="00C12A49"/>
    <w:rsid w:val="00C12B05"/>
    <w:rsid w:val="00C133EE"/>
    <w:rsid w:val="00C149D0"/>
    <w:rsid w:val="00C15D95"/>
    <w:rsid w:val="00C1640D"/>
    <w:rsid w:val="00C26588"/>
    <w:rsid w:val="00C27DE9"/>
    <w:rsid w:val="00C32989"/>
    <w:rsid w:val="00C33388"/>
    <w:rsid w:val="00C35484"/>
    <w:rsid w:val="00C4173A"/>
    <w:rsid w:val="00C478D4"/>
    <w:rsid w:val="00C50DED"/>
    <w:rsid w:val="00C52217"/>
    <w:rsid w:val="00C602FF"/>
    <w:rsid w:val="00C60411"/>
    <w:rsid w:val="00C61174"/>
    <w:rsid w:val="00C6148F"/>
    <w:rsid w:val="00C621B1"/>
    <w:rsid w:val="00C62F7A"/>
    <w:rsid w:val="00C63B9C"/>
    <w:rsid w:val="00C657F3"/>
    <w:rsid w:val="00C6682F"/>
    <w:rsid w:val="00C67BF4"/>
    <w:rsid w:val="00C7275E"/>
    <w:rsid w:val="00C731AF"/>
    <w:rsid w:val="00C74C5D"/>
    <w:rsid w:val="00C800DC"/>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2C03"/>
    <w:rsid w:val="00D04C61"/>
    <w:rsid w:val="00D05B8D"/>
    <w:rsid w:val="00D05B9B"/>
    <w:rsid w:val="00D065A2"/>
    <w:rsid w:val="00D079AA"/>
    <w:rsid w:val="00D07F00"/>
    <w:rsid w:val="00D1130F"/>
    <w:rsid w:val="00D13BB2"/>
    <w:rsid w:val="00D14FEE"/>
    <w:rsid w:val="00D1571F"/>
    <w:rsid w:val="00D17B72"/>
    <w:rsid w:val="00D24BDF"/>
    <w:rsid w:val="00D3185C"/>
    <w:rsid w:val="00D3205F"/>
    <w:rsid w:val="00D3318E"/>
    <w:rsid w:val="00D33E72"/>
    <w:rsid w:val="00D35BD6"/>
    <w:rsid w:val="00D361B5"/>
    <w:rsid w:val="00D371EC"/>
    <w:rsid w:val="00D411A2"/>
    <w:rsid w:val="00D440D6"/>
    <w:rsid w:val="00D4606D"/>
    <w:rsid w:val="00D50B9C"/>
    <w:rsid w:val="00D5123C"/>
    <w:rsid w:val="00D513AF"/>
    <w:rsid w:val="00D52D73"/>
    <w:rsid w:val="00D52E58"/>
    <w:rsid w:val="00D53C50"/>
    <w:rsid w:val="00D56B20"/>
    <w:rsid w:val="00D578B3"/>
    <w:rsid w:val="00D618F4"/>
    <w:rsid w:val="00D63636"/>
    <w:rsid w:val="00D640AD"/>
    <w:rsid w:val="00D712E7"/>
    <w:rsid w:val="00D714CC"/>
    <w:rsid w:val="00D75EA7"/>
    <w:rsid w:val="00D77252"/>
    <w:rsid w:val="00D81994"/>
    <w:rsid w:val="00D81ADF"/>
    <w:rsid w:val="00D81F21"/>
    <w:rsid w:val="00D83D06"/>
    <w:rsid w:val="00D864F2"/>
    <w:rsid w:val="00D91DC5"/>
    <w:rsid w:val="00D943F8"/>
    <w:rsid w:val="00D95470"/>
    <w:rsid w:val="00D96B55"/>
    <w:rsid w:val="00DA2619"/>
    <w:rsid w:val="00DA4141"/>
    <w:rsid w:val="00DA4239"/>
    <w:rsid w:val="00DA588C"/>
    <w:rsid w:val="00DA65DE"/>
    <w:rsid w:val="00DB09F9"/>
    <w:rsid w:val="00DB0B61"/>
    <w:rsid w:val="00DB1474"/>
    <w:rsid w:val="00DB2962"/>
    <w:rsid w:val="00DB52FB"/>
    <w:rsid w:val="00DC00C1"/>
    <w:rsid w:val="00DC013B"/>
    <w:rsid w:val="00DC090B"/>
    <w:rsid w:val="00DC1679"/>
    <w:rsid w:val="00DC219B"/>
    <w:rsid w:val="00DC2958"/>
    <w:rsid w:val="00DC2CF1"/>
    <w:rsid w:val="00DC2DC7"/>
    <w:rsid w:val="00DC3A7C"/>
    <w:rsid w:val="00DC4FCF"/>
    <w:rsid w:val="00DC50E0"/>
    <w:rsid w:val="00DC5121"/>
    <w:rsid w:val="00DC6386"/>
    <w:rsid w:val="00DD1130"/>
    <w:rsid w:val="00DD1951"/>
    <w:rsid w:val="00DD27D1"/>
    <w:rsid w:val="00DD487D"/>
    <w:rsid w:val="00DD4E83"/>
    <w:rsid w:val="00DD6628"/>
    <w:rsid w:val="00DD6945"/>
    <w:rsid w:val="00DE2BED"/>
    <w:rsid w:val="00DE2D04"/>
    <w:rsid w:val="00DE3250"/>
    <w:rsid w:val="00DE6028"/>
    <w:rsid w:val="00DE6C85"/>
    <w:rsid w:val="00DE78A3"/>
    <w:rsid w:val="00DF1A71"/>
    <w:rsid w:val="00DF50FC"/>
    <w:rsid w:val="00DF68C7"/>
    <w:rsid w:val="00DF731A"/>
    <w:rsid w:val="00E03B75"/>
    <w:rsid w:val="00E04BBB"/>
    <w:rsid w:val="00E06B75"/>
    <w:rsid w:val="00E11332"/>
    <w:rsid w:val="00E11352"/>
    <w:rsid w:val="00E170DC"/>
    <w:rsid w:val="00E17546"/>
    <w:rsid w:val="00E20AC3"/>
    <w:rsid w:val="00E210B5"/>
    <w:rsid w:val="00E261B3"/>
    <w:rsid w:val="00E26818"/>
    <w:rsid w:val="00E27FFC"/>
    <w:rsid w:val="00E30B15"/>
    <w:rsid w:val="00E31E55"/>
    <w:rsid w:val="00E33237"/>
    <w:rsid w:val="00E36353"/>
    <w:rsid w:val="00E40181"/>
    <w:rsid w:val="00E4035E"/>
    <w:rsid w:val="00E52298"/>
    <w:rsid w:val="00E54950"/>
    <w:rsid w:val="00E55FB3"/>
    <w:rsid w:val="00E56A01"/>
    <w:rsid w:val="00E629A1"/>
    <w:rsid w:val="00E66C96"/>
    <w:rsid w:val="00E6794C"/>
    <w:rsid w:val="00E71591"/>
    <w:rsid w:val="00E71CEB"/>
    <w:rsid w:val="00E71E5C"/>
    <w:rsid w:val="00E7474F"/>
    <w:rsid w:val="00E806BA"/>
    <w:rsid w:val="00E80DE3"/>
    <w:rsid w:val="00E82AC1"/>
    <w:rsid w:val="00E82C55"/>
    <w:rsid w:val="00E84C63"/>
    <w:rsid w:val="00E8787E"/>
    <w:rsid w:val="00E92AC3"/>
    <w:rsid w:val="00EA0EA2"/>
    <w:rsid w:val="00EA247C"/>
    <w:rsid w:val="00EA2F6A"/>
    <w:rsid w:val="00EA313A"/>
    <w:rsid w:val="00EA37DD"/>
    <w:rsid w:val="00EB00E0"/>
    <w:rsid w:val="00EB05D5"/>
    <w:rsid w:val="00EB174D"/>
    <w:rsid w:val="00EB4BC7"/>
    <w:rsid w:val="00EC016E"/>
    <w:rsid w:val="00EC059F"/>
    <w:rsid w:val="00EC1F24"/>
    <w:rsid w:val="00EC22F6"/>
    <w:rsid w:val="00EC3DB9"/>
    <w:rsid w:val="00ED5B9B"/>
    <w:rsid w:val="00ED6BAD"/>
    <w:rsid w:val="00ED7447"/>
    <w:rsid w:val="00ED7762"/>
    <w:rsid w:val="00ED79B2"/>
    <w:rsid w:val="00EE00D6"/>
    <w:rsid w:val="00EE0CAE"/>
    <w:rsid w:val="00EE11E7"/>
    <w:rsid w:val="00EE1488"/>
    <w:rsid w:val="00EE29AD"/>
    <w:rsid w:val="00EE3E24"/>
    <w:rsid w:val="00EE4D5D"/>
    <w:rsid w:val="00EE501F"/>
    <w:rsid w:val="00EE5131"/>
    <w:rsid w:val="00EF109B"/>
    <w:rsid w:val="00EF201C"/>
    <w:rsid w:val="00EF2C72"/>
    <w:rsid w:val="00EF36AF"/>
    <w:rsid w:val="00EF59A3"/>
    <w:rsid w:val="00EF6675"/>
    <w:rsid w:val="00F0063D"/>
    <w:rsid w:val="00F00F9C"/>
    <w:rsid w:val="00F01E5F"/>
    <w:rsid w:val="00F024F3"/>
    <w:rsid w:val="00F02ABA"/>
    <w:rsid w:val="00F0437A"/>
    <w:rsid w:val="00F049F3"/>
    <w:rsid w:val="00F101B8"/>
    <w:rsid w:val="00F11037"/>
    <w:rsid w:val="00F15144"/>
    <w:rsid w:val="00F15ADF"/>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2D0A"/>
    <w:rsid w:val="00F64696"/>
    <w:rsid w:val="00F65AA9"/>
    <w:rsid w:val="00F6768F"/>
    <w:rsid w:val="00F72C2C"/>
    <w:rsid w:val="00F741F2"/>
    <w:rsid w:val="00F76CAB"/>
    <w:rsid w:val="00F772C6"/>
    <w:rsid w:val="00F815B5"/>
    <w:rsid w:val="00F839A8"/>
    <w:rsid w:val="00F85195"/>
    <w:rsid w:val="00F857D4"/>
    <w:rsid w:val="00F868E3"/>
    <w:rsid w:val="00F9250C"/>
    <w:rsid w:val="00F938BA"/>
    <w:rsid w:val="00F97919"/>
    <w:rsid w:val="00FA230B"/>
    <w:rsid w:val="00FA2C46"/>
    <w:rsid w:val="00FA3525"/>
    <w:rsid w:val="00FA5A53"/>
    <w:rsid w:val="00FA6D5F"/>
    <w:rsid w:val="00FB1F6E"/>
    <w:rsid w:val="00FB4769"/>
    <w:rsid w:val="00FB4CDA"/>
    <w:rsid w:val="00FB6481"/>
    <w:rsid w:val="00FB6D36"/>
    <w:rsid w:val="00FC0965"/>
    <w:rsid w:val="00FC0F81"/>
    <w:rsid w:val="00FC252F"/>
    <w:rsid w:val="00FC3052"/>
    <w:rsid w:val="00FC395C"/>
    <w:rsid w:val="00FC5E8E"/>
    <w:rsid w:val="00FC6DB7"/>
    <w:rsid w:val="00FD3766"/>
    <w:rsid w:val="00FD3D05"/>
    <w:rsid w:val="00FD47C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1CAEC"/>
  <w15:docId w15:val="{E19BF585-BF2E-4BCE-9B68-AF379A53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C1640D"/>
    <w:pPr>
      <w:keepNext/>
      <w:keepLines/>
      <w:spacing w:before="360" w:after="24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C1640D"/>
    <w:pPr>
      <w:keepNext/>
      <w:keepLines/>
      <w:spacing w:before="280" w:after="240" w:line="360" w:lineRule="atLeast"/>
      <w:outlineLvl w:val="2"/>
    </w:pPr>
    <w:rPr>
      <w:rFonts w:ascii="Arial" w:eastAsia="MS Gothic" w:hAnsi="Arial"/>
      <w:bCs/>
      <w:color w:val="201547"/>
      <w:sz w:val="32"/>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F3959"/>
    <w:pPr>
      <w:spacing w:after="24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C1640D"/>
    <w:rPr>
      <w:rFonts w:ascii="Arial" w:hAnsi="Arial"/>
      <w:b/>
      <w:color w:val="201547"/>
      <w:sz w:val="36"/>
      <w:szCs w:val="28"/>
      <w:lang w:eastAsia="en-US"/>
    </w:rPr>
  </w:style>
  <w:style w:type="character" w:customStyle="1" w:styleId="Heading3Char">
    <w:name w:val="Heading 3 Char"/>
    <w:link w:val="Heading3"/>
    <w:uiPriority w:val="1"/>
    <w:rsid w:val="00C1640D"/>
    <w:rPr>
      <w:rFonts w:ascii="Arial" w:eastAsia="MS Gothic" w:hAnsi="Arial"/>
      <w:bCs/>
      <w:color w:val="201547"/>
      <w:sz w:val="32"/>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C657F3"/>
    <w:rPr>
      <w:rFonts w:ascii="Arial" w:hAnsi="Arial" w:cs="Arial"/>
      <w:b/>
      <w:color w:val="201547"/>
      <w:sz w:val="24"/>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6F3959"/>
    <w:pPr>
      <w:keepNext/>
      <w:keepLines/>
      <w:tabs>
        <w:tab w:val="right" w:leader="dot" w:pos="9299"/>
      </w:tabs>
      <w:spacing w:before="160"/>
    </w:pPr>
    <w:rPr>
      <w:b/>
      <w:noProof/>
      <w:sz w:val="24"/>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6F3959"/>
    <w:pPr>
      <w:keepLines/>
      <w:tabs>
        <w:tab w:val="right" w:leader="dot" w:pos="9299"/>
      </w:tabs>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6F3959"/>
    <w:pPr>
      <w:spacing w:before="80" w:after="120"/>
    </w:pPr>
    <w:rPr>
      <w:rFonts w:ascii="Arial" w:hAnsi="Arial"/>
      <w:sz w:val="24"/>
      <w:lang w:eastAsia="en-US"/>
    </w:rPr>
  </w:style>
  <w:style w:type="paragraph" w:customStyle="1" w:styleId="Tablecaption">
    <w:name w:val="Table caption"/>
    <w:next w:val="Body"/>
    <w:uiPriority w:val="3"/>
    <w:qFormat/>
    <w:rsid w:val="006F3959"/>
    <w:pPr>
      <w:keepNext/>
      <w:keepLines/>
      <w:spacing w:before="240" w:after="120" w:line="280" w:lineRule="atLeast"/>
    </w:pPr>
    <w:rPr>
      <w:rFonts w:ascii="Arial" w:hAnsi="Arial"/>
      <w:b/>
      <w:sz w:val="24"/>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6F3959"/>
    <w:pPr>
      <w:spacing w:before="80" w:after="12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F3959"/>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DC2958"/>
    <w:pPr>
      <w:spacing w:after="360" w:line="360" w:lineRule="atLeast"/>
    </w:pPr>
    <w:rPr>
      <w:color w:val="201547"/>
      <w:sz w:val="28"/>
    </w:rPr>
  </w:style>
  <w:style w:type="character" w:customStyle="1" w:styleId="HeaderChar">
    <w:name w:val="Header Char"/>
    <w:basedOn w:val="DefaultParagraphFont"/>
    <w:link w:val="Header"/>
    <w:uiPriority w:val="10"/>
    <w:rsid w:val="00C657F3"/>
    <w:rPr>
      <w:rFonts w:ascii="Arial" w:hAnsi="Arial" w:cs="Arial"/>
      <w:b/>
      <w:color w:val="201547"/>
      <w:sz w:val="24"/>
      <w:szCs w:val="18"/>
      <w:lang w:eastAsia="en-US"/>
    </w:rPr>
  </w:style>
  <w:style w:type="paragraph" w:styleId="Caption">
    <w:name w:val="caption"/>
    <w:basedOn w:val="Normal"/>
    <w:next w:val="Normal"/>
    <w:uiPriority w:val="35"/>
    <w:unhideWhenUsed/>
    <w:qFormat/>
    <w:rsid w:val="0075251B"/>
    <w:pPr>
      <w:spacing w:before="240" w:line="250" w:lineRule="atLeast"/>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viders.dffh.vic.gov.au/preventing-elder-abus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der.abuse@dff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purpl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27" ma:contentTypeDescription="Create a new document." ma:contentTypeScope="" ma:versionID="8bf055ed8c4374f2a724c5ede134e370">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44f5273c1f08ddb2318b6b54a49f364c"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Date" minOccurs="0"/>
                <xsd:element ref="ns2:Comments" minOccurs="0"/>
                <xsd:element ref="ns2:ReviewedbyDirector" minOccurs="0"/>
                <xsd:element ref="ns2:Reviewedby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_Flow_SignoffStatu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Date" ma:index="2" nillable="true" ma:displayName="Date" ma:default="[today]" ma:format="DateTime" ma:internalName="Date" ma:readOnly="false">
      <xsd:simpleType>
        <xsd:restriction base="dms:DateTime"/>
      </xsd:simpleType>
    </xsd:element>
    <xsd:element name="Comments" ma:index="4" nillable="true" ma:displayName="Comments" ma:description="Full chain to 30 Jan on initial legal advice on whether legislative amendment was required&#10;" ma:format="Dropdown" ma:internalName="Comments" ma:readOnly="false">
      <xsd:simpleType>
        <xsd:restriction base="dms:Text">
          <xsd:maxLength value="255"/>
        </xsd:restriction>
      </xsd:simpleType>
    </xsd:element>
    <xsd:element name="ReviewedbyDirector" ma:index="5" nillable="true" ma:displayName="Reviewed by Director" ma:default="1" ma:format="Dropdown" ma:internalName="ReviewedbyDirector" ma:readOnly="false">
      <xsd:simpleType>
        <xsd:restriction base="dms:Boolean"/>
      </xsd:simpleType>
    </xsd:element>
    <xsd:element name="ReviewedbyED" ma:index="6" nillable="true" ma:displayName="Reviewed by ED" ma:default="0" ma:format="Dropdown" ma:internalName="Reviewedby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Image" ma:index="29" nillable="true" ma:displayName="Image" ma:format="Thumbnail" ma:internalName="Imag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readOnly="false"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46da13-490f-4d5a-bbb1-91bf5417941d">
      <Terms xmlns="http://schemas.microsoft.com/office/infopath/2007/PartnerControls"/>
    </lcf76f155ced4ddcb4097134ff3c332f>
    <Image xmlns="2046da13-490f-4d5a-bbb1-91bf5417941d" xsi:nil="true"/>
    <ReviewedbyDirector xmlns="2046da13-490f-4d5a-bbb1-91bf5417941d">true</ReviewedbyDirector>
    <Comments xmlns="2046da13-490f-4d5a-bbb1-91bf5417941d" xsi:nil="true"/>
    <ReviewedbyED xmlns="2046da13-490f-4d5a-bbb1-91bf5417941d">false</ReviewedbyED>
    <_Flow_SignoffStatus xmlns="2046da13-490f-4d5a-bbb1-91bf5417941d" xsi:nil="true"/>
    <Date xmlns="2046da13-490f-4d5a-bbb1-91bf5417941d">2026-05-28T06:32:07+00:00</Dat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BEBAAAA-B444-41D3-A040-5C15F13EE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046da13-490f-4d5a-bbb1-91bf5417941d"/>
  </ds:schemaRefs>
</ds:datastoreItem>
</file>

<file path=docProps/app.xml><?xml version="1.0" encoding="utf-8"?>
<Properties xmlns="http://schemas.openxmlformats.org/officeDocument/2006/extended-properties" xmlns:vt="http://schemas.openxmlformats.org/officeDocument/2006/docPropsVTypes">
  <Template>DFFH%20purple%20report.dotx</Template>
  <TotalTime>7</TotalTime>
  <Pages>1</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Respecting and valuing older people: Victoria’s Primary Prevention of Elder Abuse Framework Handbook</vt:lpstr>
    </vt:vector>
  </TitlesOfParts>
  <Company>Victoria State Government, Department of Families, Fairness and Housing</Company>
  <LinksUpToDate>false</LinksUpToDate>
  <CharactersWithSpaces>18226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Respecting and valuing older people: Victoria’s Primary Prevention of Elder Abuse Framework Handbook</dc:title>
  <dc:subject>Respecting and valuing older people: Victoria’s Primary Prevention of Elder Abuse Framework Handbook - Accessible</dc:subject>
  <dc:creator>Seniors Policy and Elder Abuse Reform</dc:creator>
  <cp:keywords>Respecting and valuing older people; Victoria’s Primary Prevention of Elder Abuse Framework; Handbook; Accessible</cp:keywords>
  <cp:lastModifiedBy>Andrea MacGlashan (DFFH)</cp:lastModifiedBy>
  <cp:revision>4</cp:revision>
  <cp:lastPrinted>2021-01-30T00:27:00Z</cp:lastPrinted>
  <dcterms:created xsi:type="dcterms:W3CDTF">2026-05-29T04:16:00Z</dcterms:created>
  <dcterms:modified xsi:type="dcterms:W3CDTF">2026-06-09T22:36:00Z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2400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https://dhhsvicgovau.sharepoint.com/:w:/s/dffh/EUFx9wiVtCxIpqmWHMxnErYBmFzUz4wEpq_QdLjy8AuQaA</vt:lpwstr>
  </property>
  <property fmtid="{D5CDD505-2E9C-101B-9397-08002B2CF9AE}" pid="20" name="Link">
    <vt:lpwstr>https://dhhsvicgovau.sharepoint.com/:w:/s/dffh/EUFx9wiVtCxIpqmWHMxnErYBmFzUz4wEpq_QdLjy8AuQaA, https://dhhsvicgovau.sharepoint.com/:w:/s/dffh/EUFx9wiVtCxIpqmWHMxnErYBmFzUz4wEpq_QdLjy8AuQaA</vt:lpwstr>
  </property>
  <property fmtid="{D5CDD505-2E9C-101B-9397-08002B2CF9AE}" pid="21" name="xd_Signature">
    <vt:bool>false</vt:bool>
  </property>
  <property fmtid="{D5CDD505-2E9C-101B-9397-08002B2CF9AE}" pid="22" name="GrammarlyDocumentId">
    <vt:lpwstr>d8c86c7a-bff2-4a38-9812-723b11b07c77</vt:lpwstr>
  </property>
  <property fmtid="{D5CDD505-2E9C-101B-9397-08002B2CF9AE}" pid="23" name="MediaServiceImageTags">
    <vt:lpwstr/>
  </property>
  <property fmtid="{D5CDD505-2E9C-101B-9397-08002B2CF9AE}" pid="24" name="ContentTypeId">
    <vt:lpwstr>0x010100E94A5D6811799A43856DF1997E9B00A7</vt:lpwstr>
  </property>
</Properties>
</file>