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AC028" w14:textId="77777777" w:rsidR="0074696E" w:rsidRPr="004C6EEE" w:rsidRDefault="00457807"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3A7C7193" wp14:editId="531DDEA8">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368AAC3A" w14:textId="77777777" w:rsidR="00A62D44" w:rsidRPr="004C6EEE" w:rsidRDefault="00A62D44" w:rsidP="00D1443D">
      <w:pPr>
        <w:pStyle w:val="Sectionbreakfirstpage"/>
        <w:rPr>
          <w:rFonts w:eastAsia="Times"/>
          <w:noProof/>
          <w:sz w:val="12"/>
        </w:rPr>
        <w:sectPr w:rsidR="00A62D44" w:rsidRPr="004C6EEE" w:rsidSect="00F922BE">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822"/>
      </w:tblGrid>
      <w:tr w:rsidR="00AD784C" w14:paraId="2BE8EF7E" w14:textId="77777777" w:rsidTr="00140507">
        <w:trPr>
          <w:trHeight w:val="668"/>
        </w:trPr>
        <w:tc>
          <w:tcPr>
            <w:tcW w:w="8822" w:type="dxa"/>
            <w:shd w:val="clear" w:color="auto" w:fill="auto"/>
            <w:vAlign w:val="bottom"/>
          </w:tcPr>
          <w:p w14:paraId="00FE03EB" w14:textId="77777777" w:rsidR="00AD784C" w:rsidRPr="00DE4E5C" w:rsidRDefault="003057F4" w:rsidP="006D72EA">
            <w:pPr>
              <w:pStyle w:val="DHHSmainheading"/>
              <w:spacing w:line="270" w:lineRule="atLeast"/>
              <w:rPr>
                <w:sz w:val="44"/>
                <w:szCs w:val="44"/>
              </w:rPr>
            </w:pPr>
            <w:r w:rsidRPr="003057F4">
              <w:rPr>
                <w:rFonts w:cs="Arial"/>
                <w:sz w:val="44"/>
                <w:szCs w:val="44"/>
              </w:rPr>
              <w:t>Recreation</w:t>
            </w:r>
            <w:r w:rsidR="00F922BE" w:rsidRPr="00DE4E5C">
              <w:rPr>
                <w:rFonts w:cs="Arial"/>
                <w:sz w:val="44"/>
                <w:szCs w:val="44"/>
              </w:rPr>
              <w:br/>
            </w:r>
            <w:r w:rsidRPr="003057F4">
              <w:rPr>
                <w:rFonts w:cs="Arial"/>
                <w:sz w:val="44"/>
                <w:szCs w:val="44"/>
              </w:rPr>
              <w:t>17035</w:t>
            </w:r>
          </w:p>
        </w:tc>
      </w:tr>
      <w:tr w:rsidR="00AD784C" w14:paraId="003780B6" w14:textId="77777777" w:rsidTr="00140507">
        <w:trPr>
          <w:trHeight w:hRule="exact" w:val="1107"/>
        </w:trPr>
        <w:tc>
          <w:tcPr>
            <w:tcW w:w="8822" w:type="dxa"/>
            <w:shd w:val="clear" w:color="auto" w:fill="auto"/>
            <w:tcMar>
              <w:top w:w="170" w:type="dxa"/>
              <w:bottom w:w="510" w:type="dxa"/>
            </w:tcMar>
          </w:tcPr>
          <w:p w14:paraId="22387331" w14:textId="77777777" w:rsidR="00BC3B7C" w:rsidRDefault="00F922BE" w:rsidP="005E76EA">
            <w:pPr>
              <w:pStyle w:val="DHHSmainsubheading"/>
              <w:rPr>
                <w:szCs w:val="28"/>
              </w:rPr>
            </w:pPr>
            <w:r>
              <w:rPr>
                <w:szCs w:val="28"/>
              </w:rPr>
              <w:t>Outcome objective</w:t>
            </w:r>
            <w:r w:rsidR="00DE4E5C">
              <w:rPr>
                <w:szCs w:val="28"/>
              </w:rPr>
              <w:t>:</w:t>
            </w:r>
            <w:r>
              <w:rPr>
                <w:szCs w:val="28"/>
              </w:rPr>
              <w:t xml:space="preserve"> </w:t>
            </w:r>
            <w:r w:rsidR="00BC3B7C" w:rsidRPr="00BC3B7C">
              <w:rPr>
                <w:szCs w:val="28"/>
              </w:rPr>
              <w:t xml:space="preserve">Victorians have </w:t>
            </w:r>
            <w:r w:rsidR="00976724">
              <w:rPr>
                <w:szCs w:val="28"/>
              </w:rPr>
              <w:t xml:space="preserve">the </w:t>
            </w:r>
            <w:r w:rsidR="00BC3B7C" w:rsidRPr="00BC3B7C">
              <w:rPr>
                <w:szCs w:val="28"/>
              </w:rPr>
              <w:t>capabilities to participate</w:t>
            </w:r>
          </w:p>
          <w:p w14:paraId="6AA7E98A" w14:textId="77777777" w:rsidR="00DE4E5C" w:rsidRDefault="00F922BE" w:rsidP="005E76EA">
            <w:pPr>
              <w:pStyle w:val="DHHSmainsubheading"/>
              <w:rPr>
                <w:szCs w:val="28"/>
              </w:rPr>
            </w:pPr>
            <w:r>
              <w:rPr>
                <w:szCs w:val="28"/>
              </w:rPr>
              <w:t xml:space="preserve">Output group: </w:t>
            </w:r>
            <w:r w:rsidR="00805AA8" w:rsidRPr="00805AA8">
              <w:rPr>
                <w:szCs w:val="28"/>
              </w:rPr>
              <w:t>Disability services</w:t>
            </w:r>
          </w:p>
          <w:p w14:paraId="46B7474F" w14:textId="77777777" w:rsidR="00F922BE" w:rsidRPr="00AD784C" w:rsidRDefault="00F922BE" w:rsidP="00D1443D">
            <w:pPr>
              <w:pStyle w:val="DHHSmainsubheading"/>
              <w:rPr>
                <w:szCs w:val="28"/>
              </w:rPr>
            </w:pPr>
            <w:r>
              <w:rPr>
                <w:szCs w:val="28"/>
              </w:rPr>
              <w:t xml:space="preserve">Output: </w:t>
            </w:r>
            <w:r w:rsidR="007D464B">
              <w:rPr>
                <w:szCs w:val="28"/>
              </w:rPr>
              <w:t>Disability</w:t>
            </w:r>
            <w:r w:rsidR="00805AA8" w:rsidRPr="00805AA8">
              <w:rPr>
                <w:szCs w:val="28"/>
              </w:rPr>
              <w:t xml:space="preserve"> services</w:t>
            </w:r>
          </w:p>
        </w:tc>
      </w:tr>
    </w:tbl>
    <w:p w14:paraId="6C5185E1" w14:textId="77777777" w:rsidR="007173CA" w:rsidRDefault="007173CA" w:rsidP="006C7A1F">
      <w:pPr>
        <w:pStyle w:val="DHHSbody"/>
        <w:spacing w:beforeLines="40" w:before="96"/>
        <w:sectPr w:rsidR="007173CA" w:rsidSect="00F922BE">
          <w:headerReference w:type="default" r:id="rId18"/>
          <w:footerReference w:type="default" r:id="rId19"/>
          <w:type w:val="continuous"/>
          <w:pgSz w:w="11906" w:h="16838" w:code="9"/>
          <w:pgMar w:top="993" w:right="851" w:bottom="1134" w:left="851" w:header="567" w:footer="510" w:gutter="0"/>
          <w:cols w:space="340"/>
          <w:titlePg/>
          <w:docGrid w:linePitch="360"/>
        </w:sectPr>
      </w:pPr>
      <w:bookmarkStart w:id="1" w:name="_Toc440566508"/>
    </w:p>
    <w:bookmarkEnd w:id="1"/>
    <w:p w14:paraId="0E89F8B0" w14:textId="77777777" w:rsidR="00A62D44" w:rsidRDefault="00B70F76" w:rsidP="00740DAD">
      <w:pPr>
        <w:pStyle w:val="Heading1"/>
      </w:pPr>
      <w:r w:rsidRPr="00B70F76">
        <w:t>1.</w:t>
      </w:r>
      <w:r>
        <w:t xml:space="preserve"> </w:t>
      </w:r>
      <w:r w:rsidR="00DF6BAF">
        <w:t xml:space="preserve">Service Objective </w:t>
      </w:r>
    </w:p>
    <w:p w14:paraId="5E1621AC" w14:textId="77777777" w:rsidR="00805AA8" w:rsidRDefault="00805AA8" w:rsidP="00BC3B7C">
      <w:pPr>
        <w:pStyle w:val="DHHSbody"/>
        <w:rPr>
          <w:b/>
          <w:bCs/>
        </w:rPr>
      </w:pPr>
      <w:bookmarkStart w:id="2" w:name="_Toc256778633"/>
      <w:r w:rsidRPr="00805AA8">
        <w:t>Recreation aims to support people with a disability to access a variety of recreation and leisure activities through the provision of direct support and by building the capacity of mainstream sport and recreation organisations, and community organisations to respond to the needs and aspirations of people with a disability</w:t>
      </w:r>
      <w:r w:rsidR="001943DF">
        <w:t xml:space="preserve">. </w:t>
      </w:r>
    </w:p>
    <w:p w14:paraId="1216A3FF" w14:textId="77777777" w:rsidR="00DF6BAF" w:rsidRDefault="00DE4E5C" w:rsidP="00740DAD">
      <w:pPr>
        <w:pStyle w:val="Heading1"/>
      </w:pPr>
      <w:r>
        <w:t>2</w:t>
      </w:r>
      <w:r w:rsidR="00B70F76" w:rsidRPr="00B70F76">
        <w:t xml:space="preserve">. </w:t>
      </w:r>
      <w:r w:rsidR="00DF6BAF">
        <w:t>Description of the service</w:t>
      </w:r>
    </w:p>
    <w:p w14:paraId="099E1F51" w14:textId="77777777" w:rsidR="00976724" w:rsidRDefault="00976724" w:rsidP="00976724">
      <w:pPr>
        <w:pStyle w:val="DHHSbody"/>
      </w:pPr>
      <w:bookmarkStart w:id="3" w:name="_Hlk1637486"/>
      <w:r>
        <w:t>Funding for this activity is being withdrawn progressively as clients transition to the National Disability Insurance Scheme (NDIS).</w:t>
      </w:r>
    </w:p>
    <w:bookmarkEnd w:id="3"/>
    <w:p w14:paraId="12242A50" w14:textId="77777777" w:rsidR="00805AA8" w:rsidRDefault="00805AA8" w:rsidP="00FA5851">
      <w:pPr>
        <w:pStyle w:val="DHHSbody"/>
        <w:rPr>
          <w:b/>
          <w:bCs/>
        </w:rPr>
      </w:pPr>
      <w:r w:rsidRPr="00805AA8">
        <w:t xml:space="preserve">Recreation services support the development of leisure and recreational opportunities for people with a disability. These opportunities range from inclusive sport and recreation options to specialist recreation programs for people with a disability. </w:t>
      </w:r>
    </w:p>
    <w:p w14:paraId="10780845" w14:textId="77777777" w:rsidR="00B70F76" w:rsidRPr="00B70F76" w:rsidRDefault="00DF6BAF" w:rsidP="00740DAD">
      <w:pPr>
        <w:pStyle w:val="Heading1"/>
      </w:pPr>
      <w:r>
        <w:t xml:space="preserve">3. </w:t>
      </w:r>
      <w:r w:rsidR="00B70F76" w:rsidRPr="00B70F76">
        <w:t>Client group</w:t>
      </w:r>
    </w:p>
    <w:p w14:paraId="67E2044C" w14:textId="77777777" w:rsidR="00805AA8" w:rsidRPr="00BC3B7C" w:rsidRDefault="00B70F76" w:rsidP="00BC3B7C">
      <w:pPr>
        <w:pStyle w:val="DHHSbody"/>
        <w:rPr>
          <w:rStyle w:val="DHHSbodyChar"/>
        </w:rPr>
      </w:pPr>
      <w:r w:rsidRPr="00BC3B7C">
        <w:t xml:space="preserve">The client group this </w:t>
      </w:r>
      <w:r w:rsidR="00EC4117" w:rsidRPr="00BC3B7C">
        <w:t xml:space="preserve">activity </w:t>
      </w:r>
      <w:r w:rsidR="00805AA8" w:rsidRPr="00BC3B7C">
        <w:t xml:space="preserve">is targeted at </w:t>
      </w:r>
      <w:r w:rsidR="00805AA8" w:rsidRPr="00BC3B7C">
        <w:rPr>
          <w:rStyle w:val="DHHSbodyChar"/>
        </w:rPr>
        <w:t xml:space="preserve">people aged 16 and over with a disability as defined by the Disability Act 2006. </w:t>
      </w:r>
    </w:p>
    <w:p w14:paraId="64CBD184" w14:textId="77777777" w:rsidR="00805AA8" w:rsidRPr="00BC3B7C" w:rsidRDefault="00805AA8" w:rsidP="00BC3B7C">
      <w:pPr>
        <w:pStyle w:val="DHHSbody"/>
        <w:rPr>
          <w:rStyle w:val="DHHSbodyChar"/>
        </w:rPr>
      </w:pPr>
      <w:r w:rsidRPr="00BC3B7C">
        <w:rPr>
          <w:rStyle w:val="DHHSbodyChar"/>
        </w:rPr>
        <w:t>Priority access for direct support/service provision will be given to people within the target group, who have the least ability to access services independently, due to such factors as:</w:t>
      </w:r>
    </w:p>
    <w:p w14:paraId="7A31A318" w14:textId="77777777" w:rsidR="00805AA8" w:rsidRPr="00740DAD" w:rsidRDefault="00805AA8" w:rsidP="00740DAD">
      <w:pPr>
        <w:pStyle w:val="DHHSbullet1"/>
      </w:pPr>
      <w:r w:rsidRPr="00740DAD">
        <w:t>having severe or multiple disabilities</w:t>
      </w:r>
    </w:p>
    <w:p w14:paraId="5D4AD05F" w14:textId="77777777" w:rsidR="00805AA8" w:rsidRPr="00740DAD" w:rsidRDefault="00805AA8" w:rsidP="00740DAD">
      <w:pPr>
        <w:pStyle w:val="DHHSbullet1"/>
      </w:pPr>
      <w:r w:rsidRPr="00740DAD">
        <w:t>geographic or social isolation</w:t>
      </w:r>
    </w:p>
    <w:p w14:paraId="1A28A1B5" w14:textId="77777777" w:rsidR="00805AA8" w:rsidRPr="00740DAD" w:rsidRDefault="00805AA8" w:rsidP="00740DAD">
      <w:pPr>
        <w:pStyle w:val="DHHSbullet1lastline"/>
      </w:pPr>
      <w:r w:rsidRPr="00740DAD">
        <w:t>lack of personal support networks.</w:t>
      </w:r>
    </w:p>
    <w:p w14:paraId="23D06463" w14:textId="77777777" w:rsidR="00805AA8" w:rsidRPr="00BC3B7C" w:rsidRDefault="00805AA8" w:rsidP="00BC3B7C">
      <w:pPr>
        <w:pStyle w:val="DHHSbody"/>
        <w:rPr>
          <w:rStyle w:val="DHHSbodyChar"/>
        </w:rPr>
      </w:pPr>
      <w:r w:rsidRPr="00BC3B7C">
        <w:rPr>
          <w:rStyle w:val="DHHSbodyChar"/>
        </w:rPr>
        <w:t>Within this group, priority will be given to those:</w:t>
      </w:r>
    </w:p>
    <w:p w14:paraId="0CA7F652" w14:textId="77777777" w:rsidR="00805AA8" w:rsidRPr="00740DAD" w:rsidRDefault="00805AA8" w:rsidP="00740DAD">
      <w:pPr>
        <w:pStyle w:val="DHHSbullet1"/>
      </w:pPr>
      <w:r w:rsidRPr="00740DAD">
        <w:t>who are not currently employed or do not participate in any full-time or part-time training or attend a day service</w:t>
      </w:r>
    </w:p>
    <w:p w14:paraId="22A15ECA" w14:textId="77777777" w:rsidR="00B70F76" w:rsidRPr="00740DAD" w:rsidRDefault="00805AA8" w:rsidP="00740DAD">
      <w:pPr>
        <w:pStyle w:val="DHHSbullet1"/>
      </w:pPr>
      <w:r w:rsidRPr="00740DAD">
        <w:t>whose support arrangements are in jeopardy.</w:t>
      </w:r>
    </w:p>
    <w:p w14:paraId="23BE2B4C" w14:textId="77777777" w:rsidR="002D1AA5" w:rsidRDefault="00DF6BAF" w:rsidP="00740DAD">
      <w:pPr>
        <w:pStyle w:val="Heading1"/>
      </w:pPr>
      <w:r>
        <w:t>4</w:t>
      </w:r>
      <w:r w:rsidR="00B70F76">
        <w:t xml:space="preserve">. Obligations specific to this </w:t>
      </w:r>
      <w:r w:rsidR="00EC4117">
        <w:t>activity</w:t>
      </w:r>
    </w:p>
    <w:p w14:paraId="518FDA20" w14:textId="77777777" w:rsidR="00E3111D" w:rsidRDefault="00DF6BAF" w:rsidP="00E3111D">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w:t>
      </w:r>
      <w:r w:rsidR="00E3111D">
        <w:t>mply</w:t>
      </w:r>
      <w:r w:rsidR="00E3111D" w:rsidRPr="00E3111D">
        <w:t xml:space="preserve"> with the following:</w:t>
      </w:r>
    </w:p>
    <w:p w14:paraId="16AFDD76" w14:textId="77777777" w:rsidR="00E3111D" w:rsidRPr="001F3DE2" w:rsidRDefault="00E3111D" w:rsidP="00740DAD">
      <w:pPr>
        <w:pStyle w:val="Heading2"/>
      </w:pPr>
      <w:r w:rsidRPr="001F3DE2">
        <w:t xml:space="preserve">4a.  Registration and Accreditation </w:t>
      </w:r>
    </w:p>
    <w:p w14:paraId="73CFB78E" w14:textId="77777777" w:rsidR="00E3111D" w:rsidRPr="00740DAD" w:rsidRDefault="00E3111D" w:rsidP="00740DAD">
      <w:pPr>
        <w:pStyle w:val="DHHSbullet1"/>
      </w:pPr>
      <w:r w:rsidRPr="00740DAD">
        <w:t>Independent review and accreditation against the department’s Human Services Standards, unless exempted</w:t>
      </w:r>
      <w:r w:rsidR="003014B3" w:rsidRPr="00740DAD">
        <w:t>.</w:t>
      </w:r>
    </w:p>
    <w:p w14:paraId="5ADF7938" w14:textId="77777777" w:rsidR="00E3111D" w:rsidRPr="00740DAD" w:rsidRDefault="00E3111D" w:rsidP="00740DAD">
      <w:pPr>
        <w:pStyle w:val="DHHSbullet1"/>
      </w:pPr>
      <w:r w:rsidRPr="00740DAD">
        <w:t>Registration under the Disability Act 2006</w:t>
      </w:r>
      <w:r w:rsidR="003014B3" w:rsidRPr="00740DAD">
        <w:t>.</w:t>
      </w:r>
    </w:p>
    <w:p w14:paraId="4A3A453E" w14:textId="77777777" w:rsidR="00E3111D" w:rsidRPr="001F3DE2" w:rsidRDefault="00E3111D" w:rsidP="00740DAD">
      <w:pPr>
        <w:pStyle w:val="Heading2"/>
      </w:pPr>
      <w:r w:rsidRPr="008E27D4">
        <w:rPr>
          <w:rStyle w:val="DHHSbodyChar"/>
          <w:color w:val="7030A0"/>
        </w:rPr>
        <w:lastRenderedPageBreak/>
        <w:t xml:space="preserve"> </w:t>
      </w:r>
      <w:r w:rsidRPr="001F3DE2">
        <w:t xml:space="preserve">4b. Program requirements and other policy guidelines </w:t>
      </w:r>
    </w:p>
    <w:bookmarkStart w:id="4" w:name="_Toc421023841"/>
    <w:bookmarkStart w:id="5" w:name="_Toc475953722"/>
    <w:bookmarkStart w:id="6" w:name="_Toc477437702"/>
    <w:bookmarkStart w:id="7" w:name="_Toc529373787"/>
    <w:p w14:paraId="387F3B95" w14:textId="77777777" w:rsidR="00740DAD" w:rsidRPr="002228CE" w:rsidRDefault="00740DAD" w:rsidP="00740DAD">
      <w:pPr>
        <w:pStyle w:val="DHHSbullet1"/>
        <w:rPr>
          <w:b/>
          <w:bCs/>
        </w:rPr>
      </w:pPr>
      <w:r>
        <w:rPr>
          <w:rStyle w:val="Hyperlink"/>
        </w:rPr>
        <w:fldChar w:fldCharType="begin"/>
      </w:r>
      <w:r>
        <w:rPr>
          <w:rStyle w:val="Hyperlink"/>
        </w:rPr>
        <w:instrText xml:space="preserve"> HYPERLINK "https://dhhs.vic.gov.au/publications/authorised-program-officer-practice-advice" </w:instrText>
      </w:r>
      <w:r>
        <w:rPr>
          <w:rStyle w:val="Hyperlink"/>
        </w:rPr>
        <w:fldChar w:fldCharType="separate"/>
      </w:r>
      <w:r w:rsidRPr="00BD5A53">
        <w:rPr>
          <w:rStyle w:val="Hyperlink"/>
        </w:rPr>
        <w:t>Senior Practitioner – Authorised Program Officer practice advice</w:t>
      </w:r>
      <w:r>
        <w:rPr>
          <w:rStyle w:val="Hyperlink"/>
        </w:rPr>
        <w:fldChar w:fldCharType="end"/>
      </w:r>
      <w:r>
        <w:t xml:space="preserve"> </w:t>
      </w:r>
      <w:r w:rsidRPr="00BD5A53">
        <w:rPr>
          <w:rStyle w:val="DHHSbodyChar"/>
        </w:rPr>
        <w:t>&lt;https://dhhs.vic.gov.au/publications/authorised-program-officer-practice-advice&gt;</w:t>
      </w:r>
    </w:p>
    <w:p w14:paraId="041D97BA" w14:textId="77777777" w:rsidR="00740DAD" w:rsidRDefault="00DC5C78" w:rsidP="00740DAD">
      <w:pPr>
        <w:pStyle w:val="DHHSbullet1"/>
      </w:pPr>
      <w:hyperlink r:id="rId20" w:history="1">
        <w:r w:rsidR="00740DAD" w:rsidRPr="00BD5A53">
          <w:rPr>
            <w:rStyle w:val="Hyperlink"/>
          </w:rPr>
          <w:t>Senior Practitioner – Independent Person toolkit</w:t>
        </w:r>
      </w:hyperlink>
      <w:r w:rsidR="00740DAD">
        <w:t xml:space="preserve"> </w:t>
      </w:r>
    </w:p>
    <w:p w14:paraId="7E5270D1" w14:textId="77777777" w:rsidR="00740DAD" w:rsidRPr="002F6763" w:rsidRDefault="00740DAD" w:rsidP="00740DAD">
      <w:pPr>
        <w:pStyle w:val="DHHSbullet1"/>
        <w:numPr>
          <w:ilvl w:val="0"/>
          <w:numId w:val="0"/>
        </w:numPr>
        <w:ind w:left="284"/>
      </w:pPr>
      <w:r w:rsidRPr="002F6763">
        <w:rPr>
          <w:rStyle w:val="Hyperlink"/>
          <w:color w:val="auto"/>
          <w:u w:val="none"/>
        </w:rPr>
        <w:t>&lt;https://dhhs.vic.gov.au/senior-practitioner-disability-independent-person-toolkit&gt;</w:t>
      </w:r>
    </w:p>
    <w:p w14:paraId="3BBEEF3F" w14:textId="77777777" w:rsidR="00740DAD" w:rsidRPr="002F6763" w:rsidRDefault="00DC5C78" w:rsidP="00740DAD">
      <w:pPr>
        <w:pStyle w:val="DHHSbullet1"/>
        <w:rPr>
          <w:b/>
          <w:bCs/>
        </w:rPr>
      </w:pPr>
      <w:hyperlink r:id="rId21" w:history="1">
        <w:r w:rsidR="00740DAD" w:rsidRPr="002F6763">
          <w:rPr>
            <w:rStyle w:val="Hyperlink"/>
          </w:rPr>
          <w:t>Senior Practitioner – Behaviour support planning toolkit</w:t>
        </w:r>
      </w:hyperlink>
    </w:p>
    <w:p w14:paraId="26ED1E54" w14:textId="77777777" w:rsidR="00740DAD" w:rsidRPr="00D54024" w:rsidRDefault="00740DAD" w:rsidP="00740DAD">
      <w:pPr>
        <w:pStyle w:val="DHHSbullet1"/>
        <w:numPr>
          <w:ilvl w:val="0"/>
          <w:numId w:val="0"/>
        </w:numPr>
        <w:ind w:left="284"/>
        <w:rPr>
          <w:b/>
          <w:bCs/>
        </w:rPr>
      </w:pPr>
      <w:r>
        <w:t>&lt;</w:t>
      </w:r>
      <w:r w:rsidRPr="002F6763">
        <w:t>https://providers.dhhs.vic.gov.au/behaviour-support-planning-toolkit-section-4-useful-assessment-tools-and-forms-word</w:t>
      </w:r>
      <w:r>
        <w:t>&gt;</w:t>
      </w:r>
    </w:p>
    <w:p w14:paraId="71B13934" w14:textId="77777777" w:rsidR="00575BC9" w:rsidRPr="00575BC9" w:rsidRDefault="00DF6BAF" w:rsidP="00740DAD">
      <w:pPr>
        <w:pStyle w:val="Heading1"/>
      </w:pPr>
      <w:r>
        <w:t>5</w:t>
      </w:r>
      <w:r w:rsidR="00575BC9">
        <w:t xml:space="preserve">. </w:t>
      </w:r>
      <w:bookmarkEnd w:id="4"/>
      <w:bookmarkEnd w:id="5"/>
      <w:bookmarkEnd w:id="6"/>
      <w:bookmarkEnd w:id="7"/>
      <w:r w:rsidR="0017293C">
        <w:t>Performance</w:t>
      </w:r>
    </w:p>
    <w:p w14:paraId="36EC850A" w14:textId="77777777" w:rsidR="00575BC9" w:rsidRPr="001F1A17" w:rsidRDefault="00E05E8D" w:rsidP="00740DAD">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2AB8A1EE" w14:textId="77777777" w:rsidR="00575BC9" w:rsidRPr="00740DAD" w:rsidRDefault="00E05E8D" w:rsidP="00740DAD">
      <w:pPr>
        <w:pStyle w:val="Heading2"/>
      </w:pPr>
      <w:r w:rsidRPr="00740DAD">
        <w:t>Key performance measure</w:t>
      </w:r>
      <w:r w:rsidR="00575BC9" w:rsidRPr="00740DAD">
        <w:t xml:space="preserve">: </w:t>
      </w:r>
      <w:r w:rsidR="00805AA8" w:rsidRPr="00740DAD">
        <w:rPr>
          <w:rFonts w:eastAsia="Times"/>
        </w:rPr>
        <w:t>Number of 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8690F" w:rsidRPr="00C237A0" w14:paraId="26B660DA" w14:textId="77777777" w:rsidTr="00740DAD">
        <w:trPr>
          <w:cantSplit/>
          <w:trHeight w:hRule="exact" w:val="690"/>
        </w:trPr>
        <w:tc>
          <w:tcPr>
            <w:tcW w:w="2835" w:type="dxa"/>
          </w:tcPr>
          <w:p w14:paraId="08290460" w14:textId="77777777" w:rsidR="00B8690F" w:rsidRPr="0017293C" w:rsidRDefault="00B8690F" w:rsidP="0017293C">
            <w:pPr>
              <w:pStyle w:val="DHHStablecolhead"/>
            </w:pPr>
            <w:r w:rsidRPr="00575BC9">
              <w:t>Aim/objective</w:t>
            </w:r>
          </w:p>
        </w:tc>
        <w:tc>
          <w:tcPr>
            <w:tcW w:w="7379" w:type="dxa"/>
          </w:tcPr>
          <w:p w14:paraId="28999358" w14:textId="77777777" w:rsidR="00B8690F" w:rsidRPr="002F7C4B" w:rsidRDefault="00805AA8" w:rsidP="00BC3B7C">
            <w:pPr>
              <w:pStyle w:val="DHHStabletext"/>
            </w:pPr>
            <w:r w:rsidRPr="00805AA8">
              <w:t>To monitor the number of clients who accessed recreation services during the reporting period.</w:t>
            </w:r>
          </w:p>
        </w:tc>
      </w:tr>
      <w:tr w:rsidR="00B8690F" w:rsidRPr="00C237A0" w14:paraId="0FFD6C75" w14:textId="77777777" w:rsidTr="00740DAD">
        <w:trPr>
          <w:cantSplit/>
          <w:trHeight w:hRule="exact" w:val="340"/>
        </w:trPr>
        <w:tc>
          <w:tcPr>
            <w:tcW w:w="2835" w:type="dxa"/>
          </w:tcPr>
          <w:p w14:paraId="3DAE426B" w14:textId="77777777" w:rsidR="00B8690F" w:rsidRPr="0017293C" w:rsidRDefault="00B8690F" w:rsidP="0017293C">
            <w:pPr>
              <w:pStyle w:val="DHHStablecolhead"/>
            </w:pPr>
            <w:r w:rsidRPr="00575BC9">
              <w:t>Target</w:t>
            </w:r>
          </w:p>
        </w:tc>
        <w:tc>
          <w:tcPr>
            <w:tcW w:w="7379" w:type="dxa"/>
          </w:tcPr>
          <w:p w14:paraId="6136D7B0" w14:textId="77777777" w:rsidR="00B8690F" w:rsidRPr="002F7C4B" w:rsidRDefault="00B8690F" w:rsidP="00BC3B7C">
            <w:pPr>
              <w:pStyle w:val="DHHStabletext"/>
            </w:pPr>
            <w:r>
              <w:t>The performance measure target is provided in the Service Agreement.</w:t>
            </w:r>
          </w:p>
        </w:tc>
      </w:tr>
      <w:tr w:rsidR="00B8690F" w:rsidRPr="00C237A0" w14:paraId="56935B8F" w14:textId="77777777" w:rsidTr="00740DAD">
        <w:trPr>
          <w:cantSplit/>
          <w:trHeight w:hRule="exact" w:val="340"/>
        </w:trPr>
        <w:tc>
          <w:tcPr>
            <w:tcW w:w="2835" w:type="dxa"/>
          </w:tcPr>
          <w:p w14:paraId="08367F1A" w14:textId="77777777" w:rsidR="00B8690F" w:rsidRPr="0017293C" w:rsidRDefault="00B8690F" w:rsidP="0017293C">
            <w:pPr>
              <w:pStyle w:val="DHHStablecolhead"/>
            </w:pPr>
            <w:r w:rsidRPr="00575BC9">
              <w:t>Type of count</w:t>
            </w:r>
          </w:p>
        </w:tc>
        <w:tc>
          <w:tcPr>
            <w:tcW w:w="7379" w:type="dxa"/>
          </w:tcPr>
          <w:p w14:paraId="2DB6BD92" w14:textId="41393901" w:rsidR="00B8690F" w:rsidRPr="00C237A0" w:rsidRDefault="00B8690F" w:rsidP="00BC3B7C">
            <w:pPr>
              <w:pStyle w:val="DHHStabletext"/>
            </w:pPr>
            <w:r>
              <w:t xml:space="preserve">Cumulative          </w:t>
            </w:r>
          </w:p>
        </w:tc>
      </w:tr>
      <w:tr w:rsidR="00B8690F" w:rsidRPr="00C237A0" w14:paraId="40C0BE2C" w14:textId="77777777" w:rsidTr="00740DAD">
        <w:trPr>
          <w:cantSplit/>
          <w:trHeight w:hRule="exact" w:val="1229"/>
        </w:trPr>
        <w:tc>
          <w:tcPr>
            <w:tcW w:w="2835" w:type="dxa"/>
          </w:tcPr>
          <w:p w14:paraId="6E2C6EC3" w14:textId="77777777" w:rsidR="00B8690F" w:rsidRPr="0017293C" w:rsidRDefault="00B8690F" w:rsidP="0017293C">
            <w:pPr>
              <w:pStyle w:val="DHHStablecolhead"/>
            </w:pPr>
            <w:r w:rsidRPr="00575BC9">
              <w:t>Counting rule</w:t>
            </w:r>
          </w:p>
        </w:tc>
        <w:tc>
          <w:tcPr>
            <w:tcW w:w="7379" w:type="dxa"/>
          </w:tcPr>
          <w:p w14:paraId="39A22BAC" w14:textId="77777777" w:rsidR="00805AA8" w:rsidRPr="00805AA8" w:rsidRDefault="00805AA8" w:rsidP="00BC3B7C">
            <w:pPr>
              <w:pStyle w:val="DHHStabletext"/>
            </w:pPr>
            <w:r w:rsidRPr="00805AA8">
              <w:t xml:space="preserve">Count the number of clients who accessed recreation services during the reporting period. </w:t>
            </w:r>
          </w:p>
          <w:p w14:paraId="1D7230A4" w14:textId="77777777" w:rsidR="00B8690F" w:rsidRPr="00C237A0" w:rsidRDefault="00805AA8" w:rsidP="00BC3B7C">
            <w:pPr>
              <w:pStyle w:val="DHHStabletext"/>
            </w:pPr>
            <w:r w:rsidRPr="00805AA8">
              <w:t>Count a client only once, regardless of the different support types a client accessed during the reporting period.</w:t>
            </w:r>
          </w:p>
        </w:tc>
      </w:tr>
      <w:tr w:rsidR="00B8690F" w:rsidRPr="00C237A0" w14:paraId="6ACF8222" w14:textId="77777777" w:rsidTr="00740DAD">
        <w:trPr>
          <w:cantSplit/>
          <w:trHeight w:hRule="exact" w:val="340"/>
        </w:trPr>
        <w:tc>
          <w:tcPr>
            <w:tcW w:w="2835" w:type="dxa"/>
          </w:tcPr>
          <w:p w14:paraId="3D4C7979" w14:textId="77777777" w:rsidR="00B8690F" w:rsidRPr="0017293C" w:rsidRDefault="00B8690F" w:rsidP="0017293C">
            <w:pPr>
              <w:pStyle w:val="DHHStablecolhead"/>
            </w:pPr>
            <w:r w:rsidRPr="00575BC9">
              <w:t>Data source(s) collection</w:t>
            </w:r>
          </w:p>
        </w:tc>
        <w:tc>
          <w:tcPr>
            <w:tcW w:w="7379" w:type="dxa"/>
          </w:tcPr>
          <w:p w14:paraId="39DCE87B" w14:textId="77777777" w:rsidR="00B8690F" w:rsidRPr="002F7C4B" w:rsidRDefault="00805AA8" w:rsidP="00BC3B7C">
            <w:pPr>
              <w:pStyle w:val="DHHStabletext"/>
            </w:pPr>
            <w:r w:rsidRPr="00805AA8">
              <w:t>Quarterly data collection</w:t>
            </w:r>
          </w:p>
        </w:tc>
      </w:tr>
      <w:tr w:rsidR="00B8690F" w:rsidRPr="00C237A0" w14:paraId="025F5708" w14:textId="77777777" w:rsidTr="00740DAD">
        <w:trPr>
          <w:cantSplit/>
          <w:trHeight w:hRule="exact" w:val="643"/>
        </w:trPr>
        <w:tc>
          <w:tcPr>
            <w:tcW w:w="2835" w:type="dxa"/>
          </w:tcPr>
          <w:p w14:paraId="35C04F2F" w14:textId="77777777" w:rsidR="00B8690F" w:rsidRPr="0017293C" w:rsidRDefault="00B8690F" w:rsidP="0017293C">
            <w:pPr>
              <w:pStyle w:val="DHHStablecolhead"/>
            </w:pPr>
            <w:r w:rsidRPr="00575BC9">
              <w:t>Definition of terms</w:t>
            </w:r>
          </w:p>
        </w:tc>
        <w:tc>
          <w:tcPr>
            <w:tcW w:w="7379" w:type="dxa"/>
          </w:tcPr>
          <w:p w14:paraId="2DAA893B" w14:textId="77777777" w:rsidR="00B8690F" w:rsidRPr="002F7C4B" w:rsidRDefault="00805AA8" w:rsidP="00BC3B7C">
            <w:pPr>
              <w:pStyle w:val="DHHStabletext"/>
            </w:pPr>
            <w:r w:rsidRPr="00805AA8">
              <w:t>A client refers to a person accessing recreation services during the reporting period.</w:t>
            </w:r>
          </w:p>
        </w:tc>
      </w:tr>
    </w:tbl>
    <w:p w14:paraId="1E9A8308" w14:textId="77777777" w:rsidR="00575BC9" w:rsidRPr="00575BC9" w:rsidRDefault="00DF6BAF" w:rsidP="00740DAD">
      <w:pPr>
        <w:pStyle w:val="Heading1"/>
      </w:pPr>
      <w:r>
        <w:t>6</w:t>
      </w:r>
      <w:r w:rsidR="00575BC9">
        <w:t>. Data collection</w:t>
      </w:r>
    </w:p>
    <w:p w14:paraId="28A19B6F" w14:textId="77777777" w:rsidR="00575BC9" w:rsidRDefault="00A11FC5" w:rsidP="00740DAD">
      <w:pPr>
        <w:pStyle w:val="DHHSbody"/>
      </w:pPr>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089E1480" w14:textId="77777777" w:rsidTr="006C7A1F">
        <w:trPr>
          <w:trHeight w:hRule="exact" w:val="340"/>
          <w:tblHeader/>
        </w:trPr>
        <w:tc>
          <w:tcPr>
            <w:tcW w:w="2580" w:type="dxa"/>
            <w:vAlign w:val="center"/>
          </w:tcPr>
          <w:p w14:paraId="5AD4AD6A" w14:textId="77777777" w:rsidR="00575BC9" w:rsidRPr="00575BC9" w:rsidRDefault="00575BC9" w:rsidP="0017293C">
            <w:pPr>
              <w:pStyle w:val="DHHStablecolhead"/>
              <w:spacing w:before="0" w:after="0"/>
            </w:pPr>
            <w:r w:rsidRPr="00575BC9">
              <w:t>Data collection name</w:t>
            </w:r>
          </w:p>
        </w:tc>
        <w:tc>
          <w:tcPr>
            <w:tcW w:w="2580" w:type="dxa"/>
            <w:vAlign w:val="center"/>
          </w:tcPr>
          <w:p w14:paraId="2C0DAF46" w14:textId="77777777" w:rsidR="00575BC9" w:rsidRPr="00575BC9" w:rsidRDefault="00575BC9" w:rsidP="0017293C">
            <w:pPr>
              <w:pStyle w:val="DHHStablecolhead"/>
              <w:spacing w:before="0" w:after="0"/>
            </w:pPr>
            <w:r w:rsidRPr="00575BC9">
              <w:t xml:space="preserve">Data system </w:t>
            </w:r>
          </w:p>
        </w:tc>
        <w:tc>
          <w:tcPr>
            <w:tcW w:w="2580" w:type="dxa"/>
            <w:vAlign w:val="center"/>
          </w:tcPr>
          <w:p w14:paraId="2409DC42" w14:textId="77777777" w:rsidR="00575BC9" w:rsidRPr="00575BC9" w:rsidRDefault="00575BC9" w:rsidP="0017293C">
            <w:pPr>
              <w:pStyle w:val="DHHStablecolhead"/>
              <w:spacing w:before="0" w:after="0"/>
            </w:pPr>
            <w:r w:rsidRPr="00575BC9">
              <w:t xml:space="preserve">Data set </w:t>
            </w:r>
          </w:p>
        </w:tc>
        <w:tc>
          <w:tcPr>
            <w:tcW w:w="2508" w:type="dxa"/>
            <w:vAlign w:val="center"/>
          </w:tcPr>
          <w:p w14:paraId="2953A2ED" w14:textId="77777777" w:rsidR="00575BC9" w:rsidRPr="00575BC9" w:rsidRDefault="00575BC9" w:rsidP="0017293C">
            <w:pPr>
              <w:pStyle w:val="DHHStablecolhead"/>
              <w:spacing w:before="0" w:after="0"/>
            </w:pPr>
            <w:r w:rsidRPr="00575BC9">
              <w:t>Reporting cycle</w:t>
            </w:r>
          </w:p>
        </w:tc>
      </w:tr>
      <w:tr w:rsidR="00805AA8" w:rsidRPr="00C237A0" w14:paraId="39185F72" w14:textId="77777777" w:rsidTr="003D5681">
        <w:trPr>
          <w:trHeight w:val="737"/>
        </w:trPr>
        <w:tc>
          <w:tcPr>
            <w:tcW w:w="2580" w:type="dxa"/>
            <w:vAlign w:val="center"/>
          </w:tcPr>
          <w:p w14:paraId="33852108" w14:textId="77777777" w:rsidR="00805AA8" w:rsidRDefault="00805AA8" w:rsidP="003D5681">
            <w:pPr>
              <w:pStyle w:val="DHHStabletext"/>
              <w:rPr>
                <w:rFonts w:cs="Arial"/>
              </w:rPr>
            </w:pPr>
            <w:r>
              <w:t>Quarterly data collection</w:t>
            </w:r>
            <w:r>
              <w:rPr>
                <w:rFonts w:cs="Arial"/>
              </w:rPr>
              <w:t xml:space="preserve"> –disability</w:t>
            </w:r>
          </w:p>
        </w:tc>
        <w:tc>
          <w:tcPr>
            <w:tcW w:w="2580" w:type="dxa"/>
            <w:vAlign w:val="center"/>
          </w:tcPr>
          <w:p w14:paraId="15510208" w14:textId="77777777" w:rsidR="00805AA8" w:rsidRDefault="00805AA8" w:rsidP="003D5681">
            <w:pPr>
              <w:pStyle w:val="DHHStabletext"/>
              <w:rPr>
                <w:rFonts w:cs="Arial"/>
              </w:rPr>
            </w:pPr>
            <w:r>
              <w:t>Quarterly data collection</w:t>
            </w:r>
            <w:r>
              <w:rPr>
                <w:rFonts w:cs="Arial"/>
              </w:rPr>
              <w:t xml:space="preserve"> – tool</w:t>
            </w:r>
          </w:p>
        </w:tc>
        <w:tc>
          <w:tcPr>
            <w:tcW w:w="2580" w:type="dxa"/>
            <w:vAlign w:val="center"/>
          </w:tcPr>
          <w:p w14:paraId="5FC7A361" w14:textId="77777777" w:rsidR="00805AA8" w:rsidRPr="00D9374E" w:rsidRDefault="00805AA8" w:rsidP="003D5681">
            <w:pPr>
              <w:pStyle w:val="DHHStabletext"/>
              <w:rPr>
                <w:rFonts w:cs="Arial"/>
                <w:bCs/>
              </w:rPr>
            </w:pPr>
            <w:r>
              <w:t xml:space="preserve">Quarterly data collection </w:t>
            </w:r>
            <w:r>
              <w:rPr>
                <w:rFonts w:cs="Arial"/>
                <w:bCs/>
              </w:rPr>
              <w:t>–</w:t>
            </w:r>
            <w:r w:rsidRPr="00D9374E">
              <w:rPr>
                <w:rFonts w:cs="Arial"/>
                <w:bCs/>
              </w:rPr>
              <w:t xml:space="preserve"> minimum data set</w:t>
            </w:r>
          </w:p>
        </w:tc>
        <w:tc>
          <w:tcPr>
            <w:tcW w:w="2508" w:type="dxa"/>
            <w:vAlign w:val="center"/>
          </w:tcPr>
          <w:p w14:paraId="08D39C1B" w14:textId="77777777" w:rsidR="00805AA8" w:rsidRPr="00D11674" w:rsidRDefault="00805AA8" w:rsidP="003D5681">
            <w:pPr>
              <w:pStyle w:val="DHHStabletext"/>
              <w:rPr>
                <w:rFonts w:cs="Arial"/>
              </w:rPr>
            </w:pPr>
            <w:r>
              <w:rPr>
                <w:rFonts w:cs="Arial"/>
              </w:rPr>
              <w:t>Quarterly</w:t>
            </w:r>
          </w:p>
        </w:tc>
      </w:tr>
      <w:bookmarkEnd w:id="2"/>
    </w:tbl>
    <w:p w14:paraId="7712759F" w14:textId="77777777" w:rsidR="006C7A1F" w:rsidRDefault="006C7A1F" w:rsidP="00AA3CA8">
      <w:pPr>
        <w:rPr>
          <w:sz w:val="4"/>
          <w:szCs w:val="4"/>
        </w:rPr>
      </w:pPr>
    </w:p>
    <w:p w14:paraId="1A375378" w14:textId="77777777" w:rsidR="006C7A1F" w:rsidRDefault="006C7A1F" w:rsidP="00AA3CA8">
      <w:pPr>
        <w:rPr>
          <w:sz w:val="4"/>
          <w:szCs w:val="4"/>
        </w:rPr>
      </w:pPr>
    </w:p>
    <w:p w14:paraId="5789DC10" w14:textId="77777777" w:rsidR="006C7A1F" w:rsidRDefault="006C7A1F" w:rsidP="00AA3CA8">
      <w:pPr>
        <w:rPr>
          <w:sz w:val="4"/>
          <w:szCs w:val="4"/>
        </w:rPr>
      </w:pPr>
    </w:p>
    <w:p w14:paraId="5ECC37DD" w14:textId="77777777" w:rsidR="006C7A1F" w:rsidRDefault="006C7A1F" w:rsidP="00AA3CA8">
      <w:pPr>
        <w:rPr>
          <w:sz w:val="4"/>
          <w:szCs w:val="4"/>
        </w:rPr>
      </w:pPr>
    </w:p>
    <w:p w14:paraId="5B880242" w14:textId="77777777" w:rsidR="006C7A1F" w:rsidRDefault="006C7A1F" w:rsidP="00AA3CA8">
      <w:pPr>
        <w:rPr>
          <w:sz w:val="4"/>
          <w:szCs w:val="4"/>
        </w:rPr>
      </w:pPr>
    </w:p>
    <w:tbl>
      <w:tblPr>
        <w:tblW w:w="4895" w:type="pct"/>
        <w:tblInd w:w="113" w:type="dxa"/>
        <w:tblCellMar>
          <w:top w:w="113" w:type="dxa"/>
          <w:bottom w:w="57" w:type="dxa"/>
        </w:tblCellMar>
        <w:tblLook w:val="00A0" w:firstRow="1" w:lastRow="0" w:firstColumn="1" w:lastColumn="0" w:noHBand="0" w:noVBand="0"/>
      </w:tblPr>
      <w:tblGrid>
        <w:gridCol w:w="9980"/>
      </w:tblGrid>
      <w:tr w:rsidR="00740DAD" w:rsidRPr="002802E3" w14:paraId="3C0D9C5C" w14:textId="77777777" w:rsidTr="001D362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8A2D" w14:textId="77777777" w:rsidR="00140507" w:rsidRDefault="00140507" w:rsidP="00140507">
            <w:pPr>
              <w:pStyle w:val="DHHSaccessibilitypara"/>
            </w:pPr>
            <w:r>
              <w:t xml:space="preserve">To receive this publication in an accessible format </w:t>
            </w:r>
            <w:hyperlink r:id="rId22" w:history="1">
              <w:r>
                <w:rPr>
                  <w:rStyle w:val="Hyperlink"/>
                </w:rPr>
                <w:t>email Service Agreement Policy</w:t>
              </w:r>
            </w:hyperlink>
            <w:r>
              <w:t xml:space="preserve"> &lt;</w:t>
            </w:r>
            <w:hyperlink r:id="rId23" w:history="1">
              <w:r>
                <w:rPr>
                  <w:rStyle w:val="Hyperlink"/>
                </w:rPr>
                <w:t>sapolicy@dhhs.vic.gov.au</w:t>
              </w:r>
            </w:hyperlink>
            <w:r>
              <w:t>&gt;</w:t>
            </w:r>
          </w:p>
          <w:p w14:paraId="1A809EEA" w14:textId="0D0069E6" w:rsidR="00140507" w:rsidRDefault="00140507" w:rsidP="00140507">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005454">
              <w:rPr>
                <w:sz w:val="16"/>
                <w:szCs w:val="16"/>
              </w:rPr>
              <w:t xml:space="preserve">Updated October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535D442F" w14:textId="77777777" w:rsidR="00740DAD" w:rsidRPr="008328D4" w:rsidRDefault="00140507" w:rsidP="00140507">
            <w:pPr>
              <w:pStyle w:val="DHHSbody"/>
              <w:rPr>
                <w:color w:val="FF0000"/>
                <w:szCs w:val="19"/>
              </w:rPr>
            </w:pPr>
            <w:r>
              <w:t xml:space="preserve">Available on the department’s </w:t>
            </w:r>
            <w:hyperlink r:id="rId24" w:history="1">
              <w:r>
                <w:rPr>
                  <w:rStyle w:val="Hyperlink"/>
                </w:rPr>
                <w:t>Health and human services activity search</w:t>
              </w:r>
            </w:hyperlink>
            <w:r>
              <w:t xml:space="preserve"> &lt;</w:t>
            </w:r>
            <w:hyperlink r:id="rId25" w:history="1">
              <w:r>
                <w:rPr>
                  <w:rStyle w:val="Hyperlink"/>
                  <w:lang w:eastAsia="en-AU"/>
                </w:rPr>
                <w:t>http://providers.dhhs.vic.gov.au/health-human-services-activity-search</w:t>
              </w:r>
            </w:hyperlink>
            <w:r>
              <w:rPr>
                <w:color w:val="000000"/>
                <w:lang w:eastAsia="en-AU"/>
              </w:rPr>
              <w:t>&gt;</w:t>
            </w:r>
          </w:p>
        </w:tc>
      </w:tr>
    </w:tbl>
    <w:p w14:paraId="713454BA" w14:textId="77777777" w:rsidR="006C7A1F" w:rsidRPr="006C7A1F" w:rsidRDefault="006C7A1F" w:rsidP="00AA3CA8">
      <w:pPr>
        <w:rPr>
          <w:sz w:val="4"/>
          <w:szCs w:val="4"/>
        </w:rPr>
      </w:pPr>
    </w:p>
    <w:p w14:paraId="7FA36591" w14:textId="77777777" w:rsidR="000918C3" w:rsidRPr="006C7A1F" w:rsidRDefault="000918C3" w:rsidP="006C7A1F">
      <w:pPr>
        <w:rPr>
          <w:sz w:val="2"/>
          <w:szCs w:val="2"/>
          <w:lang w:eastAsia="en-US"/>
        </w:rPr>
      </w:pPr>
    </w:p>
    <w:sectPr w:rsidR="000918C3" w:rsidRPr="006C7A1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6FBF0" w14:textId="77777777" w:rsidR="00363FD0" w:rsidRDefault="00363FD0">
      <w:r>
        <w:separator/>
      </w:r>
    </w:p>
  </w:endnote>
  <w:endnote w:type="continuationSeparator" w:id="0">
    <w:p w14:paraId="414E07B6" w14:textId="77777777" w:rsidR="00363FD0" w:rsidRDefault="0036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4460" w14:textId="77777777" w:rsidR="00DC5C78" w:rsidRDefault="00DC5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2D6F"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2BEA3A6D" wp14:editId="53D02A22">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4D1D" w14:textId="77777777" w:rsidR="00DC5C78" w:rsidRDefault="00DC5C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CE2F" w14:textId="2BAD5F09" w:rsidR="009D70A4" w:rsidRPr="00A11421" w:rsidRDefault="00005454" w:rsidP="0051568D">
    <w:pPr>
      <w:pStyle w:val="DHHSfooter"/>
    </w:pPr>
    <w:r>
      <w:t>Disability Services 17035</w:t>
    </w:r>
    <w:r w:rsidR="00740DAD">
      <w:t xml:space="preserve"> Recreation </w:t>
    </w:r>
    <w:r w:rsidR="009D70A4" w:rsidRPr="00A11421">
      <w:tab/>
    </w:r>
    <w:r w:rsidR="009D70A4" w:rsidRPr="00A11421">
      <w:fldChar w:fldCharType="begin"/>
    </w:r>
    <w:r w:rsidR="009D70A4" w:rsidRPr="00A11421">
      <w:instrText xml:space="preserve"> PAGE </w:instrText>
    </w:r>
    <w:r w:rsidR="009D70A4" w:rsidRPr="00A11421">
      <w:fldChar w:fldCharType="separate"/>
    </w:r>
    <w:r w:rsidR="00E3111D">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0491B" w14:textId="77777777" w:rsidR="00363FD0" w:rsidRDefault="00363FD0" w:rsidP="002862F1">
      <w:pPr>
        <w:spacing w:before="120"/>
      </w:pPr>
      <w:r>
        <w:separator/>
      </w:r>
    </w:p>
  </w:footnote>
  <w:footnote w:type="continuationSeparator" w:id="0">
    <w:p w14:paraId="568A0B83" w14:textId="77777777" w:rsidR="00363FD0" w:rsidRDefault="0036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8F7D" w14:textId="77777777" w:rsidR="00DC5C78" w:rsidRDefault="00DC5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BA0C" w14:textId="77777777" w:rsidR="00DC5C78" w:rsidRDefault="00DC5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FC02" w14:textId="77777777" w:rsidR="00DC5C78" w:rsidRDefault="00DC5C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C17A"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A77494"/>
    <w:multiLevelType w:val="hybridMultilevel"/>
    <w:tmpl w:val="3E52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2"/>
  </w:num>
  <w:num w:numId="11">
    <w:abstractNumId w:val="6"/>
  </w:num>
  <w:num w:numId="12">
    <w:abstractNumId w:val="7"/>
  </w:num>
  <w:num w:numId="13">
    <w:abstractNumId w:val="4"/>
  </w:num>
  <w:num w:numId="14">
    <w:abstractNumId w:val="10"/>
  </w:num>
  <w:num w:numId="15">
    <w:abstractNumId w:val="2"/>
  </w:num>
  <w:num w:numId="16">
    <w:abstractNumId w:val="8"/>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5454"/>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0507"/>
    <w:rsid w:val="001447B3"/>
    <w:rsid w:val="00152073"/>
    <w:rsid w:val="00161939"/>
    <w:rsid w:val="00161AA0"/>
    <w:rsid w:val="00162093"/>
    <w:rsid w:val="0017293C"/>
    <w:rsid w:val="001771DD"/>
    <w:rsid w:val="00177995"/>
    <w:rsid w:val="00177A8C"/>
    <w:rsid w:val="00186B33"/>
    <w:rsid w:val="00192F9D"/>
    <w:rsid w:val="001943DF"/>
    <w:rsid w:val="00196EB8"/>
    <w:rsid w:val="001979FF"/>
    <w:rsid w:val="00197B17"/>
    <w:rsid w:val="001A3ACE"/>
    <w:rsid w:val="001C197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14B3"/>
    <w:rsid w:val="00302216"/>
    <w:rsid w:val="003033EA"/>
    <w:rsid w:val="00303E53"/>
    <w:rsid w:val="003057F4"/>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63FD0"/>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2031"/>
    <w:rsid w:val="005728EE"/>
    <w:rsid w:val="00575BC9"/>
    <w:rsid w:val="00576E84"/>
    <w:rsid w:val="00582B8C"/>
    <w:rsid w:val="005834D7"/>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AC7"/>
    <w:rsid w:val="00677574"/>
    <w:rsid w:val="0068454C"/>
    <w:rsid w:val="00691B62"/>
    <w:rsid w:val="00693D14"/>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DAD"/>
    <w:rsid w:val="00740F22"/>
    <w:rsid w:val="00741F1A"/>
    <w:rsid w:val="007450F8"/>
    <w:rsid w:val="0074696E"/>
    <w:rsid w:val="00750135"/>
    <w:rsid w:val="00750EC2"/>
    <w:rsid w:val="00752B28"/>
    <w:rsid w:val="00754E36"/>
    <w:rsid w:val="007554F6"/>
    <w:rsid w:val="00757522"/>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D464B"/>
    <w:rsid w:val="007E0DE2"/>
    <w:rsid w:val="007E3B98"/>
    <w:rsid w:val="007F31B6"/>
    <w:rsid w:val="007F546C"/>
    <w:rsid w:val="007F625F"/>
    <w:rsid w:val="007F665E"/>
    <w:rsid w:val="00800412"/>
    <w:rsid w:val="0080587B"/>
    <w:rsid w:val="00805AA8"/>
    <w:rsid w:val="00806468"/>
    <w:rsid w:val="008155F0"/>
    <w:rsid w:val="00816735"/>
    <w:rsid w:val="00820141"/>
    <w:rsid w:val="00820E0C"/>
    <w:rsid w:val="008237E6"/>
    <w:rsid w:val="00831216"/>
    <w:rsid w:val="008338A2"/>
    <w:rsid w:val="008370FF"/>
    <w:rsid w:val="00841AA9"/>
    <w:rsid w:val="00853EE4"/>
    <w:rsid w:val="00855535"/>
    <w:rsid w:val="0086255E"/>
    <w:rsid w:val="008633F0"/>
    <w:rsid w:val="00867D9D"/>
    <w:rsid w:val="00871222"/>
    <w:rsid w:val="00872E0A"/>
    <w:rsid w:val="00875285"/>
    <w:rsid w:val="0087683C"/>
    <w:rsid w:val="00884B62"/>
    <w:rsid w:val="00884DC1"/>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76724"/>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900"/>
    <w:rsid w:val="00AB06E8"/>
    <w:rsid w:val="00AB1CD3"/>
    <w:rsid w:val="00AB352F"/>
    <w:rsid w:val="00AC1E52"/>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3B7C"/>
    <w:rsid w:val="00BC7468"/>
    <w:rsid w:val="00BC7D4F"/>
    <w:rsid w:val="00BC7ED7"/>
    <w:rsid w:val="00BD2850"/>
    <w:rsid w:val="00BE28D2"/>
    <w:rsid w:val="00BE4A64"/>
    <w:rsid w:val="00BF43FB"/>
    <w:rsid w:val="00BF7F58"/>
    <w:rsid w:val="00C01381"/>
    <w:rsid w:val="00C079B8"/>
    <w:rsid w:val="00C123EA"/>
    <w:rsid w:val="00C12A49"/>
    <w:rsid w:val="00C12AAB"/>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5C78"/>
    <w:rsid w:val="00DC6386"/>
    <w:rsid w:val="00DD1130"/>
    <w:rsid w:val="00DD1951"/>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111D"/>
    <w:rsid w:val="00E327EB"/>
    <w:rsid w:val="00E40181"/>
    <w:rsid w:val="00E53D0C"/>
    <w:rsid w:val="00E56A01"/>
    <w:rsid w:val="00E629A1"/>
    <w:rsid w:val="00E71591"/>
    <w:rsid w:val="00E81F4C"/>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A5851"/>
    <w:rsid w:val="00FB4CDA"/>
    <w:rsid w:val="00FC0F81"/>
    <w:rsid w:val="00FC395C"/>
    <w:rsid w:val="00FD3766"/>
    <w:rsid w:val="00FD47C4"/>
    <w:rsid w:val="00FE2DCF"/>
    <w:rsid w:val="00FE53CA"/>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ACF9D0"/>
  <w15:docId w15:val="{C1D68AC4-6CBF-4E1B-B6F0-4D9518A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uiPriority w:val="1"/>
    <w:qFormat/>
    <w:rsid w:val="00740DAD"/>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uiPriority w:val="1"/>
    <w:qFormat/>
    <w:rsid w:val="00740DA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40DA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740DA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97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913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viders.dhhs.vic.gov.au/behaviour-support-planning-toolkit-section-4-useful-assessment-tools-and-forms-wor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providers.dhhs.vic.gov.au/health-human-services-activity-search"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hs.vic.gov.au/publications/senior-practitioner-disability-independent-person-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roviders.dhhs.vic.gov.au/health-human-services-activity-search"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apolicy@dhhs.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apolicy@dhhs.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64B5-1583-4E36-AF2A-269B7B086E1E}"/>
</file>

<file path=customXml/itemProps2.xml><?xml version="1.0" encoding="utf-8"?>
<ds:datastoreItem xmlns:ds="http://schemas.openxmlformats.org/officeDocument/2006/customXml" ds:itemID="{7D2FF007-6C73-4C4D-8644-1758B7BF1B29}">
  <ds:schemaRefs>
    <ds:schemaRef ds:uri="http://schemas.microsoft.com/sharepoint/v3/contenttype/forms"/>
  </ds:schemaRefs>
</ds:datastoreItem>
</file>

<file path=customXml/itemProps3.xml><?xml version="1.0" encoding="utf-8"?>
<ds:datastoreItem xmlns:ds="http://schemas.openxmlformats.org/officeDocument/2006/customXml" ds:itemID="{371766A0-7B4A-4B00-BBF0-6E29372B0D9E}">
  <ds:schemaRefs>
    <ds:schemaRef ds:uri="http://schemas.microsoft.com/office/2006/metadata/properties"/>
    <ds:schemaRef ds:uri="http://schemas.microsoft.com/office/infopath/2007/PartnerControls"/>
    <ds:schemaRef ds:uri="a0a1cdb3-76af-40bd-93b0-f7d150250ba2"/>
  </ds:schemaRefs>
</ds:datastoreItem>
</file>

<file path=customXml/itemProps4.xml><?xml version="1.0" encoding="utf-8"?>
<ds:datastoreItem xmlns:ds="http://schemas.openxmlformats.org/officeDocument/2006/customXml" ds:itemID="{C436C4FF-0A79-49C9-81C8-D76003A4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Activity description human services Recreation 17035</vt:lpstr>
    </vt:vector>
  </TitlesOfParts>
  <Company>Department of Health and Human Services</Company>
  <LinksUpToDate>false</LinksUpToDate>
  <CharactersWithSpaces>4770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Recreation 17035</dc:title>
  <dc:subject>service agreement activity descriptions</dc:subject>
  <dc:creator>Service agreement policy unit</dc:creator>
  <cp:keywords>service agreement; activity description; human services; disbility services; recreation; 17035</cp:keywords>
  <cp:lastModifiedBy>Alice York (DHHS)</cp:lastModifiedBy>
  <cp:revision>2</cp:revision>
  <cp:lastPrinted>2019-01-08T23:20:00Z</cp:lastPrinted>
  <dcterms:created xsi:type="dcterms:W3CDTF">2020-12-31T03:12:00Z</dcterms:created>
  <dcterms:modified xsi:type="dcterms:W3CDTF">2020-12-31T03:12:00Z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2020-12-31T03:12:04Z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d55d84f5-8eb9-4644-8cde-8642ecb9027c</vt:lpwstr>
  </property>
  <property fmtid="{D5CDD505-2E9C-101B-9397-08002B2CF9AE}" pid="10" name="MSIP_Label_efdf5488-3066-4b6c-8fea-9472b8a1f34c_ContentBits">
    <vt:lpwstr>0</vt:lpwstr>
  </property>
</Properties>
</file>