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135F1" w14:textId="0F3E5717" w:rsidR="00002990" w:rsidRPr="003072C6" w:rsidRDefault="00002990" w:rsidP="00A55989">
      <w:pPr>
        <w:pStyle w:val="DHHSbodynospace"/>
      </w:pPr>
    </w:p>
    <w:tbl>
      <w:tblPr>
        <w:tblW w:w="9101" w:type="dxa"/>
        <w:tblInd w:w="113" w:type="dxa"/>
        <w:tblCellMar>
          <w:left w:w="0" w:type="dxa"/>
          <w:right w:w="0" w:type="dxa"/>
        </w:tblCellMar>
        <w:tblLook w:val="04A0" w:firstRow="1" w:lastRow="0" w:firstColumn="1" w:lastColumn="0" w:noHBand="0" w:noVBand="1"/>
      </w:tblPr>
      <w:tblGrid>
        <w:gridCol w:w="9101"/>
      </w:tblGrid>
      <w:tr w:rsidR="001817CD" w:rsidRPr="003072C6" w14:paraId="285225F4" w14:textId="77777777" w:rsidTr="004F4E36">
        <w:trPr>
          <w:trHeight w:val="3988"/>
        </w:trPr>
        <w:tc>
          <w:tcPr>
            <w:tcW w:w="9101" w:type="dxa"/>
            <w:shd w:val="clear" w:color="auto" w:fill="auto"/>
          </w:tcPr>
          <w:p w14:paraId="7115CA6E" w14:textId="77777777" w:rsidR="00123745" w:rsidRDefault="00123745" w:rsidP="00E91933">
            <w:pPr>
              <w:pStyle w:val="DHHSreportsubtitlewhite"/>
              <w:rPr>
                <w:b/>
                <w:bCs w:val="0"/>
                <w:color w:val="000000" w:themeColor="text1"/>
                <w:sz w:val="48"/>
                <w:szCs w:val="48"/>
              </w:rPr>
            </w:pPr>
          </w:p>
          <w:p w14:paraId="7D4D1791" w14:textId="5B65F285" w:rsidR="00444D82" w:rsidRDefault="004F4E36" w:rsidP="00E91933">
            <w:pPr>
              <w:pStyle w:val="DHHSreportsubtitlewhite"/>
              <w:rPr>
                <w:b/>
                <w:bCs w:val="0"/>
                <w:color w:val="000000" w:themeColor="text1"/>
                <w:sz w:val="48"/>
                <w:szCs w:val="48"/>
              </w:rPr>
            </w:pPr>
            <w:r w:rsidRPr="004F4E36">
              <w:rPr>
                <w:b/>
                <w:bCs w:val="0"/>
                <w:noProof/>
                <w:sz w:val="48"/>
                <w:szCs w:val="48"/>
              </w:rPr>
              <w:drawing>
                <wp:anchor distT="0" distB="0" distL="114300" distR="114300" simplePos="0" relativeHeight="251601920" behindDoc="1" locked="1" layoutInCell="1" allowOverlap="1" wp14:anchorId="4E5AA01E" wp14:editId="44D44FA3">
                  <wp:simplePos x="0" y="0"/>
                  <wp:positionH relativeFrom="page">
                    <wp:posOffset>-899795</wp:posOffset>
                  </wp:positionH>
                  <wp:positionV relativeFrom="page">
                    <wp:posOffset>-1251585</wp:posOffset>
                  </wp:positionV>
                  <wp:extent cx="7559040" cy="10658475"/>
                  <wp:effectExtent l="0" t="0" r="3810" b="952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8"/>
                          <a:stretch>
                            <a:fillRect/>
                          </a:stretch>
                        </pic:blipFill>
                        <pic:spPr>
                          <a:xfrm>
                            <a:off x="0" y="0"/>
                            <a:ext cx="7559040" cy="10658475"/>
                          </a:xfrm>
                          <a:prstGeom prst="rect">
                            <a:avLst/>
                          </a:prstGeom>
                        </pic:spPr>
                      </pic:pic>
                    </a:graphicData>
                  </a:graphic>
                  <wp14:sizeRelH relativeFrom="margin">
                    <wp14:pctWidth>0</wp14:pctWidth>
                  </wp14:sizeRelH>
                  <wp14:sizeRelV relativeFrom="margin">
                    <wp14:pctHeight>0</wp14:pctHeight>
                  </wp14:sizeRelV>
                </wp:anchor>
              </w:drawing>
            </w:r>
            <w:r w:rsidRPr="004F4E36">
              <w:rPr>
                <w:b/>
                <w:bCs w:val="0"/>
                <w:color w:val="000000" w:themeColor="text1"/>
                <w:sz w:val="48"/>
                <w:szCs w:val="48"/>
              </w:rPr>
              <w:t>Public Ho</w:t>
            </w:r>
            <w:r>
              <w:rPr>
                <w:b/>
                <w:bCs w:val="0"/>
                <w:color w:val="000000" w:themeColor="text1"/>
                <w:sz w:val="48"/>
                <w:szCs w:val="48"/>
              </w:rPr>
              <w:t>u</w:t>
            </w:r>
            <w:r w:rsidRPr="004F4E36">
              <w:rPr>
                <w:b/>
                <w:bCs w:val="0"/>
                <w:color w:val="000000" w:themeColor="text1"/>
                <w:sz w:val="48"/>
                <w:szCs w:val="48"/>
              </w:rPr>
              <w:t xml:space="preserve">sing Infrastructure Program </w:t>
            </w:r>
          </w:p>
          <w:p w14:paraId="146B5929" w14:textId="77777777" w:rsidR="004F4E36" w:rsidRDefault="004F4E36" w:rsidP="00E91933">
            <w:pPr>
              <w:pStyle w:val="DHHSreportsubtitlewhite"/>
              <w:rPr>
                <w:b/>
                <w:bCs w:val="0"/>
                <w:color w:val="000000" w:themeColor="text1"/>
                <w:sz w:val="48"/>
                <w:szCs w:val="48"/>
              </w:rPr>
            </w:pPr>
          </w:p>
          <w:p w14:paraId="19097678" w14:textId="1337CA8A" w:rsidR="004F4E36" w:rsidRDefault="004F4E36" w:rsidP="004F4E36">
            <w:pPr>
              <w:rPr>
                <w:rFonts w:ascii="Arial" w:hAnsi="Arial"/>
                <w:b/>
                <w:color w:val="000000" w:themeColor="text1"/>
                <w:sz w:val="28"/>
                <w:szCs w:val="28"/>
              </w:rPr>
            </w:pPr>
            <w:r>
              <w:rPr>
                <w:rFonts w:ascii="Arial" w:hAnsi="Arial"/>
                <w:b/>
                <w:color w:val="000000" w:themeColor="text1"/>
                <w:sz w:val="28"/>
                <w:szCs w:val="28"/>
              </w:rPr>
              <w:t xml:space="preserve">Framework and funding guidelines </w:t>
            </w:r>
          </w:p>
          <w:p w14:paraId="694FFE79" w14:textId="77777777" w:rsidR="00FB13D9" w:rsidRDefault="00FB13D9" w:rsidP="004F4E36">
            <w:pPr>
              <w:rPr>
                <w:rFonts w:ascii="Arial" w:hAnsi="Arial"/>
                <w:bCs/>
                <w:color w:val="000000" w:themeColor="text1"/>
                <w:sz w:val="28"/>
                <w:szCs w:val="28"/>
              </w:rPr>
            </w:pPr>
          </w:p>
          <w:p w14:paraId="5E61D836" w14:textId="78E0F626" w:rsidR="006F425B" w:rsidRPr="006F425B" w:rsidRDefault="006F425B" w:rsidP="004F4E36">
            <w:pPr>
              <w:rPr>
                <w:rFonts w:ascii="Arial" w:hAnsi="Arial"/>
                <w:bCs/>
                <w:color w:val="000000" w:themeColor="text1"/>
                <w:sz w:val="28"/>
                <w:szCs w:val="28"/>
              </w:rPr>
            </w:pPr>
            <w:r w:rsidRPr="006F425B">
              <w:rPr>
                <w:rFonts w:ascii="Arial" w:hAnsi="Arial"/>
                <w:bCs/>
                <w:color w:val="000000" w:themeColor="text1"/>
                <w:sz w:val="28"/>
                <w:szCs w:val="28"/>
              </w:rPr>
              <w:t>Updated December 2021</w:t>
            </w:r>
          </w:p>
          <w:p w14:paraId="50A6ADE6" w14:textId="77777777" w:rsidR="004F4E36" w:rsidRDefault="004F4E36" w:rsidP="004F4E36"/>
          <w:p w14:paraId="256A3616" w14:textId="77777777" w:rsidR="00FB13D9" w:rsidRPr="00224ECE" w:rsidRDefault="00FB13D9" w:rsidP="00FB13D9">
            <w:pPr>
              <w:rPr>
                <w:rFonts w:ascii="Arial" w:hAnsi="Arial" w:cs="Arial"/>
                <w:b/>
                <w:bCs/>
                <w:color w:val="000000"/>
                <w:sz w:val="21"/>
                <w:szCs w:val="21"/>
              </w:rPr>
            </w:pPr>
            <w:r w:rsidRPr="00224ECE">
              <w:rPr>
                <w:rFonts w:ascii="Arial" w:hAnsi="Arial" w:cs="Arial"/>
                <w:b/>
                <w:bCs/>
                <w:color w:val="000000"/>
                <w:sz w:val="21"/>
                <w:szCs w:val="21"/>
              </w:rPr>
              <w:t>OFFICIAL</w:t>
            </w:r>
          </w:p>
          <w:p w14:paraId="1D5D88B4" w14:textId="71734126" w:rsidR="00FB13D9" w:rsidRPr="004F4E36" w:rsidRDefault="00FB13D9" w:rsidP="004F4E36"/>
        </w:tc>
      </w:tr>
    </w:tbl>
    <w:p w14:paraId="38AB7E77" w14:textId="6003ABA3" w:rsidR="00AC0C3B" w:rsidRPr="004F4E36" w:rsidRDefault="00AD1FAF" w:rsidP="004F4E36">
      <w:pPr>
        <w:pStyle w:val="DHHSbullet1lastline"/>
        <w:rPr>
          <w:color w:val="FFFFFF" w:themeColor="background1"/>
        </w:rPr>
      </w:pPr>
      <w:r>
        <w:rPr>
          <w:noProof/>
          <w:lang w:eastAsia="en-AU"/>
        </w:rPr>
        <mc:AlternateContent>
          <mc:Choice Requires="wps">
            <w:drawing>
              <wp:anchor distT="0" distB="0" distL="114300" distR="114300" simplePos="0" relativeHeight="251595776" behindDoc="0" locked="0" layoutInCell="1" allowOverlap="1" wp14:anchorId="2BF0D736" wp14:editId="517CFC45">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01FEF" w14:textId="77777777" w:rsidR="007E2FA0" w:rsidRDefault="007E2FA0"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0D736" id="_x0000_t202" coordsize="21600,21600" o:spt="202" path="m,l,21600r21600,l21600,xe">
                <v:stroke joinstyle="miter"/>
                <v:path gradientshapeok="t" o:connecttype="rect"/>
              </v:shapetype>
              <v:shape id="Text Box 43" o:spid="_x0000_s1026" type="#_x0000_t202" style="position:absolute;left:0;text-align:left;margin-left:5in;margin-top:801pt;width:198pt;height:2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" filled="f" stroked="f">
                <v:textbox>
                  <w:txbxContent>
                    <w:p w14:paraId="03701FEF" w14:textId="77777777" w:rsidR="007E2FA0" w:rsidRDefault="007E2FA0"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709" w:type="dxa"/>
        <w:tblCellMar>
          <w:top w:w="113" w:type="dxa"/>
          <w:left w:w="0" w:type="dxa"/>
          <w:bottom w:w="57" w:type="dxa"/>
          <w:right w:w="0" w:type="dxa"/>
        </w:tblCellMar>
        <w:tblLook w:val="00A0" w:firstRow="1" w:lastRow="0" w:firstColumn="1" w:lastColumn="0" w:noHBand="0" w:noVBand="0"/>
      </w:tblPr>
      <w:tblGrid>
        <w:gridCol w:w="8589"/>
      </w:tblGrid>
      <w:tr w:rsidR="00564E8F" w:rsidRPr="003072C6" w14:paraId="1F53EB4B" w14:textId="77777777" w:rsidTr="00797E25">
        <w:trPr>
          <w:trHeight w:val="4313"/>
        </w:trPr>
        <w:tc>
          <w:tcPr>
            <w:tcW w:w="8589" w:type="dxa"/>
          </w:tcPr>
          <w:p w14:paraId="261F718D" w14:textId="77777777" w:rsidR="00564E8F" w:rsidRPr="00605B5B" w:rsidRDefault="00564E8F" w:rsidP="00031263">
            <w:pPr>
              <w:pStyle w:val="DHHSbody"/>
              <w:rPr>
                <w:i/>
                <w:color w:val="008950"/>
                <w:sz w:val="26"/>
                <w:szCs w:val="26"/>
              </w:rPr>
            </w:pPr>
          </w:p>
        </w:tc>
      </w:tr>
      <w:tr w:rsidR="00564E8F" w:rsidRPr="003072C6" w14:paraId="73D539A2" w14:textId="77777777" w:rsidTr="00797E25">
        <w:trPr>
          <w:trHeight w:val="6336"/>
        </w:trPr>
        <w:tc>
          <w:tcPr>
            <w:tcW w:w="8589" w:type="dxa"/>
            <w:vAlign w:val="bottom"/>
          </w:tcPr>
          <w:p w14:paraId="1BED25F0" w14:textId="77777777" w:rsidR="00564E8F" w:rsidRPr="003072C6" w:rsidRDefault="00564E8F" w:rsidP="006E143C">
            <w:pPr>
              <w:spacing w:after="120" w:line="270" w:lineRule="atLeast"/>
            </w:pPr>
          </w:p>
        </w:tc>
      </w:tr>
      <w:tr w:rsidR="009906C7" w:rsidRPr="003072C6" w14:paraId="616F3BC4" w14:textId="77777777" w:rsidTr="00797E25">
        <w:tc>
          <w:tcPr>
            <w:tcW w:w="8589" w:type="dxa"/>
            <w:vAlign w:val="bottom"/>
          </w:tcPr>
          <w:p w14:paraId="5610E6B3" w14:textId="77777777" w:rsidR="009906C7" w:rsidRPr="003072C6" w:rsidRDefault="009906C7" w:rsidP="009906C7">
            <w:pPr>
              <w:pStyle w:val="DHHSbody"/>
            </w:pPr>
          </w:p>
        </w:tc>
      </w:tr>
    </w:tbl>
    <w:p w14:paraId="0354A6C6" w14:textId="77777777" w:rsidR="00797E25" w:rsidRDefault="00797E25" w:rsidP="003072C6">
      <w:pPr>
        <w:pStyle w:val="DHHSbody"/>
        <w:sectPr w:rsidR="00797E25" w:rsidSect="004F4E36">
          <w:headerReference w:type="even" r:id="rId9"/>
          <w:headerReference w:type="default" r:id="rId10"/>
          <w:footerReference w:type="even" r:id="rId11"/>
          <w:footerReference w:type="default" r:id="rId12"/>
          <w:headerReference w:type="first" r:id="rId13"/>
          <w:footerReference w:type="first" r:id="rId14"/>
          <w:pgSz w:w="11906" w:h="16838"/>
          <w:pgMar w:top="1701" w:right="0" w:bottom="1134" w:left="1304" w:header="454" w:footer="510" w:gutter="0"/>
          <w:pgNumType w:start="1"/>
          <w:cols w:space="720"/>
          <w:docGrid w:linePitch="360"/>
        </w:sectPr>
      </w:pP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84"/>
        <w:gridCol w:w="8930"/>
      </w:tblGrid>
      <w:tr w:rsidR="006E143C" w:rsidRPr="006E143C" w14:paraId="5B7C00B3" w14:textId="77777777" w:rsidTr="006E143C">
        <w:trPr>
          <w:gridBefore w:val="1"/>
          <w:wBefore w:w="284" w:type="dxa"/>
          <w:trHeight w:val="7371"/>
        </w:trPr>
        <w:tc>
          <w:tcPr>
            <w:tcW w:w="8930" w:type="dxa"/>
            <w:vAlign w:val="center"/>
          </w:tcPr>
          <w:p w14:paraId="38672942" w14:textId="430EB461" w:rsidR="006E143C" w:rsidRPr="006E143C" w:rsidRDefault="006E143C" w:rsidP="006E143C">
            <w:pPr>
              <w:spacing w:after="240" w:line="560" w:lineRule="atLeast"/>
              <w:rPr>
                <w:rFonts w:ascii="Arial" w:hAnsi="Arial"/>
                <w:b/>
                <w:color w:val="201547"/>
                <w:sz w:val="48"/>
                <w:szCs w:val="50"/>
              </w:rPr>
            </w:pPr>
            <w:r>
              <w:rPr>
                <w:rFonts w:ascii="Arial" w:hAnsi="Arial"/>
                <w:b/>
                <w:color w:val="201547"/>
                <w:sz w:val="48"/>
                <w:szCs w:val="50"/>
              </w:rPr>
              <w:lastRenderedPageBreak/>
              <w:t xml:space="preserve">Public Housing Infrastructure Program </w:t>
            </w:r>
          </w:p>
          <w:p w14:paraId="68A6A104" w14:textId="11A6B231" w:rsidR="006E143C" w:rsidRPr="006E143C" w:rsidRDefault="006E143C" w:rsidP="006E143C">
            <w:pPr>
              <w:spacing w:after="120" w:line="280" w:lineRule="atLeast"/>
              <w:rPr>
                <w:rFonts w:ascii="Arial" w:hAnsi="Arial"/>
                <w:color w:val="201547"/>
                <w:sz w:val="28"/>
                <w:szCs w:val="24"/>
              </w:rPr>
            </w:pPr>
            <w:r>
              <w:rPr>
                <w:rFonts w:ascii="Arial" w:hAnsi="Arial"/>
                <w:color w:val="201547"/>
                <w:sz w:val="28"/>
                <w:szCs w:val="24"/>
              </w:rPr>
              <w:t xml:space="preserve">Framework and funding guidelines </w:t>
            </w:r>
          </w:p>
        </w:tc>
      </w:tr>
      <w:tr w:rsidR="006E143C" w:rsidRPr="006E143C" w14:paraId="3FBD2CD1" w14:textId="77777777" w:rsidTr="006E143C">
        <w:trPr>
          <w:gridBefore w:val="1"/>
          <w:wBefore w:w="284" w:type="dxa"/>
        </w:trPr>
        <w:tc>
          <w:tcPr>
            <w:tcW w:w="8930" w:type="dxa"/>
          </w:tcPr>
          <w:p w14:paraId="2865BBDA" w14:textId="77777777" w:rsidR="006E143C" w:rsidRDefault="006E143C" w:rsidP="006E143C">
            <w:pPr>
              <w:spacing w:before="240" w:after="200" w:line="300" w:lineRule="atLeast"/>
              <w:rPr>
                <w:rFonts w:ascii="Arial" w:eastAsia="Times" w:hAnsi="Arial"/>
                <w:sz w:val="24"/>
                <w:szCs w:val="19"/>
              </w:rPr>
            </w:pPr>
          </w:p>
          <w:p w14:paraId="10A6B896" w14:textId="7937A1B3" w:rsidR="006E143C" w:rsidRDefault="006E143C" w:rsidP="006E143C">
            <w:pPr>
              <w:spacing w:before="240" w:after="200" w:line="300" w:lineRule="atLeast"/>
              <w:rPr>
                <w:rFonts w:ascii="Arial" w:eastAsia="Times" w:hAnsi="Arial"/>
                <w:sz w:val="24"/>
                <w:szCs w:val="19"/>
              </w:rPr>
            </w:pPr>
          </w:p>
          <w:p w14:paraId="6643412B" w14:textId="3D27F340" w:rsidR="004B46A4" w:rsidRDefault="004B46A4" w:rsidP="006E143C">
            <w:pPr>
              <w:spacing w:before="240" w:after="200" w:line="300" w:lineRule="atLeast"/>
              <w:rPr>
                <w:rFonts w:ascii="Arial" w:eastAsia="Times" w:hAnsi="Arial"/>
                <w:sz w:val="24"/>
                <w:szCs w:val="19"/>
              </w:rPr>
            </w:pPr>
          </w:p>
          <w:p w14:paraId="40ABB5EB" w14:textId="166EBFC8" w:rsidR="004B46A4" w:rsidRDefault="004B46A4" w:rsidP="006E143C">
            <w:pPr>
              <w:spacing w:before="240" w:after="200" w:line="300" w:lineRule="atLeast"/>
              <w:rPr>
                <w:rFonts w:ascii="Arial" w:eastAsia="Times" w:hAnsi="Arial"/>
                <w:sz w:val="24"/>
                <w:szCs w:val="19"/>
              </w:rPr>
            </w:pPr>
          </w:p>
          <w:p w14:paraId="31C0131B" w14:textId="30A9B62C" w:rsidR="004B46A4" w:rsidRDefault="004B46A4" w:rsidP="006E143C">
            <w:pPr>
              <w:spacing w:before="240" w:after="200" w:line="300" w:lineRule="atLeast"/>
              <w:rPr>
                <w:rFonts w:ascii="Arial" w:eastAsia="Times" w:hAnsi="Arial"/>
                <w:sz w:val="24"/>
                <w:szCs w:val="19"/>
              </w:rPr>
            </w:pPr>
          </w:p>
          <w:p w14:paraId="79BE74C5" w14:textId="77777777" w:rsidR="004B46A4" w:rsidRDefault="004B46A4" w:rsidP="006E143C">
            <w:pPr>
              <w:spacing w:before="240" w:after="200" w:line="300" w:lineRule="atLeast"/>
              <w:rPr>
                <w:rFonts w:ascii="Arial" w:eastAsia="Times" w:hAnsi="Arial"/>
                <w:sz w:val="24"/>
                <w:szCs w:val="19"/>
              </w:rPr>
            </w:pPr>
          </w:p>
          <w:p w14:paraId="01A1CDF3" w14:textId="27E4FC0B" w:rsidR="006E143C" w:rsidRPr="006E143C" w:rsidRDefault="006E143C" w:rsidP="006E143C">
            <w:pPr>
              <w:spacing w:before="240" w:after="200" w:line="300" w:lineRule="atLeast"/>
              <w:ind w:left="6"/>
              <w:rPr>
                <w:rFonts w:ascii="Arial" w:eastAsia="Times" w:hAnsi="Arial"/>
                <w:sz w:val="24"/>
                <w:szCs w:val="19"/>
              </w:rPr>
            </w:pPr>
            <w:r w:rsidRPr="006E143C">
              <w:rPr>
                <w:rFonts w:ascii="Arial" w:eastAsia="Times" w:hAnsi="Arial"/>
                <w:sz w:val="24"/>
                <w:szCs w:val="19"/>
              </w:rPr>
              <w:t xml:space="preserve">To receive this document in another format email  </w:t>
            </w:r>
            <w:hyperlink r:id="rId15" w:history="1">
              <w:r w:rsidRPr="006E143C">
                <w:rPr>
                  <w:rFonts w:ascii="Arial" w:eastAsia="Times" w:hAnsi="Arial"/>
                  <w:color w:val="004C97"/>
                  <w:sz w:val="24"/>
                  <w:szCs w:val="19"/>
                  <w:u w:val="dotted"/>
                </w:rPr>
                <w:t>phip@dffh.vic.gov.au</w:t>
              </w:r>
            </w:hyperlink>
            <w:r w:rsidRPr="006E143C">
              <w:rPr>
                <w:rFonts w:ascii="Arial" w:eastAsia="Times" w:hAnsi="Arial"/>
                <w:sz w:val="24"/>
                <w:szCs w:val="19"/>
              </w:rPr>
              <w:t xml:space="preserve"> </w:t>
            </w:r>
          </w:p>
          <w:p w14:paraId="3766A00C" w14:textId="77777777" w:rsidR="006E143C" w:rsidRPr="006E143C" w:rsidRDefault="006E143C" w:rsidP="006E143C">
            <w:pPr>
              <w:spacing w:after="60" w:line="270" w:lineRule="atLeast"/>
              <w:rPr>
                <w:rFonts w:ascii="Arial" w:eastAsia="Times" w:hAnsi="Arial"/>
                <w:color w:val="000000" w:themeColor="text1"/>
              </w:rPr>
            </w:pPr>
            <w:r w:rsidRPr="006E143C">
              <w:rPr>
                <w:rFonts w:ascii="Arial" w:eastAsia="Times" w:hAnsi="Arial"/>
                <w:color w:val="000000" w:themeColor="text1"/>
              </w:rPr>
              <w:t>Authorised and published by the Victorian Government, 1 Treasury Place, Melbourne.</w:t>
            </w:r>
          </w:p>
          <w:p w14:paraId="7716ABBF" w14:textId="0F775DCD" w:rsidR="006E143C" w:rsidRPr="006E143C" w:rsidRDefault="006E143C" w:rsidP="006E143C">
            <w:pPr>
              <w:spacing w:after="60" w:line="270" w:lineRule="atLeast"/>
              <w:rPr>
                <w:rFonts w:ascii="Arial" w:eastAsia="Times" w:hAnsi="Arial"/>
                <w:color w:val="000000" w:themeColor="text1"/>
              </w:rPr>
            </w:pPr>
            <w:r w:rsidRPr="006E143C">
              <w:rPr>
                <w:rFonts w:ascii="Arial" w:eastAsia="Times" w:hAnsi="Arial"/>
                <w:color w:val="000000" w:themeColor="text1"/>
              </w:rPr>
              <w:t xml:space="preserve">© State of Victoria, Australia, Department of Families, Fairness and Housing, </w:t>
            </w:r>
            <w:r w:rsidR="00AE2DEB">
              <w:rPr>
                <w:rFonts w:ascii="Arial" w:eastAsia="Times" w:hAnsi="Arial"/>
                <w:color w:val="004C97"/>
              </w:rPr>
              <w:t>December</w:t>
            </w:r>
            <w:r w:rsidRPr="006E143C">
              <w:rPr>
                <w:rFonts w:ascii="Arial" w:eastAsia="Times" w:hAnsi="Arial"/>
                <w:color w:val="004C97"/>
              </w:rPr>
              <w:t xml:space="preserve"> 2021</w:t>
            </w:r>
            <w:r w:rsidRPr="006E143C">
              <w:rPr>
                <w:rFonts w:ascii="Arial" w:eastAsia="Times" w:hAnsi="Arial"/>
                <w:color w:val="000000" w:themeColor="text1"/>
              </w:rPr>
              <w:t>.</w:t>
            </w:r>
          </w:p>
          <w:p w14:paraId="3BC7BD51" w14:textId="7F9728B7" w:rsidR="006E143C" w:rsidRPr="006E143C" w:rsidRDefault="004B46A4" w:rsidP="006E143C">
            <w:pPr>
              <w:spacing w:after="60" w:line="270" w:lineRule="atLeast"/>
              <w:rPr>
                <w:rFonts w:ascii="Arial" w:eastAsia="Times" w:hAnsi="Arial"/>
                <w:color w:val="004C97"/>
              </w:rPr>
            </w:pPr>
            <w:r>
              <w:rPr>
                <w:rFonts w:ascii="Arial" w:hAnsi="Arial" w:cs="Arial"/>
                <w:b/>
                <w:bCs/>
                <w:color w:val="000000"/>
              </w:rPr>
              <w:t xml:space="preserve">SBN </w:t>
            </w:r>
            <w:r>
              <w:rPr>
                <w:rFonts w:ascii="Arial" w:hAnsi="Arial" w:cs="Arial"/>
                <w:color w:val="000000"/>
              </w:rPr>
              <w:t xml:space="preserve">978-1-76096-726-0 </w:t>
            </w:r>
            <w:r>
              <w:rPr>
                <w:rFonts w:ascii="Arial" w:hAnsi="Arial" w:cs="Arial"/>
                <w:b/>
                <w:bCs/>
                <w:color w:val="000000"/>
              </w:rPr>
              <w:t>(pdf/online/MS word)</w:t>
            </w:r>
          </w:p>
          <w:p w14:paraId="10606409" w14:textId="013126FA" w:rsidR="006E143C" w:rsidRDefault="006E143C" w:rsidP="006E143C">
            <w:pPr>
              <w:spacing w:after="60" w:line="270" w:lineRule="atLeast"/>
              <w:rPr>
                <w:rFonts w:ascii="Arial" w:eastAsia="Times" w:hAnsi="Arial"/>
                <w:color w:val="000000" w:themeColor="text1"/>
              </w:rPr>
            </w:pPr>
            <w:r w:rsidRPr="006E143C">
              <w:rPr>
                <w:rFonts w:ascii="Arial" w:eastAsia="Times" w:hAnsi="Arial"/>
                <w:color w:val="000000" w:themeColor="text1"/>
              </w:rPr>
              <w:t xml:space="preserve">Available at </w:t>
            </w:r>
            <w:hyperlink r:id="rId16" w:history="1">
              <w:r w:rsidR="004B46A4" w:rsidRPr="00DC6556">
                <w:rPr>
                  <w:rStyle w:val="Hyperlink"/>
                  <w:rFonts w:ascii="Arial" w:eastAsia="Times" w:hAnsi="Arial"/>
                </w:rPr>
                <w:t>https://providers.dffh.vic.gov.au/public-housing-infrastructure-program-framework-and-funding-guidelines-2017-word</w:t>
              </w:r>
            </w:hyperlink>
          </w:p>
          <w:p w14:paraId="46CFA2B3" w14:textId="77777777" w:rsidR="004B46A4" w:rsidRPr="006E143C" w:rsidRDefault="004B46A4" w:rsidP="006E143C">
            <w:pPr>
              <w:spacing w:after="60" w:line="270" w:lineRule="atLeast"/>
              <w:rPr>
                <w:rFonts w:ascii="Arial" w:eastAsia="Times" w:hAnsi="Arial"/>
                <w:color w:val="000000" w:themeColor="text1"/>
              </w:rPr>
            </w:pPr>
          </w:p>
          <w:p w14:paraId="3F33C299" w14:textId="77777777" w:rsidR="006E143C" w:rsidRPr="006E143C" w:rsidRDefault="006E143C" w:rsidP="006E143C">
            <w:pPr>
              <w:spacing w:after="120" w:line="280" w:lineRule="atLeast"/>
              <w:ind w:left="-561"/>
              <w:rPr>
                <w:rFonts w:ascii="Arial" w:eastAsia="Times" w:hAnsi="Arial"/>
                <w:sz w:val="21"/>
              </w:rPr>
            </w:pPr>
          </w:p>
        </w:tc>
      </w:tr>
      <w:tr w:rsidR="006E143C" w:rsidRPr="006E143C" w14:paraId="5A0AEEAF" w14:textId="77777777" w:rsidTr="006E143C">
        <w:trPr>
          <w:cantSplit/>
          <w:trHeight w:val="5103"/>
        </w:trPr>
        <w:tc>
          <w:tcPr>
            <w:tcW w:w="9214" w:type="dxa"/>
            <w:gridSpan w:val="2"/>
            <w:vAlign w:val="bottom"/>
          </w:tcPr>
          <w:p w14:paraId="4FE255EE" w14:textId="77777777" w:rsidR="006E143C" w:rsidRDefault="006E143C" w:rsidP="006E143C">
            <w:pPr>
              <w:spacing w:after="120" w:line="280" w:lineRule="atLeast"/>
              <w:rPr>
                <w:rFonts w:ascii="Arial" w:eastAsia="Times" w:hAnsi="Arial"/>
                <w:sz w:val="21"/>
              </w:rPr>
            </w:pPr>
          </w:p>
          <w:p w14:paraId="6F1BC63B" w14:textId="77777777" w:rsidR="006E143C" w:rsidRDefault="006E143C" w:rsidP="006E143C">
            <w:pPr>
              <w:spacing w:after="120" w:line="280" w:lineRule="atLeast"/>
              <w:rPr>
                <w:rFonts w:ascii="Arial" w:eastAsia="Times" w:hAnsi="Arial"/>
                <w:sz w:val="21"/>
              </w:rPr>
            </w:pPr>
          </w:p>
          <w:p w14:paraId="28766A7A" w14:textId="77777777" w:rsidR="006E143C" w:rsidRDefault="006E143C" w:rsidP="006E143C">
            <w:pPr>
              <w:spacing w:after="120" w:line="280" w:lineRule="atLeast"/>
              <w:rPr>
                <w:rFonts w:ascii="Arial" w:eastAsia="Times" w:hAnsi="Arial"/>
                <w:sz w:val="21"/>
              </w:rPr>
            </w:pPr>
          </w:p>
          <w:p w14:paraId="5A1FBC48" w14:textId="77777777" w:rsidR="006E143C" w:rsidRDefault="006E143C" w:rsidP="006E143C">
            <w:pPr>
              <w:spacing w:after="120" w:line="280" w:lineRule="atLeast"/>
              <w:rPr>
                <w:rFonts w:ascii="Arial" w:eastAsia="Times" w:hAnsi="Arial"/>
                <w:sz w:val="21"/>
              </w:rPr>
            </w:pPr>
          </w:p>
          <w:p w14:paraId="6DBF8C9F" w14:textId="77777777" w:rsidR="006E143C" w:rsidRDefault="006E143C" w:rsidP="006E143C">
            <w:pPr>
              <w:spacing w:after="120" w:line="280" w:lineRule="atLeast"/>
              <w:rPr>
                <w:rFonts w:ascii="Arial" w:eastAsia="Times" w:hAnsi="Arial"/>
                <w:sz w:val="21"/>
              </w:rPr>
            </w:pPr>
          </w:p>
          <w:p w14:paraId="74193CED" w14:textId="77777777" w:rsidR="006E143C" w:rsidRDefault="006E143C" w:rsidP="006E143C">
            <w:pPr>
              <w:spacing w:after="120" w:line="280" w:lineRule="atLeast"/>
              <w:rPr>
                <w:rFonts w:ascii="Arial" w:eastAsia="Times" w:hAnsi="Arial"/>
                <w:sz w:val="21"/>
              </w:rPr>
            </w:pPr>
          </w:p>
          <w:p w14:paraId="3B9A953C" w14:textId="77777777" w:rsidR="006E143C" w:rsidRDefault="006E143C" w:rsidP="006E143C">
            <w:pPr>
              <w:spacing w:after="120" w:line="280" w:lineRule="atLeast"/>
              <w:rPr>
                <w:rFonts w:ascii="Arial" w:eastAsia="Times" w:hAnsi="Arial"/>
                <w:sz w:val="21"/>
              </w:rPr>
            </w:pPr>
          </w:p>
          <w:p w14:paraId="487AEA15" w14:textId="77777777" w:rsidR="006E143C" w:rsidRDefault="006E143C" w:rsidP="006E143C">
            <w:pPr>
              <w:spacing w:after="120" w:line="280" w:lineRule="atLeast"/>
              <w:rPr>
                <w:rFonts w:ascii="Arial" w:eastAsia="Times" w:hAnsi="Arial"/>
                <w:sz w:val="21"/>
              </w:rPr>
            </w:pPr>
          </w:p>
          <w:p w14:paraId="0F1472DC" w14:textId="77777777" w:rsidR="006E143C" w:rsidRDefault="006E143C" w:rsidP="006E143C">
            <w:pPr>
              <w:spacing w:after="120" w:line="280" w:lineRule="atLeast"/>
              <w:rPr>
                <w:rFonts w:ascii="Arial" w:eastAsia="Times" w:hAnsi="Arial"/>
                <w:sz w:val="21"/>
              </w:rPr>
            </w:pPr>
          </w:p>
          <w:p w14:paraId="426EB7A5" w14:textId="77777777" w:rsidR="006E143C" w:rsidRDefault="006E143C" w:rsidP="006E143C">
            <w:pPr>
              <w:spacing w:after="120" w:line="280" w:lineRule="atLeast"/>
              <w:rPr>
                <w:rFonts w:ascii="Arial" w:eastAsia="Times" w:hAnsi="Arial"/>
                <w:sz w:val="21"/>
              </w:rPr>
            </w:pPr>
          </w:p>
          <w:p w14:paraId="5BD01D8F" w14:textId="1E872A4E" w:rsidR="006E143C" w:rsidRPr="006E143C" w:rsidRDefault="006E143C" w:rsidP="006E143C">
            <w:pPr>
              <w:spacing w:after="120" w:line="280" w:lineRule="atLeast"/>
              <w:rPr>
                <w:rFonts w:ascii="Arial" w:eastAsia="Times" w:hAnsi="Arial"/>
                <w:sz w:val="21"/>
              </w:rPr>
            </w:pPr>
          </w:p>
        </w:tc>
      </w:tr>
    </w:tbl>
    <w:p w14:paraId="3C4C9D5C" w14:textId="77777777" w:rsidR="00091725" w:rsidRPr="00B57329" w:rsidRDefault="00091725" w:rsidP="00091725">
      <w:pPr>
        <w:pStyle w:val="TOCheadingreport"/>
      </w:pPr>
      <w:r w:rsidRPr="00B57329">
        <w:lastRenderedPageBreak/>
        <w:t>Contents</w:t>
      </w:r>
    </w:p>
    <w:sdt>
      <w:sdtPr>
        <w:rPr>
          <w:rFonts w:ascii="Cambria" w:hAnsi="Cambria"/>
          <w:b w:val="0"/>
          <w:noProof w:val="0"/>
        </w:rPr>
        <w:id w:val="1879743154"/>
        <w:docPartObj>
          <w:docPartGallery w:val="Table of Contents"/>
          <w:docPartUnique/>
        </w:docPartObj>
      </w:sdtPr>
      <w:sdtEndPr>
        <w:rPr>
          <w:bCs/>
        </w:rPr>
      </w:sdtEndPr>
      <w:sdtContent>
        <w:p w14:paraId="274B44F8" w14:textId="1BD42D1D" w:rsidR="007E2FA0" w:rsidRDefault="00EA0CC7">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94785360" w:history="1">
            <w:r w:rsidR="007E2FA0" w:rsidRPr="00F50126">
              <w:rPr>
                <w:rStyle w:val="Hyperlink"/>
                <w:rFonts w:eastAsia="MS Gothic" w:cs="Arial"/>
                <w:kern w:val="32"/>
              </w:rPr>
              <w:t>1. Introduction</w:t>
            </w:r>
            <w:r w:rsidR="007E2FA0">
              <w:rPr>
                <w:webHidden/>
              </w:rPr>
              <w:tab/>
            </w:r>
            <w:r w:rsidR="007E2FA0">
              <w:rPr>
                <w:webHidden/>
              </w:rPr>
              <w:fldChar w:fldCharType="begin"/>
            </w:r>
            <w:r w:rsidR="007E2FA0">
              <w:rPr>
                <w:webHidden/>
              </w:rPr>
              <w:instrText xml:space="preserve"> PAGEREF _Toc94785360 \h </w:instrText>
            </w:r>
            <w:r w:rsidR="007E2FA0">
              <w:rPr>
                <w:webHidden/>
              </w:rPr>
            </w:r>
            <w:r w:rsidR="007E2FA0">
              <w:rPr>
                <w:webHidden/>
              </w:rPr>
              <w:fldChar w:fldCharType="separate"/>
            </w:r>
            <w:r w:rsidR="007E2FA0">
              <w:rPr>
                <w:webHidden/>
              </w:rPr>
              <w:t>1</w:t>
            </w:r>
            <w:r w:rsidR="007E2FA0">
              <w:rPr>
                <w:webHidden/>
              </w:rPr>
              <w:fldChar w:fldCharType="end"/>
            </w:r>
          </w:hyperlink>
        </w:p>
        <w:p w14:paraId="0DA19EC3" w14:textId="66AA8DB6" w:rsidR="007E2FA0" w:rsidRDefault="004B46A4">
          <w:pPr>
            <w:pStyle w:val="TOC1"/>
            <w:rPr>
              <w:rFonts w:asciiTheme="minorHAnsi" w:eastAsiaTheme="minorEastAsia" w:hAnsiTheme="minorHAnsi" w:cstheme="minorBidi"/>
              <w:b w:val="0"/>
              <w:sz w:val="22"/>
              <w:szCs w:val="22"/>
              <w:lang w:eastAsia="en-AU"/>
            </w:rPr>
          </w:pPr>
          <w:hyperlink w:anchor="_Toc94785361" w:history="1">
            <w:r w:rsidR="007E2FA0" w:rsidRPr="00F50126">
              <w:rPr>
                <w:rStyle w:val="Hyperlink"/>
                <w:rFonts w:eastAsia="MS Gothic" w:cs="Arial"/>
                <w:kern w:val="32"/>
              </w:rPr>
              <w:t>2. Program supporting documents</w:t>
            </w:r>
            <w:r w:rsidR="007E2FA0">
              <w:rPr>
                <w:webHidden/>
              </w:rPr>
              <w:tab/>
            </w:r>
            <w:r w:rsidR="007E2FA0">
              <w:rPr>
                <w:webHidden/>
              </w:rPr>
              <w:fldChar w:fldCharType="begin"/>
            </w:r>
            <w:r w:rsidR="007E2FA0">
              <w:rPr>
                <w:webHidden/>
              </w:rPr>
              <w:instrText xml:space="preserve"> PAGEREF _Toc94785361 \h </w:instrText>
            </w:r>
            <w:r w:rsidR="007E2FA0">
              <w:rPr>
                <w:webHidden/>
              </w:rPr>
            </w:r>
            <w:r w:rsidR="007E2FA0">
              <w:rPr>
                <w:webHidden/>
              </w:rPr>
              <w:fldChar w:fldCharType="separate"/>
            </w:r>
            <w:r w:rsidR="007E2FA0">
              <w:rPr>
                <w:webHidden/>
              </w:rPr>
              <w:t>1</w:t>
            </w:r>
            <w:r w:rsidR="007E2FA0">
              <w:rPr>
                <w:webHidden/>
              </w:rPr>
              <w:fldChar w:fldCharType="end"/>
            </w:r>
          </w:hyperlink>
        </w:p>
        <w:p w14:paraId="0C5448F4" w14:textId="5482F15F" w:rsidR="007E2FA0" w:rsidRDefault="004B46A4">
          <w:pPr>
            <w:pStyle w:val="TOC1"/>
            <w:rPr>
              <w:rFonts w:asciiTheme="minorHAnsi" w:eastAsiaTheme="minorEastAsia" w:hAnsiTheme="minorHAnsi" w:cstheme="minorBidi"/>
              <w:b w:val="0"/>
              <w:sz w:val="22"/>
              <w:szCs w:val="22"/>
              <w:lang w:eastAsia="en-AU"/>
            </w:rPr>
          </w:pPr>
          <w:hyperlink w:anchor="_Toc94785362" w:history="1">
            <w:r w:rsidR="007E2FA0" w:rsidRPr="00F50126">
              <w:rPr>
                <w:rStyle w:val="Hyperlink"/>
                <w:rFonts w:eastAsia="MS Gothic" w:cs="Arial"/>
                <w:kern w:val="32"/>
              </w:rPr>
              <w:t>3</w:t>
            </w:r>
            <w:r w:rsidR="007E2FA0" w:rsidRPr="00F50126">
              <w:rPr>
                <w:rStyle w:val="Hyperlink"/>
              </w:rPr>
              <w:t xml:space="preserve">. </w:t>
            </w:r>
            <w:r w:rsidR="007E2FA0" w:rsidRPr="00F50126">
              <w:rPr>
                <w:rStyle w:val="Hyperlink"/>
                <w:rFonts w:eastAsia="MS Gothic" w:cs="Arial"/>
                <w:kern w:val="32"/>
              </w:rPr>
              <w:t>Public Housing Infrastructure Program funding and activities</w:t>
            </w:r>
            <w:r w:rsidR="007E2FA0">
              <w:rPr>
                <w:webHidden/>
              </w:rPr>
              <w:tab/>
            </w:r>
            <w:r w:rsidR="007E2FA0">
              <w:rPr>
                <w:webHidden/>
              </w:rPr>
              <w:fldChar w:fldCharType="begin"/>
            </w:r>
            <w:r w:rsidR="007E2FA0">
              <w:rPr>
                <w:webHidden/>
              </w:rPr>
              <w:instrText xml:space="preserve"> PAGEREF _Toc94785362 \h </w:instrText>
            </w:r>
            <w:r w:rsidR="007E2FA0">
              <w:rPr>
                <w:webHidden/>
              </w:rPr>
            </w:r>
            <w:r w:rsidR="007E2FA0">
              <w:rPr>
                <w:webHidden/>
              </w:rPr>
              <w:fldChar w:fldCharType="separate"/>
            </w:r>
            <w:r w:rsidR="007E2FA0">
              <w:rPr>
                <w:webHidden/>
              </w:rPr>
              <w:t>2</w:t>
            </w:r>
            <w:r w:rsidR="007E2FA0">
              <w:rPr>
                <w:webHidden/>
              </w:rPr>
              <w:fldChar w:fldCharType="end"/>
            </w:r>
          </w:hyperlink>
        </w:p>
        <w:p w14:paraId="187F6F44" w14:textId="43034A5F" w:rsidR="007E2FA0" w:rsidRDefault="004B46A4">
          <w:pPr>
            <w:pStyle w:val="TOC2"/>
            <w:rPr>
              <w:rFonts w:asciiTheme="minorHAnsi" w:eastAsiaTheme="minorEastAsia" w:hAnsiTheme="minorHAnsi" w:cstheme="minorBidi"/>
              <w:sz w:val="22"/>
              <w:szCs w:val="22"/>
              <w:lang w:eastAsia="en-AU"/>
            </w:rPr>
          </w:pPr>
          <w:hyperlink w:anchor="_Toc94785363" w:history="1">
            <w:r w:rsidR="007E2FA0" w:rsidRPr="00F50126">
              <w:rPr>
                <w:rStyle w:val="Hyperlink"/>
              </w:rPr>
              <w:t>3.1   Activity 91423 – Housing Advocacy and Support - Advocacy</w:t>
            </w:r>
            <w:r w:rsidR="007E2FA0">
              <w:rPr>
                <w:webHidden/>
              </w:rPr>
              <w:tab/>
            </w:r>
            <w:r w:rsidR="007E2FA0">
              <w:rPr>
                <w:webHidden/>
              </w:rPr>
              <w:fldChar w:fldCharType="begin"/>
            </w:r>
            <w:r w:rsidR="007E2FA0">
              <w:rPr>
                <w:webHidden/>
              </w:rPr>
              <w:instrText xml:space="preserve"> PAGEREF _Toc94785363 \h </w:instrText>
            </w:r>
            <w:r w:rsidR="007E2FA0">
              <w:rPr>
                <w:webHidden/>
              </w:rPr>
            </w:r>
            <w:r w:rsidR="007E2FA0">
              <w:rPr>
                <w:webHidden/>
              </w:rPr>
              <w:fldChar w:fldCharType="separate"/>
            </w:r>
            <w:r w:rsidR="007E2FA0">
              <w:rPr>
                <w:webHidden/>
              </w:rPr>
              <w:t>2</w:t>
            </w:r>
            <w:r w:rsidR="007E2FA0">
              <w:rPr>
                <w:webHidden/>
              </w:rPr>
              <w:fldChar w:fldCharType="end"/>
            </w:r>
          </w:hyperlink>
        </w:p>
        <w:p w14:paraId="6BDC4723" w14:textId="73088B9F" w:rsidR="007E2FA0" w:rsidRDefault="004B46A4">
          <w:pPr>
            <w:pStyle w:val="TOC2"/>
            <w:rPr>
              <w:rFonts w:asciiTheme="minorHAnsi" w:eastAsiaTheme="minorEastAsia" w:hAnsiTheme="minorHAnsi" w:cstheme="minorBidi"/>
              <w:sz w:val="22"/>
              <w:szCs w:val="22"/>
              <w:lang w:eastAsia="en-AU"/>
            </w:rPr>
          </w:pPr>
          <w:hyperlink w:anchor="_Toc94785364" w:history="1">
            <w:r w:rsidR="007E2FA0" w:rsidRPr="00F50126">
              <w:rPr>
                <w:rStyle w:val="Hyperlink"/>
              </w:rPr>
              <w:t>3.2   Activity 91424 – Housing Advocacy and Support – Establish successful tenancies and Intervene when tenancies are at risk</w:t>
            </w:r>
            <w:r w:rsidR="007E2FA0">
              <w:rPr>
                <w:webHidden/>
              </w:rPr>
              <w:tab/>
            </w:r>
            <w:r w:rsidR="007E2FA0">
              <w:rPr>
                <w:webHidden/>
              </w:rPr>
              <w:fldChar w:fldCharType="begin"/>
            </w:r>
            <w:r w:rsidR="007E2FA0">
              <w:rPr>
                <w:webHidden/>
              </w:rPr>
              <w:instrText xml:space="preserve"> PAGEREF _Toc94785364 \h </w:instrText>
            </w:r>
            <w:r w:rsidR="007E2FA0">
              <w:rPr>
                <w:webHidden/>
              </w:rPr>
            </w:r>
            <w:r w:rsidR="007E2FA0">
              <w:rPr>
                <w:webHidden/>
              </w:rPr>
              <w:fldChar w:fldCharType="separate"/>
            </w:r>
            <w:r w:rsidR="007E2FA0">
              <w:rPr>
                <w:webHidden/>
              </w:rPr>
              <w:t>2</w:t>
            </w:r>
            <w:r w:rsidR="007E2FA0">
              <w:rPr>
                <w:webHidden/>
              </w:rPr>
              <w:fldChar w:fldCharType="end"/>
            </w:r>
          </w:hyperlink>
        </w:p>
        <w:p w14:paraId="7CA1F5D5" w14:textId="30B6BEA5" w:rsidR="007E2FA0" w:rsidRDefault="004B46A4" w:rsidP="007E2FA0">
          <w:pPr>
            <w:pStyle w:val="TOC2"/>
            <w:rPr>
              <w:rFonts w:asciiTheme="minorHAnsi" w:eastAsiaTheme="minorEastAsia" w:hAnsiTheme="minorHAnsi" w:cstheme="minorBidi"/>
              <w:sz w:val="22"/>
              <w:szCs w:val="22"/>
              <w:lang w:eastAsia="en-AU"/>
            </w:rPr>
          </w:pPr>
          <w:hyperlink w:anchor="_Toc94785365" w:history="1">
            <w:r w:rsidR="007E2FA0" w:rsidRPr="00F50126">
              <w:rPr>
                <w:rStyle w:val="Hyperlink"/>
              </w:rPr>
              <w:t>3.3   Activity 91425 – Housing advocacy and support - secondary advice</w:t>
            </w:r>
            <w:r w:rsidR="007E2FA0">
              <w:rPr>
                <w:webHidden/>
              </w:rPr>
              <w:tab/>
            </w:r>
            <w:r w:rsidR="007E2FA0">
              <w:rPr>
                <w:webHidden/>
              </w:rPr>
              <w:fldChar w:fldCharType="begin"/>
            </w:r>
            <w:r w:rsidR="007E2FA0">
              <w:rPr>
                <w:webHidden/>
              </w:rPr>
              <w:instrText xml:space="preserve"> PAGEREF _Toc94785365 \h </w:instrText>
            </w:r>
            <w:r w:rsidR="007E2FA0">
              <w:rPr>
                <w:webHidden/>
              </w:rPr>
            </w:r>
            <w:r w:rsidR="007E2FA0">
              <w:rPr>
                <w:webHidden/>
              </w:rPr>
              <w:fldChar w:fldCharType="separate"/>
            </w:r>
            <w:r w:rsidR="007E2FA0">
              <w:rPr>
                <w:webHidden/>
              </w:rPr>
              <w:t>2</w:t>
            </w:r>
            <w:r w:rsidR="007E2FA0">
              <w:rPr>
                <w:webHidden/>
              </w:rPr>
              <w:fldChar w:fldCharType="end"/>
            </w:r>
          </w:hyperlink>
        </w:p>
        <w:p w14:paraId="6C60F0C6" w14:textId="67B5FC07" w:rsidR="007E2FA0" w:rsidRDefault="004B46A4">
          <w:pPr>
            <w:pStyle w:val="TOC2"/>
            <w:tabs>
              <w:tab w:val="left" w:pos="567"/>
            </w:tabs>
            <w:rPr>
              <w:rFonts w:asciiTheme="minorHAnsi" w:eastAsiaTheme="minorEastAsia" w:hAnsiTheme="minorHAnsi" w:cstheme="minorBidi"/>
              <w:sz w:val="22"/>
              <w:szCs w:val="22"/>
              <w:lang w:eastAsia="en-AU"/>
            </w:rPr>
          </w:pPr>
          <w:hyperlink w:anchor="_Toc94785366" w:history="1">
            <w:r w:rsidR="007E2FA0" w:rsidRPr="00F50126">
              <w:rPr>
                <w:rStyle w:val="Hyperlink"/>
              </w:rPr>
              <w:t>3.4</w:t>
            </w:r>
            <w:r w:rsidR="007E2FA0">
              <w:rPr>
                <w:rStyle w:val="Hyperlink"/>
              </w:rPr>
              <w:t xml:space="preserve">   </w:t>
            </w:r>
            <w:r w:rsidR="007E2FA0" w:rsidRPr="00F50126">
              <w:rPr>
                <w:rStyle w:val="Hyperlink"/>
              </w:rPr>
              <w:t>Activity 91426 – Housing advocacy and support - legal tenancy advice</w:t>
            </w:r>
            <w:r w:rsidR="007E2FA0">
              <w:rPr>
                <w:webHidden/>
              </w:rPr>
              <w:tab/>
            </w:r>
            <w:r w:rsidR="007E2FA0">
              <w:rPr>
                <w:webHidden/>
              </w:rPr>
              <w:fldChar w:fldCharType="begin"/>
            </w:r>
            <w:r w:rsidR="007E2FA0">
              <w:rPr>
                <w:webHidden/>
              </w:rPr>
              <w:instrText xml:space="preserve"> PAGEREF _Toc94785366 \h </w:instrText>
            </w:r>
            <w:r w:rsidR="007E2FA0">
              <w:rPr>
                <w:webHidden/>
              </w:rPr>
            </w:r>
            <w:r w:rsidR="007E2FA0">
              <w:rPr>
                <w:webHidden/>
              </w:rPr>
              <w:fldChar w:fldCharType="separate"/>
            </w:r>
            <w:r w:rsidR="007E2FA0">
              <w:rPr>
                <w:webHidden/>
              </w:rPr>
              <w:t>2</w:t>
            </w:r>
            <w:r w:rsidR="007E2FA0">
              <w:rPr>
                <w:webHidden/>
              </w:rPr>
              <w:fldChar w:fldCharType="end"/>
            </w:r>
          </w:hyperlink>
        </w:p>
        <w:p w14:paraId="5E01DAA2" w14:textId="0C3B3686" w:rsidR="007E2FA0" w:rsidRDefault="004B46A4">
          <w:pPr>
            <w:pStyle w:val="TOC2"/>
            <w:tabs>
              <w:tab w:val="left" w:pos="567"/>
            </w:tabs>
            <w:rPr>
              <w:rFonts w:asciiTheme="minorHAnsi" w:eastAsiaTheme="minorEastAsia" w:hAnsiTheme="minorHAnsi" w:cstheme="minorBidi"/>
              <w:sz w:val="22"/>
              <w:szCs w:val="22"/>
              <w:lang w:eastAsia="en-AU"/>
            </w:rPr>
          </w:pPr>
          <w:hyperlink w:anchor="_Toc94785367" w:history="1">
            <w:r w:rsidR="007E2FA0" w:rsidRPr="00F50126">
              <w:rPr>
                <w:rStyle w:val="Hyperlink"/>
              </w:rPr>
              <w:t>3.5</w:t>
            </w:r>
            <w:r w:rsidR="007E2FA0">
              <w:rPr>
                <w:rStyle w:val="Hyperlink"/>
              </w:rPr>
              <w:t xml:space="preserve">   </w:t>
            </w:r>
            <w:r w:rsidR="007E2FA0" w:rsidRPr="00F50126">
              <w:rPr>
                <w:rStyle w:val="Hyperlink"/>
              </w:rPr>
              <w:t>Activity 91427 – Housing advocacy and support - phone service</w:t>
            </w:r>
            <w:r w:rsidR="007E2FA0">
              <w:rPr>
                <w:webHidden/>
              </w:rPr>
              <w:tab/>
            </w:r>
            <w:r w:rsidR="007E2FA0">
              <w:rPr>
                <w:webHidden/>
              </w:rPr>
              <w:fldChar w:fldCharType="begin"/>
            </w:r>
            <w:r w:rsidR="007E2FA0">
              <w:rPr>
                <w:webHidden/>
              </w:rPr>
              <w:instrText xml:space="preserve"> PAGEREF _Toc94785367 \h </w:instrText>
            </w:r>
            <w:r w:rsidR="007E2FA0">
              <w:rPr>
                <w:webHidden/>
              </w:rPr>
            </w:r>
            <w:r w:rsidR="007E2FA0">
              <w:rPr>
                <w:webHidden/>
              </w:rPr>
              <w:fldChar w:fldCharType="separate"/>
            </w:r>
            <w:r w:rsidR="007E2FA0">
              <w:rPr>
                <w:webHidden/>
              </w:rPr>
              <w:t>3</w:t>
            </w:r>
            <w:r w:rsidR="007E2FA0">
              <w:rPr>
                <w:webHidden/>
              </w:rPr>
              <w:fldChar w:fldCharType="end"/>
            </w:r>
          </w:hyperlink>
        </w:p>
        <w:p w14:paraId="082D58B0" w14:textId="5A606A3C" w:rsidR="007E2FA0" w:rsidRDefault="004B46A4">
          <w:pPr>
            <w:pStyle w:val="TOC2"/>
            <w:tabs>
              <w:tab w:val="left" w:pos="567"/>
            </w:tabs>
            <w:rPr>
              <w:rFonts w:asciiTheme="minorHAnsi" w:eastAsiaTheme="minorEastAsia" w:hAnsiTheme="minorHAnsi" w:cstheme="minorBidi"/>
              <w:sz w:val="22"/>
              <w:szCs w:val="22"/>
              <w:lang w:eastAsia="en-AU"/>
            </w:rPr>
          </w:pPr>
          <w:hyperlink w:anchor="_Toc94785368" w:history="1">
            <w:r w:rsidR="007E2FA0" w:rsidRPr="00F50126">
              <w:rPr>
                <w:rStyle w:val="Hyperlink"/>
              </w:rPr>
              <w:t>3.6</w:t>
            </w:r>
            <w:r w:rsidR="007E2FA0">
              <w:rPr>
                <w:rStyle w:val="Hyperlink"/>
              </w:rPr>
              <w:t xml:space="preserve">   </w:t>
            </w:r>
            <w:r w:rsidR="007E2FA0" w:rsidRPr="00F50126">
              <w:rPr>
                <w:rStyle w:val="Hyperlink"/>
              </w:rPr>
              <w:t>Activity 91431 - Housing infrastructure tenant participation</w:t>
            </w:r>
            <w:r w:rsidR="007E2FA0">
              <w:rPr>
                <w:webHidden/>
              </w:rPr>
              <w:tab/>
            </w:r>
            <w:r w:rsidR="007E2FA0">
              <w:rPr>
                <w:webHidden/>
              </w:rPr>
              <w:fldChar w:fldCharType="begin"/>
            </w:r>
            <w:r w:rsidR="007E2FA0">
              <w:rPr>
                <w:webHidden/>
              </w:rPr>
              <w:instrText xml:space="preserve"> PAGEREF _Toc94785368 \h </w:instrText>
            </w:r>
            <w:r w:rsidR="007E2FA0">
              <w:rPr>
                <w:webHidden/>
              </w:rPr>
            </w:r>
            <w:r w:rsidR="007E2FA0">
              <w:rPr>
                <w:webHidden/>
              </w:rPr>
              <w:fldChar w:fldCharType="separate"/>
            </w:r>
            <w:r w:rsidR="007E2FA0">
              <w:rPr>
                <w:webHidden/>
              </w:rPr>
              <w:t>3</w:t>
            </w:r>
            <w:r w:rsidR="007E2FA0">
              <w:rPr>
                <w:webHidden/>
              </w:rPr>
              <w:fldChar w:fldCharType="end"/>
            </w:r>
          </w:hyperlink>
        </w:p>
        <w:p w14:paraId="4EB017A0" w14:textId="2F39047D" w:rsidR="007E2FA0" w:rsidRDefault="004B46A4">
          <w:pPr>
            <w:pStyle w:val="TOC2"/>
            <w:tabs>
              <w:tab w:val="left" w:pos="567"/>
            </w:tabs>
            <w:rPr>
              <w:rFonts w:asciiTheme="minorHAnsi" w:eastAsiaTheme="minorEastAsia" w:hAnsiTheme="minorHAnsi" w:cstheme="minorBidi"/>
              <w:sz w:val="22"/>
              <w:szCs w:val="22"/>
              <w:lang w:eastAsia="en-AU"/>
            </w:rPr>
          </w:pPr>
          <w:hyperlink w:anchor="_Toc94785369" w:history="1">
            <w:r w:rsidR="007E2FA0" w:rsidRPr="00F50126">
              <w:rPr>
                <w:rStyle w:val="Hyperlink"/>
              </w:rPr>
              <w:t>3.7</w:t>
            </w:r>
            <w:r w:rsidR="007E2FA0">
              <w:rPr>
                <w:rStyle w:val="Hyperlink"/>
              </w:rPr>
              <w:t xml:space="preserve">   </w:t>
            </w:r>
            <w:r w:rsidR="007E2FA0" w:rsidRPr="00F50126">
              <w:rPr>
                <w:rStyle w:val="Hyperlink"/>
              </w:rPr>
              <w:t>Activity 91432 - Housing infrastructure tenant participation - support to tenant groups</w:t>
            </w:r>
            <w:r w:rsidR="007E2FA0">
              <w:rPr>
                <w:webHidden/>
              </w:rPr>
              <w:tab/>
            </w:r>
            <w:r w:rsidR="007E2FA0">
              <w:rPr>
                <w:webHidden/>
              </w:rPr>
              <w:fldChar w:fldCharType="begin"/>
            </w:r>
            <w:r w:rsidR="007E2FA0">
              <w:rPr>
                <w:webHidden/>
              </w:rPr>
              <w:instrText xml:space="preserve"> PAGEREF _Toc94785369 \h </w:instrText>
            </w:r>
            <w:r w:rsidR="007E2FA0">
              <w:rPr>
                <w:webHidden/>
              </w:rPr>
            </w:r>
            <w:r w:rsidR="007E2FA0">
              <w:rPr>
                <w:webHidden/>
              </w:rPr>
              <w:fldChar w:fldCharType="separate"/>
            </w:r>
            <w:r w:rsidR="007E2FA0">
              <w:rPr>
                <w:webHidden/>
              </w:rPr>
              <w:t>3</w:t>
            </w:r>
            <w:r w:rsidR="007E2FA0">
              <w:rPr>
                <w:webHidden/>
              </w:rPr>
              <w:fldChar w:fldCharType="end"/>
            </w:r>
          </w:hyperlink>
        </w:p>
        <w:p w14:paraId="54873E19" w14:textId="71EAE196" w:rsidR="007E2FA0" w:rsidRDefault="004B46A4">
          <w:pPr>
            <w:pStyle w:val="TOC2"/>
            <w:rPr>
              <w:rFonts w:asciiTheme="minorHAnsi" w:eastAsiaTheme="minorEastAsia" w:hAnsiTheme="minorHAnsi" w:cstheme="minorBidi"/>
              <w:sz w:val="22"/>
              <w:szCs w:val="22"/>
              <w:lang w:eastAsia="en-AU"/>
            </w:rPr>
          </w:pPr>
          <w:hyperlink w:anchor="_Toc94785370" w:history="1">
            <w:r w:rsidR="007E2FA0" w:rsidRPr="00F50126">
              <w:rPr>
                <w:rStyle w:val="Hyperlink"/>
              </w:rPr>
              <w:t>3.8   Activity 91451 - Housing infrastructure - resources</w:t>
            </w:r>
            <w:r w:rsidR="007E2FA0">
              <w:rPr>
                <w:webHidden/>
              </w:rPr>
              <w:tab/>
            </w:r>
            <w:r w:rsidR="007E2FA0">
              <w:rPr>
                <w:webHidden/>
              </w:rPr>
              <w:fldChar w:fldCharType="begin"/>
            </w:r>
            <w:r w:rsidR="007E2FA0">
              <w:rPr>
                <w:webHidden/>
              </w:rPr>
              <w:instrText xml:space="preserve"> PAGEREF _Toc94785370 \h </w:instrText>
            </w:r>
            <w:r w:rsidR="007E2FA0">
              <w:rPr>
                <w:webHidden/>
              </w:rPr>
            </w:r>
            <w:r w:rsidR="007E2FA0">
              <w:rPr>
                <w:webHidden/>
              </w:rPr>
              <w:fldChar w:fldCharType="separate"/>
            </w:r>
            <w:r w:rsidR="007E2FA0">
              <w:rPr>
                <w:webHidden/>
              </w:rPr>
              <w:t>3</w:t>
            </w:r>
            <w:r w:rsidR="007E2FA0">
              <w:rPr>
                <w:webHidden/>
              </w:rPr>
              <w:fldChar w:fldCharType="end"/>
            </w:r>
          </w:hyperlink>
        </w:p>
        <w:p w14:paraId="63663147" w14:textId="0817CAE2" w:rsidR="007E2FA0" w:rsidRDefault="004B46A4">
          <w:pPr>
            <w:pStyle w:val="TOC2"/>
            <w:rPr>
              <w:rFonts w:asciiTheme="minorHAnsi" w:eastAsiaTheme="minorEastAsia" w:hAnsiTheme="minorHAnsi" w:cstheme="minorBidi"/>
              <w:sz w:val="22"/>
              <w:szCs w:val="22"/>
              <w:lang w:eastAsia="en-AU"/>
            </w:rPr>
          </w:pPr>
          <w:hyperlink w:anchor="_Toc94785371" w:history="1">
            <w:r w:rsidR="007E2FA0" w:rsidRPr="00F50126">
              <w:rPr>
                <w:rStyle w:val="Hyperlink"/>
              </w:rPr>
              <w:t>3.9   Activity 91452 - Housing infrastructure - training</w:t>
            </w:r>
            <w:r w:rsidR="007E2FA0">
              <w:rPr>
                <w:webHidden/>
              </w:rPr>
              <w:tab/>
            </w:r>
            <w:r w:rsidR="007E2FA0">
              <w:rPr>
                <w:webHidden/>
              </w:rPr>
              <w:fldChar w:fldCharType="begin"/>
            </w:r>
            <w:r w:rsidR="007E2FA0">
              <w:rPr>
                <w:webHidden/>
              </w:rPr>
              <w:instrText xml:space="preserve"> PAGEREF _Toc94785371 \h </w:instrText>
            </w:r>
            <w:r w:rsidR="007E2FA0">
              <w:rPr>
                <w:webHidden/>
              </w:rPr>
            </w:r>
            <w:r w:rsidR="007E2FA0">
              <w:rPr>
                <w:webHidden/>
              </w:rPr>
              <w:fldChar w:fldCharType="separate"/>
            </w:r>
            <w:r w:rsidR="007E2FA0">
              <w:rPr>
                <w:webHidden/>
              </w:rPr>
              <w:t>3</w:t>
            </w:r>
            <w:r w:rsidR="007E2FA0">
              <w:rPr>
                <w:webHidden/>
              </w:rPr>
              <w:fldChar w:fldCharType="end"/>
            </w:r>
          </w:hyperlink>
        </w:p>
        <w:p w14:paraId="627D55B8" w14:textId="699FB608" w:rsidR="007E2FA0" w:rsidRDefault="004B46A4">
          <w:pPr>
            <w:pStyle w:val="TOC2"/>
            <w:rPr>
              <w:rFonts w:asciiTheme="minorHAnsi" w:eastAsiaTheme="minorEastAsia" w:hAnsiTheme="minorHAnsi" w:cstheme="minorBidi"/>
              <w:sz w:val="22"/>
              <w:szCs w:val="22"/>
              <w:lang w:eastAsia="en-AU"/>
            </w:rPr>
          </w:pPr>
          <w:hyperlink w:anchor="_Toc94785372" w:history="1">
            <w:r w:rsidR="007E2FA0" w:rsidRPr="00F50126">
              <w:rPr>
                <w:rStyle w:val="Hyperlink"/>
              </w:rPr>
              <w:t>3.10 Activity 91454 - Housing infrastructure - garden management</w:t>
            </w:r>
            <w:r w:rsidR="007E2FA0">
              <w:rPr>
                <w:webHidden/>
              </w:rPr>
              <w:tab/>
            </w:r>
            <w:r w:rsidR="007E2FA0">
              <w:rPr>
                <w:webHidden/>
              </w:rPr>
              <w:fldChar w:fldCharType="begin"/>
            </w:r>
            <w:r w:rsidR="007E2FA0">
              <w:rPr>
                <w:webHidden/>
              </w:rPr>
              <w:instrText xml:space="preserve"> PAGEREF _Toc94785372 \h </w:instrText>
            </w:r>
            <w:r w:rsidR="007E2FA0">
              <w:rPr>
                <w:webHidden/>
              </w:rPr>
            </w:r>
            <w:r w:rsidR="007E2FA0">
              <w:rPr>
                <w:webHidden/>
              </w:rPr>
              <w:fldChar w:fldCharType="separate"/>
            </w:r>
            <w:r w:rsidR="007E2FA0">
              <w:rPr>
                <w:webHidden/>
              </w:rPr>
              <w:t>4</w:t>
            </w:r>
            <w:r w:rsidR="007E2FA0">
              <w:rPr>
                <w:webHidden/>
              </w:rPr>
              <w:fldChar w:fldCharType="end"/>
            </w:r>
          </w:hyperlink>
        </w:p>
        <w:p w14:paraId="7D4E6761" w14:textId="35995769" w:rsidR="007E2FA0" w:rsidRDefault="004B46A4">
          <w:pPr>
            <w:pStyle w:val="TOC2"/>
            <w:rPr>
              <w:rFonts w:asciiTheme="minorHAnsi" w:eastAsiaTheme="minorEastAsia" w:hAnsiTheme="minorHAnsi" w:cstheme="minorBidi"/>
              <w:sz w:val="22"/>
              <w:szCs w:val="22"/>
              <w:lang w:eastAsia="en-AU"/>
            </w:rPr>
          </w:pPr>
          <w:hyperlink w:anchor="_Toc94785373" w:history="1">
            <w:r w:rsidR="007E2FA0" w:rsidRPr="00F50126">
              <w:rPr>
                <w:rStyle w:val="Hyperlink"/>
              </w:rPr>
              <w:t>3.11 Activity 91455 - Housing infrastructure - education services</w:t>
            </w:r>
            <w:r w:rsidR="007E2FA0">
              <w:rPr>
                <w:webHidden/>
              </w:rPr>
              <w:tab/>
            </w:r>
            <w:r w:rsidR="007E2FA0">
              <w:rPr>
                <w:webHidden/>
              </w:rPr>
              <w:fldChar w:fldCharType="begin"/>
            </w:r>
            <w:r w:rsidR="007E2FA0">
              <w:rPr>
                <w:webHidden/>
              </w:rPr>
              <w:instrText xml:space="preserve"> PAGEREF _Toc94785373 \h </w:instrText>
            </w:r>
            <w:r w:rsidR="007E2FA0">
              <w:rPr>
                <w:webHidden/>
              </w:rPr>
            </w:r>
            <w:r w:rsidR="007E2FA0">
              <w:rPr>
                <w:webHidden/>
              </w:rPr>
              <w:fldChar w:fldCharType="separate"/>
            </w:r>
            <w:r w:rsidR="007E2FA0">
              <w:rPr>
                <w:webHidden/>
              </w:rPr>
              <w:t>4</w:t>
            </w:r>
            <w:r w:rsidR="007E2FA0">
              <w:rPr>
                <w:webHidden/>
              </w:rPr>
              <w:fldChar w:fldCharType="end"/>
            </w:r>
          </w:hyperlink>
        </w:p>
        <w:p w14:paraId="43E0F7E3" w14:textId="0B5C00F5" w:rsidR="007E2FA0" w:rsidRDefault="004B46A4">
          <w:pPr>
            <w:pStyle w:val="TOC2"/>
            <w:rPr>
              <w:rFonts w:asciiTheme="minorHAnsi" w:eastAsiaTheme="minorEastAsia" w:hAnsiTheme="minorHAnsi" w:cstheme="minorBidi"/>
              <w:sz w:val="22"/>
              <w:szCs w:val="22"/>
              <w:lang w:eastAsia="en-AU"/>
            </w:rPr>
          </w:pPr>
          <w:hyperlink w:anchor="_Toc94785374" w:history="1">
            <w:r w:rsidR="007E2FA0" w:rsidRPr="00F50126">
              <w:rPr>
                <w:rStyle w:val="Hyperlink"/>
              </w:rPr>
              <w:t>3.12 Activity 91456 – Housing infrastructure – community support service</w:t>
            </w:r>
            <w:r w:rsidR="007E2FA0">
              <w:rPr>
                <w:webHidden/>
              </w:rPr>
              <w:tab/>
            </w:r>
            <w:r w:rsidR="007E2FA0">
              <w:rPr>
                <w:webHidden/>
              </w:rPr>
              <w:fldChar w:fldCharType="begin"/>
            </w:r>
            <w:r w:rsidR="007E2FA0">
              <w:rPr>
                <w:webHidden/>
              </w:rPr>
              <w:instrText xml:space="preserve"> PAGEREF _Toc94785374 \h </w:instrText>
            </w:r>
            <w:r w:rsidR="007E2FA0">
              <w:rPr>
                <w:webHidden/>
              </w:rPr>
            </w:r>
            <w:r w:rsidR="007E2FA0">
              <w:rPr>
                <w:webHidden/>
              </w:rPr>
              <w:fldChar w:fldCharType="separate"/>
            </w:r>
            <w:r w:rsidR="007E2FA0">
              <w:rPr>
                <w:webHidden/>
              </w:rPr>
              <w:t>4</w:t>
            </w:r>
            <w:r w:rsidR="007E2FA0">
              <w:rPr>
                <w:webHidden/>
              </w:rPr>
              <w:fldChar w:fldCharType="end"/>
            </w:r>
          </w:hyperlink>
        </w:p>
        <w:p w14:paraId="28929EDA" w14:textId="5F7150EB" w:rsidR="007E2FA0" w:rsidRDefault="004B46A4">
          <w:pPr>
            <w:pStyle w:val="TOC1"/>
            <w:rPr>
              <w:rFonts w:asciiTheme="minorHAnsi" w:eastAsiaTheme="minorEastAsia" w:hAnsiTheme="minorHAnsi" w:cstheme="minorBidi"/>
              <w:b w:val="0"/>
              <w:sz w:val="22"/>
              <w:szCs w:val="22"/>
              <w:lang w:eastAsia="en-AU"/>
            </w:rPr>
          </w:pPr>
          <w:hyperlink w:anchor="_Toc94785375" w:history="1">
            <w:r w:rsidR="007E2FA0" w:rsidRPr="00F50126">
              <w:rPr>
                <w:rStyle w:val="Hyperlink"/>
                <w:rFonts w:eastAsia="MS Gothic" w:cs="Arial"/>
                <w:kern w:val="32"/>
              </w:rPr>
              <w:t>4.</w:t>
            </w:r>
            <w:r w:rsidR="007E2FA0" w:rsidRPr="00F50126">
              <w:rPr>
                <w:rStyle w:val="Hyperlink"/>
              </w:rPr>
              <w:t xml:space="preserve"> </w:t>
            </w:r>
            <w:r w:rsidR="007E2FA0" w:rsidRPr="00F50126">
              <w:rPr>
                <w:rStyle w:val="Hyperlink"/>
                <w:rFonts w:eastAsia="MS Gothic" w:cs="Arial"/>
                <w:kern w:val="32"/>
              </w:rPr>
              <w:t>Public Housing Infrastructure Program framework</w:t>
            </w:r>
            <w:r w:rsidR="007E2FA0">
              <w:rPr>
                <w:webHidden/>
              </w:rPr>
              <w:tab/>
            </w:r>
            <w:r w:rsidR="007E2FA0">
              <w:rPr>
                <w:webHidden/>
              </w:rPr>
              <w:fldChar w:fldCharType="begin"/>
            </w:r>
            <w:r w:rsidR="007E2FA0">
              <w:rPr>
                <w:webHidden/>
              </w:rPr>
              <w:instrText xml:space="preserve"> PAGEREF _Toc94785375 \h </w:instrText>
            </w:r>
            <w:r w:rsidR="007E2FA0">
              <w:rPr>
                <w:webHidden/>
              </w:rPr>
            </w:r>
            <w:r w:rsidR="007E2FA0">
              <w:rPr>
                <w:webHidden/>
              </w:rPr>
              <w:fldChar w:fldCharType="separate"/>
            </w:r>
            <w:r w:rsidR="007E2FA0">
              <w:rPr>
                <w:webHidden/>
              </w:rPr>
              <w:t>4</w:t>
            </w:r>
            <w:r w:rsidR="007E2FA0">
              <w:rPr>
                <w:webHidden/>
              </w:rPr>
              <w:fldChar w:fldCharType="end"/>
            </w:r>
          </w:hyperlink>
        </w:p>
        <w:p w14:paraId="1BE4CD71" w14:textId="5DFB3B4A" w:rsidR="007E2FA0" w:rsidRDefault="004B46A4">
          <w:pPr>
            <w:pStyle w:val="TOC2"/>
            <w:tabs>
              <w:tab w:val="left" w:pos="567"/>
            </w:tabs>
            <w:rPr>
              <w:rFonts w:asciiTheme="minorHAnsi" w:eastAsiaTheme="minorEastAsia" w:hAnsiTheme="minorHAnsi" w:cstheme="minorBidi"/>
              <w:sz w:val="22"/>
              <w:szCs w:val="22"/>
              <w:lang w:eastAsia="en-AU"/>
            </w:rPr>
          </w:pPr>
          <w:hyperlink w:anchor="_Toc94785376" w:history="1">
            <w:r w:rsidR="007E2FA0" w:rsidRPr="00F50126">
              <w:rPr>
                <w:rStyle w:val="Hyperlink"/>
              </w:rPr>
              <w:t>4.1</w:t>
            </w:r>
            <w:r w:rsidR="007E2FA0">
              <w:rPr>
                <w:rFonts w:asciiTheme="minorHAnsi" w:eastAsiaTheme="minorEastAsia" w:hAnsiTheme="minorHAnsi" w:cstheme="minorBidi"/>
                <w:sz w:val="22"/>
                <w:szCs w:val="22"/>
                <w:lang w:eastAsia="en-AU"/>
              </w:rPr>
              <w:t xml:space="preserve">   </w:t>
            </w:r>
            <w:r w:rsidR="007E2FA0" w:rsidRPr="00F50126">
              <w:rPr>
                <w:rStyle w:val="Hyperlink"/>
              </w:rPr>
              <w:t>The Public Housing Infrastructure Program</w:t>
            </w:r>
            <w:r w:rsidR="007E2FA0">
              <w:rPr>
                <w:webHidden/>
              </w:rPr>
              <w:tab/>
            </w:r>
            <w:r w:rsidR="007E2FA0">
              <w:rPr>
                <w:webHidden/>
              </w:rPr>
              <w:fldChar w:fldCharType="begin"/>
            </w:r>
            <w:r w:rsidR="007E2FA0">
              <w:rPr>
                <w:webHidden/>
              </w:rPr>
              <w:instrText xml:space="preserve"> PAGEREF _Toc94785376 \h </w:instrText>
            </w:r>
            <w:r w:rsidR="007E2FA0">
              <w:rPr>
                <w:webHidden/>
              </w:rPr>
            </w:r>
            <w:r w:rsidR="007E2FA0">
              <w:rPr>
                <w:webHidden/>
              </w:rPr>
              <w:fldChar w:fldCharType="separate"/>
            </w:r>
            <w:r w:rsidR="007E2FA0">
              <w:rPr>
                <w:webHidden/>
              </w:rPr>
              <w:t>4</w:t>
            </w:r>
            <w:r w:rsidR="007E2FA0">
              <w:rPr>
                <w:webHidden/>
              </w:rPr>
              <w:fldChar w:fldCharType="end"/>
            </w:r>
          </w:hyperlink>
        </w:p>
        <w:p w14:paraId="33AA1D07" w14:textId="336D4847" w:rsidR="007E2FA0" w:rsidRDefault="004B46A4">
          <w:pPr>
            <w:pStyle w:val="TOC2"/>
            <w:tabs>
              <w:tab w:val="left" w:pos="567"/>
            </w:tabs>
            <w:rPr>
              <w:rFonts w:asciiTheme="minorHAnsi" w:eastAsiaTheme="minorEastAsia" w:hAnsiTheme="minorHAnsi" w:cstheme="minorBidi"/>
              <w:sz w:val="22"/>
              <w:szCs w:val="22"/>
              <w:lang w:eastAsia="en-AU"/>
            </w:rPr>
          </w:pPr>
          <w:hyperlink w:anchor="_Toc94785377" w:history="1">
            <w:r w:rsidR="007E2FA0" w:rsidRPr="00F50126">
              <w:rPr>
                <w:rStyle w:val="Hyperlink"/>
              </w:rPr>
              <w:t>4.3</w:t>
            </w:r>
            <w:r w:rsidR="007E2FA0">
              <w:rPr>
                <w:rFonts w:asciiTheme="minorHAnsi" w:eastAsiaTheme="minorEastAsia" w:hAnsiTheme="minorHAnsi" w:cstheme="minorBidi"/>
                <w:sz w:val="22"/>
                <w:szCs w:val="22"/>
                <w:lang w:eastAsia="en-AU"/>
              </w:rPr>
              <w:t xml:space="preserve">   </w:t>
            </w:r>
            <w:r w:rsidR="007E2FA0" w:rsidRPr="00F50126">
              <w:rPr>
                <w:rStyle w:val="Hyperlink"/>
              </w:rPr>
              <w:t>Program management</w:t>
            </w:r>
            <w:r w:rsidR="007E2FA0">
              <w:rPr>
                <w:webHidden/>
              </w:rPr>
              <w:tab/>
            </w:r>
            <w:r w:rsidR="007E2FA0">
              <w:rPr>
                <w:webHidden/>
              </w:rPr>
              <w:fldChar w:fldCharType="begin"/>
            </w:r>
            <w:r w:rsidR="007E2FA0">
              <w:rPr>
                <w:webHidden/>
              </w:rPr>
              <w:instrText xml:space="preserve"> PAGEREF _Toc94785377 \h </w:instrText>
            </w:r>
            <w:r w:rsidR="007E2FA0">
              <w:rPr>
                <w:webHidden/>
              </w:rPr>
            </w:r>
            <w:r w:rsidR="007E2FA0">
              <w:rPr>
                <w:webHidden/>
              </w:rPr>
              <w:fldChar w:fldCharType="separate"/>
            </w:r>
            <w:r w:rsidR="007E2FA0">
              <w:rPr>
                <w:webHidden/>
              </w:rPr>
              <w:t>5</w:t>
            </w:r>
            <w:r w:rsidR="007E2FA0">
              <w:rPr>
                <w:webHidden/>
              </w:rPr>
              <w:fldChar w:fldCharType="end"/>
            </w:r>
          </w:hyperlink>
        </w:p>
        <w:p w14:paraId="20285921" w14:textId="0E7CBBB4" w:rsidR="007E2FA0" w:rsidRDefault="004B46A4">
          <w:pPr>
            <w:pStyle w:val="TOC2"/>
            <w:rPr>
              <w:rFonts w:asciiTheme="minorHAnsi" w:eastAsiaTheme="minorEastAsia" w:hAnsiTheme="minorHAnsi" w:cstheme="minorBidi"/>
              <w:sz w:val="22"/>
              <w:szCs w:val="22"/>
              <w:lang w:eastAsia="en-AU"/>
            </w:rPr>
          </w:pPr>
          <w:hyperlink w:anchor="_Toc94785378" w:history="1">
            <w:r w:rsidR="007E2FA0" w:rsidRPr="00F50126">
              <w:rPr>
                <w:rStyle w:val="Hyperlink"/>
              </w:rPr>
              <w:t>4.4   Initiatives impacting on Program aims and directions</w:t>
            </w:r>
            <w:r w:rsidR="007E2FA0">
              <w:rPr>
                <w:webHidden/>
              </w:rPr>
              <w:tab/>
            </w:r>
            <w:r w:rsidR="007E2FA0">
              <w:rPr>
                <w:webHidden/>
              </w:rPr>
              <w:fldChar w:fldCharType="begin"/>
            </w:r>
            <w:r w:rsidR="007E2FA0">
              <w:rPr>
                <w:webHidden/>
              </w:rPr>
              <w:instrText xml:space="preserve"> PAGEREF _Toc94785378 \h </w:instrText>
            </w:r>
            <w:r w:rsidR="007E2FA0">
              <w:rPr>
                <w:webHidden/>
              </w:rPr>
            </w:r>
            <w:r w:rsidR="007E2FA0">
              <w:rPr>
                <w:webHidden/>
              </w:rPr>
              <w:fldChar w:fldCharType="separate"/>
            </w:r>
            <w:r w:rsidR="007E2FA0">
              <w:rPr>
                <w:webHidden/>
              </w:rPr>
              <w:t>6</w:t>
            </w:r>
            <w:r w:rsidR="007E2FA0">
              <w:rPr>
                <w:webHidden/>
              </w:rPr>
              <w:fldChar w:fldCharType="end"/>
            </w:r>
          </w:hyperlink>
        </w:p>
        <w:p w14:paraId="46F01AAF" w14:textId="736A6F45" w:rsidR="007E2FA0" w:rsidRDefault="004B46A4">
          <w:pPr>
            <w:pStyle w:val="TOC1"/>
            <w:rPr>
              <w:rFonts w:asciiTheme="minorHAnsi" w:eastAsiaTheme="minorEastAsia" w:hAnsiTheme="minorHAnsi" w:cstheme="minorBidi"/>
              <w:b w:val="0"/>
              <w:sz w:val="22"/>
              <w:szCs w:val="22"/>
              <w:lang w:eastAsia="en-AU"/>
            </w:rPr>
          </w:pPr>
          <w:hyperlink w:anchor="_Toc94785379" w:history="1">
            <w:r w:rsidR="007E2FA0" w:rsidRPr="00F50126">
              <w:rPr>
                <w:rStyle w:val="Hyperlink"/>
                <w:rFonts w:eastAsia="MS Gothic" w:cs="Arial"/>
                <w:kern w:val="32"/>
              </w:rPr>
              <w:t>5. General requirements</w:t>
            </w:r>
            <w:r w:rsidR="007E2FA0">
              <w:rPr>
                <w:webHidden/>
              </w:rPr>
              <w:tab/>
            </w:r>
            <w:r w:rsidR="007E2FA0">
              <w:rPr>
                <w:webHidden/>
              </w:rPr>
              <w:fldChar w:fldCharType="begin"/>
            </w:r>
            <w:r w:rsidR="007E2FA0">
              <w:rPr>
                <w:webHidden/>
              </w:rPr>
              <w:instrText xml:space="preserve"> PAGEREF _Toc94785379 \h </w:instrText>
            </w:r>
            <w:r w:rsidR="007E2FA0">
              <w:rPr>
                <w:webHidden/>
              </w:rPr>
            </w:r>
            <w:r w:rsidR="007E2FA0">
              <w:rPr>
                <w:webHidden/>
              </w:rPr>
              <w:fldChar w:fldCharType="separate"/>
            </w:r>
            <w:r w:rsidR="007E2FA0">
              <w:rPr>
                <w:webHidden/>
              </w:rPr>
              <w:t>7</w:t>
            </w:r>
            <w:r w:rsidR="007E2FA0">
              <w:rPr>
                <w:webHidden/>
              </w:rPr>
              <w:fldChar w:fldCharType="end"/>
            </w:r>
          </w:hyperlink>
        </w:p>
        <w:p w14:paraId="043C814C" w14:textId="2D781C5B" w:rsidR="007E2FA0" w:rsidRDefault="004B46A4">
          <w:pPr>
            <w:pStyle w:val="TOC2"/>
            <w:tabs>
              <w:tab w:val="left" w:pos="567"/>
            </w:tabs>
            <w:rPr>
              <w:rFonts w:asciiTheme="minorHAnsi" w:eastAsiaTheme="minorEastAsia" w:hAnsiTheme="minorHAnsi" w:cstheme="minorBidi"/>
              <w:sz w:val="22"/>
              <w:szCs w:val="22"/>
              <w:lang w:eastAsia="en-AU"/>
            </w:rPr>
          </w:pPr>
          <w:hyperlink w:anchor="_Toc94785380" w:history="1">
            <w:r w:rsidR="007E2FA0" w:rsidRPr="00F50126">
              <w:rPr>
                <w:rStyle w:val="Hyperlink"/>
              </w:rPr>
              <w:t>5.1</w:t>
            </w:r>
            <w:r w:rsidR="007E2FA0">
              <w:rPr>
                <w:rFonts w:asciiTheme="minorHAnsi" w:eastAsiaTheme="minorEastAsia" w:hAnsiTheme="minorHAnsi" w:cstheme="minorBidi"/>
                <w:sz w:val="22"/>
                <w:szCs w:val="22"/>
                <w:lang w:eastAsia="en-AU"/>
              </w:rPr>
              <w:t xml:space="preserve">   </w:t>
            </w:r>
            <w:r w:rsidR="007E2FA0" w:rsidRPr="00F50126">
              <w:rPr>
                <w:rStyle w:val="Hyperlink"/>
              </w:rPr>
              <w:t>Service agreement context</w:t>
            </w:r>
            <w:r w:rsidR="007E2FA0">
              <w:rPr>
                <w:webHidden/>
              </w:rPr>
              <w:tab/>
            </w:r>
            <w:r w:rsidR="007E2FA0">
              <w:rPr>
                <w:webHidden/>
              </w:rPr>
              <w:fldChar w:fldCharType="begin"/>
            </w:r>
            <w:r w:rsidR="007E2FA0">
              <w:rPr>
                <w:webHidden/>
              </w:rPr>
              <w:instrText xml:space="preserve"> PAGEREF _Toc94785380 \h </w:instrText>
            </w:r>
            <w:r w:rsidR="007E2FA0">
              <w:rPr>
                <w:webHidden/>
              </w:rPr>
            </w:r>
            <w:r w:rsidR="007E2FA0">
              <w:rPr>
                <w:webHidden/>
              </w:rPr>
              <w:fldChar w:fldCharType="separate"/>
            </w:r>
            <w:r w:rsidR="007E2FA0">
              <w:rPr>
                <w:webHidden/>
              </w:rPr>
              <w:t>7</w:t>
            </w:r>
            <w:r w:rsidR="007E2FA0">
              <w:rPr>
                <w:webHidden/>
              </w:rPr>
              <w:fldChar w:fldCharType="end"/>
            </w:r>
          </w:hyperlink>
        </w:p>
        <w:p w14:paraId="2038EC4B" w14:textId="48B7A9F9" w:rsidR="007E2FA0" w:rsidRDefault="004B46A4">
          <w:pPr>
            <w:pStyle w:val="TOC2"/>
            <w:tabs>
              <w:tab w:val="left" w:pos="567"/>
            </w:tabs>
            <w:rPr>
              <w:rFonts w:asciiTheme="minorHAnsi" w:eastAsiaTheme="minorEastAsia" w:hAnsiTheme="minorHAnsi" w:cstheme="minorBidi"/>
              <w:sz w:val="22"/>
              <w:szCs w:val="22"/>
              <w:lang w:eastAsia="en-AU"/>
            </w:rPr>
          </w:pPr>
          <w:hyperlink w:anchor="_Toc94785381" w:history="1">
            <w:r w:rsidR="007E2FA0" w:rsidRPr="00F50126">
              <w:rPr>
                <w:rStyle w:val="Hyperlink"/>
              </w:rPr>
              <w:t>5.2</w:t>
            </w:r>
            <w:r w:rsidR="007E2FA0">
              <w:rPr>
                <w:rFonts w:asciiTheme="minorHAnsi" w:eastAsiaTheme="minorEastAsia" w:hAnsiTheme="minorHAnsi" w:cstheme="minorBidi"/>
                <w:sz w:val="22"/>
                <w:szCs w:val="22"/>
                <w:lang w:eastAsia="en-AU"/>
              </w:rPr>
              <w:t xml:space="preserve">   </w:t>
            </w:r>
            <w:r w:rsidR="007E2FA0" w:rsidRPr="00F50126">
              <w:rPr>
                <w:rStyle w:val="Hyperlink"/>
              </w:rPr>
              <w:t>Continuous development, standards, and planning</w:t>
            </w:r>
            <w:r w:rsidR="007E2FA0">
              <w:rPr>
                <w:webHidden/>
              </w:rPr>
              <w:tab/>
            </w:r>
            <w:r w:rsidR="007E2FA0">
              <w:rPr>
                <w:webHidden/>
              </w:rPr>
              <w:fldChar w:fldCharType="begin"/>
            </w:r>
            <w:r w:rsidR="007E2FA0">
              <w:rPr>
                <w:webHidden/>
              </w:rPr>
              <w:instrText xml:space="preserve"> PAGEREF _Toc94785381 \h </w:instrText>
            </w:r>
            <w:r w:rsidR="007E2FA0">
              <w:rPr>
                <w:webHidden/>
              </w:rPr>
            </w:r>
            <w:r w:rsidR="007E2FA0">
              <w:rPr>
                <w:webHidden/>
              </w:rPr>
              <w:fldChar w:fldCharType="separate"/>
            </w:r>
            <w:r w:rsidR="007E2FA0">
              <w:rPr>
                <w:webHidden/>
              </w:rPr>
              <w:t>7</w:t>
            </w:r>
            <w:r w:rsidR="007E2FA0">
              <w:rPr>
                <w:webHidden/>
              </w:rPr>
              <w:fldChar w:fldCharType="end"/>
            </w:r>
          </w:hyperlink>
        </w:p>
        <w:p w14:paraId="42CDCF1D" w14:textId="1ED8F178" w:rsidR="007E2FA0" w:rsidRDefault="004B46A4">
          <w:pPr>
            <w:pStyle w:val="TOC2"/>
            <w:tabs>
              <w:tab w:val="left" w:pos="567"/>
            </w:tabs>
            <w:rPr>
              <w:rFonts w:asciiTheme="minorHAnsi" w:eastAsiaTheme="minorEastAsia" w:hAnsiTheme="minorHAnsi" w:cstheme="minorBidi"/>
              <w:sz w:val="22"/>
              <w:szCs w:val="22"/>
              <w:lang w:eastAsia="en-AU"/>
            </w:rPr>
          </w:pPr>
          <w:hyperlink w:anchor="_Toc94785382" w:history="1">
            <w:r w:rsidR="007E2FA0" w:rsidRPr="00F50126">
              <w:rPr>
                <w:rStyle w:val="Hyperlink"/>
              </w:rPr>
              <w:t>5.3</w:t>
            </w:r>
            <w:r w:rsidR="007E2FA0">
              <w:rPr>
                <w:rFonts w:asciiTheme="minorHAnsi" w:eastAsiaTheme="minorEastAsia" w:hAnsiTheme="minorHAnsi" w:cstheme="minorBidi"/>
                <w:sz w:val="22"/>
                <w:szCs w:val="22"/>
                <w:lang w:eastAsia="en-AU"/>
              </w:rPr>
              <w:t xml:space="preserve">   </w:t>
            </w:r>
            <w:r w:rsidR="007E2FA0" w:rsidRPr="00F50126">
              <w:rPr>
                <w:rStyle w:val="Hyperlink"/>
              </w:rPr>
              <w:t>Data collection and privacy</w:t>
            </w:r>
            <w:r w:rsidR="007E2FA0">
              <w:rPr>
                <w:webHidden/>
              </w:rPr>
              <w:tab/>
            </w:r>
            <w:r w:rsidR="007E2FA0">
              <w:rPr>
                <w:webHidden/>
              </w:rPr>
              <w:fldChar w:fldCharType="begin"/>
            </w:r>
            <w:r w:rsidR="007E2FA0">
              <w:rPr>
                <w:webHidden/>
              </w:rPr>
              <w:instrText xml:space="preserve"> PAGEREF _Toc94785382 \h </w:instrText>
            </w:r>
            <w:r w:rsidR="007E2FA0">
              <w:rPr>
                <w:webHidden/>
              </w:rPr>
            </w:r>
            <w:r w:rsidR="007E2FA0">
              <w:rPr>
                <w:webHidden/>
              </w:rPr>
              <w:fldChar w:fldCharType="separate"/>
            </w:r>
            <w:r w:rsidR="007E2FA0">
              <w:rPr>
                <w:webHidden/>
              </w:rPr>
              <w:t>8</w:t>
            </w:r>
            <w:r w:rsidR="007E2FA0">
              <w:rPr>
                <w:webHidden/>
              </w:rPr>
              <w:fldChar w:fldCharType="end"/>
            </w:r>
          </w:hyperlink>
        </w:p>
        <w:p w14:paraId="6C8F6B84" w14:textId="4900828F" w:rsidR="007E2FA0" w:rsidRDefault="004B46A4">
          <w:pPr>
            <w:pStyle w:val="TOC2"/>
            <w:rPr>
              <w:rFonts w:asciiTheme="minorHAnsi" w:eastAsiaTheme="minorEastAsia" w:hAnsiTheme="minorHAnsi" w:cstheme="minorBidi"/>
              <w:sz w:val="22"/>
              <w:szCs w:val="22"/>
              <w:lang w:eastAsia="en-AU"/>
            </w:rPr>
          </w:pPr>
          <w:hyperlink w:anchor="_Toc94785383" w:history="1">
            <w:r w:rsidR="007E2FA0" w:rsidRPr="00F50126">
              <w:rPr>
                <w:rStyle w:val="Hyperlink"/>
              </w:rPr>
              <w:t xml:space="preserve">5.4 </w:t>
            </w:r>
            <w:r w:rsidR="007E2FA0">
              <w:rPr>
                <w:rStyle w:val="Hyperlink"/>
              </w:rPr>
              <w:t xml:space="preserve">  </w:t>
            </w:r>
            <w:r w:rsidR="007E2FA0" w:rsidRPr="00F50126">
              <w:rPr>
                <w:rStyle w:val="Hyperlink"/>
              </w:rPr>
              <w:t>Multi-Agency Risk Assessment and Management Framework (MARAM)</w:t>
            </w:r>
            <w:r w:rsidR="007E2FA0">
              <w:rPr>
                <w:webHidden/>
              </w:rPr>
              <w:tab/>
            </w:r>
            <w:r w:rsidR="007E2FA0">
              <w:rPr>
                <w:webHidden/>
              </w:rPr>
              <w:fldChar w:fldCharType="begin"/>
            </w:r>
            <w:r w:rsidR="007E2FA0">
              <w:rPr>
                <w:webHidden/>
              </w:rPr>
              <w:instrText xml:space="preserve"> PAGEREF _Toc94785383 \h </w:instrText>
            </w:r>
            <w:r w:rsidR="007E2FA0">
              <w:rPr>
                <w:webHidden/>
              </w:rPr>
            </w:r>
            <w:r w:rsidR="007E2FA0">
              <w:rPr>
                <w:webHidden/>
              </w:rPr>
              <w:fldChar w:fldCharType="separate"/>
            </w:r>
            <w:r w:rsidR="007E2FA0">
              <w:rPr>
                <w:webHidden/>
              </w:rPr>
              <w:t>8</w:t>
            </w:r>
            <w:r w:rsidR="007E2FA0">
              <w:rPr>
                <w:webHidden/>
              </w:rPr>
              <w:fldChar w:fldCharType="end"/>
            </w:r>
          </w:hyperlink>
        </w:p>
        <w:p w14:paraId="551C9AF1" w14:textId="3C21DB04" w:rsidR="007E2FA0" w:rsidRDefault="004B46A4">
          <w:pPr>
            <w:pStyle w:val="TOC2"/>
            <w:tabs>
              <w:tab w:val="left" w:pos="567"/>
            </w:tabs>
            <w:rPr>
              <w:rFonts w:asciiTheme="minorHAnsi" w:eastAsiaTheme="minorEastAsia" w:hAnsiTheme="minorHAnsi" w:cstheme="minorBidi"/>
              <w:sz w:val="22"/>
              <w:szCs w:val="22"/>
              <w:lang w:eastAsia="en-AU"/>
            </w:rPr>
          </w:pPr>
          <w:hyperlink w:anchor="_Toc94785384" w:history="1">
            <w:r w:rsidR="007E2FA0" w:rsidRPr="00F50126">
              <w:rPr>
                <w:rStyle w:val="Hyperlink"/>
              </w:rPr>
              <w:t>5.5</w:t>
            </w:r>
            <w:r w:rsidR="007E2FA0">
              <w:rPr>
                <w:rFonts w:asciiTheme="minorHAnsi" w:eastAsiaTheme="minorEastAsia" w:hAnsiTheme="minorHAnsi" w:cstheme="minorBidi"/>
                <w:sz w:val="22"/>
                <w:szCs w:val="22"/>
                <w:lang w:eastAsia="en-AU"/>
              </w:rPr>
              <w:t xml:space="preserve">   </w:t>
            </w:r>
            <w:r w:rsidR="007E2FA0" w:rsidRPr="00F50126">
              <w:rPr>
                <w:rStyle w:val="Hyperlink"/>
              </w:rPr>
              <w:t>Monitoring and reporting</w:t>
            </w:r>
            <w:r w:rsidR="007E2FA0">
              <w:rPr>
                <w:webHidden/>
              </w:rPr>
              <w:tab/>
            </w:r>
            <w:r w:rsidR="007E2FA0">
              <w:rPr>
                <w:webHidden/>
              </w:rPr>
              <w:fldChar w:fldCharType="begin"/>
            </w:r>
            <w:r w:rsidR="007E2FA0">
              <w:rPr>
                <w:webHidden/>
              </w:rPr>
              <w:instrText xml:space="preserve"> PAGEREF _Toc94785384 \h </w:instrText>
            </w:r>
            <w:r w:rsidR="007E2FA0">
              <w:rPr>
                <w:webHidden/>
              </w:rPr>
            </w:r>
            <w:r w:rsidR="007E2FA0">
              <w:rPr>
                <w:webHidden/>
              </w:rPr>
              <w:fldChar w:fldCharType="separate"/>
            </w:r>
            <w:r w:rsidR="007E2FA0">
              <w:rPr>
                <w:webHidden/>
              </w:rPr>
              <w:t>9</w:t>
            </w:r>
            <w:r w:rsidR="007E2FA0">
              <w:rPr>
                <w:webHidden/>
              </w:rPr>
              <w:fldChar w:fldCharType="end"/>
            </w:r>
          </w:hyperlink>
        </w:p>
        <w:p w14:paraId="4570F048" w14:textId="280B4976" w:rsidR="007E2FA0" w:rsidRDefault="004B46A4">
          <w:pPr>
            <w:pStyle w:val="TOC2"/>
            <w:tabs>
              <w:tab w:val="left" w:pos="567"/>
            </w:tabs>
            <w:rPr>
              <w:rFonts w:asciiTheme="minorHAnsi" w:eastAsiaTheme="minorEastAsia" w:hAnsiTheme="minorHAnsi" w:cstheme="minorBidi"/>
              <w:sz w:val="22"/>
              <w:szCs w:val="22"/>
              <w:lang w:eastAsia="en-AU"/>
            </w:rPr>
          </w:pPr>
          <w:hyperlink w:anchor="_Toc94785385" w:history="1">
            <w:r w:rsidR="007E2FA0" w:rsidRPr="00F50126">
              <w:rPr>
                <w:rStyle w:val="Hyperlink"/>
              </w:rPr>
              <w:t>5.6</w:t>
            </w:r>
            <w:r w:rsidR="007E2FA0">
              <w:rPr>
                <w:rFonts w:asciiTheme="minorHAnsi" w:eastAsiaTheme="minorEastAsia" w:hAnsiTheme="minorHAnsi" w:cstheme="minorBidi"/>
                <w:sz w:val="22"/>
                <w:szCs w:val="22"/>
                <w:lang w:eastAsia="en-AU"/>
              </w:rPr>
              <w:t xml:space="preserve">   </w:t>
            </w:r>
            <w:r w:rsidR="007E2FA0" w:rsidRPr="00F50126">
              <w:rPr>
                <w:rStyle w:val="Hyperlink"/>
              </w:rPr>
              <w:t>Grievance process</w:t>
            </w:r>
            <w:r w:rsidR="007E2FA0">
              <w:rPr>
                <w:webHidden/>
              </w:rPr>
              <w:tab/>
            </w:r>
            <w:r w:rsidR="007E2FA0">
              <w:rPr>
                <w:webHidden/>
              </w:rPr>
              <w:fldChar w:fldCharType="begin"/>
            </w:r>
            <w:r w:rsidR="007E2FA0">
              <w:rPr>
                <w:webHidden/>
              </w:rPr>
              <w:instrText xml:space="preserve"> PAGEREF _Toc94785385 \h </w:instrText>
            </w:r>
            <w:r w:rsidR="007E2FA0">
              <w:rPr>
                <w:webHidden/>
              </w:rPr>
            </w:r>
            <w:r w:rsidR="007E2FA0">
              <w:rPr>
                <w:webHidden/>
              </w:rPr>
              <w:fldChar w:fldCharType="separate"/>
            </w:r>
            <w:r w:rsidR="007E2FA0">
              <w:rPr>
                <w:webHidden/>
              </w:rPr>
              <w:t>10</w:t>
            </w:r>
            <w:r w:rsidR="007E2FA0">
              <w:rPr>
                <w:webHidden/>
              </w:rPr>
              <w:fldChar w:fldCharType="end"/>
            </w:r>
          </w:hyperlink>
        </w:p>
        <w:p w14:paraId="18BEE71B" w14:textId="4A8928F2" w:rsidR="007E2FA0" w:rsidRDefault="004B46A4">
          <w:pPr>
            <w:pStyle w:val="TOC2"/>
            <w:tabs>
              <w:tab w:val="left" w:pos="567"/>
            </w:tabs>
            <w:rPr>
              <w:rFonts w:asciiTheme="minorHAnsi" w:eastAsiaTheme="minorEastAsia" w:hAnsiTheme="minorHAnsi" w:cstheme="minorBidi"/>
              <w:sz w:val="22"/>
              <w:szCs w:val="22"/>
              <w:lang w:eastAsia="en-AU"/>
            </w:rPr>
          </w:pPr>
          <w:hyperlink w:anchor="_Toc94785386" w:history="1">
            <w:r w:rsidR="007E2FA0" w:rsidRPr="00F50126">
              <w:rPr>
                <w:rStyle w:val="Hyperlink"/>
              </w:rPr>
              <w:t>5.7</w:t>
            </w:r>
            <w:r w:rsidR="007E2FA0">
              <w:rPr>
                <w:rFonts w:asciiTheme="minorHAnsi" w:eastAsiaTheme="minorEastAsia" w:hAnsiTheme="minorHAnsi" w:cstheme="minorBidi"/>
                <w:sz w:val="22"/>
                <w:szCs w:val="22"/>
                <w:lang w:eastAsia="en-AU"/>
              </w:rPr>
              <w:t xml:space="preserve">   </w:t>
            </w:r>
            <w:r w:rsidR="007E2FA0" w:rsidRPr="00F50126">
              <w:rPr>
                <w:rStyle w:val="Hyperlink"/>
              </w:rPr>
              <w:t>Approved use of funds</w:t>
            </w:r>
            <w:r w:rsidR="007E2FA0">
              <w:rPr>
                <w:webHidden/>
              </w:rPr>
              <w:tab/>
            </w:r>
            <w:r w:rsidR="007E2FA0">
              <w:rPr>
                <w:webHidden/>
              </w:rPr>
              <w:fldChar w:fldCharType="begin"/>
            </w:r>
            <w:r w:rsidR="007E2FA0">
              <w:rPr>
                <w:webHidden/>
              </w:rPr>
              <w:instrText xml:space="preserve"> PAGEREF _Toc94785386 \h </w:instrText>
            </w:r>
            <w:r w:rsidR="007E2FA0">
              <w:rPr>
                <w:webHidden/>
              </w:rPr>
            </w:r>
            <w:r w:rsidR="007E2FA0">
              <w:rPr>
                <w:webHidden/>
              </w:rPr>
              <w:fldChar w:fldCharType="separate"/>
            </w:r>
            <w:r w:rsidR="007E2FA0">
              <w:rPr>
                <w:webHidden/>
              </w:rPr>
              <w:t>10</w:t>
            </w:r>
            <w:r w:rsidR="007E2FA0">
              <w:rPr>
                <w:webHidden/>
              </w:rPr>
              <w:fldChar w:fldCharType="end"/>
            </w:r>
          </w:hyperlink>
        </w:p>
        <w:p w14:paraId="6EB4AE54" w14:textId="1910DBF3" w:rsidR="007E2FA0" w:rsidRDefault="004B46A4">
          <w:pPr>
            <w:pStyle w:val="TOC2"/>
            <w:tabs>
              <w:tab w:val="left" w:pos="567"/>
            </w:tabs>
            <w:rPr>
              <w:rFonts w:asciiTheme="minorHAnsi" w:eastAsiaTheme="minorEastAsia" w:hAnsiTheme="minorHAnsi" w:cstheme="minorBidi"/>
              <w:sz w:val="22"/>
              <w:szCs w:val="22"/>
              <w:lang w:eastAsia="en-AU"/>
            </w:rPr>
          </w:pPr>
          <w:hyperlink w:anchor="_Toc94785387" w:history="1">
            <w:r w:rsidR="007E2FA0" w:rsidRPr="00F50126">
              <w:rPr>
                <w:rStyle w:val="Hyperlink"/>
              </w:rPr>
              <w:t>5.8</w:t>
            </w:r>
            <w:r w:rsidR="007E2FA0">
              <w:rPr>
                <w:rFonts w:asciiTheme="minorHAnsi" w:eastAsiaTheme="minorEastAsia" w:hAnsiTheme="minorHAnsi" w:cstheme="minorBidi"/>
                <w:sz w:val="22"/>
                <w:szCs w:val="22"/>
                <w:lang w:eastAsia="en-AU"/>
              </w:rPr>
              <w:t xml:space="preserve">   </w:t>
            </w:r>
            <w:r w:rsidR="007E2FA0" w:rsidRPr="00F50126">
              <w:rPr>
                <w:rStyle w:val="Hyperlink"/>
              </w:rPr>
              <w:t>Acknowledgement of funding</w:t>
            </w:r>
            <w:r w:rsidR="007E2FA0">
              <w:rPr>
                <w:webHidden/>
              </w:rPr>
              <w:tab/>
            </w:r>
            <w:r w:rsidR="007E2FA0">
              <w:rPr>
                <w:webHidden/>
              </w:rPr>
              <w:fldChar w:fldCharType="begin"/>
            </w:r>
            <w:r w:rsidR="007E2FA0">
              <w:rPr>
                <w:webHidden/>
              </w:rPr>
              <w:instrText xml:space="preserve"> PAGEREF _Toc94785387 \h </w:instrText>
            </w:r>
            <w:r w:rsidR="007E2FA0">
              <w:rPr>
                <w:webHidden/>
              </w:rPr>
            </w:r>
            <w:r w:rsidR="007E2FA0">
              <w:rPr>
                <w:webHidden/>
              </w:rPr>
              <w:fldChar w:fldCharType="separate"/>
            </w:r>
            <w:r w:rsidR="007E2FA0">
              <w:rPr>
                <w:webHidden/>
              </w:rPr>
              <w:t>10</w:t>
            </w:r>
            <w:r w:rsidR="007E2FA0">
              <w:rPr>
                <w:webHidden/>
              </w:rPr>
              <w:fldChar w:fldCharType="end"/>
            </w:r>
          </w:hyperlink>
        </w:p>
        <w:p w14:paraId="2490BD36" w14:textId="68FC32C7" w:rsidR="007E2FA0" w:rsidRDefault="004B46A4">
          <w:pPr>
            <w:pStyle w:val="TOC2"/>
            <w:tabs>
              <w:tab w:val="left" w:pos="567"/>
            </w:tabs>
            <w:rPr>
              <w:rFonts w:asciiTheme="minorHAnsi" w:eastAsiaTheme="minorEastAsia" w:hAnsiTheme="minorHAnsi" w:cstheme="minorBidi"/>
              <w:sz w:val="22"/>
              <w:szCs w:val="22"/>
              <w:lang w:eastAsia="en-AU"/>
            </w:rPr>
          </w:pPr>
          <w:hyperlink w:anchor="_Toc94785388" w:history="1">
            <w:r w:rsidR="007E2FA0" w:rsidRPr="00F50126">
              <w:rPr>
                <w:rStyle w:val="Hyperlink"/>
              </w:rPr>
              <w:t>5.9</w:t>
            </w:r>
            <w:r w:rsidR="007E2FA0">
              <w:rPr>
                <w:rFonts w:asciiTheme="minorHAnsi" w:eastAsiaTheme="minorEastAsia" w:hAnsiTheme="minorHAnsi" w:cstheme="minorBidi"/>
                <w:sz w:val="22"/>
                <w:szCs w:val="22"/>
                <w:lang w:eastAsia="en-AU"/>
              </w:rPr>
              <w:t xml:space="preserve">   </w:t>
            </w:r>
            <w:r w:rsidR="007E2FA0" w:rsidRPr="00F50126">
              <w:rPr>
                <w:rStyle w:val="Hyperlink"/>
              </w:rPr>
              <w:t>General notice to the Victorian Department of Families Fairness and Housing</w:t>
            </w:r>
            <w:r w:rsidR="007E2FA0">
              <w:rPr>
                <w:webHidden/>
              </w:rPr>
              <w:tab/>
            </w:r>
            <w:r w:rsidR="007E2FA0">
              <w:rPr>
                <w:webHidden/>
              </w:rPr>
              <w:fldChar w:fldCharType="begin"/>
            </w:r>
            <w:r w:rsidR="007E2FA0">
              <w:rPr>
                <w:webHidden/>
              </w:rPr>
              <w:instrText xml:space="preserve"> PAGEREF _Toc94785388 \h </w:instrText>
            </w:r>
            <w:r w:rsidR="007E2FA0">
              <w:rPr>
                <w:webHidden/>
              </w:rPr>
            </w:r>
            <w:r w:rsidR="007E2FA0">
              <w:rPr>
                <w:webHidden/>
              </w:rPr>
              <w:fldChar w:fldCharType="separate"/>
            </w:r>
            <w:r w:rsidR="007E2FA0">
              <w:rPr>
                <w:webHidden/>
              </w:rPr>
              <w:t>10</w:t>
            </w:r>
            <w:r w:rsidR="007E2FA0">
              <w:rPr>
                <w:webHidden/>
              </w:rPr>
              <w:fldChar w:fldCharType="end"/>
            </w:r>
          </w:hyperlink>
        </w:p>
        <w:p w14:paraId="5FB77B49" w14:textId="68339C3F" w:rsidR="007E2FA0" w:rsidRDefault="004B46A4">
          <w:pPr>
            <w:pStyle w:val="TOC2"/>
            <w:tabs>
              <w:tab w:val="left" w:pos="800"/>
            </w:tabs>
            <w:rPr>
              <w:rFonts w:asciiTheme="minorHAnsi" w:eastAsiaTheme="minorEastAsia" w:hAnsiTheme="minorHAnsi" w:cstheme="minorBidi"/>
              <w:sz w:val="22"/>
              <w:szCs w:val="22"/>
              <w:lang w:eastAsia="en-AU"/>
            </w:rPr>
          </w:pPr>
          <w:hyperlink w:anchor="_Toc94785389" w:history="1">
            <w:r w:rsidR="007E2FA0" w:rsidRPr="00F50126">
              <w:rPr>
                <w:rStyle w:val="Hyperlink"/>
              </w:rPr>
              <w:t>5.1</w:t>
            </w:r>
            <w:r w:rsidR="007E2FA0">
              <w:rPr>
                <w:rStyle w:val="Hyperlink"/>
              </w:rPr>
              <w:t xml:space="preserve">0 </w:t>
            </w:r>
            <w:r w:rsidR="007E2FA0" w:rsidRPr="00F50126">
              <w:rPr>
                <w:rStyle w:val="Hyperlink"/>
              </w:rPr>
              <w:t>Access to documentation</w:t>
            </w:r>
            <w:r w:rsidR="007E2FA0">
              <w:rPr>
                <w:webHidden/>
              </w:rPr>
              <w:tab/>
            </w:r>
            <w:r w:rsidR="007E2FA0">
              <w:rPr>
                <w:webHidden/>
              </w:rPr>
              <w:fldChar w:fldCharType="begin"/>
            </w:r>
            <w:r w:rsidR="007E2FA0">
              <w:rPr>
                <w:webHidden/>
              </w:rPr>
              <w:instrText xml:space="preserve"> PAGEREF _Toc94785389 \h </w:instrText>
            </w:r>
            <w:r w:rsidR="007E2FA0">
              <w:rPr>
                <w:webHidden/>
              </w:rPr>
            </w:r>
            <w:r w:rsidR="007E2FA0">
              <w:rPr>
                <w:webHidden/>
              </w:rPr>
              <w:fldChar w:fldCharType="separate"/>
            </w:r>
            <w:r w:rsidR="007E2FA0">
              <w:rPr>
                <w:webHidden/>
              </w:rPr>
              <w:t>10</w:t>
            </w:r>
            <w:r w:rsidR="007E2FA0">
              <w:rPr>
                <w:webHidden/>
              </w:rPr>
              <w:fldChar w:fldCharType="end"/>
            </w:r>
          </w:hyperlink>
        </w:p>
        <w:p w14:paraId="1D0181FA" w14:textId="3BCE1BF5" w:rsidR="007E2FA0" w:rsidRDefault="004B46A4">
          <w:pPr>
            <w:pStyle w:val="TOC2"/>
            <w:rPr>
              <w:rFonts w:asciiTheme="minorHAnsi" w:eastAsiaTheme="minorEastAsia" w:hAnsiTheme="minorHAnsi" w:cstheme="minorBidi"/>
              <w:sz w:val="22"/>
              <w:szCs w:val="22"/>
              <w:lang w:eastAsia="en-AU"/>
            </w:rPr>
          </w:pPr>
          <w:hyperlink w:anchor="_Toc94785390" w:history="1">
            <w:r w:rsidR="007E2FA0" w:rsidRPr="00F50126">
              <w:rPr>
                <w:rStyle w:val="Hyperlink"/>
              </w:rPr>
              <w:t>5.11 Advance notice of service suspension/closure</w:t>
            </w:r>
            <w:r w:rsidR="007E2FA0">
              <w:rPr>
                <w:webHidden/>
              </w:rPr>
              <w:tab/>
            </w:r>
            <w:r w:rsidR="007E2FA0">
              <w:rPr>
                <w:webHidden/>
              </w:rPr>
              <w:fldChar w:fldCharType="begin"/>
            </w:r>
            <w:r w:rsidR="007E2FA0">
              <w:rPr>
                <w:webHidden/>
              </w:rPr>
              <w:instrText xml:space="preserve"> PAGEREF _Toc94785390 \h </w:instrText>
            </w:r>
            <w:r w:rsidR="007E2FA0">
              <w:rPr>
                <w:webHidden/>
              </w:rPr>
            </w:r>
            <w:r w:rsidR="007E2FA0">
              <w:rPr>
                <w:webHidden/>
              </w:rPr>
              <w:fldChar w:fldCharType="separate"/>
            </w:r>
            <w:r w:rsidR="007E2FA0">
              <w:rPr>
                <w:webHidden/>
              </w:rPr>
              <w:t>11</w:t>
            </w:r>
            <w:r w:rsidR="007E2FA0">
              <w:rPr>
                <w:webHidden/>
              </w:rPr>
              <w:fldChar w:fldCharType="end"/>
            </w:r>
          </w:hyperlink>
        </w:p>
        <w:p w14:paraId="5DE42138" w14:textId="5F2530F3" w:rsidR="007E2FA0" w:rsidRDefault="004B46A4">
          <w:pPr>
            <w:pStyle w:val="TOC2"/>
            <w:rPr>
              <w:rFonts w:asciiTheme="minorHAnsi" w:eastAsiaTheme="minorEastAsia" w:hAnsiTheme="minorHAnsi" w:cstheme="minorBidi"/>
              <w:sz w:val="22"/>
              <w:szCs w:val="22"/>
              <w:lang w:eastAsia="en-AU"/>
            </w:rPr>
          </w:pPr>
          <w:hyperlink w:anchor="_Toc94785391" w:history="1">
            <w:r w:rsidR="007E2FA0" w:rsidRPr="00F50126">
              <w:rPr>
                <w:rStyle w:val="Hyperlink"/>
              </w:rPr>
              <w:t>5.12 Transfers of funding</w:t>
            </w:r>
            <w:r w:rsidR="007E2FA0">
              <w:rPr>
                <w:webHidden/>
              </w:rPr>
              <w:tab/>
            </w:r>
            <w:r w:rsidR="007E2FA0">
              <w:rPr>
                <w:webHidden/>
              </w:rPr>
              <w:fldChar w:fldCharType="begin"/>
            </w:r>
            <w:r w:rsidR="007E2FA0">
              <w:rPr>
                <w:webHidden/>
              </w:rPr>
              <w:instrText xml:space="preserve"> PAGEREF _Toc94785391 \h </w:instrText>
            </w:r>
            <w:r w:rsidR="007E2FA0">
              <w:rPr>
                <w:webHidden/>
              </w:rPr>
            </w:r>
            <w:r w:rsidR="007E2FA0">
              <w:rPr>
                <w:webHidden/>
              </w:rPr>
              <w:fldChar w:fldCharType="separate"/>
            </w:r>
            <w:r w:rsidR="007E2FA0">
              <w:rPr>
                <w:webHidden/>
              </w:rPr>
              <w:t>11</w:t>
            </w:r>
            <w:r w:rsidR="007E2FA0">
              <w:rPr>
                <w:webHidden/>
              </w:rPr>
              <w:fldChar w:fldCharType="end"/>
            </w:r>
          </w:hyperlink>
        </w:p>
        <w:p w14:paraId="13DB538A" w14:textId="2CE76973" w:rsidR="007E2FA0" w:rsidRDefault="004B46A4">
          <w:pPr>
            <w:pStyle w:val="TOC2"/>
            <w:rPr>
              <w:rFonts w:asciiTheme="minorHAnsi" w:eastAsiaTheme="minorEastAsia" w:hAnsiTheme="minorHAnsi" w:cstheme="minorBidi"/>
              <w:sz w:val="22"/>
              <w:szCs w:val="22"/>
              <w:lang w:eastAsia="en-AU"/>
            </w:rPr>
          </w:pPr>
          <w:hyperlink w:anchor="_Toc94785392" w:history="1">
            <w:r w:rsidR="007E2FA0" w:rsidRPr="00F50126">
              <w:rPr>
                <w:rStyle w:val="Hyperlink"/>
              </w:rPr>
              <w:t>5.13 Service amalgamation</w:t>
            </w:r>
            <w:r w:rsidR="007E2FA0">
              <w:rPr>
                <w:webHidden/>
              </w:rPr>
              <w:tab/>
            </w:r>
            <w:r w:rsidR="007E2FA0">
              <w:rPr>
                <w:webHidden/>
              </w:rPr>
              <w:fldChar w:fldCharType="begin"/>
            </w:r>
            <w:r w:rsidR="007E2FA0">
              <w:rPr>
                <w:webHidden/>
              </w:rPr>
              <w:instrText xml:space="preserve"> PAGEREF _Toc94785392 \h </w:instrText>
            </w:r>
            <w:r w:rsidR="007E2FA0">
              <w:rPr>
                <w:webHidden/>
              </w:rPr>
            </w:r>
            <w:r w:rsidR="007E2FA0">
              <w:rPr>
                <w:webHidden/>
              </w:rPr>
              <w:fldChar w:fldCharType="separate"/>
            </w:r>
            <w:r w:rsidR="007E2FA0">
              <w:rPr>
                <w:webHidden/>
              </w:rPr>
              <w:t>11</w:t>
            </w:r>
            <w:r w:rsidR="007E2FA0">
              <w:rPr>
                <w:webHidden/>
              </w:rPr>
              <w:fldChar w:fldCharType="end"/>
            </w:r>
          </w:hyperlink>
        </w:p>
        <w:p w14:paraId="602081B7" w14:textId="36A0964F" w:rsidR="007E2FA0" w:rsidRDefault="004B46A4">
          <w:pPr>
            <w:pStyle w:val="TOC1"/>
            <w:rPr>
              <w:rFonts w:asciiTheme="minorHAnsi" w:eastAsiaTheme="minorEastAsia" w:hAnsiTheme="minorHAnsi" w:cstheme="minorBidi"/>
              <w:b w:val="0"/>
              <w:sz w:val="22"/>
              <w:szCs w:val="22"/>
              <w:lang w:eastAsia="en-AU"/>
            </w:rPr>
          </w:pPr>
          <w:hyperlink w:anchor="_Toc94785393" w:history="1">
            <w:r w:rsidR="007E2FA0" w:rsidRPr="00F50126">
              <w:rPr>
                <w:rStyle w:val="Hyperlink"/>
                <w:rFonts w:eastAsia="MS Gothic" w:cs="Arial"/>
                <w:kern w:val="32"/>
              </w:rPr>
              <w:t>6. Program operations</w:t>
            </w:r>
            <w:r w:rsidR="007E2FA0">
              <w:rPr>
                <w:webHidden/>
              </w:rPr>
              <w:tab/>
            </w:r>
            <w:r w:rsidR="007E2FA0">
              <w:rPr>
                <w:webHidden/>
              </w:rPr>
              <w:fldChar w:fldCharType="begin"/>
            </w:r>
            <w:r w:rsidR="007E2FA0">
              <w:rPr>
                <w:webHidden/>
              </w:rPr>
              <w:instrText xml:space="preserve"> PAGEREF _Toc94785393 \h </w:instrText>
            </w:r>
            <w:r w:rsidR="007E2FA0">
              <w:rPr>
                <w:webHidden/>
              </w:rPr>
            </w:r>
            <w:r w:rsidR="007E2FA0">
              <w:rPr>
                <w:webHidden/>
              </w:rPr>
              <w:fldChar w:fldCharType="separate"/>
            </w:r>
            <w:r w:rsidR="007E2FA0">
              <w:rPr>
                <w:webHidden/>
              </w:rPr>
              <w:t>12</w:t>
            </w:r>
            <w:r w:rsidR="007E2FA0">
              <w:rPr>
                <w:webHidden/>
              </w:rPr>
              <w:fldChar w:fldCharType="end"/>
            </w:r>
          </w:hyperlink>
        </w:p>
        <w:p w14:paraId="5A1D263E" w14:textId="1C73F73A" w:rsidR="007E2FA0" w:rsidRDefault="004B46A4">
          <w:pPr>
            <w:pStyle w:val="TOC2"/>
            <w:tabs>
              <w:tab w:val="left" w:pos="567"/>
            </w:tabs>
            <w:rPr>
              <w:rFonts w:asciiTheme="minorHAnsi" w:eastAsiaTheme="minorEastAsia" w:hAnsiTheme="minorHAnsi" w:cstheme="minorBidi"/>
              <w:sz w:val="22"/>
              <w:szCs w:val="22"/>
              <w:lang w:eastAsia="en-AU"/>
            </w:rPr>
          </w:pPr>
          <w:hyperlink w:anchor="_Toc94785394" w:history="1">
            <w:r w:rsidR="007E2FA0" w:rsidRPr="00F50126">
              <w:rPr>
                <w:rStyle w:val="Hyperlink"/>
              </w:rPr>
              <w:t>6.1</w:t>
            </w:r>
            <w:r w:rsidR="007E2FA0">
              <w:rPr>
                <w:rFonts w:asciiTheme="minorHAnsi" w:eastAsiaTheme="minorEastAsia" w:hAnsiTheme="minorHAnsi" w:cstheme="minorBidi"/>
                <w:sz w:val="22"/>
                <w:szCs w:val="22"/>
                <w:lang w:eastAsia="en-AU"/>
              </w:rPr>
              <w:t xml:space="preserve">   </w:t>
            </w:r>
            <w:r w:rsidR="007E2FA0" w:rsidRPr="00F50126">
              <w:rPr>
                <w:rStyle w:val="Hyperlink"/>
              </w:rPr>
              <w:t>Accessibility</w:t>
            </w:r>
            <w:r w:rsidR="007E2FA0">
              <w:rPr>
                <w:webHidden/>
              </w:rPr>
              <w:tab/>
            </w:r>
            <w:r w:rsidR="007E2FA0">
              <w:rPr>
                <w:webHidden/>
              </w:rPr>
              <w:fldChar w:fldCharType="begin"/>
            </w:r>
            <w:r w:rsidR="007E2FA0">
              <w:rPr>
                <w:webHidden/>
              </w:rPr>
              <w:instrText xml:space="preserve"> PAGEREF _Toc94785394 \h </w:instrText>
            </w:r>
            <w:r w:rsidR="007E2FA0">
              <w:rPr>
                <w:webHidden/>
              </w:rPr>
            </w:r>
            <w:r w:rsidR="007E2FA0">
              <w:rPr>
                <w:webHidden/>
              </w:rPr>
              <w:fldChar w:fldCharType="separate"/>
            </w:r>
            <w:r w:rsidR="007E2FA0">
              <w:rPr>
                <w:webHidden/>
              </w:rPr>
              <w:t>12</w:t>
            </w:r>
            <w:r w:rsidR="007E2FA0">
              <w:rPr>
                <w:webHidden/>
              </w:rPr>
              <w:fldChar w:fldCharType="end"/>
            </w:r>
          </w:hyperlink>
        </w:p>
        <w:p w14:paraId="2B50ED6B" w14:textId="466C00AC" w:rsidR="007E2FA0" w:rsidRDefault="004B46A4">
          <w:pPr>
            <w:pStyle w:val="TOC2"/>
            <w:tabs>
              <w:tab w:val="left" w:pos="567"/>
            </w:tabs>
            <w:rPr>
              <w:rFonts w:asciiTheme="minorHAnsi" w:eastAsiaTheme="minorEastAsia" w:hAnsiTheme="minorHAnsi" w:cstheme="minorBidi"/>
              <w:sz w:val="22"/>
              <w:szCs w:val="22"/>
              <w:lang w:eastAsia="en-AU"/>
            </w:rPr>
          </w:pPr>
          <w:hyperlink w:anchor="_Toc94785395" w:history="1">
            <w:r w:rsidR="007E2FA0" w:rsidRPr="00F50126">
              <w:rPr>
                <w:rStyle w:val="Hyperlink"/>
              </w:rPr>
              <w:t>6.2</w:t>
            </w:r>
            <w:r w:rsidR="007E2FA0">
              <w:rPr>
                <w:rFonts w:asciiTheme="minorHAnsi" w:eastAsiaTheme="minorEastAsia" w:hAnsiTheme="minorHAnsi" w:cstheme="minorBidi"/>
                <w:sz w:val="22"/>
                <w:szCs w:val="22"/>
                <w:lang w:eastAsia="en-AU"/>
              </w:rPr>
              <w:t xml:space="preserve">   </w:t>
            </w:r>
            <w:r w:rsidR="007E2FA0" w:rsidRPr="00F50126">
              <w:rPr>
                <w:rStyle w:val="Hyperlink"/>
              </w:rPr>
              <w:t>Tenant participation</w:t>
            </w:r>
            <w:r w:rsidR="007E2FA0">
              <w:rPr>
                <w:webHidden/>
              </w:rPr>
              <w:tab/>
            </w:r>
            <w:r w:rsidR="007E2FA0">
              <w:rPr>
                <w:webHidden/>
              </w:rPr>
              <w:fldChar w:fldCharType="begin"/>
            </w:r>
            <w:r w:rsidR="007E2FA0">
              <w:rPr>
                <w:webHidden/>
              </w:rPr>
              <w:instrText xml:space="preserve"> PAGEREF _Toc94785395 \h </w:instrText>
            </w:r>
            <w:r w:rsidR="007E2FA0">
              <w:rPr>
                <w:webHidden/>
              </w:rPr>
            </w:r>
            <w:r w:rsidR="007E2FA0">
              <w:rPr>
                <w:webHidden/>
              </w:rPr>
              <w:fldChar w:fldCharType="separate"/>
            </w:r>
            <w:r w:rsidR="007E2FA0">
              <w:rPr>
                <w:webHidden/>
              </w:rPr>
              <w:t>12</w:t>
            </w:r>
            <w:r w:rsidR="007E2FA0">
              <w:rPr>
                <w:webHidden/>
              </w:rPr>
              <w:fldChar w:fldCharType="end"/>
            </w:r>
          </w:hyperlink>
        </w:p>
        <w:p w14:paraId="5AB0F3FE" w14:textId="26AA5614" w:rsidR="007E2FA0" w:rsidRDefault="004B46A4">
          <w:pPr>
            <w:pStyle w:val="TOC2"/>
            <w:tabs>
              <w:tab w:val="left" w:pos="567"/>
            </w:tabs>
            <w:rPr>
              <w:rFonts w:asciiTheme="minorHAnsi" w:eastAsiaTheme="minorEastAsia" w:hAnsiTheme="minorHAnsi" w:cstheme="minorBidi"/>
              <w:sz w:val="22"/>
              <w:szCs w:val="22"/>
              <w:lang w:eastAsia="en-AU"/>
            </w:rPr>
          </w:pPr>
          <w:hyperlink w:anchor="_Toc94785396" w:history="1">
            <w:r w:rsidR="007E2FA0" w:rsidRPr="00F50126">
              <w:rPr>
                <w:rStyle w:val="Hyperlink"/>
              </w:rPr>
              <w:t>6.</w:t>
            </w:r>
            <w:r w:rsidR="007E2FA0">
              <w:rPr>
                <w:rStyle w:val="Hyperlink"/>
              </w:rPr>
              <w:t xml:space="preserve">.3  </w:t>
            </w:r>
            <w:r w:rsidR="007E2FA0" w:rsidRPr="00F50126">
              <w:rPr>
                <w:rStyle w:val="Hyperlink"/>
              </w:rPr>
              <w:t>Community Contact Service</w:t>
            </w:r>
            <w:r w:rsidR="007E2FA0">
              <w:rPr>
                <w:webHidden/>
              </w:rPr>
              <w:tab/>
            </w:r>
            <w:r w:rsidR="007E2FA0">
              <w:rPr>
                <w:webHidden/>
              </w:rPr>
              <w:fldChar w:fldCharType="begin"/>
            </w:r>
            <w:r w:rsidR="007E2FA0">
              <w:rPr>
                <w:webHidden/>
              </w:rPr>
              <w:instrText xml:space="preserve"> PAGEREF _Toc94785396 \h </w:instrText>
            </w:r>
            <w:r w:rsidR="007E2FA0">
              <w:rPr>
                <w:webHidden/>
              </w:rPr>
            </w:r>
            <w:r w:rsidR="007E2FA0">
              <w:rPr>
                <w:webHidden/>
              </w:rPr>
              <w:fldChar w:fldCharType="separate"/>
            </w:r>
            <w:r w:rsidR="007E2FA0">
              <w:rPr>
                <w:webHidden/>
              </w:rPr>
              <w:t>12</w:t>
            </w:r>
            <w:r w:rsidR="007E2FA0">
              <w:rPr>
                <w:webHidden/>
              </w:rPr>
              <w:fldChar w:fldCharType="end"/>
            </w:r>
          </w:hyperlink>
        </w:p>
        <w:p w14:paraId="567FE2D6" w14:textId="518D341C" w:rsidR="00EA0CC7" w:rsidRDefault="00EA0CC7">
          <w:r>
            <w:rPr>
              <w:b/>
              <w:bCs/>
              <w:noProof/>
            </w:rPr>
            <w:fldChar w:fldCharType="end"/>
          </w:r>
        </w:p>
      </w:sdtContent>
    </w:sdt>
    <w:p w14:paraId="765E79C0" w14:textId="2AF4B0DE" w:rsidR="003E2E12" w:rsidRDefault="003E2E12" w:rsidP="00213772">
      <w:pPr>
        <w:pStyle w:val="TOC2"/>
        <w:rPr>
          <w:noProof w:val="0"/>
        </w:rPr>
      </w:pPr>
    </w:p>
    <w:p w14:paraId="0060BBB2" w14:textId="77777777" w:rsidR="00D7781C" w:rsidRPr="00D7781C" w:rsidRDefault="00D7781C" w:rsidP="00D7781C"/>
    <w:p w14:paraId="2171B110" w14:textId="77777777" w:rsidR="00D80C8B" w:rsidRDefault="00D80C8B" w:rsidP="00647A83">
      <w:pPr>
        <w:pStyle w:val="DHHSTOCheadingreport"/>
        <w:sectPr w:rsidR="00D80C8B" w:rsidSect="00D80C8B">
          <w:headerReference w:type="default" r:id="rId17"/>
          <w:pgSz w:w="11906" w:h="16838"/>
          <w:pgMar w:top="1701" w:right="1304" w:bottom="1134" w:left="1304" w:header="454" w:footer="510" w:gutter="0"/>
          <w:pgNumType w:start="1"/>
          <w:cols w:space="720"/>
          <w:docGrid w:linePitch="360"/>
        </w:sectPr>
      </w:pPr>
    </w:p>
    <w:p w14:paraId="21A28576" w14:textId="4B9C0F1B" w:rsidR="006C5ED3" w:rsidRPr="006C5ED3" w:rsidRDefault="006C5ED3" w:rsidP="00FF2CC9">
      <w:pPr>
        <w:pStyle w:val="Heading1"/>
        <w:spacing w:before="0"/>
        <w:rPr>
          <w:color w:val="D43706"/>
          <w:sz w:val="40"/>
          <w:szCs w:val="40"/>
        </w:rPr>
      </w:pPr>
      <w:bookmarkStart w:id="0" w:name="_Toc266806396"/>
      <w:bookmarkStart w:id="1" w:name="_Toc266806442"/>
      <w:bookmarkStart w:id="2" w:name="_Toc360451353"/>
      <w:bookmarkStart w:id="3" w:name="_Toc412720475"/>
      <w:bookmarkStart w:id="4" w:name="_Toc412800996"/>
      <w:bookmarkStart w:id="5" w:name="_Toc73529055"/>
      <w:bookmarkStart w:id="6" w:name="_Toc94785360"/>
      <w:r w:rsidRPr="00FF2CC9">
        <w:rPr>
          <w:rFonts w:eastAsia="MS Gothic" w:cs="Arial"/>
          <w:color w:val="201547"/>
          <w:kern w:val="32"/>
        </w:rPr>
        <w:lastRenderedPageBreak/>
        <w:t>1. Introduction</w:t>
      </w:r>
      <w:bookmarkEnd w:id="0"/>
      <w:bookmarkEnd w:id="1"/>
      <w:bookmarkEnd w:id="2"/>
      <w:bookmarkEnd w:id="3"/>
      <w:bookmarkEnd w:id="4"/>
      <w:bookmarkEnd w:id="5"/>
      <w:bookmarkEnd w:id="6"/>
    </w:p>
    <w:p w14:paraId="04E810F3" w14:textId="60865996" w:rsidR="00426C47" w:rsidRPr="006B737D" w:rsidRDefault="006C5ED3" w:rsidP="00426C47">
      <w:pPr>
        <w:spacing w:before="100" w:beforeAutospacing="1"/>
        <w:rPr>
          <w:rFonts w:ascii="Arial" w:hAnsi="Arial" w:cs="Arial"/>
          <w:sz w:val="21"/>
          <w:szCs w:val="21"/>
        </w:rPr>
      </w:pPr>
      <w:r w:rsidRPr="006B737D">
        <w:rPr>
          <w:rFonts w:ascii="Arial" w:hAnsi="Arial" w:cs="Arial"/>
          <w:sz w:val="21"/>
          <w:szCs w:val="21"/>
        </w:rPr>
        <w:t xml:space="preserve">This document covers program framework and funding guidelines for the </w:t>
      </w:r>
      <w:r w:rsidRPr="006B737D">
        <w:rPr>
          <w:rFonts w:ascii="Arial" w:hAnsi="Arial" w:cs="Arial"/>
          <w:bCs/>
          <w:sz w:val="21"/>
          <w:szCs w:val="21"/>
        </w:rPr>
        <w:t>Public Housing Infrastructure Program (P</w:t>
      </w:r>
      <w:r w:rsidR="00BE0FC3" w:rsidRPr="006B737D">
        <w:rPr>
          <w:rFonts w:ascii="Arial" w:hAnsi="Arial" w:cs="Arial"/>
          <w:bCs/>
          <w:sz w:val="21"/>
          <w:szCs w:val="21"/>
        </w:rPr>
        <w:t>rogram</w:t>
      </w:r>
      <w:r w:rsidRPr="006B737D">
        <w:rPr>
          <w:rFonts w:ascii="Arial" w:hAnsi="Arial" w:cs="Arial"/>
          <w:sz w:val="21"/>
          <w:szCs w:val="21"/>
        </w:rPr>
        <w:t xml:space="preserve">) and is supplementary to general </w:t>
      </w:r>
      <w:r w:rsidR="00BE0FC3" w:rsidRPr="006B737D">
        <w:rPr>
          <w:rFonts w:ascii="Arial" w:hAnsi="Arial" w:cs="Arial"/>
          <w:sz w:val="21"/>
          <w:szCs w:val="21"/>
        </w:rPr>
        <w:t xml:space="preserve">Department of </w:t>
      </w:r>
      <w:r w:rsidR="009D5B2B" w:rsidRPr="006B737D">
        <w:rPr>
          <w:rFonts w:ascii="Arial" w:hAnsi="Arial" w:cs="Arial"/>
          <w:sz w:val="21"/>
          <w:szCs w:val="21"/>
        </w:rPr>
        <w:t xml:space="preserve">Families </w:t>
      </w:r>
      <w:r w:rsidR="00123745" w:rsidRPr="006B737D">
        <w:rPr>
          <w:rFonts w:ascii="Arial" w:hAnsi="Arial" w:cs="Arial"/>
          <w:sz w:val="21"/>
          <w:szCs w:val="21"/>
        </w:rPr>
        <w:t>Fairness</w:t>
      </w:r>
      <w:r w:rsidR="009D5B2B" w:rsidRPr="006B737D">
        <w:rPr>
          <w:rFonts w:ascii="Arial" w:hAnsi="Arial" w:cs="Arial"/>
          <w:sz w:val="21"/>
          <w:szCs w:val="21"/>
        </w:rPr>
        <w:t xml:space="preserve"> and Housing </w:t>
      </w:r>
      <w:r w:rsidRPr="006B737D">
        <w:rPr>
          <w:rFonts w:ascii="Arial" w:hAnsi="Arial" w:cs="Arial"/>
          <w:sz w:val="21"/>
          <w:szCs w:val="21"/>
        </w:rPr>
        <w:t xml:space="preserve">(the department) guidelines </w:t>
      </w:r>
      <w:r w:rsidR="00426C47" w:rsidRPr="006B737D">
        <w:rPr>
          <w:rFonts w:ascii="Arial" w:hAnsi="Arial" w:cs="Arial"/>
          <w:sz w:val="21"/>
          <w:szCs w:val="21"/>
        </w:rPr>
        <w:t xml:space="preserve">provided </w:t>
      </w:r>
      <w:r w:rsidRPr="006B737D">
        <w:rPr>
          <w:rFonts w:ascii="Arial" w:hAnsi="Arial" w:cs="Arial"/>
          <w:sz w:val="21"/>
          <w:szCs w:val="21"/>
        </w:rPr>
        <w:t>in the</w:t>
      </w:r>
      <w:r w:rsidR="00811A36" w:rsidRPr="006B737D">
        <w:rPr>
          <w:rFonts w:ascii="Arial" w:hAnsi="Arial" w:cs="Arial"/>
          <w:sz w:val="21"/>
          <w:szCs w:val="21"/>
        </w:rPr>
        <w:t xml:space="preserve"> </w:t>
      </w:r>
      <w:hyperlink r:id="rId18" w:history="1">
        <w:r w:rsidR="00811A36" w:rsidRPr="006B737D">
          <w:rPr>
            <w:rStyle w:val="Hyperlink"/>
            <w:rFonts w:ascii="Arial" w:hAnsi="Arial" w:cs="Arial"/>
            <w:sz w:val="21"/>
            <w:szCs w:val="21"/>
          </w:rPr>
          <w:t>Tools and resources</w:t>
        </w:r>
      </w:hyperlink>
      <w:r w:rsidR="00426C47" w:rsidRPr="006B737D">
        <w:rPr>
          <w:rFonts w:ascii="Arial" w:hAnsi="Arial" w:cs="Arial"/>
          <w:sz w:val="21"/>
          <w:szCs w:val="21"/>
        </w:rPr>
        <w:t xml:space="preserve">  &lt;https://fac.dhhs.vic.gov.au/tools-and-resources&gt; </w:t>
      </w:r>
      <w:r w:rsidR="00811A36" w:rsidRPr="006B737D">
        <w:rPr>
          <w:rFonts w:ascii="Arial" w:hAnsi="Arial" w:cs="Arial"/>
          <w:sz w:val="21"/>
          <w:szCs w:val="21"/>
        </w:rPr>
        <w:t xml:space="preserve"> and other areas of the</w:t>
      </w:r>
      <w:r w:rsidR="00426C47" w:rsidRPr="006B737D">
        <w:rPr>
          <w:rFonts w:ascii="Arial" w:hAnsi="Arial" w:cs="Arial"/>
          <w:sz w:val="21"/>
          <w:szCs w:val="21"/>
        </w:rPr>
        <w:t xml:space="preserve"> department’s </w:t>
      </w:r>
      <w:r w:rsidR="00811A36" w:rsidRPr="006B737D">
        <w:rPr>
          <w:rFonts w:ascii="Arial" w:hAnsi="Arial" w:cs="Arial"/>
          <w:sz w:val="21"/>
          <w:szCs w:val="21"/>
        </w:rPr>
        <w:t>Funded Agency Channel</w:t>
      </w:r>
      <w:r w:rsidR="00426C47" w:rsidRPr="006B737D">
        <w:rPr>
          <w:rFonts w:ascii="Arial" w:hAnsi="Arial" w:cs="Arial"/>
          <w:sz w:val="21"/>
          <w:szCs w:val="21"/>
        </w:rPr>
        <w:t>.</w:t>
      </w:r>
    </w:p>
    <w:p w14:paraId="1584C55E" w14:textId="5639DD35" w:rsidR="00426C47" w:rsidRPr="006B737D" w:rsidRDefault="00811A36" w:rsidP="00426C47">
      <w:pPr>
        <w:rPr>
          <w:rFonts w:ascii="Arial" w:hAnsi="Arial" w:cs="Arial"/>
          <w:sz w:val="21"/>
          <w:szCs w:val="21"/>
        </w:rPr>
      </w:pPr>
      <w:r w:rsidRPr="006B737D">
        <w:rPr>
          <w:rFonts w:ascii="Arial" w:hAnsi="Arial" w:cs="Arial"/>
          <w:sz w:val="21"/>
          <w:szCs w:val="21"/>
        </w:rPr>
        <w:t xml:space="preserve"> </w:t>
      </w:r>
    </w:p>
    <w:p w14:paraId="72E6C0C1" w14:textId="225AFD5B" w:rsidR="006C5ED3" w:rsidRPr="006B737D" w:rsidRDefault="00426C47" w:rsidP="00426C47">
      <w:pPr>
        <w:rPr>
          <w:rFonts w:ascii="Arial" w:hAnsi="Arial" w:cs="Arial"/>
          <w:sz w:val="21"/>
          <w:szCs w:val="21"/>
        </w:rPr>
      </w:pPr>
      <w:r w:rsidRPr="006B737D">
        <w:rPr>
          <w:rFonts w:ascii="Arial" w:hAnsi="Arial" w:cs="Arial"/>
          <w:sz w:val="21"/>
          <w:szCs w:val="21"/>
        </w:rPr>
        <w:t xml:space="preserve">This information </w:t>
      </w:r>
      <w:r w:rsidR="006C5ED3" w:rsidRPr="006B737D">
        <w:rPr>
          <w:rFonts w:ascii="Arial" w:hAnsi="Arial" w:cs="Arial"/>
          <w:sz w:val="21"/>
          <w:szCs w:val="21"/>
        </w:rPr>
        <w:t>outlines the legal arrangements that exist between the department and a funded</w:t>
      </w:r>
      <w:r w:rsidR="00BE0FC3" w:rsidRPr="006B737D">
        <w:rPr>
          <w:rFonts w:ascii="Arial" w:hAnsi="Arial" w:cs="Arial"/>
          <w:sz w:val="21"/>
          <w:szCs w:val="21"/>
        </w:rPr>
        <w:t xml:space="preserve"> community service provider </w:t>
      </w:r>
      <w:r w:rsidR="006C5ED3" w:rsidRPr="006B737D">
        <w:rPr>
          <w:rFonts w:ascii="Arial" w:hAnsi="Arial" w:cs="Arial"/>
          <w:sz w:val="21"/>
          <w:szCs w:val="21"/>
        </w:rPr>
        <w:t>when a service agreement is</w:t>
      </w:r>
      <w:r w:rsidRPr="006B737D">
        <w:rPr>
          <w:rFonts w:ascii="Arial" w:hAnsi="Arial" w:cs="Arial"/>
          <w:sz w:val="21"/>
          <w:szCs w:val="21"/>
        </w:rPr>
        <w:t xml:space="preserve"> executed.</w:t>
      </w:r>
    </w:p>
    <w:p w14:paraId="197D917E" w14:textId="1D27B21A" w:rsidR="006C5ED3" w:rsidRPr="006B737D" w:rsidRDefault="006C5ED3" w:rsidP="006C5ED3">
      <w:pPr>
        <w:spacing w:before="100" w:beforeAutospacing="1" w:after="100" w:afterAutospacing="1"/>
        <w:rPr>
          <w:rFonts w:ascii="Arial" w:hAnsi="Arial" w:cs="Arial"/>
          <w:sz w:val="21"/>
          <w:szCs w:val="21"/>
        </w:rPr>
      </w:pPr>
      <w:r w:rsidRPr="006B737D">
        <w:rPr>
          <w:rFonts w:ascii="Arial" w:hAnsi="Arial" w:cs="Arial"/>
          <w:sz w:val="21"/>
          <w:szCs w:val="21"/>
        </w:rPr>
        <w:t xml:space="preserve">These guidelines </w:t>
      </w:r>
      <w:r w:rsidR="00BE0FC3" w:rsidRPr="006B737D">
        <w:rPr>
          <w:rFonts w:ascii="Arial" w:hAnsi="Arial" w:cs="Arial"/>
          <w:sz w:val="21"/>
          <w:szCs w:val="21"/>
        </w:rPr>
        <w:t>underpin the P</w:t>
      </w:r>
      <w:r w:rsidRPr="006B737D">
        <w:rPr>
          <w:rFonts w:ascii="Arial" w:hAnsi="Arial" w:cs="Arial"/>
          <w:sz w:val="21"/>
          <w:szCs w:val="21"/>
        </w:rPr>
        <w:t xml:space="preserve">rogram and are applicable to all </w:t>
      </w:r>
      <w:r w:rsidR="00BE0FC3" w:rsidRPr="006B737D">
        <w:rPr>
          <w:rFonts w:ascii="Arial" w:hAnsi="Arial" w:cs="Arial"/>
          <w:sz w:val="21"/>
          <w:szCs w:val="21"/>
        </w:rPr>
        <w:t xml:space="preserve">recurrently funded </w:t>
      </w:r>
      <w:r w:rsidRPr="006B737D">
        <w:rPr>
          <w:rFonts w:ascii="Arial" w:hAnsi="Arial" w:cs="Arial"/>
          <w:sz w:val="21"/>
          <w:szCs w:val="21"/>
        </w:rPr>
        <w:t>services</w:t>
      </w:r>
      <w:r w:rsidR="00426C47" w:rsidRPr="006B737D">
        <w:rPr>
          <w:rFonts w:ascii="Arial" w:hAnsi="Arial" w:cs="Arial"/>
          <w:sz w:val="21"/>
          <w:szCs w:val="21"/>
        </w:rPr>
        <w:t xml:space="preserve"> funded under the program</w:t>
      </w:r>
      <w:r w:rsidRPr="006B737D">
        <w:rPr>
          <w:rFonts w:ascii="Arial" w:hAnsi="Arial" w:cs="Arial"/>
          <w:sz w:val="21"/>
          <w:szCs w:val="21"/>
        </w:rPr>
        <w:t xml:space="preserve"> with the exception of </w:t>
      </w:r>
      <w:r w:rsidR="00E95976" w:rsidRPr="006B737D">
        <w:rPr>
          <w:rFonts w:ascii="Arial" w:hAnsi="Arial" w:cs="Arial"/>
          <w:sz w:val="21"/>
          <w:szCs w:val="21"/>
        </w:rPr>
        <w:t>renters</w:t>
      </w:r>
      <w:r w:rsidR="00F5674F" w:rsidRPr="006B737D">
        <w:rPr>
          <w:rFonts w:ascii="Arial" w:hAnsi="Arial" w:cs="Arial"/>
          <w:sz w:val="21"/>
          <w:szCs w:val="21"/>
        </w:rPr>
        <w:t>’</w:t>
      </w:r>
      <w:r w:rsidRPr="006B737D">
        <w:rPr>
          <w:rFonts w:ascii="Arial" w:hAnsi="Arial" w:cs="Arial"/>
          <w:sz w:val="21"/>
          <w:szCs w:val="21"/>
        </w:rPr>
        <w:t xml:space="preserve"> groups</w:t>
      </w:r>
      <w:r w:rsidR="00BE0FC3" w:rsidRPr="006B737D">
        <w:rPr>
          <w:rFonts w:ascii="Arial" w:hAnsi="Arial" w:cs="Arial"/>
          <w:sz w:val="21"/>
          <w:szCs w:val="21"/>
        </w:rPr>
        <w:t xml:space="preserve"> and the Community Gardens Program, </w:t>
      </w:r>
      <w:r w:rsidRPr="006B737D">
        <w:rPr>
          <w:rFonts w:ascii="Arial" w:hAnsi="Arial" w:cs="Arial"/>
          <w:sz w:val="21"/>
          <w:szCs w:val="21"/>
        </w:rPr>
        <w:t>separate and specific guidelines have been developed</w:t>
      </w:r>
      <w:r w:rsidR="00BE0FC3" w:rsidRPr="006B737D">
        <w:rPr>
          <w:rFonts w:ascii="Arial" w:hAnsi="Arial" w:cs="Arial"/>
          <w:sz w:val="21"/>
          <w:szCs w:val="21"/>
        </w:rPr>
        <w:t xml:space="preserve"> for these programs</w:t>
      </w:r>
      <w:r w:rsidRPr="006B737D">
        <w:rPr>
          <w:rFonts w:ascii="Arial" w:hAnsi="Arial" w:cs="Arial"/>
          <w:sz w:val="21"/>
          <w:szCs w:val="21"/>
        </w:rPr>
        <w:t xml:space="preserve">. </w:t>
      </w:r>
    </w:p>
    <w:p w14:paraId="01435F7A" w14:textId="77777777" w:rsidR="006C5ED3" w:rsidRPr="006B737D" w:rsidRDefault="006C5ED3" w:rsidP="006C5ED3">
      <w:pPr>
        <w:spacing w:before="100" w:beforeAutospacing="1" w:after="100" w:afterAutospacing="1"/>
        <w:rPr>
          <w:rFonts w:ascii="Arial" w:hAnsi="Arial" w:cs="Arial"/>
          <w:sz w:val="21"/>
          <w:szCs w:val="21"/>
        </w:rPr>
      </w:pPr>
      <w:r w:rsidRPr="006B737D">
        <w:rPr>
          <w:rFonts w:ascii="Arial" w:hAnsi="Arial" w:cs="Arial"/>
          <w:sz w:val="21"/>
          <w:szCs w:val="21"/>
        </w:rPr>
        <w:t xml:space="preserve">These guidelines detail the program framework, funded activities and funding guidelines, and are designed to assist the funded </w:t>
      </w:r>
      <w:r w:rsidR="00CC1A29" w:rsidRPr="006B737D">
        <w:rPr>
          <w:rFonts w:ascii="Arial" w:hAnsi="Arial" w:cs="Arial"/>
          <w:sz w:val="21"/>
          <w:szCs w:val="21"/>
        </w:rPr>
        <w:t xml:space="preserve">community services organisations (funded organisations) </w:t>
      </w:r>
      <w:r w:rsidRPr="006B737D">
        <w:rPr>
          <w:rFonts w:ascii="Arial" w:hAnsi="Arial" w:cs="Arial"/>
          <w:sz w:val="21"/>
          <w:szCs w:val="21"/>
        </w:rPr>
        <w:t>to be aware of and understand:</w:t>
      </w:r>
    </w:p>
    <w:p w14:paraId="10B2707D" w14:textId="77777777" w:rsidR="006C5ED3" w:rsidRPr="00746411" w:rsidRDefault="00CC1A29" w:rsidP="00746411">
      <w:pPr>
        <w:pStyle w:val="DHHSbullet1"/>
        <w:rPr>
          <w:sz w:val="21"/>
          <w:szCs w:val="21"/>
        </w:rPr>
      </w:pPr>
      <w:r w:rsidRPr="00746411">
        <w:rPr>
          <w:sz w:val="21"/>
          <w:szCs w:val="21"/>
        </w:rPr>
        <w:t>aims and structure.</w:t>
      </w:r>
    </w:p>
    <w:p w14:paraId="2892227C" w14:textId="77777777" w:rsidR="006C5ED3" w:rsidRPr="00746411" w:rsidRDefault="00CC1A29" w:rsidP="00746411">
      <w:pPr>
        <w:pStyle w:val="DHHSbullet1"/>
        <w:rPr>
          <w:sz w:val="21"/>
          <w:szCs w:val="21"/>
        </w:rPr>
      </w:pPr>
      <w:r w:rsidRPr="00746411">
        <w:rPr>
          <w:sz w:val="21"/>
          <w:szCs w:val="21"/>
        </w:rPr>
        <w:t>how the program is managed at the government level.</w:t>
      </w:r>
    </w:p>
    <w:p w14:paraId="0941C16F" w14:textId="77777777" w:rsidR="006C5ED3" w:rsidRPr="00746411" w:rsidRDefault="00CC1A29" w:rsidP="00746411">
      <w:pPr>
        <w:pStyle w:val="DHHSbullet1"/>
        <w:rPr>
          <w:sz w:val="21"/>
          <w:szCs w:val="21"/>
        </w:rPr>
      </w:pPr>
      <w:r w:rsidRPr="00746411">
        <w:rPr>
          <w:sz w:val="21"/>
          <w:szCs w:val="21"/>
        </w:rPr>
        <w:t>how the program relates to other key department initiatives.</w:t>
      </w:r>
    </w:p>
    <w:p w14:paraId="3AA67B01" w14:textId="77777777" w:rsidR="006C5ED3" w:rsidRPr="00746411" w:rsidRDefault="00CC1A29" w:rsidP="00746411">
      <w:pPr>
        <w:pStyle w:val="DHHSbullet1"/>
        <w:rPr>
          <w:sz w:val="21"/>
          <w:szCs w:val="21"/>
        </w:rPr>
      </w:pPr>
      <w:r w:rsidRPr="00746411">
        <w:rPr>
          <w:sz w:val="21"/>
          <w:szCs w:val="21"/>
        </w:rPr>
        <w:t>expectations of continuous development, data collection, planning and review.</w:t>
      </w:r>
    </w:p>
    <w:p w14:paraId="1FC9B5FC" w14:textId="77777777" w:rsidR="006C5ED3" w:rsidRPr="00746411" w:rsidRDefault="00CC1A29" w:rsidP="00746411">
      <w:pPr>
        <w:pStyle w:val="DHHSbullet1"/>
        <w:rPr>
          <w:sz w:val="21"/>
          <w:szCs w:val="21"/>
        </w:rPr>
      </w:pPr>
      <w:r w:rsidRPr="00746411">
        <w:rPr>
          <w:sz w:val="21"/>
          <w:szCs w:val="21"/>
        </w:rPr>
        <w:t>standards of service delivery and inter- cooperation.</w:t>
      </w:r>
    </w:p>
    <w:p w14:paraId="185753D3" w14:textId="77777777" w:rsidR="006C5ED3" w:rsidRPr="00746411" w:rsidRDefault="00CC1A29" w:rsidP="00746411">
      <w:pPr>
        <w:pStyle w:val="DHHSbullet1"/>
        <w:rPr>
          <w:sz w:val="21"/>
          <w:szCs w:val="21"/>
        </w:rPr>
      </w:pPr>
      <w:r w:rsidRPr="00746411">
        <w:rPr>
          <w:sz w:val="21"/>
          <w:szCs w:val="21"/>
        </w:rPr>
        <w:t>the activities funded under the program.</w:t>
      </w:r>
    </w:p>
    <w:p w14:paraId="69377FDF" w14:textId="77777777" w:rsidR="006C5ED3" w:rsidRPr="00746411" w:rsidRDefault="00CC1A29" w:rsidP="00746411">
      <w:pPr>
        <w:pStyle w:val="DHHSbullet1"/>
        <w:rPr>
          <w:sz w:val="21"/>
          <w:szCs w:val="21"/>
        </w:rPr>
      </w:pPr>
      <w:r w:rsidRPr="00746411">
        <w:rPr>
          <w:sz w:val="21"/>
          <w:szCs w:val="21"/>
        </w:rPr>
        <w:t>types of services and activities the program funds.</w:t>
      </w:r>
    </w:p>
    <w:p w14:paraId="11316D06" w14:textId="77777777" w:rsidR="006C5ED3" w:rsidRPr="00746411" w:rsidRDefault="00CC1A29" w:rsidP="00746411">
      <w:pPr>
        <w:pStyle w:val="DHHSbullet1"/>
        <w:rPr>
          <w:sz w:val="21"/>
          <w:szCs w:val="21"/>
        </w:rPr>
      </w:pPr>
      <w:r w:rsidRPr="00746411">
        <w:rPr>
          <w:sz w:val="21"/>
          <w:szCs w:val="21"/>
        </w:rPr>
        <w:t>the basis upon which funding levels are determined</w:t>
      </w:r>
      <w:r w:rsidR="006C5ED3" w:rsidRPr="00746411">
        <w:rPr>
          <w:sz w:val="21"/>
          <w:szCs w:val="21"/>
        </w:rPr>
        <w:t>.</w:t>
      </w:r>
    </w:p>
    <w:p w14:paraId="30303EF2" w14:textId="77777777" w:rsidR="006C5ED3" w:rsidRPr="006B737D" w:rsidRDefault="006C5ED3" w:rsidP="006C5ED3">
      <w:pPr>
        <w:spacing w:before="100" w:beforeAutospacing="1" w:after="100" w:afterAutospacing="1" w:line="240" w:lineRule="exact"/>
        <w:rPr>
          <w:rFonts w:ascii="Arial" w:hAnsi="Arial" w:cs="Arial"/>
          <w:sz w:val="21"/>
          <w:szCs w:val="21"/>
        </w:rPr>
      </w:pPr>
      <w:r w:rsidRPr="006B737D">
        <w:rPr>
          <w:rFonts w:ascii="Arial" w:hAnsi="Arial" w:cs="Arial"/>
          <w:sz w:val="21"/>
          <w:szCs w:val="21"/>
        </w:rPr>
        <w:t xml:space="preserve">These guidelines cover all </w:t>
      </w:r>
      <w:r w:rsidR="00CC1A29" w:rsidRPr="006B737D">
        <w:rPr>
          <w:rFonts w:ascii="Arial" w:hAnsi="Arial" w:cs="Arial"/>
          <w:sz w:val="21"/>
          <w:szCs w:val="21"/>
        </w:rPr>
        <w:t xml:space="preserve">Program activities. </w:t>
      </w:r>
      <w:r w:rsidRPr="006B737D">
        <w:rPr>
          <w:rFonts w:ascii="Arial" w:hAnsi="Arial" w:cs="Arial"/>
          <w:sz w:val="21"/>
          <w:szCs w:val="21"/>
        </w:rPr>
        <w:t xml:space="preserve"> </w:t>
      </w:r>
      <w:r w:rsidR="00CC1A29" w:rsidRPr="006B737D">
        <w:rPr>
          <w:rFonts w:ascii="Arial" w:hAnsi="Arial" w:cs="Arial"/>
          <w:sz w:val="21"/>
          <w:szCs w:val="21"/>
        </w:rPr>
        <w:t xml:space="preserve">Program </w:t>
      </w:r>
      <w:r w:rsidRPr="006B737D">
        <w:rPr>
          <w:rFonts w:ascii="Arial" w:hAnsi="Arial" w:cs="Arial"/>
          <w:sz w:val="21"/>
          <w:szCs w:val="21"/>
        </w:rPr>
        <w:t>is the term used where elements of these guidelines have generic application across this overarching program.</w:t>
      </w:r>
    </w:p>
    <w:p w14:paraId="45EB937E" w14:textId="77777777" w:rsidR="006C5ED3" w:rsidRPr="00FF2CC9" w:rsidRDefault="006C5ED3" w:rsidP="00FF2CC9">
      <w:pPr>
        <w:pStyle w:val="Heading1"/>
        <w:spacing w:before="0"/>
        <w:rPr>
          <w:rFonts w:eastAsia="MS Gothic" w:cs="Arial"/>
          <w:color w:val="201547"/>
          <w:kern w:val="32"/>
        </w:rPr>
      </w:pPr>
      <w:bookmarkStart w:id="7" w:name="_Toc412800997"/>
      <w:bookmarkStart w:id="8" w:name="_Toc73529056"/>
      <w:bookmarkStart w:id="9" w:name="_Toc94785361"/>
      <w:bookmarkStart w:id="10" w:name="_Toc203191659"/>
      <w:bookmarkStart w:id="11" w:name="_Toc203191708"/>
      <w:bookmarkStart w:id="12" w:name="_Toc204495123"/>
      <w:bookmarkStart w:id="13" w:name="_Toc266783308"/>
      <w:bookmarkStart w:id="14" w:name="_Toc266806397"/>
      <w:bookmarkStart w:id="15" w:name="_Toc266806443"/>
      <w:bookmarkStart w:id="16" w:name="_Toc360451354"/>
      <w:bookmarkStart w:id="17" w:name="_Toc412720476"/>
      <w:r w:rsidRPr="00FF2CC9">
        <w:rPr>
          <w:rFonts w:eastAsia="MS Gothic" w:cs="Arial"/>
          <w:color w:val="201547"/>
          <w:kern w:val="32"/>
        </w:rPr>
        <w:t>2. Program supporting documents</w:t>
      </w:r>
      <w:bookmarkEnd w:id="7"/>
      <w:bookmarkEnd w:id="8"/>
      <w:bookmarkEnd w:id="9"/>
      <w:r w:rsidRPr="00FF2CC9">
        <w:rPr>
          <w:rFonts w:eastAsia="MS Gothic" w:cs="Arial"/>
          <w:color w:val="201547"/>
          <w:kern w:val="32"/>
        </w:rPr>
        <w:t xml:space="preserve"> </w:t>
      </w:r>
      <w:bookmarkEnd w:id="10"/>
      <w:bookmarkEnd w:id="11"/>
      <w:bookmarkEnd w:id="12"/>
      <w:bookmarkEnd w:id="13"/>
      <w:bookmarkEnd w:id="14"/>
      <w:bookmarkEnd w:id="15"/>
      <w:bookmarkEnd w:id="16"/>
      <w:bookmarkEnd w:id="17"/>
    </w:p>
    <w:p w14:paraId="798630D8" w14:textId="77777777" w:rsidR="006C5ED3" w:rsidRPr="006B737D" w:rsidRDefault="00CC1A29" w:rsidP="006C5ED3">
      <w:pPr>
        <w:spacing w:after="120"/>
        <w:rPr>
          <w:rFonts w:ascii="Verdana" w:hAnsi="Verdana"/>
          <w:sz w:val="21"/>
          <w:szCs w:val="21"/>
        </w:rPr>
      </w:pPr>
      <w:r w:rsidRPr="006B737D">
        <w:rPr>
          <w:rFonts w:ascii="Arial" w:hAnsi="Arial" w:cs="Arial"/>
          <w:sz w:val="21"/>
          <w:szCs w:val="21"/>
        </w:rPr>
        <w:t>Department</w:t>
      </w:r>
      <w:r w:rsidR="006C5ED3" w:rsidRPr="006B737D">
        <w:rPr>
          <w:rFonts w:ascii="Arial" w:hAnsi="Arial" w:cs="Arial"/>
          <w:sz w:val="21"/>
          <w:szCs w:val="21"/>
        </w:rPr>
        <w:t xml:space="preserve"> funded organisations are obliged to comply with specific departmental policies and certain legislative requirements as outlined in the terms and conditions of the service agreement. The P</w:t>
      </w:r>
      <w:r w:rsidRPr="006B737D">
        <w:rPr>
          <w:rFonts w:ascii="Arial" w:hAnsi="Arial" w:cs="Arial"/>
          <w:sz w:val="21"/>
          <w:szCs w:val="21"/>
        </w:rPr>
        <w:t xml:space="preserve">rogram </w:t>
      </w:r>
      <w:r w:rsidR="006C5ED3" w:rsidRPr="006B737D">
        <w:rPr>
          <w:rFonts w:ascii="Arial" w:hAnsi="Arial" w:cs="Arial"/>
          <w:sz w:val="21"/>
          <w:szCs w:val="21"/>
        </w:rPr>
        <w:t xml:space="preserve">framework and guidelines also reference government and departmental policies and guidelines that have applicability to the provision of </w:t>
      </w:r>
      <w:r w:rsidRPr="006B737D">
        <w:rPr>
          <w:rFonts w:ascii="Arial" w:hAnsi="Arial" w:cs="Arial"/>
          <w:sz w:val="21"/>
          <w:szCs w:val="21"/>
        </w:rPr>
        <w:t xml:space="preserve">Program </w:t>
      </w:r>
      <w:r w:rsidR="006C5ED3" w:rsidRPr="006B737D">
        <w:rPr>
          <w:rFonts w:ascii="Arial" w:hAnsi="Arial" w:cs="Arial"/>
          <w:sz w:val="21"/>
          <w:szCs w:val="21"/>
        </w:rPr>
        <w:t>services as follows:</w:t>
      </w:r>
    </w:p>
    <w:tbl>
      <w:tblPr>
        <w:tblW w:w="9740" w:type="dxa"/>
        <w:tblInd w:w="108" w:type="dxa"/>
        <w:tblLook w:val="0000" w:firstRow="0" w:lastRow="0" w:firstColumn="0" w:lastColumn="0" w:noHBand="0" w:noVBand="0"/>
      </w:tblPr>
      <w:tblGrid>
        <w:gridCol w:w="9740"/>
      </w:tblGrid>
      <w:tr w:rsidR="006C5ED3" w:rsidRPr="006B737D" w14:paraId="3646AA68" w14:textId="77777777" w:rsidTr="007E48D2">
        <w:trPr>
          <w:cantSplit/>
          <w:trHeight w:val="3153"/>
        </w:trPr>
        <w:tc>
          <w:tcPr>
            <w:tcW w:w="9740" w:type="dxa"/>
          </w:tcPr>
          <w:p w14:paraId="2C0CDA23" w14:textId="77777777" w:rsidR="006C5ED3" w:rsidRPr="006B737D" w:rsidRDefault="006C5ED3" w:rsidP="00314B4A">
            <w:pPr>
              <w:pStyle w:val="ListParagraph"/>
              <w:numPr>
                <w:ilvl w:val="0"/>
                <w:numId w:val="26"/>
              </w:numPr>
              <w:autoSpaceDE w:val="0"/>
              <w:autoSpaceDN w:val="0"/>
              <w:adjustRightInd w:val="0"/>
              <w:ind w:left="321"/>
              <w:rPr>
                <w:rFonts w:ascii="Arial" w:hAnsi="Arial" w:cs="Arial"/>
                <w:i/>
                <w:color w:val="231F20"/>
                <w:sz w:val="21"/>
                <w:szCs w:val="21"/>
                <w:lang w:val="en-US"/>
              </w:rPr>
            </w:pPr>
            <w:r w:rsidRPr="006B737D">
              <w:rPr>
                <w:rFonts w:ascii="Arial" w:hAnsi="Arial" w:cs="Arial"/>
                <w:i/>
                <w:color w:val="231F20"/>
                <w:sz w:val="21"/>
                <w:szCs w:val="21"/>
                <w:lang w:val="en-US"/>
              </w:rPr>
              <w:t>Business Practice Manual</w:t>
            </w:r>
          </w:p>
          <w:p w14:paraId="04193A60" w14:textId="77777777" w:rsidR="006C5ED3" w:rsidRPr="006B737D" w:rsidRDefault="006C5ED3" w:rsidP="00314B4A">
            <w:pPr>
              <w:pStyle w:val="ListParagraph"/>
              <w:numPr>
                <w:ilvl w:val="0"/>
                <w:numId w:val="26"/>
              </w:numPr>
              <w:autoSpaceDE w:val="0"/>
              <w:autoSpaceDN w:val="0"/>
              <w:adjustRightInd w:val="0"/>
              <w:ind w:left="321"/>
              <w:rPr>
                <w:rFonts w:ascii="Arial" w:hAnsi="Arial" w:cs="Arial"/>
                <w:i/>
                <w:color w:val="231F20"/>
                <w:sz w:val="21"/>
                <w:szCs w:val="21"/>
                <w:lang w:val="en-US"/>
              </w:rPr>
            </w:pPr>
            <w:r w:rsidRPr="006B737D">
              <w:rPr>
                <w:rFonts w:ascii="Arial" w:hAnsi="Arial" w:cs="Arial"/>
                <w:i/>
                <w:color w:val="231F20"/>
                <w:sz w:val="21"/>
                <w:szCs w:val="21"/>
                <w:lang w:val="en-US"/>
              </w:rPr>
              <w:t>Complaints Management Policy</w:t>
            </w:r>
          </w:p>
          <w:p w14:paraId="56E11731" w14:textId="77777777" w:rsidR="006C5ED3" w:rsidRPr="006B737D" w:rsidRDefault="006C5ED3" w:rsidP="00314B4A">
            <w:pPr>
              <w:pStyle w:val="ListParagraph"/>
              <w:numPr>
                <w:ilvl w:val="0"/>
                <w:numId w:val="26"/>
              </w:numPr>
              <w:autoSpaceDE w:val="0"/>
              <w:autoSpaceDN w:val="0"/>
              <w:adjustRightInd w:val="0"/>
              <w:ind w:left="321"/>
              <w:rPr>
                <w:rFonts w:ascii="Arial" w:hAnsi="Arial" w:cs="Arial"/>
                <w:i/>
                <w:color w:val="231F20"/>
                <w:sz w:val="21"/>
                <w:szCs w:val="21"/>
                <w:lang w:val="en-US"/>
              </w:rPr>
            </w:pPr>
            <w:r w:rsidRPr="006B737D">
              <w:rPr>
                <w:rFonts w:ascii="Arial" w:hAnsi="Arial" w:cs="Arial"/>
                <w:i/>
                <w:color w:val="231F20"/>
                <w:sz w:val="21"/>
                <w:szCs w:val="21"/>
                <w:lang w:val="en-US"/>
              </w:rPr>
              <w:t>Client Services Charter</w:t>
            </w:r>
          </w:p>
          <w:p w14:paraId="144393FC" w14:textId="77777777" w:rsidR="006C5ED3" w:rsidRPr="006B737D" w:rsidRDefault="00CC1A29" w:rsidP="00314B4A">
            <w:pPr>
              <w:pStyle w:val="ListParagraph"/>
              <w:numPr>
                <w:ilvl w:val="0"/>
                <w:numId w:val="26"/>
              </w:numPr>
              <w:autoSpaceDE w:val="0"/>
              <w:autoSpaceDN w:val="0"/>
              <w:adjustRightInd w:val="0"/>
              <w:ind w:left="321"/>
              <w:rPr>
                <w:rFonts w:ascii="Arial" w:hAnsi="Arial" w:cs="Arial"/>
                <w:color w:val="231F20"/>
                <w:sz w:val="21"/>
                <w:szCs w:val="21"/>
                <w:lang w:val="en-US"/>
              </w:rPr>
            </w:pPr>
            <w:r w:rsidRPr="006B737D">
              <w:rPr>
                <w:rFonts w:ascii="Arial" w:hAnsi="Arial" w:cs="Arial"/>
                <w:color w:val="231F20"/>
                <w:sz w:val="21"/>
                <w:szCs w:val="21"/>
                <w:lang w:val="en-US"/>
              </w:rPr>
              <w:t>housing services policy and procedures manuals</w:t>
            </w:r>
          </w:p>
          <w:p w14:paraId="7F90F493" w14:textId="781FF7F8" w:rsidR="006C5ED3" w:rsidRPr="006B737D" w:rsidRDefault="006C5ED3" w:rsidP="00314B4A">
            <w:pPr>
              <w:pStyle w:val="ListParagraph"/>
              <w:numPr>
                <w:ilvl w:val="0"/>
                <w:numId w:val="26"/>
              </w:numPr>
              <w:autoSpaceDE w:val="0"/>
              <w:autoSpaceDN w:val="0"/>
              <w:adjustRightInd w:val="0"/>
              <w:ind w:left="321"/>
              <w:rPr>
                <w:rFonts w:ascii="Arial" w:hAnsi="Arial" w:cs="Arial"/>
                <w:i/>
                <w:color w:val="231F20"/>
                <w:sz w:val="21"/>
                <w:szCs w:val="21"/>
                <w:lang w:val="en-US"/>
              </w:rPr>
            </w:pPr>
            <w:r w:rsidRPr="006B737D">
              <w:rPr>
                <w:rFonts w:ascii="Arial" w:hAnsi="Arial" w:cs="Arial"/>
                <w:i/>
                <w:color w:val="231F20"/>
                <w:sz w:val="21"/>
                <w:szCs w:val="21"/>
                <w:lang w:val="en-US"/>
              </w:rPr>
              <w:t>Housing Standards manual</w:t>
            </w:r>
          </w:p>
          <w:p w14:paraId="770396EC" w14:textId="77777777" w:rsidR="006C5ED3" w:rsidRPr="006B737D" w:rsidRDefault="006C5ED3" w:rsidP="00314B4A">
            <w:pPr>
              <w:pStyle w:val="ListParagraph"/>
              <w:numPr>
                <w:ilvl w:val="0"/>
                <w:numId w:val="26"/>
              </w:numPr>
              <w:autoSpaceDE w:val="0"/>
              <w:autoSpaceDN w:val="0"/>
              <w:adjustRightInd w:val="0"/>
              <w:ind w:left="321"/>
              <w:rPr>
                <w:rFonts w:ascii="Arial" w:hAnsi="Arial" w:cs="Arial"/>
                <w:i/>
                <w:color w:val="231F20"/>
                <w:sz w:val="21"/>
                <w:szCs w:val="21"/>
                <w:lang w:val="en-US"/>
              </w:rPr>
            </w:pPr>
            <w:r w:rsidRPr="006B737D">
              <w:rPr>
                <w:rFonts w:ascii="Arial" w:hAnsi="Arial" w:cs="Arial"/>
                <w:i/>
                <w:color w:val="231F20"/>
                <w:sz w:val="21"/>
                <w:szCs w:val="21"/>
                <w:lang w:val="en-US"/>
              </w:rPr>
              <w:t>Quality Practice Framework</w:t>
            </w:r>
          </w:p>
          <w:p w14:paraId="5FC1CEBF" w14:textId="77777777" w:rsidR="006C5ED3" w:rsidRPr="006B737D" w:rsidRDefault="006C5ED3" w:rsidP="00314B4A">
            <w:pPr>
              <w:pStyle w:val="ListParagraph"/>
              <w:numPr>
                <w:ilvl w:val="0"/>
                <w:numId w:val="26"/>
              </w:numPr>
              <w:autoSpaceDE w:val="0"/>
              <w:autoSpaceDN w:val="0"/>
              <w:adjustRightInd w:val="0"/>
              <w:ind w:left="321"/>
              <w:rPr>
                <w:rFonts w:ascii="Arial" w:hAnsi="Arial" w:cs="Arial"/>
                <w:i/>
                <w:color w:val="231F20"/>
                <w:sz w:val="21"/>
                <w:szCs w:val="21"/>
                <w:lang w:val="en-US"/>
              </w:rPr>
            </w:pPr>
            <w:r w:rsidRPr="006B737D">
              <w:rPr>
                <w:rFonts w:ascii="Arial" w:hAnsi="Arial" w:cs="Arial"/>
                <w:i/>
                <w:color w:val="231F20"/>
                <w:sz w:val="21"/>
                <w:szCs w:val="21"/>
                <w:lang w:val="en-US"/>
              </w:rPr>
              <w:t>Housing Act 1983 (as amended 2010)</w:t>
            </w:r>
          </w:p>
          <w:p w14:paraId="29256EB3" w14:textId="77777777" w:rsidR="006C5ED3" w:rsidRPr="006B737D" w:rsidRDefault="006C5ED3" w:rsidP="00314B4A">
            <w:pPr>
              <w:pStyle w:val="ListParagraph"/>
              <w:numPr>
                <w:ilvl w:val="0"/>
                <w:numId w:val="26"/>
              </w:numPr>
              <w:tabs>
                <w:tab w:val="left" w:pos="1701"/>
              </w:tabs>
              <w:ind w:left="321"/>
              <w:rPr>
                <w:rFonts w:ascii="Arial" w:hAnsi="Arial" w:cs="Arial"/>
                <w:i/>
                <w:color w:val="231F20"/>
                <w:sz w:val="21"/>
                <w:szCs w:val="21"/>
                <w:lang w:val="en-US"/>
              </w:rPr>
            </w:pPr>
            <w:r w:rsidRPr="006B737D">
              <w:rPr>
                <w:rFonts w:ascii="Arial" w:hAnsi="Arial" w:cs="Arial"/>
                <w:i/>
                <w:color w:val="231F20"/>
                <w:sz w:val="21"/>
                <w:szCs w:val="21"/>
                <w:lang w:val="en-US"/>
              </w:rPr>
              <w:t xml:space="preserve">Public </w:t>
            </w:r>
            <w:r w:rsidR="00CC1A29" w:rsidRPr="006B737D">
              <w:rPr>
                <w:rFonts w:ascii="Arial" w:hAnsi="Arial" w:cs="Arial"/>
                <w:i/>
                <w:color w:val="231F20"/>
                <w:sz w:val="21"/>
                <w:szCs w:val="21"/>
                <w:lang w:val="en-US"/>
              </w:rPr>
              <w:t xml:space="preserve">Tenant </w:t>
            </w:r>
            <w:r w:rsidRPr="006B737D">
              <w:rPr>
                <w:rFonts w:ascii="Arial" w:hAnsi="Arial" w:cs="Arial"/>
                <w:i/>
                <w:color w:val="231F20"/>
                <w:sz w:val="21"/>
                <w:szCs w:val="21"/>
                <w:lang w:val="en-US"/>
              </w:rPr>
              <w:t>Employment Program Procedures</w:t>
            </w:r>
          </w:p>
          <w:p w14:paraId="1C147F6E" w14:textId="77777777" w:rsidR="006C5ED3" w:rsidRPr="006B737D" w:rsidRDefault="006C5ED3" w:rsidP="00314B4A">
            <w:pPr>
              <w:pStyle w:val="ListParagraph"/>
              <w:numPr>
                <w:ilvl w:val="0"/>
                <w:numId w:val="26"/>
              </w:numPr>
              <w:autoSpaceDE w:val="0"/>
              <w:autoSpaceDN w:val="0"/>
              <w:adjustRightInd w:val="0"/>
              <w:ind w:left="321"/>
              <w:rPr>
                <w:rFonts w:ascii="Arial" w:hAnsi="Arial" w:cs="Arial"/>
                <w:color w:val="231F20"/>
                <w:sz w:val="21"/>
                <w:szCs w:val="21"/>
                <w:lang w:val="en-US"/>
              </w:rPr>
            </w:pPr>
            <w:r w:rsidRPr="006B737D">
              <w:rPr>
                <w:rFonts w:ascii="Arial" w:hAnsi="Arial" w:cs="Arial"/>
                <w:color w:val="231F20"/>
                <w:sz w:val="21"/>
                <w:szCs w:val="21"/>
                <w:lang w:val="en-US"/>
              </w:rPr>
              <w:t xml:space="preserve">Public Housing Infrastructure Program </w:t>
            </w:r>
            <w:r w:rsidR="00CC1A29" w:rsidRPr="006B737D">
              <w:rPr>
                <w:rFonts w:ascii="Arial" w:hAnsi="Arial" w:cs="Arial"/>
                <w:color w:val="231F20"/>
                <w:sz w:val="21"/>
                <w:szCs w:val="21"/>
                <w:lang w:val="en-US"/>
              </w:rPr>
              <w:t>w</w:t>
            </w:r>
            <w:r w:rsidRPr="006B737D">
              <w:rPr>
                <w:rFonts w:ascii="Arial" w:hAnsi="Arial" w:cs="Arial"/>
                <w:color w:val="231F20"/>
                <w:sz w:val="21"/>
                <w:szCs w:val="21"/>
                <w:lang w:val="en-US"/>
              </w:rPr>
              <w:t>ork plan</w:t>
            </w:r>
          </w:p>
          <w:p w14:paraId="59694D7D" w14:textId="77777777" w:rsidR="006C5ED3" w:rsidRPr="006B737D" w:rsidRDefault="006C5ED3" w:rsidP="00314B4A">
            <w:pPr>
              <w:pStyle w:val="ListParagraph"/>
              <w:numPr>
                <w:ilvl w:val="0"/>
                <w:numId w:val="26"/>
              </w:numPr>
              <w:tabs>
                <w:tab w:val="left" w:pos="1701"/>
              </w:tabs>
              <w:ind w:left="321"/>
              <w:rPr>
                <w:rFonts w:ascii="Arial" w:hAnsi="Arial" w:cs="Arial"/>
                <w:color w:val="231F20"/>
                <w:sz w:val="21"/>
                <w:szCs w:val="21"/>
                <w:lang w:val="en-US"/>
              </w:rPr>
            </w:pPr>
            <w:r w:rsidRPr="006B737D">
              <w:rPr>
                <w:rFonts w:ascii="Arial" w:hAnsi="Arial" w:cs="Arial"/>
                <w:i/>
                <w:iCs/>
                <w:sz w:val="21"/>
                <w:szCs w:val="21"/>
              </w:rPr>
              <w:t>Residential Tenancies Act 1997</w:t>
            </w:r>
          </w:p>
          <w:p w14:paraId="23E7F508" w14:textId="77777777" w:rsidR="00945988" w:rsidRPr="00314B4A" w:rsidRDefault="006C5ED3" w:rsidP="00314B4A">
            <w:pPr>
              <w:pStyle w:val="ListParagraph"/>
              <w:numPr>
                <w:ilvl w:val="0"/>
                <w:numId w:val="26"/>
              </w:numPr>
              <w:autoSpaceDE w:val="0"/>
              <w:autoSpaceDN w:val="0"/>
              <w:adjustRightInd w:val="0"/>
              <w:ind w:left="321"/>
              <w:rPr>
                <w:rFonts w:ascii="Arial" w:hAnsi="Arial" w:cs="Arial"/>
                <w:color w:val="231F20"/>
                <w:sz w:val="21"/>
                <w:szCs w:val="21"/>
                <w:lang w:val="en-US"/>
              </w:rPr>
            </w:pPr>
            <w:r w:rsidRPr="00314B4A">
              <w:rPr>
                <w:rFonts w:ascii="Arial" w:hAnsi="Arial" w:cs="Arial"/>
                <w:color w:val="231F20"/>
                <w:sz w:val="21"/>
                <w:szCs w:val="21"/>
                <w:lang w:val="en-US"/>
              </w:rPr>
              <w:t>Community gardens list by catchment</w:t>
            </w:r>
          </w:p>
          <w:p w14:paraId="37CEACE5" w14:textId="5CC24543" w:rsidR="006C5ED3" w:rsidRPr="00945988" w:rsidRDefault="006C5ED3" w:rsidP="00945988">
            <w:pPr>
              <w:tabs>
                <w:tab w:val="left" w:pos="1701"/>
              </w:tabs>
              <w:ind w:left="360"/>
              <w:rPr>
                <w:color w:val="231F20"/>
                <w:lang w:val="en-US"/>
              </w:rPr>
            </w:pPr>
            <w:r w:rsidRPr="00945988">
              <w:t xml:space="preserve">  </w:t>
            </w:r>
          </w:p>
          <w:p w14:paraId="0ECBAA08" w14:textId="77777777" w:rsidR="006C5ED3" w:rsidRPr="006B737D" w:rsidRDefault="006C5ED3" w:rsidP="006C5ED3">
            <w:pPr>
              <w:autoSpaceDE w:val="0"/>
              <w:autoSpaceDN w:val="0"/>
              <w:adjustRightInd w:val="0"/>
              <w:rPr>
                <w:rFonts w:ascii="Arial" w:hAnsi="Arial" w:cs="Arial"/>
                <w:color w:val="231F20"/>
                <w:sz w:val="21"/>
                <w:szCs w:val="21"/>
                <w:lang w:val="en-US"/>
              </w:rPr>
            </w:pPr>
          </w:p>
        </w:tc>
      </w:tr>
    </w:tbl>
    <w:p w14:paraId="4A2A46DE" w14:textId="77777777" w:rsidR="006C5ED3" w:rsidRPr="00FF2CC9" w:rsidRDefault="006C5ED3" w:rsidP="00D80C8B">
      <w:pPr>
        <w:pStyle w:val="Heading1"/>
        <w:ind w:left="567" w:hanging="567"/>
        <w:rPr>
          <w:rFonts w:eastAsia="MS Gothic" w:cs="Arial"/>
          <w:color w:val="201547"/>
          <w:kern w:val="32"/>
        </w:rPr>
      </w:pPr>
      <w:bookmarkStart w:id="18" w:name="_Toc261504864"/>
      <w:bookmarkStart w:id="19" w:name="_Toc266783309"/>
      <w:bookmarkStart w:id="20" w:name="_Toc266806398"/>
      <w:bookmarkStart w:id="21" w:name="_Toc266806444"/>
      <w:bookmarkStart w:id="22" w:name="_Toc360451355"/>
      <w:bookmarkStart w:id="23" w:name="_Toc412720477"/>
      <w:bookmarkStart w:id="24" w:name="_Toc412800998"/>
      <w:bookmarkStart w:id="25" w:name="_Toc73529057"/>
      <w:bookmarkStart w:id="26" w:name="_Toc94785362"/>
      <w:r w:rsidRPr="002D3CFD">
        <w:rPr>
          <w:rFonts w:eastAsia="MS Gothic" w:cs="Arial"/>
          <w:color w:val="201547"/>
          <w:kern w:val="32"/>
        </w:rPr>
        <w:lastRenderedPageBreak/>
        <w:t>3</w:t>
      </w:r>
      <w:r w:rsidRPr="006C5ED3">
        <w:t xml:space="preserve">. </w:t>
      </w:r>
      <w:r w:rsidRPr="00FF2CC9">
        <w:rPr>
          <w:rFonts w:eastAsia="MS Gothic" w:cs="Arial"/>
          <w:color w:val="201547"/>
          <w:kern w:val="32"/>
        </w:rPr>
        <w:t>Public Housing Infrastructure Program funding and activities</w:t>
      </w:r>
      <w:bookmarkEnd w:id="18"/>
      <w:bookmarkEnd w:id="19"/>
      <w:bookmarkEnd w:id="20"/>
      <w:bookmarkEnd w:id="21"/>
      <w:bookmarkEnd w:id="22"/>
      <w:bookmarkEnd w:id="23"/>
      <w:bookmarkEnd w:id="24"/>
      <w:bookmarkEnd w:id="25"/>
      <w:bookmarkEnd w:id="26"/>
    </w:p>
    <w:p w14:paraId="52ED8AFD" w14:textId="749A3ADE" w:rsidR="0018640E" w:rsidRPr="00FF2CC9" w:rsidRDefault="001A63FC" w:rsidP="00FF2CC9">
      <w:pPr>
        <w:pStyle w:val="Heading2"/>
        <w:ind w:left="709" w:hanging="709"/>
        <w:rPr>
          <w:b w:val="0"/>
        </w:rPr>
      </w:pPr>
      <w:bookmarkStart w:id="27" w:name="_Toc73529058"/>
      <w:bookmarkStart w:id="28" w:name="_Toc94785363"/>
      <w:bookmarkStart w:id="29" w:name="_Toc261504869"/>
      <w:bookmarkStart w:id="30" w:name="_Toc266783310"/>
      <w:bookmarkStart w:id="31" w:name="_Toc360451356"/>
      <w:bookmarkStart w:id="32" w:name="_Toc412720478"/>
      <w:bookmarkStart w:id="33" w:name="_Toc412800999"/>
      <w:r w:rsidRPr="00FF2CC9">
        <w:rPr>
          <w:color w:val="201547"/>
          <w:sz w:val="32"/>
        </w:rPr>
        <w:t>3.</w:t>
      </w:r>
      <w:r w:rsidR="00A325D6" w:rsidRPr="00FF2CC9">
        <w:rPr>
          <w:color w:val="201547"/>
          <w:sz w:val="32"/>
        </w:rPr>
        <w:t>1</w:t>
      </w:r>
      <w:r w:rsidR="0018640E" w:rsidRPr="00FF2CC9">
        <w:rPr>
          <w:color w:val="201547"/>
          <w:sz w:val="32"/>
        </w:rPr>
        <w:t xml:space="preserve"> </w:t>
      </w:r>
      <w:r w:rsidR="00FF2CC9">
        <w:rPr>
          <w:color w:val="201547"/>
          <w:sz w:val="32"/>
        </w:rPr>
        <w:t xml:space="preserve">  </w:t>
      </w:r>
      <w:r w:rsidR="00CB5A60" w:rsidRPr="00FF2CC9">
        <w:rPr>
          <w:color w:val="201547"/>
          <w:sz w:val="32"/>
        </w:rPr>
        <w:t xml:space="preserve">Activity 91423 – </w:t>
      </w:r>
      <w:r w:rsidR="0018640E" w:rsidRPr="00FF2CC9">
        <w:rPr>
          <w:color w:val="201547"/>
          <w:sz w:val="32"/>
        </w:rPr>
        <w:t>Housing Advocacy and Support</w:t>
      </w:r>
      <w:r w:rsidR="00FE21EA" w:rsidRPr="00FF2CC9">
        <w:rPr>
          <w:color w:val="201547"/>
          <w:sz w:val="32"/>
        </w:rPr>
        <w:t xml:space="preserve"> </w:t>
      </w:r>
      <w:r w:rsidR="00FF2CC9" w:rsidRPr="00FF2CC9">
        <w:rPr>
          <w:color w:val="201547"/>
          <w:sz w:val="32"/>
        </w:rPr>
        <w:t xml:space="preserve">- </w:t>
      </w:r>
      <w:r w:rsidR="00AB6577" w:rsidRPr="00FF2CC9">
        <w:rPr>
          <w:color w:val="201547"/>
          <w:sz w:val="32"/>
        </w:rPr>
        <w:t>Advocacy</w:t>
      </w:r>
      <w:bookmarkEnd w:id="27"/>
      <w:bookmarkEnd w:id="28"/>
    </w:p>
    <w:p w14:paraId="7DF9EBAA" w14:textId="79BBFF8E" w:rsidR="00AB6577" w:rsidRPr="006B737D" w:rsidRDefault="00AB6577" w:rsidP="00EE1087">
      <w:pPr>
        <w:pStyle w:val="DHHSbodynospace"/>
        <w:ind w:left="709"/>
        <w:rPr>
          <w:sz w:val="21"/>
          <w:szCs w:val="21"/>
        </w:rPr>
      </w:pPr>
      <w:r w:rsidRPr="006B737D">
        <w:rPr>
          <w:sz w:val="21"/>
          <w:szCs w:val="21"/>
        </w:rPr>
        <w:t xml:space="preserve">The program provides interventions when tenancies are at risk. Advocacy is designed to provide short-term interventions of 10 hours to address factors that may make or are making tenancies within social housing vulnerable. </w:t>
      </w:r>
      <w:r w:rsidR="001A63FC" w:rsidRPr="006B737D">
        <w:rPr>
          <w:sz w:val="21"/>
          <w:szCs w:val="21"/>
        </w:rPr>
        <w:t>This includes advocacy at the Victorian Administrative Appeals Tribunal</w:t>
      </w:r>
      <w:r w:rsidR="00A325D6" w:rsidRPr="006B737D">
        <w:rPr>
          <w:sz w:val="21"/>
          <w:szCs w:val="21"/>
        </w:rPr>
        <w:t xml:space="preserve"> and assisting tenants to complete and lodge priority transfer applications. </w:t>
      </w:r>
    </w:p>
    <w:p w14:paraId="77D2DE34" w14:textId="4A89B52D" w:rsidR="0018640E" w:rsidRPr="00FF2CC9" w:rsidRDefault="001A63FC" w:rsidP="00FF2CC9">
      <w:pPr>
        <w:pStyle w:val="Heading2"/>
        <w:ind w:left="709" w:hanging="709"/>
        <w:rPr>
          <w:color w:val="201547"/>
          <w:sz w:val="32"/>
        </w:rPr>
      </w:pPr>
      <w:bookmarkStart w:id="34" w:name="_Toc73529059"/>
      <w:bookmarkStart w:id="35" w:name="_Toc94785364"/>
      <w:r w:rsidRPr="00FF2CC9">
        <w:rPr>
          <w:color w:val="201547"/>
          <w:sz w:val="32"/>
        </w:rPr>
        <w:t>3.</w:t>
      </w:r>
      <w:r w:rsidR="00A325D6" w:rsidRPr="00FF2CC9">
        <w:rPr>
          <w:color w:val="201547"/>
          <w:sz w:val="32"/>
        </w:rPr>
        <w:t>2</w:t>
      </w:r>
      <w:r w:rsidR="0018640E" w:rsidRPr="00FF2CC9">
        <w:rPr>
          <w:color w:val="201547"/>
          <w:sz w:val="32"/>
        </w:rPr>
        <w:t xml:space="preserve">  </w:t>
      </w:r>
      <w:r w:rsidR="00610E3E">
        <w:rPr>
          <w:color w:val="201547"/>
          <w:sz w:val="32"/>
        </w:rPr>
        <w:t xml:space="preserve"> </w:t>
      </w:r>
      <w:r w:rsidR="0018640E" w:rsidRPr="00FF2CC9">
        <w:rPr>
          <w:color w:val="201547"/>
          <w:sz w:val="32"/>
        </w:rPr>
        <w:t xml:space="preserve">Activity 91424 </w:t>
      </w:r>
      <w:r w:rsidR="00FE21EA" w:rsidRPr="00FF2CC9">
        <w:rPr>
          <w:color w:val="201547"/>
          <w:sz w:val="32"/>
        </w:rPr>
        <w:t>–</w:t>
      </w:r>
      <w:r w:rsidR="0018640E" w:rsidRPr="00FF2CC9">
        <w:rPr>
          <w:color w:val="201547"/>
          <w:sz w:val="32"/>
        </w:rPr>
        <w:t xml:space="preserve"> H</w:t>
      </w:r>
      <w:r w:rsidR="00FE21EA" w:rsidRPr="00FF2CC9">
        <w:rPr>
          <w:color w:val="201547"/>
          <w:sz w:val="32"/>
        </w:rPr>
        <w:t xml:space="preserve">ousing Advocacy and Support </w:t>
      </w:r>
      <w:r w:rsidR="00AC7727" w:rsidRPr="00FF2CC9">
        <w:rPr>
          <w:color w:val="201547"/>
          <w:sz w:val="32"/>
        </w:rPr>
        <w:t>–</w:t>
      </w:r>
      <w:r w:rsidR="00AB6577" w:rsidRPr="00FF2CC9">
        <w:rPr>
          <w:color w:val="201547"/>
          <w:sz w:val="32"/>
        </w:rPr>
        <w:t xml:space="preserve"> Establish successful tenancies and Intervene when tenancies are at risk</w:t>
      </w:r>
      <w:bookmarkEnd w:id="34"/>
      <w:bookmarkEnd w:id="35"/>
      <w:r w:rsidR="00FE21EA" w:rsidRPr="00FF2CC9">
        <w:rPr>
          <w:color w:val="201547"/>
          <w:sz w:val="32"/>
        </w:rPr>
        <w:t xml:space="preserve"> </w:t>
      </w:r>
    </w:p>
    <w:p w14:paraId="6FA35E0F" w14:textId="2503D7A7" w:rsidR="00AC7727" w:rsidRPr="006B737D" w:rsidRDefault="00AC7727" w:rsidP="00FF2CC9">
      <w:pPr>
        <w:pStyle w:val="DHHSbody"/>
        <w:ind w:left="709"/>
        <w:rPr>
          <w:sz w:val="21"/>
          <w:szCs w:val="21"/>
        </w:rPr>
      </w:pPr>
      <w:r w:rsidRPr="006B737D">
        <w:rPr>
          <w:sz w:val="21"/>
          <w:szCs w:val="21"/>
        </w:rPr>
        <w:t xml:space="preserve">There are two streams of support; Establish successful tenancies and Intervene when tenancies are at risk. Support service providers will promote successful public housing tenancies by providing new </w:t>
      </w:r>
      <w:r w:rsidR="00E95976" w:rsidRPr="006B737D">
        <w:rPr>
          <w:sz w:val="21"/>
          <w:szCs w:val="21"/>
        </w:rPr>
        <w:t>renters</w:t>
      </w:r>
      <w:r w:rsidRPr="006B737D">
        <w:rPr>
          <w:sz w:val="21"/>
          <w:szCs w:val="21"/>
        </w:rPr>
        <w:t xml:space="preserve"> who have a high risk of tenancy failure and are not being supported by another provider with tenancy support to establish and maintain their tenancy for up to of six months. </w:t>
      </w:r>
    </w:p>
    <w:p w14:paraId="695C5850" w14:textId="77777777" w:rsidR="00AB6577" w:rsidRPr="006B737D" w:rsidRDefault="00AB6577" w:rsidP="00FF2CC9">
      <w:pPr>
        <w:pStyle w:val="DHHSbody"/>
        <w:ind w:left="709"/>
        <w:rPr>
          <w:sz w:val="21"/>
          <w:szCs w:val="21"/>
        </w:rPr>
      </w:pPr>
      <w:r w:rsidRPr="006B737D">
        <w:rPr>
          <w:sz w:val="21"/>
          <w:szCs w:val="21"/>
        </w:rPr>
        <w:t xml:space="preserve">Support service providers will intervene where a public housing tenancy is breaking down to resolve factors placing the tenancy at risk and continue to support the tenant for up to six months  </w:t>
      </w:r>
    </w:p>
    <w:p w14:paraId="16B4E070" w14:textId="77777777" w:rsidR="00AC7727" w:rsidRPr="006B737D" w:rsidRDefault="00AC7727" w:rsidP="00FF2CC9">
      <w:pPr>
        <w:pStyle w:val="DHHSbody"/>
        <w:ind w:left="709"/>
        <w:rPr>
          <w:sz w:val="21"/>
          <w:szCs w:val="21"/>
        </w:rPr>
      </w:pPr>
      <w:r w:rsidRPr="006B737D">
        <w:rPr>
          <w:sz w:val="21"/>
          <w:szCs w:val="21"/>
        </w:rPr>
        <w:t xml:space="preserve">Both streams require assessment, referral and case management to address needs and risk factors that may make or are making tenancies within social housing vulnerable. </w:t>
      </w:r>
    </w:p>
    <w:p w14:paraId="3412E754" w14:textId="77777777" w:rsidR="006C5ED3" w:rsidRPr="00610E3E" w:rsidRDefault="0018640E" w:rsidP="00647A83">
      <w:pPr>
        <w:pStyle w:val="Heading2"/>
        <w:ind w:left="709" w:hanging="709"/>
        <w:rPr>
          <w:color w:val="201547"/>
          <w:sz w:val="32"/>
        </w:rPr>
      </w:pPr>
      <w:bookmarkStart w:id="36" w:name="_Toc73529060"/>
      <w:bookmarkStart w:id="37" w:name="_Toc94785365"/>
      <w:r w:rsidRPr="00610E3E">
        <w:rPr>
          <w:color w:val="201547"/>
          <w:sz w:val="32"/>
        </w:rPr>
        <w:t>3.</w:t>
      </w:r>
      <w:r w:rsidR="00A325D6" w:rsidRPr="00610E3E">
        <w:rPr>
          <w:color w:val="201547"/>
          <w:sz w:val="32"/>
        </w:rPr>
        <w:t>3</w:t>
      </w:r>
      <w:r>
        <w:t xml:space="preserve">    </w:t>
      </w:r>
      <w:r w:rsidR="006C5ED3" w:rsidRPr="00610E3E">
        <w:rPr>
          <w:color w:val="201547"/>
          <w:sz w:val="32"/>
        </w:rPr>
        <w:t xml:space="preserve">Activity 91425 </w:t>
      </w:r>
      <w:r w:rsidR="00CB5A60" w:rsidRPr="00610E3E">
        <w:rPr>
          <w:color w:val="201547"/>
          <w:sz w:val="32"/>
        </w:rPr>
        <w:t xml:space="preserve">– </w:t>
      </w:r>
      <w:r w:rsidR="006C5ED3" w:rsidRPr="00610E3E">
        <w:rPr>
          <w:color w:val="201547"/>
          <w:sz w:val="32"/>
        </w:rPr>
        <w:t>Housing advocacy and support - secondary advice</w:t>
      </w:r>
      <w:bookmarkEnd w:id="29"/>
      <w:bookmarkEnd w:id="30"/>
      <w:bookmarkEnd w:id="31"/>
      <w:bookmarkEnd w:id="32"/>
      <w:bookmarkEnd w:id="33"/>
      <w:bookmarkEnd w:id="36"/>
      <w:bookmarkEnd w:id="37"/>
    </w:p>
    <w:p w14:paraId="544155A9" w14:textId="3A032088" w:rsidR="006C5ED3" w:rsidRPr="006B737D" w:rsidRDefault="006C5ED3" w:rsidP="00647A83">
      <w:pPr>
        <w:tabs>
          <w:tab w:val="left" w:pos="709"/>
        </w:tabs>
        <w:spacing w:before="100" w:beforeAutospacing="1" w:after="100" w:afterAutospacing="1"/>
        <w:ind w:left="709"/>
        <w:rPr>
          <w:rFonts w:ascii="Arial" w:hAnsi="Arial" w:cs="Arial"/>
          <w:sz w:val="21"/>
          <w:szCs w:val="21"/>
        </w:rPr>
      </w:pPr>
      <w:r w:rsidRPr="006B737D">
        <w:rPr>
          <w:rFonts w:ascii="Arial" w:hAnsi="Arial" w:cs="Arial"/>
          <w:sz w:val="21"/>
          <w:szCs w:val="21"/>
        </w:rPr>
        <w:t>Tenants</w:t>
      </w:r>
      <w:r w:rsidR="00426C47" w:rsidRPr="006B737D">
        <w:rPr>
          <w:rFonts w:ascii="Arial" w:hAnsi="Arial" w:cs="Arial"/>
          <w:sz w:val="21"/>
          <w:szCs w:val="21"/>
        </w:rPr>
        <w:t xml:space="preserve"> </w:t>
      </w:r>
      <w:r w:rsidRPr="006B737D">
        <w:rPr>
          <w:rFonts w:ascii="Arial" w:hAnsi="Arial" w:cs="Arial"/>
          <w:sz w:val="21"/>
          <w:szCs w:val="21"/>
        </w:rPr>
        <w:t xml:space="preserve">Victoria is funded under this activity to provide secondary advice to organisations funded by department for housing and support services. </w:t>
      </w:r>
    </w:p>
    <w:p w14:paraId="69800D8F" w14:textId="77777777" w:rsidR="006C5ED3" w:rsidRPr="00610E3E" w:rsidRDefault="006C5ED3" w:rsidP="00647A83">
      <w:pPr>
        <w:pStyle w:val="Heading2"/>
        <w:ind w:left="709" w:hanging="709"/>
        <w:rPr>
          <w:color w:val="201547"/>
          <w:sz w:val="32"/>
        </w:rPr>
      </w:pPr>
      <w:bookmarkStart w:id="38" w:name="_Toc261504870"/>
      <w:bookmarkStart w:id="39" w:name="_Toc360451357"/>
      <w:bookmarkStart w:id="40" w:name="_Toc412720479"/>
      <w:bookmarkStart w:id="41" w:name="_Toc412801000"/>
      <w:bookmarkStart w:id="42" w:name="_Toc73529061"/>
      <w:bookmarkStart w:id="43" w:name="_Toc94785366"/>
      <w:r w:rsidRPr="00610E3E">
        <w:rPr>
          <w:color w:val="201547"/>
          <w:sz w:val="32"/>
        </w:rPr>
        <w:t>3.</w:t>
      </w:r>
      <w:r w:rsidR="00A325D6" w:rsidRPr="00610E3E">
        <w:rPr>
          <w:color w:val="201547"/>
          <w:sz w:val="32"/>
        </w:rPr>
        <w:t>4</w:t>
      </w:r>
      <w:r w:rsidR="00CB5A60" w:rsidRPr="00610E3E">
        <w:rPr>
          <w:color w:val="201547"/>
          <w:sz w:val="32"/>
        </w:rPr>
        <w:tab/>
        <w:t xml:space="preserve">Activity 91426 – </w:t>
      </w:r>
      <w:r w:rsidRPr="00610E3E">
        <w:rPr>
          <w:color w:val="201547"/>
          <w:sz w:val="32"/>
        </w:rPr>
        <w:t>Housing advocacy and support - legal tenancy advice</w:t>
      </w:r>
      <w:bookmarkEnd w:id="38"/>
      <w:bookmarkEnd w:id="39"/>
      <w:bookmarkEnd w:id="40"/>
      <w:bookmarkEnd w:id="41"/>
      <w:bookmarkEnd w:id="42"/>
      <w:bookmarkEnd w:id="43"/>
    </w:p>
    <w:p w14:paraId="709506A1" w14:textId="3C368666" w:rsidR="006C5ED3" w:rsidRPr="006B737D" w:rsidRDefault="006C5ED3" w:rsidP="00647A83">
      <w:pPr>
        <w:tabs>
          <w:tab w:val="left" w:pos="709"/>
        </w:tabs>
        <w:spacing w:before="100" w:beforeAutospacing="1" w:after="100" w:afterAutospacing="1"/>
        <w:ind w:left="709"/>
        <w:rPr>
          <w:rFonts w:ascii="Arial" w:hAnsi="Arial" w:cs="Arial"/>
          <w:sz w:val="21"/>
          <w:szCs w:val="21"/>
        </w:rPr>
      </w:pPr>
      <w:r w:rsidRPr="006B737D">
        <w:rPr>
          <w:rFonts w:ascii="Arial" w:hAnsi="Arial" w:cs="Arial"/>
          <w:sz w:val="21"/>
          <w:szCs w:val="21"/>
        </w:rPr>
        <w:t>T</w:t>
      </w:r>
      <w:r w:rsidR="00CF7FB5" w:rsidRPr="006B737D">
        <w:rPr>
          <w:rFonts w:ascii="Arial" w:hAnsi="Arial" w:cs="Arial"/>
          <w:sz w:val="21"/>
          <w:szCs w:val="21"/>
        </w:rPr>
        <w:t xml:space="preserve">enants </w:t>
      </w:r>
      <w:r w:rsidR="00426C47" w:rsidRPr="006B737D">
        <w:rPr>
          <w:rFonts w:ascii="Arial" w:hAnsi="Arial" w:cs="Arial"/>
          <w:sz w:val="21"/>
          <w:szCs w:val="21"/>
        </w:rPr>
        <w:t xml:space="preserve">Victoria </w:t>
      </w:r>
      <w:r w:rsidRPr="006B737D">
        <w:rPr>
          <w:rFonts w:ascii="Arial" w:hAnsi="Arial" w:cs="Arial"/>
          <w:sz w:val="21"/>
          <w:szCs w:val="21"/>
        </w:rPr>
        <w:t xml:space="preserve">is funded under this activity to provide legal services to </w:t>
      </w:r>
      <w:r w:rsidR="00426C47" w:rsidRPr="006B737D">
        <w:rPr>
          <w:rFonts w:ascii="Arial" w:hAnsi="Arial" w:cs="Arial"/>
          <w:sz w:val="21"/>
          <w:szCs w:val="21"/>
        </w:rPr>
        <w:t>Tenancy plus</w:t>
      </w:r>
      <w:r w:rsidR="0093420C" w:rsidRPr="006B737D">
        <w:rPr>
          <w:rFonts w:ascii="Arial" w:hAnsi="Arial" w:cs="Arial"/>
          <w:sz w:val="21"/>
          <w:szCs w:val="21"/>
        </w:rPr>
        <w:t xml:space="preserve">- Tenancy support program </w:t>
      </w:r>
      <w:r w:rsidR="00426C47" w:rsidRPr="006B737D">
        <w:rPr>
          <w:rFonts w:ascii="Arial" w:hAnsi="Arial" w:cs="Arial"/>
          <w:sz w:val="21"/>
          <w:szCs w:val="21"/>
        </w:rPr>
        <w:t xml:space="preserve">service providers and </w:t>
      </w:r>
      <w:r w:rsidRPr="006B737D">
        <w:rPr>
          <w:rFonts w:ascii="Arial" w:hAnsi="Arial" w:cs="Arial"/>
          <w:sz w:val="21"/>
          <w:szCs w:val="21"/>
        </w:rPr>
        <w:t xml:space="preserve">eligible social housing </w:t>
      </w:r>
      <w:r w:rsidR="00E95976" w:rsidRPr="006B737D">
        <w:rPr>
          <w:rFonts w:ascii="Arial" w:hAnsi="Arial" w:cs="Arial"/>
          <w:sz w:val="21"/>
          <w:szCs w:val="21"/>
        </w:rPr>
        <w:t>renters</w:t>
      </w:r>
      <w:r w:rsidRPr="006B737D">
        <w:rPr>
          <w:rFonts w:ascii="Arial" w:hAnsi="Arial" w:cs="Arial"/>
          <w:sz w:val="21"/>
          <w:szCs w:val="21"/>
        </w:rPr>
        <w:t xml:space="preserve"> requiring complex </w:t>
      </w:r>
      <w:r w:rsidR="00D4697F" w:rsidRPr="006B737D">
        <w:rPr>
          <w:rFonts w:ascii="Arial" w:hAnsi="Arial" w:cs="Arial"/>
          <w:sz w:val="21"/>
          <w:szCs w:val="21"/>
        </w:rPr>
        <w:t>l</w:t>
      </w:r>
      <w:r w:rsidRPr="006B737D">
        <w:rPr>
          <w:rFonts w:ascii="Arial" w:hAnsi="Arial" w:cs="Arial"/>
          <w:sz w:val="21"/>
          <w:szCs w:val="21"/>
        </w:rPr>
        <w:t>egal tenancy advice</w:t>
      </w:r>
      <w:r w:rsidR="00D4697F" w:rsidRPr="006B737D">
        <w:rPr>
          <w:rFonts w:ascii="Arial" w:hAnsi="Arial" w:cs="Arial"/>
          <w:sz w:val="21"/>
          <w:szCs w:val="21"/>
        </w:rPr>
        <w:t xml:space="preserve"> for </w:t>
      </w:r>
      <w:r w:rsidR="00426C47" w:rsidRPr="006B737D">
        <w:rPr>
          <w:rFonts w:ascii="Arial" w:hAnsi="Arial" w:cs="Arial"/>
          <w:sz w:val="21"/>
          <w:szCs w:val="21"/>
        </w:rPr>
        <w:t xml:space="preserve">Victorian Civil and Administrative </w:t>
      </w:r>
      <w:r w:rsidR="00D4697F" w:rsidRPr="006B737D">
        <w:rPr>
          <w:rFonts w:ascii="Arial" w:hAnsi="Arial" w:cs="Arial"/>
          <w:sz w:val="21"/>
          <w:szCs w:val="21"/>
        </w:rPr>
        <w:t>Tribunal hearings</w:t>
      </w:r>
      <w:r w:rsidRPr="006B737D">
        <w:rPr>
          <w:rFonts w:ascii="Arial" w:hAnsi="Arial" w:cs="Arial"/>
          <w:sz w:val="21"/>
          <w:szCs w:val="21"/>
        </w:rPr>
        <w:t xml:space="preserve">. </w:t>
      </w:r>
      <w:r w:rsidR="00D4697F" w:rsidRPr="006B737D">
        <w:rPr>
          <w:rFonts w:ascii="Arial" w:hAnsi="Arial" w:cs="Arial"/>
          <w:sz w:val="21"/>
          <w:szCs w:val="21"/>
        </w:rPr>
        <w:t xml:space="preserve">Referrals for </w:t>
      </w:r>
      <w:r w:rsidRPr="006B737D">
        <w:rPr>
          <w:rFonts w:ascii="Arial" w:hAnsi="Arial" w:cs="Arial"/>
          <w:sz w:val="21"/>
          <w:szCs w:val="21"/>
        </w:rPr>
        <w:t xml:space="preserve">assistance under this activity will generally be </w:t>
      </w:r>
      <w:r w:rsidR="00D4697F" w:rsidRPr="006B737D">
        <w:rPr>
          <w:rFonts w:ascii="Arial" w:hAnsi="Arial" w:cs="Arial"/>
          <w:sz w:val="21"/>
          <w:szCs w:val="21"/>
        </w:rPr>
        <w:t xml:space="preserve">generated by program funded </w:t>
      </w:r>
      <w:r w:rsidR="005A4434" w:rsidRPr="006B737D">
        <w:rPr>
          <w:rFonts w:ascii="Arial" w:hAnsi="Arial" w:cs="Arial"/>
          <w:sz w:val="21"/>
          <w:szCs w:val="21"/>
        </w:rPr>
        <w:t xml:space="preserve">support </w:t>
      </w:r>
      <w:r w:rsidR="00D4697F" w:rsidRPr="006B737D">
        <w:rPr>
          <w:rFonts w:ascii="Arial" w:hAnsi="Arial" w:cs="Arial"/>
          <w:sz w:val="21"/>
          <w:szCs w:val="21"/>
        </w:rPr>
        <w:t xml:space="preserve">service </w:t>
      </w:r>
      <w:r w:rsidRPr="006B737D">
        <w:rPr>
          <w:rFonts w:ascii="Arial" w:hAnsi="Arial" w:cs="Arial"/>
          <w:sz w:val="21"/>
          <w:szCs w:val="21"/>
        </w:rPr>
        <w:t>providers</w:t>
      </w:r>
    </w:p>
    <w:p w14:paraId="202C4CF8" w14:textId="77777777" w:rsidR="006C5ED3" w:rsidRPr="00610E3E" w:rsidRDefault="006C5ED3" w:rsidP="00647A83">
      <w:pPr>
        <w:pStyle w:val="Heading2"/>
        <w:ind w:left="709" w:hanging="709"/>
        <w:rPr>
          <w:color w:val="201547"/>
          <w:sz w:val="32"/>
        </w:rPr>
      </w:pPr>
      <w:bookmarkStart w:id="44" w:name="_Toc261504871"/>
      <w:bookmarkStart w:id="45" w:name="_Toc266783311"/>
      <w:bookmarkStart w:id="46" w:name="_Toc360451358"/>
      <w:bookmarkStart w:id="47" w:name="_Toc412720480"/>
      <w:bookmarkStart w:id="48" w:name="_Toc412801001"/>
      <w:bookmarkStart w:id="49" w:name="_Toc73529062"/>
      <w:bookmarkStart w:id="50" w:name="_Toc94785367"/>
      <w:r w:rsidRPr="00610E3E">
        <w:rPr>
          <w:color w:val="201547"/>
          <w:sz w:val="32"/>
        </w:rPr>
        <w:lastRenderedPageBreak/>
        <w:t>3.</w:t>
      </w:r>
      <w:r w:rsidR="00A325D6" w:rsidRPr="00610E3E">
        <w:rPr>
          <w:color w:val="201547"/>
          <w:sz w:val="32"/>
        </w:rPr>
        <w:t>5</w:t>
      </w:r>
      <w:r w:rsidRPr="00610E3E">
        <w:rPr>
          <w:color w:val="201547"/>
          <w:sz w:val="32"/>
        </w:rPr>
        <w:tab/>
        <w:t>Activity 91427</w:t>
      </w:r>
      <w:r w:rsidR="00CB5A60" w:rsidRPr="00610E3E">
        <w:rPr>
          <w:color w:val="201547"/>
          <w:sz w:val="32"/>
        </w:rPr>
        <w:t xml:space="preserve"> – </w:t>
      </w:r>
      <w:r w:rsidRPr="00610E3E">
        <w:rPr>
          <w:color w:val="201547"/>
          <w:sz w:val="32"/>
        </w:rPr>
        <w:t>Housing advocacy and support - phone service</w:t>
      </w:r>
      <w:bookmarkEnd w:id="44"/>
      <w:bookmarkEnd w:id="45"/>
      <w:bookmarkEnd w:id="46"/>
      <w:bookmarkEnd w:id="47"/>
      <w:bookmarkEnd w:id="48"/>
      <w:bookmarkEnd w:id="49"/>
      <w:bookmarkEnd w:id="50"/>
    </w:p>
    <w:p w14:paraId="5E9190F2" w14:textId="5A360052" w:rsidR="006C5ED3" w:rsidRPr="006B737D" w:rsidRDefault="00D4697F" w:rsidP="00647A83">
      <w:pPr>
        <w:tabs>
          <w:tab w:val="left" w:pos="709"/>
        </w:tabs>
        <w:spacing w:before="100" w:beforeAutospacing="1" w:after="100" w:afterAutospacing="1"/>
        <w:ind w:left="709"/>
        <w:rPr>
          <w:rFonts w:ascii="Arial" w:hAnsi="Arial" w:cs="Arial"/>
          <w:sz w:val="21"/>
          <w:szCs w:val="21"/>
        </w:rPr>
      </w:pPr>
      <w:r w:rsidRPr="006B737D">
        <w:rPr>
          <w:rFonts w:ascii="Arial" w:hAnsi="Arial" w:cs="Arial"/>
          <w:sz w:val="21"/>
          <w:szCs w:val="21"/>
        </w:rPr>
        <w:t xml:space="preserve">Tenants </w:t>
      </w:r>
      <w:r w:rsidR="00426C47" w:rsidRPr="006B737D">
        <w:rPr>
          <w:rFonts w:ascii="Arial" w:hAnsi="Arial" w:cs="Arial"/>
          <w:sz w:val="21"/>
          <w:szCs w:val="21"/>
        </w:rPr>
        <w:t xml:space="preserve">Victoria </w:t>
      </w:r>
      <w:r w:rsidR="006C5ED3" w:rsidRPr="006B737D">
        <w:rPr>
          <w:rFonts w:ascii="Arial" w:hAnsi="Arial" w:cs="Arial"/>
          <w:sz w:val="21"/>
          <w:szCs w:val="21"/>
        </w:rPr>
        <w:t xml:space="preserve">is funded under this activity to provide direct telephone assistance to social housing </w:t>
      </w:r>
      <w:r w:rsidR="00E95976" w:rsidRPr="006B737D">
        <w:rPr>
          <w:rFonts w:ascii="Arial" w:hAnsi="Arial" w:cs="Arial"/>
          <w:sz w:val="21"/>
          <w:szCs w:val="21"/>
        </w:rPr>
        <w:t>renters</w:t>
      </w:r>
      <w:r w:rsidR="006C5ED3" w:rsidRPr="006B737D">
        <w:rPr>
          <w:rFonts w:ascii="Arial" w:hAnsi="Arial" w:cs="Arial"/>
          <w:sz w:val="21"/>
          <w:szCs w:val="21"/>
        </w:rPr>
        <w:t>/applicants. This will incl</w:t>
      </w:r>
      <w:r w:rsidRPr="006B737D">
        <w:rPr>
          <w:rFonts w:ascii="Arial" w:hAnsi="Arial" w:cs="Arial"/>
          <w:sz w:val="21"/>
          <w:szCs w:val="21"/>
        </w:rPr>
        <w:t xml:space="preserve">ude active referral to program funded service </w:t>
      </w:r>
      <w:r w:rsidR="006C5ED3" w:rsidRPr="006B737D">
        <w:rPr>
          <w:rFonts w:ascii="Arial" w:hAnsi="Arial" w:cs="Arial"/>
          <w:sz w:val="21"/>
          <w:szCs w:val="21"/>
        </w:rPr>
        <w:t>providers</w:t>
      </w:r>
      <w:bookmarkStart w:id="51" w:name="_Toc261504872"/>
    </w:p>
    <w:p w14:paraId="11727F5D" w14:textId="77777777" w:rsidR="006C5ED3" w:rsidRPr="006C5ED3" w:rsidRDefault="006C5ED3" w:rsidP="00610E3E">
      <w:pPr>
        <w:pStyle w:val="Heading2"/>
        <w:ind w:left="709" w:hanging="709"/>
      </w:pPr>
      <w:bookmarkStart w:id="52" w:name="_Toc360451359"/>
      <w:bookmarkStart w:id="53" w:name="_Toc412720481"/>
      <w:bookmarkStart w:id="54" w:name="_Toc412801002"/>
      <w:bookmarkStart w:id="55" w:name="_Toc73529063"/>
      <w:bookmarkStart w:id="56" w:name="_Toc94785368"/>
      <w:r w:rsidRPr="00610E3E">
        <w:rPr>
          <w:color w:val="201547"/>
          <w:sz w:val="32"/>
        </w:rPr>
        <w:t>3.</w:t>
      </w:r>
      <w:r w:rsidR="00A325D6" w:rsidRPr="00610E3E">
        <w:rPr>
          <w:color w:val="201547"/>
          <w:sz w:val="32"/>
        </w:rPr>
        <w:t>6</w:t>
      </w:r>
      <w:r w:rsidRPr="00610E3E">
        <w:rPr>
          <w:color w:val="201547"/>
          <w:sz w:val="32"/>
        </w:rPr>
        <w:tab/>
        <w:t>Activity 91431 - Housing infrastructure tenant participation</w:t>
      </w:r>
      <w:bookmarkEnd w:id="51"/>
      <w:bookmarkEnd w:id="52"/>
      <w:bookmarkEnd w:id="53"/>
      <w:bookmarkEnd w:id="54"/>
      <w:bookmarkEnd w:id="55"/>
      <w:bookmarkEnd w:id="56"/>
    </w:p>
    <w:p w14:paraId="06CE9D11" w14:textId="723AB1F0" w:rsidR="009D5B2B" w:rsidRPr="006B737D" w:rsidRDefault="009D5B2B" w:rsidP="009D5B2B">
      <w:pPr>
        <w:pStyle w:val="DHHSbody"/>
        <w:ind w:left="709"/>
        <w:rPr>
          <w:sz w:val="21"/>
          <w:szCs w:val="21"/>
        </w:rPr>
      </w:pPr>
      <w:bookmarkStart w:id="57" w:name="_Toc261504873"/>
      <w:bookmarkStart w:id="58" w:name="_Toc266783312"/>
      <w:bookmarkStart w:id="59" w:name="_Toc360451360"/>
      <w:bookmarkStart w:id="60" w:name="_Toc412720482"/>
      <w:bookmarkStart w:id="61" w:name="_Toc412801003"/>
      <w:r w:rsidRPr="006B737D">
        <w:rPr>
          <w:sz w:val="21"/>
          <w:szCs w:val="21"/>
        </w:rPr>
        <w:t xml:space="preserve">The focus of this activity is to support consultation with public housing </w:t>
      </w:r>
      <w:r w:rsidR="00E95976" w:rsidRPr="006B737D">
        <w:rPr>
          <w:sz w:val="21"/>
          <w:szCs w:val="21"/>
        </w:rPr>
        <w:t>renters</w:t>
      </w:r>
      <w:r w:rsidRPr="006B737D">
        <w:rPr>
          <w:sz w:val="21"/>
          <w:szCs w:val="21"/>
        </w:rPr>
        <w:t xml:space="preserve"> in relation to public housing matters</w:t>
      </w:r>
      <w:r w:rsidR="00123745" w:rsidRPr="006B737D">
        <w:rPr>
          <w:sz w:val="21"/>
          <w:szCs w:val="21"/>
        </w:rPr>
        <w:t>.</w:t>
      </w:r>
      <w:r w:rsidRPr="006B737D">
        <w:rPr>
          <w:sz w:val="21"/>
          <w:szCs w:val="21"/>
        </w:rPr>
        <w:fldChar w:fldCharType="begin"/>
      </w:r>
      <w:r w:rsidRPr="006B737D">
        <w:rPr>
          <w:sz w:val="21"/>
          <w:szCs w:val="21"/>
        </w:rPr>
        <w:instrText xml:space="preserve"> COMMENTS  \* FirstCap  \* MERGEFORMAT </w:instrText>
      </w:r>
      <w:r w:rsidRPr="006B737D">
        <w:rPr>
          <w:sz w:val="21"/>
          <w:szCs w:val="21"/>
        </w:rPr>
        <w:fldChar w:fldCharType="end"/>
      </w:r>
    </w:p>
    <w:p w14:paraId="4BB67319" w14:textId="49340CC7" w:rsidR="008A2865" w:rsidRPr="006B737D" w:rsidRDefault="008A2865" w:rsidP="003C56EB">
      <w:pPr>
        <w:tabs>
          <w:tab w:val="left" w:pos="709"/>
        </w:tabs>
        <w:spacing w:before="100" w:beforeAutospacing="1" w:after="100" w:afterAutospacing="1"/>
        <w:ind w:left="709"/>
        <w:rPr>
          <w:rFonts w:ascii="Arial" w:hAnsi="Arial" w:cs="Arial"/>
          <w:sz w:val="21"/>
          <w:szCs w:val="21"/>
        </w:rPr>
      </w:pPr>
      <w:r w:rsidRPr="006B737D">
        <w:rPr>
          <w:rFonts w:ascii="Arial" w:hAnsi="Arial" w:cs="Arial"/>
          <w:sz w:val="21"/>
          <w:szCs w:val="21"/>
        </w:rPr>
        <w:t xml:space="preserve">The Victorian Public Tenants Association (Tenants Association), the peak </w:t>
      </w:r>
      <w:r w:rsidR="00E95976" w:rsidRPr="006B737D">
        <w:rPr>
          <w:rFonts w:ascii="Arial" w:hAnsi="Arial" w:cs="Arial"/>
          <w:sz w:val="21"/>
          <w:szCs w:val="21"/>
        </w:rPr>
        <w:t>renters</w:t>
      </w:r>
      <w:r w:rsidRPr="006B737D">
        <w:rPr>
          <w:rFonts w:ascii="Arial" w:hAnsi="Arial" w:cs="Arial"/>
          <w:sz w:val="21"/>
          <w:szCs w:val="21"/>
        </w:rPr>
        <w:t xml:space="preserve"> association is funded under this activity for the provision of advice and support to department funded public renters.</w:t>
      </w:r>
    </w:p>
    <w:p w14:paraId="2F2E43FB" w14:textId="77777777" w:rsidR="006C5ED3" w:rsidRPr="00610E3E" w:rsidRDefault="006C5ED3" w:rsidP="00610E3E">
      <w:pPr>
        <w:pStyle w:val="Heading2"/>
        <w:ind w:left="709" w:hanging="709"/>
        <w:rPr>
          <w:color w:val="201547"/>
          <w:sz w:val="32"/>
        </w:rPr>
      </w:pPr>
      <w:bookmarkStart w:id="62" w:name="_Toc73529064"/>
      <w:bookmarkStart w:id="63" w:name="_Toc94785369"/>
      <w:r w:rsidRPr="00610E3E">
        <w:rPr>
          <w:color w:val="201547"/>
          <w:sz w:val="32"/>
        </w:rPr>
        <w:t>3.</w:t>
      </w:r>
      <w:r w:rsidR="00A325D6" w:rsidRPr="00610E3E">
        <w:rPr>
          <w:color w:val="201547"/>
          <w:sz w:val="32"/>
        </w:rPr>
        <w:t>7</w:t>
      </w:r>
      <w:r w:rsidRPr="00610E3E">
        <w:rPr>
          <w:color w:val="201547"/>
          <w:sz w:val="32"/>
        </w:rPr>
        <w:tab/>
        <w:t xml:space="preserve">Activity </w:t>
      </w:r>
      <w:r w:rsidR="00330375" w:rsidRPr="00610E3E">
        <w:rPr>
          <w:color w:val="201547"/>
          <w:sz w:val="32"/>
        </w:rPr>
        <w:t>91432 - Housing infrastructure tenant participation</w:t>
      </w:r>
      <w:r w:rsidRPr="00610E3E">
        <w:rPr>
          <w:color w:val="201547"/>
          <w:sz w:val="32"/>
        </w:rPr>
        <w:t xml:space="preserve"> - support to tenant groups</w:t>
      </w:r>
      <w:bookmarkEnd w:id="57"/>
      <w:bookmarkEnd w:id="58"/>
      <w:bookmarkEnd w:id="59"/>
      <w:bookmarkEnd w:id="60"/>
      <w:bookmarkEnd w:id="61"/>
      <w:bookmarkEnd w:id="62"/>
      <w:bookmarkEnd w:id="63"/>
    </w:p>
    <w:p w14:paraId="0F41D1D0" w14:textId="646BE2FB" w:rsidR="00DA342C" w:rsidRPr="006B737D" w:rsidRDefault="008A2865" w:rsidP="00DA342C">
      <w:pPr>
        <w:tabs>
          <w:tab w:val="left" w:pos="709"/>
        </w:tabs>
        <w:spacing w:before="100" w:beforeAutospacing="1" w:after="100" w:afterAutospacing="1"/>
        <w:ind w:left="709"/>
        <w:rPr>
          <w:rFonts w:ascii="Arial" w:hAnsi="Arial" w:cs="Arial"/>
          <w:sz w:val="21"/>
          <w:szCs w:val="21"/>
        </w:rPr>
      </w:pPr>
      <w:r w:rsidRPr="006B737D">
        <w:rPr>
          <w:rFonts w:ascii="Arial" w:hAnsi="Arial" w:cs="Arial"/>
          <w:sz w:val="21"/>
          <w:szCs w:val="21"/>
        </w:rPr>
        <w:t xml:space="preserve">Tenant </w:t>
      </w:r>
      <w:r w:rsidR="00DA342C" w:rsidRPr="006B737D">
        <w:rPr>
          <w:rFonts w:ascii="Arial" w:hAnsi="Arial" w:cs="Arial"/>
          <w:sz w:val="21"/>
          <w:szCs w:val="21"/>
        </w:rPr>
        <w:t>groups are funded under this activity to provide a representative forum for public</w:t>
      </w:r>
      <w:r w:rsidR="00E95976" w:rsidRPr="006B737D">
        <w:rPr>
          <w:rFonts w:ascii="Arial" w:hAnsi="Arial" w:cs="Arial"/>
          <w:sz w:val="21"/>
          <w:szCs w:val="21"/>
        </w:rPr>
        <w:t xml:space="preserve"> renters </w:t>
      </w:r>
      <w:r w:rsidR="00DA342C" w:rsidRPr="006B737D">
        <w:rPr>
          <w:rFonts w:ascii="Arial" w:hAnsi="Arial" w:cs="Arial"/>
          <w:sz w:val="21"/>
          <w:szCs w:val="21"/>
        </w:rPr>
        <w:t>and are managed under separate guidelines.</w:t>
      </w:r>
    </w:p>
    <w:p w14:paraId="43EA8E76" w14:textId="288B4359" w:rsidR="00856DC8" w:rsidRPr="00EA0CC7" w:rsidRDefault="00DA342C" w:rsidP="00856DC8">
      <w:pPr>
        <w:pStyle w:val="DHHSbody"/>
        <w:ind w:left="709"/>
      </w:pPr>
      <w:r w:rsidRPr="00EA0CC7">
        <w:rPr>
          <w:sz w:val="21"/>
          <w:szCs w:val="21"/>
        </w:rPr>
        <w:t>This activity also provides funding for the department to hold two social housing events per annum: Victoria In Bloom garden competition and the Social Housing Volunteer Awards</w:t>
      </w:r>
      <w:r w:rsidRPr="00EA0CC7">
        <w:t xml:space="preserve">. </w:t>
      </w:r>
    </w:p>
    <w:p w14:paraId="49157A2B" w14:textId="2BD404C5" w:rsidR="006C5ED3" w:rsidRPr="00610E3E" w:rsidRDefault="00123745" w:rsidP="00610E3E">
      <w:pPr>
        <w:pStyle w:val="Heading2"/>
        <w:ind w:left="709" w:hanging="709"/>
        <w:rPr>
          <w:color w:val="201547"/>
          <w:sz w:val="32"/>
        </w:rPr>
      </w:pPr>
      <w:bookmarkStart w:id="64" w:name="_Toc261504876"/>
      <w:bookmarkStart w:id="65" w:name="_Toc266783315"/>
      <w:bookmarkStart w:id="66" w:name="_Toc360451363"/>
      <w:bookmarkStart w:id="67" w:name="_Toc73529065"/>
      <w:bookmarkStart w:id="68" w:name="_Toc94785370"/>
      <w:bookmarkStart w:id="69" w:name="_Hlk73528323"/>
      <w:r w:rsidRPr="00610E3E">
        <w:rPr>
          <w:color w:val="201547"/>
          <w:sz w:val="32"/>
        </w:rPr>
        <w:t xml:space="preserve">3.8   </w:t>
      </w:r>
      <w:r w:rsidR="006C5ED3" w:rsidRPr="00610E3E">
        <w:rPr>
          <w:color w:val="201547"/>
          <w:sz w:val="32"/>
        </w:rPr>
        <w:t>Activity 91451 - Housing infrastructure - resources</w:t>
      </w:r>
      <w:bookmarkEnd w:id="64"/>
      <w:bookmarkEnd w:id="65"/>
      <w:bookmarkEnd w:id="66"/>
      <w:bookmarkEnd w:id="67"/>
      <w:bookmarkEnd w:id="68"/>
    </w:p>
    <w:bookmarkEnd w:id="69"/>
    <w:p w14:paraId="57FC954B" w14:textId="5CDD1569" w:rsidR="006C5ED3" w:rsidRPr="006B737D" w:rsidRDefault="00D4697F" w:rsidP="00CB5A60">
      <w:pPr>
        <w:tabs>
          <w:tab w:val="left" w:pos="709"/>
        </w:tabs>
        <w:spacing w:before="100" w:beforeAutospacing="1" w:after="100" w:afterAutospacing="1"/>
        <w:ind w:left="709"/>
        <w:rPr>
          <w:rFonts w:ascii="Arial" w:hAnsi="Arial" w:cs="Arial"/>
          <w:sz w:val="21"/>
          <w:szCs w:val="21"/>
        </w:rPr>
      </w:pPr>
      <w:r w:rsidRPr="006B737D">
        <w:rPr>
          <w:rFonts w:ascii="Arial" w:hAnsi="Arial" w:cs="Arial"/>
          <w:sz w:val="21"/>
          <w:szCs w:val="21"/>
        </w:rPr>
        <w:t xml:space="preserve">The Program </w:t>
      </w:r>
      <w:r w:rsidR="006C5ED3" w:rsidRPr="006B737D">
        <w:rPr>
          <w:rFonts w:ascii="Arial" w:hAnsi="Arial" w:cs="Arial"/>
          <w:sz w:val="21"/>
          <w:szCs w:val="21"/>
        </w:rPr>
        <w:t>includes provision of funding</w:t>
      </w:r>
      <w:r w:rsidR="00330375" w:rsidRPr="006B737D">
        <w:rPr>
          <w:rFonts w:ascii="Arial" w:hAnsi="Arial" w:cs="Arial"/>
          <w:sz w:val="21"/>
          <w:szCs w:val="21"/>
        </w:rPr>
        <w:t xml:space="preserve"> to  Tenants </w:t>
      </w:r>
      <w:r w:rsidR="00426C47" w:rsidRPr="006B737D">
        <w:rPr>
          <w:rFonts w:ascii="Arial" w:hAnsi="Arial" w:cs="Arial"/>
          <w:sz w:val="21"/>
          <w:szCs w:val="21"/>
        </w:rPr>
        <w:t xml:space="preserve">Victoria </w:t>
      </w:r>
      <w:r w:rsidR="00330375" w:rsidRPr="006B737D">
        <w:rPr>
          <w:rFonts w:ascii="Arial" w:hAnsi="Arial" w:cs="Arial"/>
          <w:sz w:val="21"/>
          <w:szCs w:val="21"/>
        </w:rPr>
        <w:t xml:space="preserve"> </w:t>
      </w:r>
      <w:r w:rsidR="006C5ED3" w:rsidRPr="006B737D">
        <w:rPr>
          <w:rFonts w:ascii="Arial" w:hAnsi="Arial" w:cs="Arial"/>
          <w:sz w:val="21"/>
          <w:szCs w:val="21"/>
        </w:rPr>
        <w:t>for a resource service to advise the department on housing/tenancy issues; undertake specific projects related to department business; participate in</w:t>
      </w:r>
      <w:r w:rsidRPr="006B737D">
        <w:rPr>
          <w:rFonts w:ascii="Arial" w:hAnsi="Arial" w:cs="Arial"/>
          <w:sz w:val="21"/>
          <w:szCs w:val="21"/>
        </w:rPr>
        <w:t xml:space="preserve"> periodic reviews undertaken by the</w:t>
      </w:r>
      <w:r w:rsidR="006C5ED3" w:rsidRPr="006B737D">
        <w:rPr>
          <w:rFonts w:ascii="Arial" w:hAnsi="Arial" w:cs="Arial"/>
          <w:sz w:val="21"/>
          <w:szCs w:val="21"/>
        </w:rPr>
        <w:t xml:space="preserve"> department and identify and report to the department on emerging issues particularly as they relate to</w:t>
      </w:r>
      <w:r w:rsidRPr="006B737D">
        <w:rPr>
          <w:rFonts w:ascii="Arial" w:hAnsi="Arial" w:cs="Arial"/>
          <w:sz w:val="21"/>
          <w:szCs w:val="21"/>
        </w:rPr>
        <w:t xml:space="preserve"> program funded service providers</w:t>
      </w:r>
      <w:r w:rsidR="006C5ED3" w:rsidRPr="006B737D">
        <w:rPr>
          <w:rFonts w:ascii="Arial" w:hAnsi="Arial" w:cs="Arial"/>
          <w:sz w:val="21"/>
          <w:szCs w:val="21"/>
        </w:rPr>
        <w:t>.</w:t>
      </w:r>
    </w:p>
    <w:p w14:paraId="0FF837A4" w14:textId="77777777" w:rsidR="006C5ED3" w:rsidRPr="00610E3E" w:rsidRDefault="006C5ED3" w:rsidP="00610E3E">
      <w:pPr>
        <w:pStyle w:val="Heading2"/>
        <w:ind w:left="709" w:hanging="709"/>
        <w:rPr>
          <w:color w:val="201547"/>
          <w:sz w:val="32"/>
        </w:rPr>
      </w:pPr>
      <w:bookmarkStart w:id="70" w:name="_Toc261504877"/>
      <w:bookmarkStart w:id="71" w:name="_Toc266783316"/>
      <w:bookmarkStart w:id="72" w:name="_Toc360451364"/>
      <w:bookmarkStart w:id="73" w:name="_Toc412720485"/>
      <w:bookmarkStart w:id="74" w:name="_Toc412801006"/>
      <w:bookmarkStart w:id="75" w:name="_Toc73529066"/>
      <w:bookmarkStart w:id="76" w:name="_Toc94785371"/>
      <w:r w:rsidRPr="00610E3E">
        <w:rPr>
          <w:color w:val="201547"/>
          <w:sz w:val="32"/>
        </w:rPr>
        <w:t>3.</w:t>
      </w:r>
      <w:r w:rsidR="00A325D6" w:rsidRPr="00610E3E">
        <w:rPr>
          <w:color w:val="201547"/>
          <w:sz w:val="32"/>
        </w:rPr>
        <w:t xml:space="preserve">9 </w:t>
      </w:r>
      <w:r w:rsidRPr="00610E3E">
        <w:rPr>
          <w:color w:val="201547"/>
          <w:sz w:val="32"/>
        </w:rPr>
        <w:t xml:space="preserve"> </w:t>
      </w:r>
      <w:r w:rsidR="00647A83" w:rsidRPr="00610E3E">
        <w:rPr>
          <w:color w:val="201547"/>
          <w:sz w:val="32"/>
        </w:rPr>
        <w:t xml:space="preserve"> </w:t>
      </w:r>
      <w:r w:rsidRPr="00610E3E">
        <w:rPr>
          <w:color w:val="201547"/>
          <w:sz w:val="32"/>
        </w:rPr>
        <w:t>Activity 91452 - Housing infrastructure - training</w:t>
      </w:r>
      <w:bookmarkEnd w:id="70"/>
      <w:bookmarkEnd w:id="71"/>
      <w:bookmarkEnd w:id="72"/>
      <w:bookmarkEnd w:id="73"/>
      <w:bookmarkEnd w:id="74"/>
      <w:bookmarkEnd w:id="75"/>
      <w:bookmarkEnd w:id="76"/>
    </w:p>
    <w:p w14:paraId="407B3671" w14:textId="71AEC726" w:rsidR="006C5ED3" w:rsidRPr="006B737D" w:rsidRDefault="006C5ED3" w:rsidP="0051506D">
      <w:pPr>
        <w:tabs>
          <w:tab w:val="left" w:pos="709"/>
        </w:tabs>
        <w:spacing w:before="100" w:beforeAutospacing="1" w:after="100" w:afterAutospacing="1"/>
        <w:ind w:left="709"/>
        <w:rPr>
          <w:rFonts w:ascii="Arial" w:hAnsi="Arial" w:cs="Arial"/>
          <w:sz w:val="21"/>
          <w:szCs w:val="21"/>
        </w:rPr>
      </w:pPr>
      <w:r w:rsidRPr="006B737D">
        <w:rPr>
          <w:rFonts w:ascii="Arial" w:hAnsi="Arial" w:cs="Arial"/>
          <w:sz w:val="21"/>
          <w:szCs w:val="21"/>
        </w:rPr>
        <w:t xml:space="preserve">The </w:t>
      </w:r>
      <w:r w:rsidR="00647A83" w:rsidRPr="006B737D">
        <w:rPr>
          <w:rFonts w:ascii="Arial" w:hAnsi="Arial" w:cs="Arial"/>
          <w:sz w:val="21"/>
          <w:szCs w:val="21"/>
        </w:rPr>
        <w:t xml:space="preserve">Public Housing Infrastructure Program </w:t>
      </w:r>
      <w:r w:rsidRPr="006B737D">
        <w:rPr>
          <w:rFonts w:ascii="Arial" w:hAnsi="Arial" w:cs="Arial"/>
          <w:sz w:val="21"/>
          <w:szCs w:val="21"/>
        </w:rPr>
        <w:t>includes funding to T</w:t>
      </w:r>
      <w:r w:rsidR="00647A83" w:rsidRPr="006B737D">
        <w:rPr>
          <w:rFonts w:ascii="Arial" w:hAnsi="Arial" w:cs="Arial"/>
          <w:sz w:val="21"/>
          <w:szCs w:val="21"/>
        </w:rPr>
        <w:t>enants</w:t>
      </w:r>
      <w:r w:rsidR="00DA342C" w:rsidRPr="006B737D">
        <w:rPr>
          <w:rFonts w:ascii="Arial" w:hAnsi="Arial" w:cs="Arial"/>
          <w:sz w:val="21"/>
          <w:szCs w:val="21"/>
        </w:rPr>
        <w:t xml:space="preserve"> </w:t>
      </w:r>
      <w:r w:rsidRPr="006B737D">
        <w:rPr>
          <w:rFonts w:ascii="Arial" w:hAnsi="Arial" w:cs="Arial"/>
          <w:sz w:val="21"/>
          <w:szCs w:val="21"/>
        </w:rPr>
        <w:t>V</w:t>
      </w:r>
      <w:r w:rsidR="00BE0FC3" w:rsidRPr="006B737D">
        <w:rPr>
          <w:rFonts w:ascii="Arial" w:hAnsi="Arial" w:cs="Arial"/>
          <w:sz w:val="21"/>
          <w:szCs w:val="21"/>
        </w:rPr>
        <w:t xml:space="preserve">ictoria </w:t>
      </w:r>
      <w:r w:rsidR="0051506D" w:rsidRPr="006B737D">
        <w:rPr>
          <w:rFonts w:ascii="Arial" w:hAnsi="Arial" w:cs="Arial"/>
          <w:sz w:val="21"/>
          <w:szCs w:val="21"/>
        </w:rPr>
        <w:t>to provide a</w:t>
      </w:r>
      <w:r w:rsidRPr="006B737D">
        <w:rPr>
          <w:rFonts w:ascii="Arial" w:hAnsi="Arial" w:cs="Arial"/>
          <w:sz w:val="21"/>
          <w:szCs w:val="21"/>
        </w:rPr>
        <w:t xml:space="preserve">ccredited face to face advocacy and legal based training for </w:t>
      </w:r>
      <w:r w:rsidR="001A63FC" w:rsidRPr="006B737D">
        <w:rPr>
          <w:rFonts w:ascii="Arial" w:hAnsi="Arial" w:cs="Arial"/>
          <w:sz w:val="21"/>
          <w:szCs w:val="21"/>
        </w:rPr>
        <w:t xml:space="preserve">Tenancy plus – Tenancy support program </w:t>
      </w:r>
      <w:r w:rsidR="00BE0FC3" w:rsidRPr="006B737D">
        <w:rPr>
          <w:rFonts w:ascii="Arial" w:hAnsi="Arial" w:cs="Arial"/>
          <w:sz w:val="21"/>
          <w:szCs w:val="21"/>
        </w:rPr>
        <w:t xml:space="preserve">and other department funded housing </w:t>
      </w:r>
      <w:r w:rsidR="001A63FC" w:rsidRPr="006B737D">
        <w:rPr>
          <w:rFonts w:ascii="Arial" w:hAnsi="Arial" w:cs="Arial"/>
          <w:sz w:val="21"/>
          <w:szCs w:val="21"/>
        </w:rPr>
        <w:t xml:space="preserve">sector </w:t>
      </w:r>
      <w:r w:rsidRPr="006B737D">
        <w:rPr>
          <w:rFonts w:ascii="Arial" w:hAnsi="Arial" w:cs="Arial"/>
          <w:sz w:val="21"/>
          <w:szCs w:val="21"/>
        </w:rPr>
        <w:t xml:space="preserve">staff. </w:t>
      </w:r>
    </w:p>
    <w:p w14:paraId="51E458CD" w14:textId="7A057B65" w:rsidR="006C5ED3" w:rsidRPr="006B737D" w:rsidRDefault="006C5ED3" w:rsidP="00330375">
      <w:pPr>
        <w:spacing w:before="100" w:beforeAutospacing="1" w:after="100" w:afterAutospacing="1"/>
        <w:ind w:left="709"/>
        <w:rPr>
          <w:rFonts w:ascii="Arial" w:hAnsi="Arial" w:cs="Arial"/>
          <w:sz w:val="21"/>
          <w:szCs w:val="21"/>
        </w:rPr>
      </w:pPr>
      <w:r w:rsidRPr="006B737D">
        <w:rPr>
          <w:rFonts w:ascii="Arial" w:hAnsi="Arial" w:cs="Arial"/>
          <w:sz w:val="21"/>
          <w:szCs w:val="21"/>
        </w:rPr>
        <w:t xml:space="preserve">All </w:t>
      </w:r>
      <w:r w:rsidR="001A63FC" w:rsidRPr="006B737D">
        <w:rPr>
          <w:rFonts w:ascii="Arial" w:hAnsi="Arial" w:cs="Arial"/>
          <w:sz w:val="21"/>
          <w:szCs w:val="21"/>
        </w:rPr>
        <w:t xml:space="preserve">Tenancy plus – Tenancy support program service providers </w:t>
      </w:r>
      <w:r w:rsidR="006C3FDD" w:rsidRPr="006B737D">
        <w:rPr>
          <w:rFonts w:ascii="Arial" w:hAnsi="Arial" w:cs="Arial"/>
          <w:sz w:val="21"/>
          <w:szCs w:val="21"/>
        </w:rPr>
        <w:t xml:space="preserve">(service provider) </w:t>
      </w:r>
      <w:r w:rsidRPr="006B737D">
        <w:rPr>
          <w:rFonts w:ascii="Arial" w:hAnsi="Arial" w:cs="Arial"/>
          <w:sz w:val="21"/>
          <w:szCs w:val="21"/>
        </w:rPr>
        <w:t xml:space="preserve">workers who have not previously received accredited training in advocacy </w:t>
      </w:r>
      <w:r w:rsidR="00BE0FC3" w:rsidRPr="006B737D">
        <w:rPr>
          <w:rFonts w:ascii="Arial" w:hAnsi="Arial" w:cs="Arial"/>
          <w:sz w:val="21"/>
          <w:szCs w:val="21"/>
        </w:rPr>
        <w:t xml:space="preserve">and tenancy law </w:t>
      </w:r>
      <w:r w:rsidR="0051506D" w:rsidRPr="006B737D">
        <w:rPr>
          <w:rFonts w:ascii="Arial" w:hAnsi="Arial" w:cs="Arial"/>
          <w:sz w:val="21"/>
          <w:szCs w:val="21"/>
        </w:rPr>
        <w:t xml:space="preserve">should </w:t>
      </w:r>
      <w:r w:rsidR="00BE0FC3" w:rsidRPr="006B737D">
        <w:rPr>
          <w:rFonts w:ascii="Arial" w:hAnsi="Arial" w:cs="Arial"/>
          <w:sz w:val="21"/>
          <w:szCs w:val="21"/>
        </w:rPr>
        <w:t xml:space="preserve">attend </w:t>
      </w:r>
      <w:r w:rsidRPr="006B737D">
        <w:rPr>
          <w:rFonts w:ascii="Arial" w:hAnsi="Arial" w:cs="Arial"/>
          <w:sz w:val="21"/>
          <w:szCs w:val="21"/>
        </w:rPr>
        <w:t>training</w:t>
      </w:r>
      <w:r w:rsidR="006C3FDD" w:rsidRPr="006B737D">
        <w:rPr>
          <w:rFonts w:ascii="Arial" w:hAnsi="Arial" w:cs="Arial"/>
          <w:sz w:val="21"/>
          <w:szCs w:val="21"/>
        </w:rPr>
        <w:t xml:space="preserve"> offered by </w:t>
      </w:r>
      <w:r w:rsidR="00DA342C" w:rsidRPr="006B737D">
        <w:rPr>
          <w:rFonts w:ascii="Arial" w:hAnsi="Arial" w:cs="Arial"/>
          <w:sz w:val="21"/>
          <w:szCs w:val="21"/>
        </w:rPr>
        <w:t>Tenants Victoria</w:t>
      </w:r>
      <w:r w:rsidR="006C3FDD" w:rsidRPr="006B737D">
        <w:rPr>
          <w:rFonts w:ascii="Arial" w:hAnsi="Arial" w:cs="Arial"/>
          <w:sz w:val="21"/>
          <w:szCs w:val="21"/>
        </w:rPr>
        <w:t>.</w:t>
      </w:r>
    </w:p>
    <w:p w14:paraId="402FA2D0" w14:textId="0A41A88D" w:rsidR="006C5ED3" w:rsidRPr="006B737D" w:rsidRDefault="006C5ED3" w:rsidP="00330375">
      <w:pPr>
        <w:spacing w:before="100" w:beforeAutospacing="1" w:after="100" w:afterAutospacing="1"/>
        <w:ind w:left="709"/>
        <w:rPr>
          <w:rFonts w:ascii="Arial" w:hAnsi="Arial" w:cs="Arial"/>
          <w:sz w:val="21"/>
          <w:szCs w:val="21"/>
        </w:rPr>
      </w:pPr>
      <w:r w:rsidRPr="006B737D">
        <w:rPr>
          <w:rFonts w:ascii="Arial" w:hAnsi="Arial" w:cs="Arial"/>
          <w:sz w:val="21"/>
          <w:szCs w:val="21"/>
        </w:rPr>
        <w:t xml:space="preserve">To inform the training provided </w:t>
      </w:r>
      <w:r w:rsidR="00BE0FC3" w:rsidRPr="006B737D">
        <w:rPr>
          <w:rFonts w:ascii="Arial" w:hAnsi="Arial" w:cs="Arial"/>
          <w:sz w:val="21"/>
          <w:szCs w:val="21"/>
        </w:rPr>
        <w:t xml:space="preserve">under the </w:t>
      </w:r>
      <w:r w:rsidR="006C3FDD" w:rsidRPr="006B737D">
        <w:rPr>
          <w:rFonts w:ascii="Arial" w:hAnsi="Arial" w:cs="Arial"/>
          <w:sz w:val="21"/>
          <w:szCs w:val="21"/>
        </w:rPr>
        <w:t xml:space="preserve">Program </w:t>
      </w:r>
      <w:r w:rsidRPr="006B737D">
        <w:rPr>
          <w:rFonts w:ascii="Arial" w:hAnsi="Arial" w:cs="Arial"/>
          <w:sz w:val="21"/>
          <w:szCs w:val="21"/>
        </w:rPr>
        <w:t xml:space="preserve">to </w:t>
      </w:r>
      <w:r w:rsidR="006C3FDD" w:rsidRPr="006B737D">
        <w:rPr>
          <w:rFonts w:ascii="Arial" w:hAnsi="Arial" w:cs="Arial"/>
          <w:sz w:val="21"/>
          <w:szCs w:val="21"/>
        </w:rPr>
        <w:t xml:space="preserve">service provider </w:t>
      </w:r>
      <w:r w:rsidRPr="006B737D">
        <w:rPr>
          <w:rFonts w:ascii="Arial" w:hAnsi="Arial" w:cs="Arial"/>
          <w:sz w:val="21"/>
          <w:szCs w:val="21"/>
        </w:rPr>
        <w:t xml:space="preserve">workers the department and </w:t>
      </w:r>
      <w:r w:rsidR="006C3FDD" w:rsidRPr="006B737D">
        <w:rPr>
          <w:rFonts w:ascii="Arial" w:hAnsi="Arial" w:cs="Arial"/>
          <w:sz w:val="21"/>
          <w:szCs w:val="21"/>
        </w:rPr>
        <w:t xml:space="preserve">Tenants </w:t>
      </w:r>
      <w:r w:rsidR="001D5FF3" w:rsidRPr="006B737D">
        <w:rPr>
          <w:rFonts w:ascii="Arial" w:hAnsi="Arial" w:cs="Arial"/>
          <w:sz w:val="21"/>
          <w:szCs w:val="21"/>
        </w:rPr>
        <w:t xml:space="preserve">Victoria </w:t>
      </w:r>
      <w:r w:rsidRPr="006B737D">
        <w:rPr>
          <w:rFonts w:ascii="Arial" w:hAnsi="Arial" w:cs="Arial"/>
          <w:sz w:val="21"/>
          <w:szCs w:val="21"/>
        </w:rPr>
        <w:t xml:space="preserve">will meet with providers.  </w:t>
      </w:r>
    </w:p>
    <w:p w14:paraId="7E85E671" w14:textId="3CE1C401" w:rsidR="006C5ED3" w:rsidRPr="00610E3E" w:rsidRDefault="001A63FC" w:rsidP="00330375">
      <w:pPr>
        <w:pStyle w:val="Heading2"/>
        <w:ind w:left="709" w:hanging="709"/>
        <w:rPr>
          <w:color w:val="201547"/>
          <w:sz w:val="32"/>
        </w:rPr>
      </w:pPr>
      <w:bookmarkStart w:id="77" w:name="_Toc261504879"/>
      <w:bookmarkStart w:id="78" w:name="_Toc266783318"/>
      <w:bookmarkStart w:id="79" w:name="_Toc360451365"/>
      <w:bookmarkStart w:id="80" w:name="_Toc412720486"/>
      <w:bookmarkStart w:id="81" w:name="_Toc412801007"/>
      <w:bookmarkStart w:id="82" w:name="_Toc73529067"/>
      <w:bookmarkStart w:id="83" w:name="_Toc94785372"/>
      <w:r w:rsidRPr="00610E3E">
        <w:rPr>
          <w:color w:val="201547"/>
          <w:sz w:val="32"/>
        </w:rPr>
        <w:lastRenderedPageBreak/>
        <w:t>3.1</w:t>
      </w:r>
      <w:r w:rsidR="00A325D6" w:rsidRPr="00610E3E">
        <w:rPr>
          <w:color w:val="201547"/>
          <w:sz w:val="32"/>
        </w:rPr>
        <w:t>0</w:t>
      </w:r>
      <w:r w:rsidR="006C5ED3" w:rsidRPr="00610E3E">
        <w:rPr>
          <w:color w:val="201547"/>
          <w:sz w:val="32"/>
        </w:rPr>
        <w:t xml:space="preserve"> Activity 91454 - Housing infrastructure - garden management</w:t>
      </w:r>
      <w:bookmarkEnd w:id="77"/>
      <w:bookmarkEnd w:id="78"/>
      <w:bookmarkEnd w:id="79"/>
      <w:bookmarkEnd w:id="80"/>
      <w:bookmarkEnd w:id="81"/>
      <w:bookmarkEnd w:id="82"/>
      <w:bookmarkEnd w:id="83"/>
    </w:p>
    <w:p w14:paraId="71E677EE" w14:textId="41627A95" w:rsidR="006C5ED3" w:rsidRPr="006B737D" w:rsidRDefault="0093420C" w:rsidP="00330375">
      <w:pPr>
        <w:spacing w:before="100" w:beforeAutospacing="1" w:after="100" w:afterAutospacing="1"/>
        <w:ind w:left="709"/>
        <w:rPr>
          <w:rFonts w:ascii="Arial" w:hAnsi="Arial" w:cs="Arial"/>
          <w:sz w:val="21"/>
          <w:szCs w:val="21"/>
        </w:rPr>
      </w:pPr>
      <w:r w:rsidRPr="006B737D">
        <w:rPr>
          <w:rFonts w:ascii="Arial" w:hAnsi="Arial" w:cs="Arial"/>
          <w:sz w:val="21"/>
          <w:szCs w:val="21"/>
        </w:rPr>
        <w:t xml:space="preserve"> The Community Gardens Program has </w:t>
      </w:r>
      <w:r w:rsidR="006C5ED3" w:rsidRPr="006B737D">
        <w:rPr>
          <w:rFonts w:ascii="Arial" w:hAnsi="Arial" w:cs="Arial"/>
          <w:sz w:val="21"/>
          <w:szCs w:val="21"/>
        </w:rPr>
        <w:t xml:space="preserve">over 850 </w:t>
      </w:r>
      <w:r w:rsidR="006C3FDD" w:rsidRPr="006B737D">
        <w:rPr>
          <w:rFonts w:ascii="Arial" w:hAnsi="Arial" w:cs="Arial"/>
          <w:sz w:val="21"/>
          <w:szCs w:val="21"/>
        </w:rPr>
        <w:t xml:space="preserve">community garden plots </w:t>
      </w:r>
      <w:r w:rsidR="00292AEB" w:rsidRPr="006B737D">
        <w:rPr>
          <w:rFonts w:ascii="Arial" w:hAnsi="Arial" w:cs="Arial"/>
          <w:sz w:val="21"/>
          <w:szCs w:val="21"/>
        </w:rPr>
        <w:t xml:space="preserve">throughout </w:t>
      </w:r>
      <w:r w:rsidR="006C3FDD" w:rsidRPr="006B737D">
        <w:rPr>
          <w:rFonts w:ascii="Arial" w:hAnsi="Arial" w:cs="Arial"/>
          <w:sz w:val="21"/>
          <w:szCs w:val="21"/>
        </w:rPr>
        <w:t xml:space="preserve">twenty-two </w:t>
      </w:r>
      <w:r w:rsidR="006C5ED3" w:rsidRPr="006B737D">
        <w:rPr>
          <w:rFonts w:ascii="Arial" w:hAnsi="Arial" w:cs="Arial"/>
          <w:sz w:val="21"/>
          <w:szCs w:val="21"/>
        </w:rPr>
        <w:t xml:space="preserve">gardens on Director of Housing owned and leased land across the </w:t>
      </w:r>
      <w:r w:rsidR="00292AEB" w:rsidRPr="006B737D">
        <w:rPr>
          <w:rFonts w:ascii="Arial" w:hAnsi="Arial" w:cs="Arial"/>
          <w:sz w:val="21"/>
          <w:szCs w:val="21"/>
        </w:rPr>
        <w:t xml:space="preserve">greater Melbourne </w:t>
      </w:r>
      <w:r w:rsidR="006C5ED3" w:rsidRPr="006B737D">
        <w:rPr>
          <w:rFonts w:ascii="Arial" w:hAnsi="Arial" w:cs="Arial"/>
          <w:sz w:val="21"/>
          <w:szCs w:val="21"/>
        </w:rPr>
        <w:t>metropolitan area. The community gardens support service is responsible for supporting the day-to-day mana</w:t>
      </w:r>
      <w:r w:rsidR="00330375" w:rsidRPr="006B737D">
        <w:rPr>
          <w:rFonts w:ascii="Arial" w:hAnsi="Arial" w:cs="Arial"/>
          <w:sz w:val="21"/>
          <w:szCs w:val="21"/>
        </w:rPr>
        <w:t xml:space="preserve">gement </w:t>
      </w:r>
      <w:r w:rsidR="006C3FDD" w:rsidRPr="006B737D">
        <w:rPr>
          <w:rFonts w:ascii="Arial" w:hAnsi="Arial" w:cs="Arial"/>
          <w:sz w:val="21"/>
          <w:szCs w:val="21"/>
        </w:rPr>
        <w:t>of the gardens including but not limite</w:t>
      </w:r>
      <w:r w:rsidR="00330375" w:rsidRPr="006B737D">
        <w:rPr>
          <w:rFonts w:ascii="Arial" w:hAnsi="Arial" w:cs="Arial"/>
          <w:sz w:val="21"/>
          <w:szCs w:val="21"/>
        </w:rPr>
        <w:t>d to waiting list management,</w:t>
      </w:r>
      <w:r w:rsidR="006C3FDD" w:rsidRPr="006B737D">
        <w:rPr>
          <w:rFonts w:ascii="Arial" w:hAnsi="Arial" w:cs="Arial"/>
          <w:sz w:val="21"/>
          <w:szCs w:val="21"/>
        </w:rPr>
        <w:t xml:space="preserve"> plot allocation</w:t>
      </w:r>
      <w:r w:rsidR="00330375" w:rsidRPr="006B737D">
        <w:rPr>
          <w:rFonts w:ascii="Arial" w:hAnsi="Arial" w:cs="Arial"/>
          <w:sz w:val="21"/>
          <w:szCs w:val="21"/>
        </w:rPr>
        <w:t xml:space="preserve"> and general maintenance to ensure that gardens including amenity are</w:t>
      </w:r>
      <w:r w:rsidR="00EA0CC7">
        <w:rPr>
          <w:rFonts w:ascii="Arial" w:hAnsi="Arial" w:cs="Arial"/>
          <w:sz w:val="21"/>
          <w:szCs w:val="21"/>
        </w:rPr>
        <w:t xml:space="preserve"> </w:t>
      </w:r>
      <w:r w:rsidR="0033466D">
        <w:rPr>
          <w:rFonts w:ascii="Arial" w:hAnsi="Arial" w:cs="Arial"/>
          <w:sz w:val="21"/>
          <w:szCs w:val="21"/>
        </w:rPr>
        <w:t>maintained to meet health and safety standards</w:t>
      </w:r>
      <w:r w:rsidR="00330375" w:rsidRPr="006B737D">
        <w:rPr>
          <w:rFonts w:ascii="Arial" w:hAnsi="Arial" w:cs="Arial"/>
          <w:sz w:val="21"/>
          <w:szCs w:val="21"/>
        </w:rPr>
        <w:t xml:space="preserve">. This role also identifies the need for and supports </w:t>
      </w:r>
      <w:r w:rsidR="006C3FDD" w:rsidRPr="006B737D">
        <w:rPr>
          <w:rFonts w:ascii="Arial" w:hAnsi="Arial" w:cs="Arial"/>
          <w:sz w:val="21"/>
          <w:szCs w:val="21"/>
        </w:rPr>
        <w:t xml:space="preserve">the upgrade and development of </w:t>
      </w:r>
      <w:r w:rsidRPr="006B737D">
        <w:rPr>
          <w:rFonts w:ascii="Arial" w:hAnsi="Arial" w:cs="Arial"/>
          <w:sz w:val="21"/>
          <w:szCs w:val="21"/>
        </w:rPr>
        <w:t xml:space="preserve">community </w:t>
      </w:r>
      <w:r w:rsidR="006C3FDD" w:rsidRPr="006B737D">
        <w:rPr>
          <w:rFonts w:ascii="Arial" w:hAnsi="Arial" w:cs="Arial"/>
          <w:sz w:val="21"/>
          <w:szCs w:val="21"/>
        </w:rPr>
        <w:t xml:space="preserve">gardens. </w:t>
      </w:r>
    </w:p>
    <w:p w14:paraId="3193E178" w14:textId="59FCBDB2" w:rsidR="006C5ED3" w:rsidRPr="00610E3E" w:rsidRDefault="006C5ED3" w:rsidP="00330375">
      <w:pPr>
        <w:pStyle w:val="Heading2"/>
        <w:ind w:left="709" w:hanging="709"/>
        <w:rPr>
          <w:color w:val="201547"/>
          <w:sz w:val="32"/>
        </w:rPr>
      </w:pPr>
      <w:bookmarkStart w:id="84" w:name="_Toc261504880"/>
      <w:bookmarkStart w:id="85" w:name="_Toc266783319"/>
      <w:bookmarkStart w:id="86" w:name="_Toc360451366"/>
      <w:bookmarkStart w:id="87" w:name="_Toc412720487"/>
      <w:bookmarkStart w:id="88" w:name="_Toc412801008"/>
      <w:bookmarkStart w:id="89" w:name="_Toc73529068"/>
      <w:bookmarkStart w:id="90" w:name="_Toc94785373"/>
      <w:r w:rsidRPr="00610E3E">
        <w:rPr>
          <w:color w:val="201547"/>
          <w:sz w:val="32"/>
        </w:rPr>
        <w:t>3.1</w:t>
      </w:r>
      <w:r w:rsidR="00A325D6" w:rsidRPr="00610E3E">
        <w:rPr>
          <w:color w:val="201547"/>
          <w:sz w:val="32"/>
        </w:rPr>
        <w:t>1</w:t>
      </w:r>
      <w:r w:rsidR="00856DC8">
        <w:rPr>
          <w:color w:val="201547"/>
          <w:sz w:val="32"/>
        </w:rPr>
        <w:t xml:space="preserve"> </w:t>
      </w:r>
      <w:r w:rsidRPr="00610E3E">
        <w:rPr>
          <w:color w:val="201547"/>
          <w:sz w:val="32"/>
        </w:rPr>
        <w:t>Activity 91455 - Housing infrastructure - education services</w:t>
      </w:r>
      <w:bookmarkEnd w:id="84"/>
      <w:bookmarkEnd w:id="85"/>
      <w:bookmarkEnd w:id="86"/>
      <w:bookmarkEnd w:id="87"/>
      <w:bookmarkEnd w:id="88"/>
      <w:bookmarkEnd w:id="89"/>
      <w:bookmarkEnd w:id="90"/>
    </w:p>
    <w:p w14:paraId="113D83C0" w14:textId="51D7FD33" w:rsidR="006C5ED3" w:rsidRPr="006B737D" w:rsidRDefault="006C5ED3" w:rsidP="00330375">
      <w:pPr>
        <w:spacing w:before="100" w:beforeAutospacing="1" w:after="100" w:afterAutospacing="1"/>
        <w:ind w:left="709"/>
        <w:rPr>
          <w:rFonts w:ascii="Arial" w:hAnsi="Arial" w:cs="Arial"/>
          <w:sz w:val="21"/>
          <w:szCs w:val="21"/>
        </w:rPr>
      </w:pPr>
      <w:r w:rsidRPr="006B737D">
        <w:rPr>
          <w:rFonts w:ascii="Arial" w:hAnsi="Arial" w:cs="Arial"/>
          <w:sz w:val="21"/>
          <w:szCs w:val="21"/>
        </w:rPr>
        <w:t xml:space="preserve">The </w:t>
      </w:r>
      <w:r w:rsidR="007E48D2" w:rsidRPr="006B737D">
        <w:rPr>
          <w:rFonts w:ascii="Arial" w:hAnsi="Arial" w:cs="Arial"/>
          <w:sz w:val="21"/>
          <w:szCs w:val="21"/>
        </w:rPr>
        <w:t xml:space="preserve">Program </w:t>
      </w:r>
      <w:r w:rsidRPr="006B737D">
        <w:rPr>
          <w:rFonts w:ascii="Arial" w:hAnsi="Arial" w:cs="Arial"/>
          <w:sz w:val="21"/>
          <w:szCs w:val="21"/>
        </w:rPr>
        <w:t>includes the provision of</w:t>
      </w:r>
      <w:r w:rsidR="00292AEB" w:rsidRPr="006B737D">
        <w:rPr>
          <w:rFonts w:ascii="Arial" w:hAnsi="Arial" w:cs="Arial"/>
          <w:sz w:val="21"/>
          <w:szCs w:val="21"/>
        </w:rPr>
        <w:t xml:space="preserve"> up to date and accurate</w:t>
      </w:r>
      <w:r w:rsidRPr="006B737D">
        <w:rPr>
          <w:rFonts w:ascii="Arial" w:hAnsi="Arial" w:cs="Arial"/>
          <w:sz w:val="21"/>
          <w:szCs w:val="21"/>
        </w:rPr>
        <w:t xml:space="preserve"> tenancy related </w:t>
      </w:r>
      <w:r w:rsidR="00292AEB" w:rsidRPr="006B737D">
        <w:rPr>
          <w:rFonts w:ascii="Arial" w:hAnsi="Arial" w:cs="Arial"/>
          <w:sz w:val="21"/>
          <w:szCs w:val="21"/>
        </w:rPr>
        <w:t xml:space="preserve">information </w:t>
      </w:r>
      <w:r w:rsidRPr="006B737D">
        <w:rPr>
          <w:rFonts w:ascii="Arial" w:hAnsi="Arial" w:cs="Arial"/>
          <w:sz w:val="21"/>
          <w:szCs w:val="21"/>
        </w:rPr>
        <w:t xml:space="preserve">for public and social housing </w:t>
      </w:r>
      <w:r w:rsidR="00E95976" w:rsidRPr="006B737D">
        <w:rPr>
          <w:rFonts w:ascii="Arial" w:hAnsi="Arial" w:cs="Arial"/>
          <w:sz w:val="21"/>
          <w:szCs w:val="21"/>
        </w:rPr>
        <w:t>renters</w:t>
      </w:r>
      <w:r w:rsidR="00292AEB" w:rsidRPr="006B737D">
        <w:rPr>
          <w:rFonts w:ascii="Arial" w:hAnsi="Arial" w:cs="Arial"/>
          <w:sz w:val="21"/>
          <w:szCs w:val="21"/>
        </w:rPr>
        <w:t xml:space="preserve"> in various languages on the organisation’s web site</w:t>
      </w:r>
      <w:r w:rsidRPr="006B737D">
        <w:rPr>
          <w:rFonts w:ascii="Arial" w:hAnsi="Arial" w:cs="Arial"/>
          <w:sz w:val="21"/>
          <w:szCs w:val="21"/>
        </w:rPr>
        <w:t xml:space="preserve">. Representatives of </w:t>
      </w:r>
      <w:r w:rsidR="007E48D2" w:rsidRPr="006B737D">
        <w:rPr>
          <w:rFonts w:ascii="Arial" w:hAnsi="Arial" w:cs="Arial"/>
          <w:sz w:val="21"/>
          <w:szCs w:val="21"/>
        </w:rPr>
        <w:t xml:space="preserve">program funded </w:t>
      </w:r>
      <w:r w:rsidR="00330375" w:rsidRPr="006B737D">
        <w:rPr>
          <w:rFonts w:ascii="Arial" w:hAnsi="Arial" w:cs="Arial"/>
          <w:sz w:val="21"/>
          <w:szCs w:val="21"/>
        </w:rPr>
        <w:t xml:space="preserve">support </w:t>
      </w:r>
      <w:r w:rsidR="007E48D2" w:rsidRPr="006B737D">
        <w:rPr>
          <w:rFonts w:ascii="Arial" w:hAnsi="Arial" w:cs="Arial"/>
          <w:sz w:val="21"/>
          <w:szCs w:val="21"/>
        </w:rPr>
        <w:t xml:space="preserve">service </w:t>
      </w:r>
      <w:r w:rsidRPr="006B737D">
        <w:rPr>
          <w:rFonts w:ascii="Arial" w:hAnsi="Arial" w:cs="Arial"/>
          <w:sz w:val="21"/>
          <w:szCs w:val="21"/>
        </w:rPr>
        <w:t>providers may be sought to advise on this work</w:t>
      </w:r>
      <w:r w:rsidR="00330375" w:rsidRPr="006B737D">
        <w:rPr>
          <w:rFonts w:ascii="Arial" w:hAnsi="Arial" w:cs="Arial"/>
          <w:sz w:val="21"/>
          <w:szCs w:val="21"/>
        </w:rPr>
        <w:t xml:space="preserve"> which is undertaken by the Tenants</w:t>
      </w:r>
      <w:r w:rsidR="00292AEB" w:rsidRPr="006B737D">
        <w:rPr>
          <w:rFonts w:ascii="Arial" w:hAnsi="Arial" w:cs="Arial"/>
          <w:sz w:val="21"/>
          <w:szCs w:val="21"/>
        </w:rPr>
        <w:t xml:space="preserve"> Victoria </w:t>
      </w:r>
      <w:r w:rsidR="00330375" w:rsidRPr="006B737D">
        <w:rPr>
          <w:rFonts w:ascii="Arial" w:hAnsi="Arial" w:cs="Arial"/>
          <w:sz w:val="21"/>
          <w:szCs w:val="21"/>
        </w:rPr>
        <w:t xml:space="preserve"> </w:t>
      </w:r>
      <w:r w:rsidRPr="006B737D">
        <w:rPr>
          <w:rFonts w:ascii="Arial" w:hAnsi="Arial" w:cs="Arial"/>
          <w:sz w:val="21"/>
          <w:szCs w:val="21"/>
        </w:rPr>
        <w:t xml:space="preserve"> </w:t>
      </w:r>
    </w:p>
    <w:p w14:paraId="7FF41757" w14:textId="18CC345D" w:rsidR="006C5ED3" w:rsidRPr="00610E3E" w:rsidRDefault="001A63FC" w:rsidP="00330375">
      <w:pPr>
        <w:pStyle w:val="Heading2"/>
        <w:ind w:left="709" w:hanging="709"/>
        <w:rPr>
          <w:color w:val="201547"/>
          <w:sz w:val="32"/>
        </w:rPr>
      </w:pPr>
      <w:bookmarkStart w:id="91" w:name="_Toc261504881"/>
      <w:bookmarkStart w:id="92" w:name="_Toc266783320"/>
      <w:bookmarkStart w:id="93" w:name="_Toc360451367"/>
      <w:bookmarkStart w:id="94" w:name="_Toc412720488"/>
      <w:bookmarkStart w:id="95" w:name="_Toc412801009"/>
      <w:bookmarkStart w:id="96" w:name="_Toc73529069"/>
      <w:bookmarkStart w:id="97" w:name="_Toc94785374"/>
      <w:r w:rsidRPr="00610E3E">
        <w:rPr>
          <w:color w:val="201547"/>
          <w:sz w:val="32"/>
        </w:rPr>
        <w:t>3.1</w:t>
      </w:r>
      <w:r w:rsidR="00A325D6" w:rsidRPr="00610E3E">
        <w:rPr>
          <w:color w:val="201547"/>
          <w:sz w:val="32"/>
        </w:rPr>
        <w:t>2</w:t>
      </w:r>
      <w:r w:rsidR="003C56EB" w:rsidRPr="00610E3E">
        <w:rPr>
          <w:color w:val="201547"/>
          <w:sz w:val="32"/>
        </w:rPr>
        <w:t xml:space="preserve"> </w:t>
      </w:r>
      <w:r w:rsidR="006C5ED3" w:rsidRPr="00610E3E">
        <w:rPr>
          <w:color w:val="201547"/>
          <w:sz w:val="32"/>
        </w:rPr>
        <w:t>Activity 91456 – Housing infrastructure – community support service</w:t>
      </w:r>
      <w:bookmarkEnd w:id="91"/>
      <w:bookmarkEnd w:id="92"/>
      <w:bookmarkEnd w:id="93"/>
      <w:bookmarkEnd w:id="94"/>
      <w:bookmarkEnd w:id="95"/>
      <w:bookmarkEnd w:id="96"/>
      <w:bookmarkEnd w:id="97"/>
    </w:p>
    <w:p w14:paraId="52306675" w14:textId="23AD001D" w:rsidR="006C5ED3" w:rsidRPr="006B737D" w:rsidRDefault="00330375" w:rsidP="00330375">
      <w:pPr>
        <w:spacing w:before="100" w:beforeAutospacing="1" w:after="100" w:afterAutospacing="1"/>
        <w:ind w:left="709"/>
        <w:rPr>
          <w:rFonts w:ascii="Arial" w:hAnsi="Arial" w:cs="Arial"/>
          <w:sz w:val="21"/>
          <w:szCs w:val="21"/>
        </w:rPr>
      </w:pPr>
      <w:r w:rsidRPr="006B737D">
        <w:rPr>
          <w:rFonts w:ascii="Arial" w:hAnsi="Arial" w:cs="Arial"/>
          <w:sz w:val="21"/>
          <w:szCs w:val="21"/>
        </w:rPr>
        <w:t xml:space="preserve">The Program </w:t>
      </w:r>
      <w:r w:rsidR="006C5ED3" w:rsidRPr="006B737D">
        <w:rPr>
          <w:rFonts w:ascii="Arial" w:hAnsi="Arial" w:cs="Arial"/>
          <w:sz w:val="21"/>
          <w:szCs w:val="21"/>
        </w:rPr>
        <w:t xml:space="preserve">includes the provision of funding for a community contact service across public housing estates in inner </w:t>
      </w:r>
      <w:r w:rsidR="00292AEB" w:rsidRPr="006B737D">
        <w:rPr>
          <w:rFonts w:ascii="Arial" w:hAnsi="Arial" w:cs="Arial"/>
          <w:sz w:val="21"/>
          <w:szCs w:val="21"/>
        </w:rPr>
        <w:t xml:space="preserve">metropolitan </w:t>
      </w:r>
      <w:r w:rsidR="006C5ED3" w:rsidRPr="006B737D">
        <w:rPr>
          <w:rFonts w:ascii="Arial" w:hAnsi="Arial" w:cs="Arial"/>
          <w:sz w:val="21"/>
          <w:szCs w:val="21"/>
        </w:rPr>
        <w:t>Melbourne.</w:t>
      </w:r>
    </w:p>
    <w:p w14:paraId="25D7681A" w14:textId="77777777" w:rsidR="006C5ED3" w:rsidRPr="00FF2CC9" w:rsidRDefault="006C5ED3" w:rsidP="00FF2CC9">
      <w:pPr>
        <w:pStyle w:val="Heading1"/>
        <w:ind w:left="567" w:hanging="567"/>
        <w:rPr>
          <w:rFonts w:eastAsia="MS Gothic" w:cs="Arial"/>
          <w:color w:val="201547"/>
          <w:kern w:val="32"/>
        </w:rPr>
      </w:pPr>
      <w:bookmarkStart w:id="98" w:name="_Toc261504883"/>
      <w:bookmarkStart w:id="99" w:name="_Toc266783322"/>
      <w:bookmarkStart w:id="100" w:name="_Toc266806018"/>
      <w:bookmarkStart w:id="101" w:name="_Toc266806400"/>
      <w:bookmarkStart w:id="102" w:name="_Toc266806445"/>
      <w:bookmarkStart w:id="103" w:name="_Toc360451368"/>
      <w:bookmarkStart w:id="104" w:name="_Toc412801010"/>
      <w:bookmarkStart w:id="105" w:name="_Toc73529070"/>
      <w:bookmarkStart w:id="106" w:name="_Toc94785375"/>
      <w:r w:rsidRPr="00610E3E">
        <w:rPr>
          <w:rFonts w:eastAsia="MS Gothic" w:cs="Arial"/>
          <w:color w:val="201547"/>
          <w:kern w:val="32"/>
        </w:rPr>
        <w:t>4.</w:t>
      </w:r>
      <w:r w:rsidRPr="007E48D2">
        <w:t xml:space="preserve"> </w:t>
      </w:r>
      <w:r w:rsidRPr="00FF2CC9">
        <w:rPr>
          <w:rFonts w:eastAsia="MS Gothic" w:cs="Arial"/>
          <w:color w:val="201547"/>
          <w:kern w:val="32"/>
        </w:rPr>
        <w:t>Public Housing Infrastructure Program framework</w:t>
      </w:r>
      <w:bookmarkEnd w:id="98"/>
      <w:bookmarkEnd w:id="99"/>
      <w:bookmarkEnd w:id="100"/>
      <w:bookmarkEnd w:id="101"/>
      <w:bookmarkEnd w:id="102"/>
      <w:bookmarkEnd w:id="103"/>
      <w:bookmarkEnd w:id="104"/>
      <w:bookmarkEnd w:id="105"/>
      <w:bookmarkEnd w:id="106"/>
    </w:p>
    <w:p w14:paraId="53C17FDE" w14:textId="77777777" w:rsidR="006C5ED3" w:rsidRPr="00610E3E" w:rsidRDefault="006C5ED3" w:rsidP="007E48D2">
      <w:pPr>
        <w:pStyle w:val="Heading2"/>
        <w:ind w:left="709" w:hanging="709"/>
        <w:rPr>
          <w:color w:val="201547"/>
          <w:sz w:val="32"/>
        </w:rPr>
      </w:pPr>
      <w:bookmarkStart w:id="107" w:name="_Toc261504884"/>
      <w:bookmarkStart w:id="108" w:name="_Toc266783323"/>
      <w:bookmarkStart w:id="109" w:name="_Toc360451369"/>
      <w:bookmarkStart w:id="110" w:name="_Toc412720489"/>
      <w:bookmarkStart w:id="111" w:name="_Toc412801011"/>
      <w:bookmarkStart w:id="112" w:name="_Toc73529071"/>
      <w:bookmarkStart w:id="113" w:name="_Toc94785376"/>
      <w:bookmarkStart w:id="114" w:name="_Hlk76116600"/>
      <w:r w:rsidRPr="00610E3E">
        <w:rPr>
          <w:color w:val="201547"/>
          <w:sz w:val="32"/>
        </w:rPr>
        <w:t>4.1</w:t>
      </w:r>
      <w:r w:rsidRPr="00610E3E">
        <w:rPr>
          <w:color w:val="201547"/>
          <w:sz w:val="32"/>
        </w:rPr>
        <w:tab/>
        <w:t>The Public Housing Infrastructure Program</w:t>
      </w:r>
      <w:bookmarkEnd w:id="107"/>
      <w:bookmarkEnd w:id="108"/>
      <w:bookmarkEnd w:id="109"/>
      <w:bookmarkEnd w:id="110"/>
      <w:bookmarkEnd w:id="111"/>
      <w:bookmarkEnd w:id="112"/>
      <w:bookmarkEnd w:id="113"/>
      <w:r w:rsidRPr="00610E3E">
        <w:rPr>
          <w:color w:val="201547"/>
          <w:sz w:val="32"/>
        </w:rPr>
        <w:t xml:space="preserve"> </w:t>
      </w:r>
    </w:p>
    <w:p w14:paraId="415339FF" w14:textId="6508B0CB" w:rsidR="006C5ED3" w:rsidRDefault="007E48D2" w:rsidP="00F275AA">
      <w:pPr>
        <w:pStyle w:val="Body"/>
        <w:ind w:left="567"/>
        <w:rPr>
          <w:b/>
          <w:bCs/>
        </w:rPr>
      </w:pPr>
      <w:r w:rsidRPr="006B737D">
        <w:t xml:space="preserve">Public Housing Infrastructure Program (Program) is the overarching </w:t>
      </w:r>
      <w:r w:rsidR="006C5ED3" w:rsidRPr="006B737D">
        <w:t xml:space="preserve">term for a range of services provided to social housing </w:t>
      </w:r>
      <w:r w:rsidR="00E95976" w:rsidRPr="006B737D">
        <w:t>renters</w:t>
      </w:r>
      <w:r w:rsidR="006C5ED3" w:rsidRPr="006B737D">
        <w:t xml:space="preserve"> by </w:t>
      </w:r>
      <w:r w:rsidRPr="006B737D">
        <w:t xml:space="preserve">Program funded service providers </w:t>
      </w:r>
      <w:r w:rsidR="006C5ED3" w:rsidRPr="006B737D">
        <w:t xml:space="preserve">and details of the sub-programs are provided throughout this document.  </w:t>
      </w:r>
      <w:r w:rsidR="006C5ED3" w:rsidRPr="006B737D">
        <w:rPr>
          <w:b/>
          <w:bCs/>
        </w:rPr>
        <w:t xml:space="preserve">All the other sections in these guidelines refer to all </w:t>
      </w:r>
      <w:r w:rsidRPr="006B737D">
        <w:rPr>
          <w:b/>
          <w:bCs/>
        </w:rPr>
        <w:t xml:space="preserve">Program </w:t>
      </w:r>
      <w:r w:rsidR="006C5ED3" w:rsidRPr="006B737D">
        <w:rPr>
          <w:b/>
          <w:bCs/>
        </w:rPr>
        <w:t>recurrently funded services.</w:t>
      </w:r>
    </w:p>
    <w:p w14:paraId="10833214" w14:textId="27338312" w:rsidR="00F275AA" w:rsidRDefault="00F275AA" w:rsidP="00F275AA">
      <w:pPr>
        <w:pStyle w:val="Body"/>
        <w:ind w:left="567"/>
      </w:pPr>
      <w:r>
        <w:t xml:space="preserve">Under the program services are provided to public housing renters residing in properties owned by the Director of Housing or applicants registered with the Victorian Housing Register </w:t>
      </w:r>
    </w:p>
    <w:p w14:paraId="1424F59F" w14:textId="77777777" w:rsidR="00F275AA" w:rsidRDefault="00F275AA" w:rsidP="00F275AA">
      <w:pPr>
        <w:pStyle w:val="Body"/>
        <w:ind w:left="567"/>
      </w:pPr>
      <w:r>
        <w:t>The Victorian Housing Register brings together applications for public and community housing so that an applicant only needs to apply once to access a broad range of social housing options.</w:t>
      </w:r>
    </w:p>
    <w:p w14:paraId="68EF8BC2" w14:textId="7033BA9B" w:rsidR="00F275AA" w:rsidRDefault="00F275AA" w:rsidP="00F275AA">
      <w:pPr>
        <w:pStyle w:val="Body"/>
        <w:ind w:left="567"/>
      </w:pPr>
      <w:r w:rsidRPr="00C77E1C">
        <w:t>Social housing is made up of two types of housing</w:t>
      </w:r>
      <w:r w:rsidR="00DE7F8A">
        <w:t xml:space="preserve">, </w:t>
      </w:r>
      <w:hyperlink r:id="rId19" w:history="1">
        <w:r w:rsidRPr="00C77E1C">
          <w:t>public housing</w:t>
        </w:r>
      </w:hyperlink>
      <w:r w:rsidRPr="00C77E1C">
        <w:t> and </w:t>
      </w:r>
      <w:hyperlink r:id="rId20" w:history="1">
        <w:r w:rsidRPr="00C77E1C">
          <w:t>community housing</w:t>
        </w:r>
      </w:hyperlink>
      <w:r w:rsidR="00DE7F8A">
        <w:t xml:space="preserve">, </w:t>
      </w:r>
      <w:r w:rsidRPr="00435619">
        <w:t>and while applicants can select their housing preference</w:t>
      </w:r>
      <w:r>
        <w:t xml:space="preserve"> either public or community </w:t>
      </w:r>
      <w:r w:rsidR="00DE7F8A">
        <w:t xml:space="preserve">housing </w:t>
      </w:r>
      <w:r>
        <w:t>they can opt to be on both waiting lists</w:t>
      </w:r>
      <w:r w:rsidRPr="00435619">
        <w:t> </w:t>
      </w:r>
    </w:p>
    <w:p w14:paraId="48D177C1" w14:textId="7C025F49" w:rsidR="00F275AA" w:rsidRDefault="00F275AA" w:rsidP="00F275AA">
      <w:pPr>
        <w:pStyle w:val="Body"/>
        <w:ind w:left="567"/>
      </w:pPr>
      <w:r>
        <w:t xml:space="preserve">Renters housed in public housing have the </w:t>
      </w:r>
      <w:r w:rsidRPr="00986C1A">
        <w:t>opportunit</w:t>
      </w:r>
      <w:r>
        <w:t>y</w:t>
      </w:r>
      <w:r w:rsidRPr="00986C1A">
        <w:t xml:space="preserve"> to contribute to decisions and participate in their community</w:t>
      </w:r>
      <w:r>
        <w:t xml:space="preserve"> via public housing renter groups who are funded under the </w:t>
      </w:r>
      <w:r>
        <w:lastRenderedPageBreak/>
        <w:t>program to provide a representative forum to the department on behalf of their local public housing renter community.</w:t>
      </w:r>
    </w:p>
    <w:p w14:paraId="30E4B704" w14:textId="77777777" w:rsidR="006C5ED3" w:rsidRPr="006B737D" w:rsidRDefault="006C5ED3" w:rsidP="00D3134D">
      <w:pPr>
        <w:spacing w:before="100" w:beforeAutospacing="1" w:after="120"/>
        <w:ind w:left="567"/>
        <w:rPr>
          <w:rFonts w:ascii="Arial" w:hAnsi="Arial" w:cs="Arial"/>
          <w:sz w:val="21"/>
          <w:szCs w:val="21"/>
        </w:rPr>
      </w:pPr>
      <w:r w:rsidRPr="006B737D">
        <w:rPr>
          <w:rFonts w:ascii="Arial" w:hAnsi="Arial" w:cs="Arial"/>
          <w:sz w:val="21"/>
          <w:szCs w:val="21"/>
        </w:rPr>
        <w:t>Divisional housing offices and the department more broadly, achieve the program aims by:</w:t>
      </w:r>
    </w:p>
    <w:p w14:paraId="514DE3F4" w14:textId="16A6768A" w:rsidR="006C5ED3" w:rsidRPr="006B737D" w:rsidRDefault="007E48D2" w:rsidP="00292AEB">
      <w:pPr>
        <w:pStyle w:val="ListParagraph"/>
        <w:numPr>
          <w:ilvl w:val="0"/>
          <w:numId w:val="29"/>
        </w:numPr>
        <w:spacing w:after="100" w:afterAutospacing="1"/>
        <w:ind w:left="1134" w:hanging="567"/>
        <w:rPr>
          <w:rFonts w:ascii="Arial" w:hAnsi="Arial" w:cs="Arial"/>
          <w:sz w:val="21"/>
          <w:szCs w:val="21"/>
        </w:rPr>
      </w:pPr>
      <w:r w:rsidRPr="006B737D">
        <w:rPr>
          <w:rFonts w:ascii="Arial" w:hAnsi="Arial" w:cs="Arial"/>
          <w:sz w:val="21"/>
          <w:szCs w:val="21"/>
        </w:rPr>
        <w:t>p</w:t>
      </w:r>
      <w:r w:rsidR="006C5ED3" w:rsidRPr="006B737D">
        <w:rPr>
          <w:rFonts w:ascii="Arial" w:hAnsi="Arial" w:cs="Arial"/>
          <w:sz w:val="21"/>
          <w:szCs w:val="21"/>
        </w:rPr>
        <w:t xml:space="preserve">roviding high quality housing assistance that is accountable to applicants and </w:t>
      </w:r>
      <w:r w:rsidR="00E95976" w:rsidRPr="006B737D">
        <w:rPr>
          <w:rFonts w:ascii="Arial" w:hAnsi="Arial" w:cs="Arial"/>
          <w:sz w:val="21"/>
          <w:szCs w:val="21"/>
        </w:rPr>
        <w:t>renters</w:t>
      </w:r>
      <w:r w:rsidR="006C5ED3" w:rsidRPr="006B737D">
        <w:rPr>
          <w:rFonts w:ascii="Arial" w:hAnsi="Arial" w:cs="Arial"/>
          <w:sz w:val="21"/>
          <w:szCs w:val="21"/>
        </w:rPr>
        <w:t>.</w:t>
      </w:r>
    </w:p>
    <w:p w14:paraId="342ED6C4" w14:textId="77777777" w:rsidR="006C5ED3" w:rsidRPr="006B737D" w:rsidRDefault="007E48D2" w:rsidP="006F4AC4">
      <w:pPr>
        <w:pStyle w:val="ListParagraph"/>
        <w:numPr>
          <w:ilvl w:val="0"/>
          <w:numId w:val="29"/>
        </w:numPr>
        <w:spacing w:before="100" w:beforeAutospacing="1" w:after="100" w:afterAutospacing="1"/>
        <w:ind w:left="1134" w:hanging="567"/>
        <w:rPr>
          <w:rFonts w:ascii="Arial" w:hAnsi="Arial" w:cs="Arial"/>
          <w:sz w:val="21"/>
          <w:szCs w:val="21"/>
        </w:rPr>
      </w:pPr>
      <w:r w:rsidRPr="006B737D">
        <w:rPr>
          <w:rFonts w:ascii="Arial" w:hAnsi="Arial" w:cs="Arial"/>
          <w:sz w:val="21"/>
          <w:szCs w:val="21"/>
        </w:rPr>
        <w:t>c</w:t>
      </w:r>
      <w:r w:rsidR="006C5ED3" w:rsidRPr="006B737D">
        <w:rPr>
          <w:rFonts w:ascii="Arial" w:hAnsi="Arial" w:cs="Arial"/>
          <w:sz w:val="21"/>
          <w:szCs w:val="21"/>
        </w:rPr>
        <w:t>omplying with the department’s service delivery model and its quality practice guidelines.</w:t>
      </w:r>
    </w:p>
    <w:p w14:paraId="03F1EFDA" w14:textId="77777777" w:rsidR="006C5ED3" w:rsidRPr="006B737D" w:rsidRDefault="007E48D2" w:rsidP="006F4AC4">
      <w:pPr>
        <w:pStyle w:val="ListParagraph"/>
        <w:numPr>
          <w:ilvl w:val="0"/>
          <w:numId w:val="29"/>
        </w:numPr>
        <w:spacing w:before="100" w:beforeAutospacing="1" w:after="100" w:afterAutospacing="1"/>
        <w:ind w:left="1134" w:hanging="567"/>
        <w:rPr>
          <w:rFonts w:ascii="Arial" w:hAnsi="Arial" w:cs="Arial"/>
          <w:sz w:val="21"/>
          <w:szCs w:val="21"/>
        </w:rPr>
      </w:pPr>
      <w:r w:rsidRPr="006B737D">
        <w:rPr>
          <w:rFonts w:ascii="Arial" w:hAnsi="Arial" w:cs="Arial"/>
          <w:sz w:val="21"/>
          <w:szCs w:val="21"/>
        </w:rPr>
        <w:t>o</w:t>
      </w:r>
      <w:r w:rsidR="006C5ED3" w:rsidRPr="006B737D">
        <w:rPr>
          <w:rFonts w:ascii="Arial" w:hAnsi="Arial" w:cs="Arial"/>
          <w:sz w:val="21"/>
          <w:szCs w:val="21"/>
        </w:rPr>
        <w:t xml:space="preserve">nly making appropriate referrals to </w:t>
      </w:r>
      <w:r w:rsidRPr="006B737D">
        <w:rPr>
          <w:rFonts w:ascii="Arial" w:hAnsi="Arial" w:cs="Arial"/>
          <w:sz w:val="21"/>
          <w:szCs w:val="21"/>
        </w:rPr>
        <w:t xml:space="preserve">Program funded service </w:t>
      </w:r>
      <w:r w:rsidR="006C5ED3" w:rsidRPr="006B737D">
        <w:rPr>
          <w:rFonts w:ascii="Arial" w:hAnsi="Arial" w:cs="Arial"/>
          <w:sz w:val="21"/>
          <w:szCs w:val="21"/>
        </w:rPr>
        <w:t>providers.</w:t>
      </w:r>
    </w:p>
    <w:p w14:paraId="738B3F15" w14:textId="77777777" w:rsidR="006C5ED3" w:rsidRPr="006B737D" w:rsidRDefault="006F4AC4" w:rsidP="006F4AC4">
      <w:pPr>
        <w:pStyle w:val="ListParagraph"/>
        <w:numPr>
          <w:ilvl w:val="0"/>
          <w:numId w:val="29"/>
        </w:numPr>
        <w:tabs>
          <w:tab w:val="num" w:pos="709"/>
          <w:tab w:val="left" w:pos="993"/>
        </w:tabs>
        <w:ind w:left="1134" w:hanging="567"/>
        <w:rPr>
          <w:rFonts w:ascii="Arial" w:hAnsi="Arial" w:cs="Arial"/>
          <w:sz w:val="21"/>
          <w:szCs w:val="21"/>
        </w:rPr>
      </w:pPr>
      <w:r w:rsidRPr="006B737D">
        <w:rPr>
          <w:rFonts w:ascii="Arial" w:hAnsi="Arial" w:cs="Arial"/>
          <w:sz w:val="21"/>
          <w:szCs w:val="21"/>
        </w:rPr>
        <w:t xml:space="preserve">        </w:t>
      </w:r>
      <w:r w:rsidR="007E48D2" w:rsidRPr="006B737D">
        <w:rPr>
          <w:rFonts w:ascii="Arial" w:hAnsi="Arial" w:cs="Arial"/>
          <w:sz w:val="21"/>
          <w:szCs w:val="21"/>
        </w:rPr>
        <w:t>m</w:t>
      </w:r>
      <w:r w:rsidR="006C5ED3" w:rsidRPr="006B737D">
        <w:rPr>
          <w:rFonts w:ascii="Arial" w:hAnsi="Arial" w:cs="Arial"/>
          <w:sz w:val="21"/>
          <w:szCs w:val="21"/>
        </w:rPr>
        <w:t>anaging tenancies within the agreed parameters of an individual tenant’s tenancy action plan, with the focus on successful/sustained tenancies.</w:t>
      </w:r>
    </w:p>
    <w:p w14:paraId="3FFFEE02" w14:textId="77777777" w:rsidR="006C5ED3" w:rsidRPr="006B737D" w:rsidRDefault="007E48D2" w:rsidP="006F4AC4">
      <w:pPr>
        <w:pStyle w:val="ListParagraph"/>
        <w:numPr>
          <w:ilvl w:val="0"/>
          <w:numId w:val="29"/>
        </w:numPr>
        <w:ind w:left="1134" w:hanging="567"/>
        <w:rPr>
          <w:rFonts w:ascii="Arial" w:hAnsi="Arial" w:cs="Arial"/>
          <w:sz w:val="21"/>
          <w:szCs w:val="21"/>
        </w:rPr>
      </w:pPr>
      <w:r w:rsidRPr="006B737D">
        <w:rPr>
          <w:rFonts w:ascii="Arial" w:hAnsi="Arial" w:cs="Arial"/>
          <w:sz w:val="21"/>
          <w:szCs w:val="21"/>
        </w:rPr>
        <w:t>t</w:t>
      </w:r>
      <w:r w:rsidR="006C5ED3" w:rsidRPr="006B737D">
        <w:rPr>
          <w:rFonts w:ascii="Arial" w:hAnsi="Arial" w:cs="Arial"/>
          <w:sz w:val="21"/>
          <w:szCs w:val="21"/>
        </w:rPr>
        <w:t>aking the lead in promoting tenant participation.</w:t>
      </w:r>
    </w:p>
    <w:p w14:paraId="585A936C" w14:textId="77777777" w:rsidR="006C5ED3" w:rsidRPr="006B737D" w:rsidRDefault="007E48D2" w:rsidP="006F4AC4">
      <w:pPr>
        <w:pStyle w:val="ListParagraph"/>
        <w:numPr>
          <w:ilvl w:val="0"/>
          <w:numId w:val="29"/>
        </w:numPr>
        <w:spacing w:before="100" w:beforeAutospacing="1" w:after="100" w:afterAutospacing="1"/>
        <w:ind w:left="1134" w:hanging="567"/>
        <w:rPr>
          <w:rFonts w:ascii="Arial" w:hAnsi="Arial" w:cs="Arial"/>
          <w:sz w:val="21"/>
          <w:szCs w:val="21"/>
        </w:rPr>
      </w:pPr>
      <w:r w:rsidRPr="006B737D">
        <w:rPr>
          <w:rFonts w:ascii="Arial" w:hAnsi="Arial" w:cs="Arial"/>
          <w:sz w:val="21"/>
          <w:szCs w:val="21"/>
        </w:rPr>
        <w:t>t</w:t>
      </w:r>
      <w:r w:rsidR="006C5ED3" w:rsidRPr="006B737D">
        <w:rPr>
          <w:rFonts w:ascii="Arial" w:hAnsi="Arial" w:cs="Arial"/>
          <w:sz w:val="21"/>
          <w:szCs w:val="21"/>
        </w:rPr>
        <w:t>aking responsibility for the resolution of anti-social activities that impact on sustaining a tenancy and in compliance with department policies.</w:t>
      </w:r>
    </w:p>
    <w:p w14:paraId="25D68821" w14:textId="3FEF93DF" w:rsidR="006C5ED3" w:rsidRPr="006B737D" w:rsidRDefault="007E48D2" w:rsidP="006F4AC4">
      <w:pPr>
        <w:pStyle w:val="ListParagraph"/>
        <w:numPr>
          <w:ilvl w:val="0"/>
          <w:numId w:val="29"/>
        </w:numPr>
        <w:spacing w:before="100" w:beforeAutospacing="1" w:after="100" w:afterAutospacing="1"/>
        <w:ind w:left="1134" w:hanging="567"/>
        <w:rPr>
          <w:rFonts w:ascii="Arial" w:hAnsi="Arial" w:cs="Arial"/>
          <w:sz w:val="21"/>
          <w:szCs w:val="21"/>
        </w:rPr>
      </w:pPr>
      <w:r w:rsidRPr="006B737D">
        <w:rPr>
          <w:rFonts w:ascii="Arial" w:hAnsi="Arial" w:cs="Arial"/>
          <w:sz w:val="21"/>
          <w:szCs w:val="21"/>
        </w:rPr>
        <w:t>a</w:t>
      </w:r>
      <w:r w:rsidR="006C5ED3" w:rsidRPr="006B737D">
        <w:rPr>
          <w:rFonts w:ascii="Arial" w:hAnsi="Arial" w:cs="Arial"/>
          <w:sz w:val="21"/>
          <w:szCs w:val="21"/>
        </w:rPr>
        <w:t>ctively promoting</w:t>
      </w:r>
      <w:r w:rsidR="0042114F">
        <w:rPr>
          <w:rFonts w:ascii="Arial" w:hAnsi="Arial" w:cs="Arial"/>
          <w:sz w:val="21"/>
          <w:szCs w:val="21"/>
        </w:rPr>
        <w:t xml:space="preserve"> the program</w:t>
      </w:r>
      <w:r w:rsidR="006C5ED3" w:rsidRPr="006B737D">
        <w:rPr>
          <w:rFonts w:ascii="Arial" w:hAnsi="Arial" w:cs="Arial"/>
          <w:sz w:val="21"/>
          <w:szCs w:val="21"/>
        </w:rPr>
        <w:t xml:space="preserve"> to applicants and </w:t>
      </w:r>
      <w:r w:rsidR="00E95976" w:rsidRPr="006B737D">
        <w:rPr>
          <w:rFonts w:ascii="Arial" w:hAnsi="Arial" w:cs="Arial"/>
          <w:sz w:val="21"/>
          <w:szCs w:val="21"/>
        </w:rPr>
        <w:t>renters</w:t>
      </w:r>
      <w:r w:rsidR="006C5ED3" w:rsidRPr="006B737D">
        <w:rPr>
          <w:rFonts w:ascii="Arial" w:hAnsi="Arial" w:cs="Arial"/>
          <w:sz w:val="21"/>
          <w:szCs w:val="21"/>
        </w:rPr>
        <w:t xml:space="preserve"> and within the department.</w:t>
      </w:r>
    </w:p>
    <w:p w14:paraId="32311110" w14:textId="0E10819A" w:rsidR="006C5ED3" w:rsidRPr="006B737D" w:rsidRDefault="007E48D2" w:rsidP="006F4AC4">
      <w:pPr>
        <w:pStyle w:val="ListParagraph"/>
        <w:numPr>
          <w:ilvl w:val="0"/>
          <w:numId w:val="29"/>
        </w:numPr>
        <w:spacing w:before="100" w:beforeAutospacing="1" w:after="100" w:afterAutospacing="1"/>
        <w:ind w:left="1134" w:hanging="567"/>
        <w:rPr>
          <w:rFonts w:ascii="Arial" w:hAnsi="Arial" w:cs="Arial"/>
          <w:sz w:val="21"/>
          <w:szCs w:val="21"/>
        </w:rPr>
      </w:pPr>
      <w:r w:rsidRPr="006B737D">
        <w:rPr>
          <w:rFonts w:ascii="Arial" w:hAnsi="Arial" w:cs="Arial"/>
          <w:sz w:val="21"/>
          <w:szCs w:val="21"/>
        </w:rPr>
        <w:t>a</w:t>
      </w:r>
      <w:r w:rsidR="006C5ED3" w:rsidRPr="006B737D">
        <w:rPr>
          <w:rFonts w:ascii="Arial" w:hAnsi="Arial" w:cs="Arial"/>
          <w:sz w:val="21"/>
          <w:szCs w:val="21"/>
        </w:rPr>
        <w:t xml:space="preserve">dvocating on behalf of individual </w:t>
      </w:r>
      <w:r w:rsidR="00E95976" w:rsidRPr="006B737D">
        <w:rPr>
          <w:rFonts w:ascii="Arial" w:hAnsi="Arial" w:cs="Arial"/>
          <w:sz w:val="21"/>
          <w:szCs w:val="21"/>
        </w:rPr>
        <w:t>renters</w:t>
      </w:r>
      <w:r w:rsidR="006C5ED3" w:rsidRPr="006B737D">
        <w:rPr>
          <w:rFonts w:ascii="Arial" w:hAnsi="Arial" w:cs="Arial"/>
          <w:sz w:val="21"/>
          <w:szCs w:val="21"/>
        </w:rPr>
        <w:t xml:space="preserve"> and promoting access for </w:t>
      </w:r>
      <w:r w:rsidRPr="006B737D">
        <w:rPr>
          <w:rFonts w:ascii="Arial" w:hAnsi="Arial" w:cs="Arial"/>
          <w:sz w:val="21"/>
          <w:szCs w:val="21"/>
        </w:rPr>
        <w:t>them</w:t>
      </w:r>
      <w:r w:rsidR="006C5ED3" w:rsidRPr="006B737D">
        <w:rPr>
          <w:rFonts w:ascii="Arial" w:hAnsi="Arial" w:cs="Arial"/>
          <w:sz w:val="21"/>
          <w:szCs w:val="21"/>
        </w:rPr>
        <w:t xml:space="preserve"> to broader departmental programs.</w:t>
      </w:r>
    </w:p>
    <w:p w14:paraId="1F6859B2" w14:textId="41EE26A7" w:rsidR="006C5ED3" w:rsidRPr="006B737D" w:rsidRDefault="007E48D2" w:rsidP="006F4AC4">
      <w:pPr>
        <w:pStyle w:val="ListParagraph"/>
        <w:numPr>
          <w:ilvl w:val="0"/>
          <w:numId w:val="29"/>
        </w:numPr>
        <w:spacing w:before="100" w:beforeAutospacing="1" w:after="100" w:afterAutospacing="1"/>
        <w:ind w:left="1134" w:hanging="567"/>
        <w:rPr>
          <w:rFonts w:ascii="Arial" w:hAnsi="Arial" w:cs="Arial"/>
          <w:b/>
          <w:bCs/>
          <w:sz w:val="21"/>
          <w:szCs w:val="21"/>
        </w:rPr>
      </w:pPr>
      <w:r w:rsidRPr="006B737D">
        <w:rPr>
          <w:rFonts w:ascii="Arial" w:hAnsi="Arial" w:cs="Arial"/>
          <w:sz w:val="21"/>
          <w:szCs w:val="21"/>
        </w:rPr>
        <w:t>c</w:t>
      </w:r>
      <w:r w:rsidR="006C5ED3" w:rsidRPr="006B737D">
        <w:rPr>
          <w:rFonts w:ascii="Arial" w:hAnsi="Arial" w:cs="Arial"/>
          <w:sz w:val="21"/>
          <w:szCs w:val="21"/>
        </w:rPr>
        <w:t xml:space="preserve">omplying with the department’s </w:t>
      </w:r>
      <w:hyperlink r:id="rId21" w:history="1">
        <w:r w:rsidR="006C5ED3" w:rsidRPr="006B737D">
          <w:rPr>
            <w:rStyle w:val="Hyperlink"/>
            <w:rFonts w:ascii="Arial" w:hAnsi="Arial" w:cs="Arial"/>
            <w:i/>
            <w:iCs/>
            <w:sz w:val="21"/>
            <w:szCs w:val="21"/>
          </w:rPr>
          <w:t>Client Services Charte</w:t>
        </w:r>
        <w:r w:rsidR="006C5ED3" w:rsidRPr="006B737D">
          <w:rPr>
            <w:rStyle w:val="Hyperlink"/>
            <w:rFonts w:ascii="Arial" w:hAnsi="Arial" w:cs="Arial"/>
            <w:sz w:val="21"/>
            <w:szCs w:val="21"/>
          </w:rPr>
          <w:t>r.</w:t>
        </w:r>
      </w:hyperlink>
      <w:r w:rsidR="00292AEB" w:rsidRPr="006B737D">
        <w:rPr>
          <w:rFonts w:ascii="Arial" w:hAnsi="Arial" w:cs="Arial"/>
          <w:i/>
          <w:iCs/>
          <w:sz w:val="21"/>
          <w:szCs w:val="21"/>
        </w:rPr>
        <w:t xml:space="preserve"> &lt;https://www.dhhs.vic.gov.au/publications/client-services-charter&gt;</w:t>
      </w:r>
    </w:p>
    <w:p w14:paraId="0145D510" w14:textId="2A48A506" w:rsidR="006C5ED3" w:rsidRDefault="006C5ED3" w:rsidP="006F4AC4">
      <w:pPr>
        <w:spacing w:before="100" w:beforeAutospacing="1" w:after="100" w:afterAutospacing="1"/>
        <w:ind w:left="567"/>
        <w:rPr>
          <w:rFonts w:ascii="Arial" w:hAnsi="Arial" w:cs="Arial"/>
          <w:sz w:val="21"/>
          <w:szCs w:val="21"/>
          <w:lang w:eastAsia="en-AU"/>
        </w:rPr>
      </w:pPr>
      <w:r w:rsidRPr="006B737D">
        <w:rPr>
          <w:rFonts w:ascii="Arial" w:hAnsi="Arial" w:cs="Arial"/>
          <w:sz w:val="21"/>
          <w:szCs w:val="21"/>
        </w:rPr>
        <w:t xml:space="preserve">Specifically, </w:t>
      </w:r>
      <w:r w:rsidR="0062664B" w:rsidRPr="006B737D">
        <w:rPr>
          <w:rFonts w:ascii="Arial" w:hAnsi="Arial" w:cs="Arial"/>
          <w:sz w:val="21"/>
          <w:szCs w:val="21"/>
        </w:rPr>
        <w:t>Tenancy plus – Tenancy support p</w:t>
      </w:r>
      <w:r w:rsidR="007E48D2" w:rsidRPr="006B737D">
        <w:rPr>
          <w:rFonts w:ascii="Arial" w:hAnsi="Arial" w:cs="Arial"/>
          <w:sz w:val="21"/>
          <w:szCs w:val="21"/>
        </w:rPr>
        <w:t xml:space="preserve">rogram </w:t>
      </w:r>
      <w:r w:rsidR="00874BA2" w:rsidRPr="006B737D">
        <w:rPr>
          <w:rFonts w:ascii="Arial" w:hAnsi="Arial" w:cs="Arial"/>
          <w:sz w:val="21"/>
          <w:szCs w:val="21"/>
        </w:rPr>
        <w:t xml:space="preserve">service </w:t>
      </w:r>
      <w:r w:rsidR="007E48D2" w:rsidRPr="006B737D">
        <w:rPr>
          <w:rFonts w:ascii="Arial" w:hAnsi="Arial" w:cs="Arial"/>
          <w:sz w:val="21"/>
          <w:szCs w:val="21"/>
        </w:rPr>
        <w:t xml:space="preserve">providers </w:t>
      </w:r>
      <w:r w:rsidR="0062664B" w:rsidRPr="006B737D">
        <w:rPr>
          <w:rFonts w:ascii="Arial" w:hAnsi="Arial" w:cs="Arial"/>
          <w:sz w:val="21"/>
          <w:szCs w:val="21"/>
        </w:rPr>
        <w:t>achieve the p</w:t>
      </w:r>
      <w:r w:rsidRPr="006B737D">
        <w:rPr>
          <w:rFonts w:ascii="Arial" w:hAnsi="Arial" w:cs="Arial"/>
          <w:sz w:val="21"/>
          <w:szCs w:val="21"/>
        </w:rPr>
        <w:t>rogram</w:t>
      </w:r>
      <w:r w:rsidR="00874BA2" w:rsidRPr="006B737D">
        <w:rPr>
          <w:rFonts w:ascii="Arial" w:hAnsi="Arial" w:cs="Arial"/>
          <w:sz w:val="21"/>
          <w:szCs w:val="21"/>
        </w:rPr>
        <w:t>’s</w:t>
      </w:r>
      <w:r w:rsidRPr="006B737D">
        <w:rPr>
          <w:rFonts w:ascii="Arial" w:hAnsi="Arial" w:cs="Arial"/>
          <w:sz w:val="21"/>
          <w:szCs w:val="21"/>
        </w:rPr>
        <w:t xml:space="preserve"> aims by </w:t>
      </w:r>
      <w:r w:rsidR="00874BA2" w:rsidRPr="006B737D">
        <w:rPr>
          <w:rFonts w:ascii="Arial" w:hAnsi="Arial" w:cs="Arial"/>
          <w:sz w:val="21"/>
          <w:szCs w:val="21"/>
        </w:rPr>
        <w:t xml:space="preserve">supporting </w:t>
      </w:r>
      <w:r w:rsidR="00E95976" w:rsidRPr="006B737D">
        <w:rPr>
          <w:rFonts w:ascii="Arial" w:hAnsi="Arial" w:cs="Arial"/>
          <w:sz w:val="21"/>
          <w:szCs w:val="21"/>
        </w:rPr>
        <w:t>renters</w:t>
      </w:r>
      <w:r w:rsidR="00874BA2" w:rsidRPr="006B737D">
        <w:rPr>
          <w:rFonts w:ascii="Arial" w:hAnsi="Arial" w:cs="Arial"/>
          <w:sz w:val="21"/>
          <w:szCs w:val="21"/>
        </w:rPr>
        <w:t xml:space="preserve"> to </w:t>
      </w:r>
      <w:r w:rsidR="0062664B" w:rsidRPr="006B737D">
        <w:rPr>
          <w:rFonts w:ascii="Arial" w:hAnsi="Arial" w:cs="Arial"/>
          <w:sz w:val="21"/>
          <w:szCs w:val="21"/>
        </w:rPr>
        <w:t xml:space="preserve">establish and </w:t>
      </w:r>
      <w:r w:rsidR="00874BA2" w:rsidRPr="006B737D">
        <w:rPr>
          <w:rFonts w:ascii="Arial" w:hAnsi="Arial" w:cs="Arial"/>
          <w:sz w:val="21"/>
          <w:szCs w:val="21"/>
        </w:rPr>
        <w:t>maintain their tenancies</w:t>
      </w:r>
      <w:r w:rsidRPr="006B737D">
        <w:rPr>
          <w:rFonts w:ascii="Arial" w:hAnsi="Arial" w:cs="Arial"/>
          <w:sz w:val="21"/>
          <w:szCs w:val="21"/>
          <w:lang w:eastAsia="en-AU"/>
        </w:rPr>
        <w:t>.</w:t>
      </w:r>
    </w:p>
    <w:p w14:paraId="6F0B80A8" w14:textId="77777777" w:rsidR="006C5ED3" w:rsidRPr="00610E3E" w:rsidRDefault="006C5ED3" w:rsidP="00874BA2">
      <w:pPr>
        <w:pStyle w:val="Heading2"/>
        <w:ind w:left="709" w:hanging="709"/>
        <w:rPr>
          <w:color w:val="201547"/>
          <w:sz w:val="32"/>
        </w:rPr>
      </w:pPr>
      <w:bookmarkStart w:id="115" w:name="_Toc261504886"/>
      <w:bookmarkStart w:id="116" w:name="_Toc266783325"/>
      <w:bookmarkStart w:id="117" w:name="_Toc360451370"/>
      <w:bookmarkStart w:id="118" w:name="_Toc412720490"/>
      <w:bookmarkStart w:id="119" w:name="_Toc412801012"/>
      <w:bookmarkStart w:id="120" w:name="_Toc73529072"/>
      <w:bookmarkStart w:id="121" w:name="_Toc94785377"/>
      <w:bookmarkEnd w:id="114"/>
      <w:r w:rsidRPr="00610E3E">
        <w:rPr>
          <w:color w:val="201547"/>
          <w:sz w:val="32"/>
        </w:rPr>
        <w:t>4.3</w:t>
      </w:r>
      <w:r w:rsidRPr="00610E3E">
        <w:rPr>
          <w:color w:val="201547"/>
          <w:sz w:val="32"/>
        </w:rPr>
        <w:tab/>
        <w:t>Program management</w:t>
      </w:r>
      <w:bookmarkEnd w:id="115"/>
      <w:bookmarkEnd w:id="116"/>
      <w:bookmarkEnd w:id="117"/>
      <w:bookmarkEnd w:id="118"/>
      <w:bookmarkEnd w:id="119"/>
      <w:bookmarkEnd w:id="120"/>
      <w:bookmarkEnd w:id="121"/>
    </w:p>
    <w:p w14:paraId="27538F91" w14:textId="58B44420" w:rsidR="006C5ED3" w:rsidRDefault="00874BA2" w:rsidP="00DA1C5F">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The Department of </w:t>
      </w:r>
      <w:r w:rsidR="009D5B2B" w:rsidRPr="006B737D">
        <w:rPr>
          <w:rFonts w:ascii="Arial" w:hAnsi="Arial" w:cs="Arial"/>
          <w:sz w:val="21"/>
          <w:szCs w:val="21"/>
        </w:rPr>
        <w:t xml:space="preserve">Families </w:t>
      </w:r>
      <w:r w:rsidR="00123745" w:rsidRPr="006B737D">
        <w:rPr>
          <w:rFonts w:ascii="Arial" w:hAnsi="Arial" w:cs="Arial"/>
          <w:sz w:val="21"/>
          <w:szCs w:val="21"/>
        </w:rPr>
        <w:t>Fairness</w:t>
      </w:r>
      <w:r w:rsidR="009D5B2B" w:rsidRPr="006B737D">
        <w:rPr>
          <w:rFonts w:ascii="Arial" w:hAnsi="Arial" w:cs="Arial"/>
          <w:sz w:val="21"/>
          <w:szCs w:val="21"/>
        </w:rPr>
        <w:t xml:space="preserve"> and Housing </w:t>
      </w:r>
      <w:r w:rsidR="006C5ED3" w:rsidRPr="006B737D">
        <w:rPr>
          <w:rFonts w:ascii="Arial" w:hAnsi="Arial" w:cs="Arial"/>
          <w:sz w:val="21"/>
          <w:szCs w:val="21"/>
        </w:rPr>
        <w:t>thro</w:t>
      </w:r>
      <w:r w:rsidRPr="006B737D">
        <w:rPr>
          <w:rFonts w:ascii="Arial" w:hAnsi="Arial" w:cs="Arial"/>
          <w:sz w:val="21"/>
          <w:szCs w:val="21"/>
        </w:rPr>
        <w:t xml:space="preserve">ugh the Director of Housing (Director) </w:t>
      </w:r>
      <w:r w:rsidR="006C5ED3" w:rsidRPr="006B737D">
        <w:rPr>
          <w:rFonts w:ascii="Arial" w:hAnsi="Arial" w:cs="Arial"/>
          <w:sz w:val="21"/>
          <w:szCs w:val="21"/>
        </w:rPr>
        <w:t xml:space="preserve">is responsible </w:t>
      </w:r>
      <w:r w:rsidR="006C5ED3" w:rsidRPr="006B737D">
        <w:rPr>
          <w:rFonts w:ascii="Arial" w:hAnsi="Arial" w:cs="Arial"/>
          <w:sz w:val="21"/>
          <w:szCs w:val="21"/>
          <w:lang w:val="en-US"/>
        </w:rPr>
        <w:t xml:space="preserve">for providing housing assistance. Housing assistance refers to a range of products and services, including crisis, transitional and long-term public and community housing, homelessness assistance, new forms of social housing and related support services. </w:t>
      </w:r>
      <w:r w:rsidR="006C5ED3" w:rsidRPr="006B737D">
        <w:rPr>
          <w:rFonts w:ascii="Arial" w:hAnsi="Arial" w:cs="Arial"/>
          <w:sz w:val="21"/>
          <w:szCs w:val="21"/>
        </w:rPr>
        <w:t xml:space="preserve">Services are delivered in accordance with the </w:t>
      </w:r>
      <w:r w:rsidR="0020373C" w:rsidRPr="006B737D">
        <w:rPr>
          <w:rFonts w:ascii="Arial" w:hAnsi="Arial" w:cs="Arial"/>
          <w:i/>
          <w:iCs/>
          <w:sz w:val="21"/>
          <w:szCs w:val="21"/>
        </w:rPr>
        <w:t xml:space="preserve">Housing Act 1983 </w:t>
      </w:r>
      <w:r w:rsidR="006C5ED3" w:rsidRPr="006B737D">
        <w:rPr>
          <w:rFonts w:ascii="Arial" w:hAnsi="Arial" w:cs="Arial"/>
          <w:sz w:val="21"/>
          <w:szCs w:val="21"/>
        </w:rPr>
        <w:t>throu</w:t>
      </w:r>
      <w:r w:rsidRPr="006B737D">
        <w:rPr>
          <w:rFonts w:ascii="Arial" w:hAnsi="Arial" w:cs="Arial"/>
          <w:sz w:val="21"/>
          <w:szCs w:val="21"/>
        </w:rPr>
        <w:t>gh the statutory position of the Director</w:t>
      </w:r>
      <w:r w:rsidR="006C5ED3" w:rsidRPr="006B737D">
        <w:rPr>
          <w:rFonts w:ascii="Arial" w:hAnsi="Arial" w:cs="Arial"/>
          <w:sz w:val="21"/>
          <w:szCs w:val="21"/>
        </w:rPr>
        <w:t>. It also operates within the framework of the National Affordable Housing Agreement.</w:t>
      </w:r>
    </w:p>
    <w:p w14:paraId="4BB7674C" w14:textId="1963399E" w:rsidR="006C5ED3" w:rsidRPr="006B737D" w:rsidRDefault="006C5ED3" w:rsidP="00DA1C5F">
      <w:pPr>
        <w:spacing w:before="100" w:beforeAutospacing="1"/>
        <w:ind w:left="567"/>
        <w:rPr>
          <w:rFonts w:ascii="Arial" w:hAnsi="Arial" w:cs="Arial"/>
          <w:sz w:val="21"/>
          <w:szCs w:val="21"/>
        </w:rPr>
      </w:pPr>
      <w:r w:rsidRPr="006B737D">
        <w:rPr>
          <w:rFonts w:ascii="Arial" w:hAnsi="Arial" w:cs="Arial"/>
          <w:sz w:val="21"/>
          <w:szCs w:val="21"/>
        </w:rPr>
        <w:t xml:space="preserve">The department employs staff to develop and provide housing assistance. Staff based in central office </w:t>
      </w:r>
    </w:p>
    <w:p w14:paraId="56029C3C" w14:textId="0EA616A0" w:rsidR="006C5ED3" w:rsidRPr="006B737D" w:rsidRDefault="006C5ED3" w:rsidP="00D3134D">
      <w:pPr>
        <w:spacing w:before="100" w:beforeAutospacing="1" w:after="120"/>
        <w:ind w:left="567"/>
        <w:rPr>
          <w:rFonts w:ascii="Arial" w:hAnsi="Arial" w:cs="Arial"/>
          <w:sz w:val="21"/>
          <w:szCs w:val="21"/>
          <w:lang w:val="en-US"/>
        </w:rPr>
      </w:pPr>
      <w:r w:rsidRPr="006B737D">
        <w:rPr>
          <w:rFonts w:ascii="Arial" w:hAnsi="Arial" w:cs="Arial"/>
          <w:sz w:val="21"/>
          <w:szCs w:val="21"/>
          <w:lang w:val="en-US"/>
        </w:rPr>
        <w:t>responsibilities include:</w:t>
      </w:r>
    </w:p>
    <w:p w14:paraId="3D308A88" w14:textId="77777777" w:rsidR="006C5ED3" w:rsidRPr="006B737D" w:rsidRDefault="00FD428D" w:rsidP="00D3134D">
      <w:pPr>
        <w:pStyle w:val="ListParagraph"/>
        <w:numPr>
          <w:ilvl w:val="0"/>
          <w:numId w:val="21"/>
        </w:numPr>
        <w:rPr>
          <w:rFonts w:ascii="Arial" w:hAnsi="Arial" w:cs="Arial"/>
          <w:sz w:val="21"/>
          <w:szCs w:val="21"/>
        </w:rPr>
      </w:pPr>
      <w:r w:rsidRPr="006B737D">
        <w:rPr>
          <w:rFonts w:ascii="Arial" w:hAnsi="Arial" w:cs="Arial"/>
          <w:sz w:val="21"/>
          <w:szCs w:val="21"/>
        </w:rPr>
        <w:t>d</w:t>
      </w:r>
      <w:r w:rsidR="006C5ED3" w:rsidRPr="006B737D">
        <w:rPr>
          <w:rFonts w:ascii="Arial" w:hAnsi="Arial" w:cs="Arial"/>
          <w:sz w:val="21"/>
          <w:szCs w:val="21"/>
        </w:rPr>
        <w:t>eveloping and communicating policy and program frameworks.</w:t>
      </w:r>
    </w:p>
    <w:p w14:paraId="0A3F49FE" w14:textId="77777777" w:rsidR="006C5ED3" w:rsidRPr="006B737D" w:rsidRDefault="00FD428D" w:rsidP="005E34FD">
      <w:pPr>
        <w:pStyle w:val="ListParagraph"/>
        <w:numPr>
          <w:ilvl w:val="0"/>
          <w:numId w:val="21"/>
        </w:numPr>
        <w:spacing w:before="100" w:beforeAutospacing="1" w:after="100" w:afterAutospacing="1"/>
        <w:rPr>
          <w:rFonts w:ascii="Arial" w:hAnsi="Arial" w:cs="Arial"/>
          <w:sz w:val="21"/>
          <w:szCs w:val="21"/>
        </w:rPr>
      </w:pPr>
      <w:r w:rsidRPr="006B737D">
        <w:rPr>
          <w:rFonts w:ascii="Arial" w:hAnsi="Arial" w:cs="Arial"/>
          <w:sz w:val="21"/>
          <w:szCs w:val="21"/>
        </w:rPr>
        <w:t>d</w:t>
      </w:r>
      <w:r w:rsidR="006C5ED3" w:rsidRPr="006B737D">
        <w:rPr>
          <w:rFonts w:ascii="Arial" w:hAnsi="Arial" w:cs="Arial"/>
          <w:sz w:val="21"/>
          <w:szCs w:val="21"/>
        </w:rPr>
        <w:t>eveloping standards, procedures and training programs to enable best practice and continuous   improvement.</w:t>
      </w:r>
    </w:p>
    <w:p w14:paraId="39064CCC" w14:textId="77777777" w:rsidR="006C5ED3" w:rsidRPr="006B737D" w:rsidRDefault="00FD428D" w:rsidP="005E34FD">
      <w:pPr>
        <w:pStyle w:val="ListParagraph"/>
        <w:numPr>
          <w:ilvl w:val="0"/>
          <w:numId w:val="21"/>
        </w:numPr>
        <w:spacing w:before="100" w:beforeAutospacing="1" w:after="100" w:afterAutospacing="1"/>
        <w:rPr>
          <w:rFonts w:ascii="Arial" w:hAnsi="Arial" w:cs="Arial"/>
          <w:sz w:val="21"/>
          <w:szCs w:val="21"/>
        </w:rPr>
      </w:pPr>
      <w:r w:rsidRPr="006B737D">
        <w:rPr>
          <w:rFonts w:ascii="Arial" w:hAnsi="Arial" w:cs="Arial"/>
          <w:sz w:val="21"/>
          <w:szCs w:val="21"/>
        </w:rPr>
        <w:t>d</w:t>
      </w:r>
      <w:r w:rsidR="006C5ED3" w:rsidRPr="006B737D">
        <w:rPr>
          <w:rFonts w:ascii="Arial" w:hAnsi="Arial" w:cs="Arial"/>
          <w:sz w:val="21"/>
          <w:szCs w:val="21"/>
        </w:rPr>
        <w:t>efining and monitoring program outcomes and determining output specification and structures at output, component and activity levels.</w:t>
      </w:r>
    </w:p>
    <w:p w14:paraId="41BCF870" w14:textId="77777777" w:rsidR="006C5ED3" w:rsidRPr="006B737D" w:rsidRDefault="00FD428D" w:rsidP="005E34FD">
      <w:pPr>
        <w:pStyle w:val="ListParagraph"/>
        <w:numPr>
          <w:ilvl w:val="0"/>
          <w:numId w:val="21"/>
        </w:numPr>
        <w:spacing w:before="100" w:beforeAutospacing="1" w:after="100" w:afterAutospacing="1"/>
        <w:rPr>
          <w:rFonts w:ascii="Arial" w:hAnsi="Arial" w:cs="Arial"/>
          <w:sz w:val="21"/>
          <w:szCs w:val="21"/>
        </w:rPr>
      </w:pPr>
      <w:r w:rsidRPr="006B737D">
        <w:rPr>
          <w:rFonts w:ascii="Arial" w:hAnsi="Arial" w:cs="Arial"/>
          <w:sz w:val="21"/>
          <w:szCs w:val="21"/>
        </w:rPr>
        <w:t>r</w:t>
      </w:r>
      <w:r w:rsidR="006C5ED3" w:rsidRPr="006B737D">
        <w:rPr>
          <w:rFonts w:ascii="Arial" w:hAnsi="Arial" w:cs="Arial"/>
          <w:sz w:val="21"/>
          <w:szCs w:val="21"/>
        </w:rPr>
        <w:t>esourcing including budget development and funds allocation.</w:t>
      </w:r>
    </w:p>
    <w:p w14:paraId="0993C1B9" w14:textId="77777777" w:rsidR="006C5ED3" w:rsidRPr="006B737D" w:rsidRDefault="00FD428D" w:rsidP="005E34FD">
      <w:pPr>
        <w:pStyle w:val="ListParagraph"/>
        <w:numPr>
          <w:ilvl w:val="0"/>
          <w:numId w:val="21"/>
        </w:numPr>
        <w:spacing w:before="100" w:beforeAutospacing="1" w:after="100" w:afterAutospacing="1"/>
        <w:rPr>
          <w:rFonts w:ascii="Arial" w:hAnsi="Arial" w:cs="Arial"/>
          <w:sz w:val="21"/>
          <w:szCs w:val="21"/>
          <w:lang w:val="en-US"/>
        </w:rPr>
      </w:pPr>
      <w:r w:rsidRPr="006B737D">
        <w:rPr>
          <w:rFonts w:ascii="Arial" w:hAnsi="Arial" w:cs="Arial"/>
          <w:sz w:val="21"/>
          <w:szCs w:val="21"/>
        </w:rPr>
        <w:t>d</w:t>
      </w:r>
      <w:r w:rsidR="006C5ED3" w:rsidRPr="006B737D">
        <w:rPr>
          <w:rFonts w:ascii="Arial" w:hAnsi="Arial" w:cs="Arial"/>
          <w:sz w:val="21"/>
          <w:szCs w:val="21"/>
        </w:rPr>
        <w:t>evelopment of tender specifications in partnership with</w:t>
      </w:r>
      <w:r w:rsidRPr="006B737D">
        <w:rPr>
          <w:rFonts w:ascii="Arial" w:hAnsi="Arial" w:cs="Arial"/>
          <w:sz w:val="21"/>
          <w:szCs w:val="21"/>
        </w:rPr>
        <w:t xml:space="preserve"> divisions</w:t>
      </w:r>
      <w:r w:rsidR="006C5ED3" w:rsidRPr="006B737D">
        <w:rPr>
          <w:rFonts w:ascii="Arial" w:hAnsi="Arial" w:cs="Arial"/>
          <w:sz w:val="21"/>
          <w:szCs w:val="21"/>
          <w:lang w:val="en-US"/>
        </w:rPr>
        <w:t>.</w:t>
      </w:r>
    </w:p>
    <w:p w14:paraId="047B924E" w14:textId="35BA1DC3" w:rsidR="006C5ED3" w:rsidRPr="006B737D" w:rsidRDefault="006C5ED3" w:rsidP="005E34FD">
      <w:pPr>
        <w:spacing w:before="100" w:beforeAutospacing="1" w:after="100" w:afterAutospacing="1"/>
        <w:ind w:left="567"/>
        <w:rPr>
          <w:rFonts w:ascii="Arial" w:hAnsi="Arial" w:cs="Arial"/>
          <w:color w:val="292526"/>
          <w:sz w:val="21"/>
          <w:szCs w:val="21"/>
          <w:lang w:val="en-US"/>
        </w:rPr>
      </w:pPr>
      <w:r w:rsidRPr="006B737D">
        <w:rPr>
          <w:rFonts w:ascii="Arial" w:hAnsi="Arial" w:cs="Arial"/>
          <w:sz w:val="21"/>
          <w:szCs w:val="21"/>
        </w:rPr>
        <w:t xml:space="preserve">State-wide and specialist services are required to develop and maintain a close working relationship with the department in order to deliver the integrated service response that </w:t>
      </w:r>
      <w:r w:rsidR="0020373C" w:rsidRPr="006B737D">
        <w:rPr>
          <w:rFonts w:ascii="Arial" w:hAnsi="Arial" w:cs="Arial"/>
          <w:sz w:val="21"/>
          <w:szCs w:val="21"/>
        </w:rPr>
        <w:t xml:space="preserve">the Program </w:t>
      </w:r>
      <w:r w:rsidRPr="006B737D">
        <w:rPr>
          <w:rFonts w:ascii="Arial" w:hAnsi="Arial" w:cs="Arial"/>
          <w:sz w:val="21"/>
          <w:szCs w:val="21"/>
        </w:rPr>
        <w:t>requires. These organisations are also required to keep central office informed of activities and/or specific issues in relation to the service implementation, development</w:t>
      </w:r>
      <w:r w:rsidR="0020373C" w:rsidRPr="006B737D">
        <w:rPr>
          <w:rFonts w:ascii="Arial" w:hAnsi="Arial" w:cs="Arial"/>
          <w:sz w:val="21"/>
          <w:szCs w:val="21"/>
        </w:rPr>
        <w:t xml:space="preserve"> and ongoing management of the P</w:t>
      </w:r>
      <w:r w:rsidRPr="006B737D">
        <w:rPr>
          <w:rFonts w:ascii="Arial" w:hAnsi="Arial" w:cs="Arial"/>
          <w:sz w:val="21"/>
          <w:szCs w:val="21"/>
        </w:rPr>
        <w:t xml:space="preserve">rogram. </w:t>
      </w:r>
    </w:p>
    <w:p w14:paraId="13A86160" w14:textId="77777777" w:rsidR="0020373C" w:rsidRPr="006B737D" w:rsidRDefault="006C5ED3" w:rsidP="005E34FD">
      <w:pPr>
        <w:spacing w:before="100" w:beforeAutospacing="1" w:after="100" w:afterAutospacing="1"/>
        <w:ind w:left="567"/>
        <w:rPr>
          <w:rFonts w:ascii="Arial" w:hAnsi="Arial" w:cs="Arial"/>
          <w:color w:val="292526"/>
          <w:sz w:val="21"/>
          <w:szCs w:val="21"/>
          <w:lang w:val="en-US"/>
        </w:rPr>
      </w:pPr>
      <w:r w:rsidRPr="006B737D">
        <w:rPr>
          <w:rFonts w:ascii="Arial" w:hAnsi="Arial" w:cs="Arial"/>
          <w:color w:val="292526"/>
          <w:sz w:val="21"/>
          <w:szCs w:val="21"/>
          <w:lang w:val="en-US"/>
        </w:rPr>
        <w:t>The department delivers services through four divisions. Divisions plan for, fund</w:t>
      </w:r>
      <w:r w:rsidR="00FD428D" w:rsidRPr="006B737D">
        <w:rPr>
          <w:rFonts w:ascii="Arial" w:hAnsi="Arial" w:cs="Arial"/>
          <w:color w:val="292526"/>
          <w:sz w:val="21"/>
          <w:szCs w:val="21"/>
          <w:lang w:val="en-US"/>
        </w:rPr>
        <w:t>s</w:t>
      </w:r>
      <w:r w:rsidRPr="006B737D">
        <w:rPr>
          <w:rFonts w:ascii="Arial" w:hAnsi="Arial" w:cs="Arial"/>
          <w:color w:val="292526"/>
          <w:sz w:val="21"/>
          <w:szCs w:val="21"/>
          <w:lang w:val="en-US"/>
        </w:rPr>
        <w:t xml:space="preserve"> and deliver</w:t>
      </w:r>
      <w:r w:rsidR="00FD428D" w:rsidRPr="006B737D">
        <w:rPr>
          <w:rFonts w:ascii="Arial" w:hAnsi="Arial" w:cs="Arial"/>
          <w:color w:val="292526"/>
          <w:sz w:val="21"/>
          <w:szCs w:val="21"/>
          <w:lang w:val="en-US"/>
        </w:rPr>
        <w:t>s</w:t>
      </w:r>
      <w:r w:rsidRPr="006B737D">
        <w:rPr>
          <w:rFonts w:ascii="Arial" w:hAnsi="Arial" w:cs="Arial"/>
          <w:color w:val="292526"/>
          <w:sz w:val="21"/>
          <w:szCs w:val="21"/>
          <w:lang w:val="en-US"/>
        </w:rPr>
        <w:t xml:space="preserve"> housing and community services and develop</w:t>
      </w:r>
      <w:r w:rsidR="00FD428D" w:rsidRPr="006B737D">
        <w:rPr>
          <w:rFonts w:ascii="Arial" w:hAnsi="Arial" w:cs="Arial"/>
          <w:color w:val="292526"/>
          <w:sz w:val="21"/>
          <w:szCs w:val="21"/>
          <w:lang w:val="en-US"/>
        </w:rPr>
        <w:t>s</w:t>
      </w:r>
      <w:r w:rsidRPr="006B737D">
        <w:rPr>
          <w:rFonts w:ascii="Arial" w:hAnsi="Arial" w:cs="Arial"/>
          <w:color w:val="292526"/>
          <w:sz w:val="21"/>
          <w:szCs w:val="21"/>
          <w:lang w:val="en-US"/>
        </w:rPr>
        <w:t xml:space="preserve"> strong partnerships with </w:t>
      </w:r>
      <w:r w:rsidR="0020373C" w:rsidRPr="006B737D">
        <w:rPr>
          <w:rFonts w:ascii="Arial" w:hAnsi="Arial" w:cs="Arial"/>
          <w:color w:val="292526"/>
          <w:sz w:val="21"/>
          <w:szCs w:val="21"/>
          <w:lang w:val="en-US"/>
        </w:rPr>
        <w:t xml:space="preserve">program service providers </w:t>
      </w:r>
      <w:r w:rsidRPr="006B737D">
        <w:rPr>
          <w:rFonts w:ascii="Arial" w:hAnsi="Arial" w:cs="Arial"/>
          <w:color w:val="292526"/>
          <w:sz w:val="21"/>
          <w:szCs w:val="21"/>
          <w:lang w:val="en-US"/>
        </w:rPr>
        <w:t xml:space="preserve">to collaboratively plan local services to give the Victorian community high quality services. </w:t>
      </w:r>
    </w:p>
    <w:p w14:paraId="3DAC6BB4" w14:textId="77777777" w:rsidR="006C5ED3" w:rsidRPr="006B737D" w:rsidRDefault="006C5ED3" w:rsidP="00D3134D">
      <w:pPr>
        <w:spacing w:before="100" w:beforeAutospacing="1" w:after="120"/>
        <w:ind w:left="567"/>
        <w:rPr>
          <w:rFonts w:ascii="Arial" w:hAnsi="Arial" w:cs="Arial"/>
          <w:sz w:val="21"/>
          <w:szCs w:val="21"/>
          <w:lang w:val="en-US"/>
        </w:rPr>
      </w:pPr>
      <w:r w:rsidRPr="006B737D">
        <w:rPr>
          <w:rFonts w:ascii="Arial" w:hAnsi="Arial" w:cs="Arial"/>
          <w:sz w:val="21"/>
          <w:szCs w:val="21"/>
          <w:lang w:val="en-US"/>
        </w:rPr>
        <w:lastRenderedPageBreak/>
        <w:t>Divisional responsibilities in the funding process include:</w:t>
      </w:r>
    </w:p>
    <w:p w14:paraId="1AACAB57" w14:textId="77777777" w:rsidR="006C5ED3" w:rsidRPr="006B737D" w:rsidRDefault="0020373C" w:rsidP="00D3134D">
      <w:pPr>
        <w:pStyle w:val="ListParagraph"/>
        <w:numPr>
          <w:ilvl w:val="0"/>
          <w:numId w:val="22"/>
        </w:numPr>
        <w:tabs>
          <w:tab w:val="num" w:pos="709"/>
        </w:tabs>
        <w:spacing w:after="100" w:afterAutospacing="1"/>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nsuring services purchased contribute to the achievement of the department’s strategic direction and</w:t>
      </w:r>
      <w:r w:rsidR="006C5ED3" w:rsidRPr="006B737D">
        <w:rPr>
          <w:rFonts w:ascii="Arial" w:hAnsi="Arial" w:cs="Arial"/>
          <w:sz w:val="21"/>
          <w:szCs w:val="21"/>
        </w:rPr>
        <w:t xml:space="preserve"> maximise</w:t>
      </w:r>
      <w:r w:rsidR="006C5ED3" w:rsidRPr="006B737D">
        <w:rPr>
          <w:rFonts w:ascii="Arial" w:hAnsi="Arial" w:cs="Arial"/>
          <w:sz w:val="21"/>
          <w:szCs w:val="21"/>
          <w:lang w:val="en-US"/>
        </w:rPr>
        <w:t xml:space="preserve"> the use of available resources.</w:t>
      </w:r>
    </w:p>
    <w:p w14:paraId="6D35DF00" w14:textId="77777777" w:rsidR="006C5ED3" w:rsidRPr="006B737D" w:rsidRDefault="0020373C" w:rsidP="005E34FD">
      <w:pPr>
        <w:pStyle w:val="ListParagraph"/>
        <w:numPr>
          <w:ilvl w:val="0"/>
          <w:numId w:val="22"/>
        </w:numPr>
        <w:tabs>
          <w:tab w:val="num" w:pos="709"/>
        </w:tabs>
        <w:spacing w:before="100" w:beforeAutospacing="1" w:after="100" w:afterAutospacing="1"/>
        <w:rPr>
          <w:rFonts w:ascii="Arial" w:hAnsi="Arial" w:cs="Arial"/>
          <w:sz w:val="21"/>
          <w:szCs w:val="21"/>
        </w:rPr>
      </w:pPr>
      <w:r w:rsidRPr="006B737D">
        <w:rPr>
          <w:rFonts w:ascii="Arial" w:hAnsi="Arial" w:cs="Arial"/>
          <w:sz w:val="21"/>
          <w:szCs w:val="21"/>
          <w:lang w:val="en-US"/>
        </w:rPr>
        <w:t>m</w:t>
      </w:r>
      <w:r w:rsidR="006C5ED3" w:rsidRPr="006B737D">
        <w:rPr>
          <w:rFonts w:ascii="Arial" w:hAnsi="Arial" w:cs="Arial"/>
          <w:sz w:val="21"/>
          <w:szCs w:val="21"/>
          <w:lang w:val="en-US"/>
        </w:rPr>
        <w:t>onitoring provider performance to ensure that services meet acceptable quality standards and practice guidelines, and taking corrective action where performance is below target.</w:t>
      </w:r>
    </w:p>
    <w:p w14:paraId="46B8FE42" w14:textId="77777777" w:rsidR="006C5ED3" w:rsidRPr="006B737D" w:rsidRDefault="0020373C" w:rsidP="005E34FD">
      <w:pPr>
        <w:pStyle w:val="ListParagraph"/>
        <w:numPr>
          <w:ilvl w:val="0"/>
          <w:numId w:val="22"/>
        </w:numPr>
        <w:tabs>
          <w:tab w:val="num" w:pos="709"/>
        </w:tabs>
        <w:spacing w:before="100" w:beforeAutospacing="1" w:after="100" w:afterAutospacing="1"/>
        <w:rPr>
          <w:rFonts w:ascii="Arial" w:hAnsi="Arial" w:cs="Arial"/>
          <w:sz w:val="21"/>
          <w:szCs w:val="21"/>
        </w:rPr>
      </w:pPr>
      <w:r w:rsidRPr="006B737D">
        <w:rPr>
          <w:rFonts w:ascii="Arial" w:hAnsi="Arial" w:cs="Arial"/>
          <w:sz w:val="21"/>
          <w:szCs w:val="21"/>
          <w:lang w:val="en-US"/>
        </w:rPr>
        <w:t>i</w:t>
      </w:r>
      <w:r w:rsidR="006C5ED3" w:rsidRPr="006B737D">
        <w:rPr>
          <w:rFonts w:ascii="Arial" w:hAnsi="Arial" w:cs="Arial"/>
          <w:sz w:val="21"/>
          <w:szCs w:val="21"/>
          <w:lang w:val="en-US"/>
        </w:rPr>
        <w:t>dentifying and communicating to central office opportunities for cross program service initiatives or redevelopment.</w:t>
      </w:r>
    </w:p>
    <w:p w14:paraId="41FEFC2C" w14:textId="77777777" w:rsidR="006C5ED3" w:rsidRPr="006B737D" w:rsidRDefault="0020373C" w:rsidP="005E34FD">
      <w:pPr>
        <w:pStyle w:val="ListParagraph"/>
        <w:numPr>
          <w:ilvl w:val="0"/>
          <w:numId w:val="22"/>
        </w:numPr>
        <w:tabs>
          <w:tab w:val="num" w:pos="709"/>
        </w:tabs>
        <w:spacing w:before="100" w:beforeAutospacing="1" w:after="100" w:afterAutospacing="1"/>
        <w:rPr>
          <w:rFonts w:ascii="Arial" w:hAnsi="Arial" w:cs="Arial"/>
          <w:color w:val="000000"/>
          <w:sz w:val="21"/>
          <w:szCs w:val="21"/>
          <w:lang w:val="en-US"/>
        </w:rPr>
      </w:pPr>
      <w:r w:rsidRPr="006B737D">
        <w:rPr>
          <w:rFonts w:ascii="Arial" w:hAnsi="Arial" w:cs="Arial"/>
          <w:sz w:val="21"/>
          <w:szCs w:val="21"/>
          <w:lang w:val="en-US"/>
        </w:rPr>
        <w:t>d</w:t>
      </w:r>
      <w:r w:rsidR="006C5ED3" w:rsidRPr="006B737D">
        <w:rPr>
          <w:rFonts w:ascii="Arial" w:hAnsi="Arial" w:cs="Arial"/>
          <w:sz w:val="21"/>
          <w:szCs w:val="21"/>
          <w:lang w:val="en-US"/>
        </w:rPr>
        <w:t>eveloping strong links between divisions for sharing information on continuous improvements to service delivery.</w:t>
      </w:r>
    </w:p>
    <w:p w14:paraId="6E1D07C9" w14:textId="401483ED" w:rsidR="006C5ED3" w:rsidRPr="006B737D" w:rsidRDefault="0020373C" w:rsidP="005E34FD">
      <w:pPr>
        <w:pStyle w:val="ListParagraph"/>
        <w:numPr>
          <w:ilvl w:val="0"/>
          <w:numId w:val="22"/>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rPr>
        <w:t>w</w:t>
      </w:r>
      <w:r w:rsidR="006C5ED3" w:rsidRPr="006B737D">
        <w:rPr>
          <w:rFonts w:ascii="Arial" w:hAnsi="Arial" w:cs="Arial"/>
          <w:sz w:val="21"/>
          <w:szCs w:val="21"/>
        </w:rPr>
        <w:t xml:space="preserve">ithin the above context divisional responsibility for the </w:t>
      </w:r>
      <w:r w:rsidR="001A63FC" w:rsidRPr="006B737D">
        <w:rPr>
          <w:rFonts w:ascii="Arial" w:hAnsi="Arial" w:cs="Arial"/>
          <w:sz w:val="21"/>
          <w:szCs w:val="21"/>
        </w:rPr>
        <w:t xml:space="preserve">Tenancy plus-Tenancy support program </w:t>
      </w:r>
      <w:r w:rsidR="006C5ED3" w:rsidRPr="006B737D">
        <w:rPr>
          <w:rFonts w:ascii="Arial" w:hAnsi="Arial" w:cs="Arial"/>
          <w:sz w:val="21"/>
          <w:szCs w:val="21"/>
        </w:rPr>
        <w:t xml:space="preserve">and tenant participation components of </w:t>
      </w:r>
      <w:r w:rsidRPr="006B737D">
        <w:rPr>
          <w:rFonts w:ascii="Arial" w:hAnsi="Arial" w:cs="Arial"/>
          <w:sz w:val="21"/>
          <w:szCs w:val="21"/>
        </w:rPr>
        <w:t xml:space="preserve">the Program </w:t>
      </w:r>
      <w:r w:rsidR="006C5ED3" w:rsidRPr="006B737D">
        <w:rPr>
          <w:rFonts w:ascii="Arial" w:hAnsi="Arial" w:cs="Arial"/>
          <w:sz w:val="21"/>
          <w:szCs w:val="21"/>
        </w:rPr>
        <w:t xml:space="preserve">that includes </w:t>
      </w:r>
      <w:r w:rsidR="006C5ED3" w:rsidRPr="006B737D">
        <w:rPr>
          <w:rFonts w:ascii="Arial" w:hAnsi="Arial" w:cs="Arial"/>
          <w:color w:val="000000"/>
          <w:sz w:val="21"/>
          <w:szCs w:val="21"/>
          <w:lang w:val="en-US"/>
        </w:rPr>
        <w:t xml:space="preserve">managing the ongoing funding relationship including service development. </w:t>
      </w:r>
    </w:p>
    <w:p w14:paraId="6AC0A81F" w14:textId="77777777" w:rsidR="006C5ED3" w:rsidRPr="006B737D" w:rsidRDefault="0020373C" w:rsidP="005E34FD">
      <w:pPr>
        <w:spacing w:before="100" w:beforeAutospacing="1" w:after="100" w:afterAutospacing="1"/>
        <w:ind w:left="567"/>
        <w:rPr>
          <w:rFonts w:ascii="Arial" w:hAnsi="Arial" w:cs="Arial"/>
          <w:color w:val="292526"/>
          <w:sz w:val="21"/>
          <w:szCs w:val="21"/>
          <w:lang w:val="en-US"/>
        </w:rPr>
      </w:pPr>
      <w:r w:rsidRPr="006B737D">
        <w:rPr>
          <w:rFonts w:ascii="Arial" w:hAnsi="Arial" w:cs="Arial"/>
          <w:color w:val="292526"/>
          <w:sz w:val="21"/>
          <w:szCs w:val="21"/>
          <w:lang w:val="en-US"/>
        </w:rPr>
        <w:t xml:space="preserve">Program </w:t>
      </w:r>
      <w:r w:rsidR="006C5ED3" w:rsidRPr="006B737D">
        <w:rPr>
          <w:rFonts w:ascii="Arial" w:hAnsi="Arial" w:cs="Arial"/>
          <w:color w:val="292526"/>
          <w:sz w:val="21"/>
          <w:szCs w:val="21"/>
          <w:lang w:val="en-US"/>
        </w:rPr>
        <w:t xml:space="preserve"> divisional services are therefore required to develop and maintain a close working relationship with the department’s divisional office, in order to deliver the integrated service response that</w:t>
      </w:r>
      <w:r w:rsidRPr="006B737D">
        <w:rPr>
          <w:rFonts w:ascii="Arial" w:hAnsi="Arial" w:cs="Arial"/>
          <w:color w:val="292526"/>
          <w:sz w:val="21"/>
          <w:szCs w:val="21"/>
          <w:lang w:val="en-US"/>
        </w:rPr>
        <w:t xml:space="preserve"> the Program </w:t>
      </w:r>
      <w:r w:rsidR="006C5ED3" w:rsidRPr="006B737D">
        <w:rPr>
          <w:rFonts w:ascii="Arial" w:hAnsi="Arial" w:cs="Arial"/>
          <w:color w:val="292526"/>
          <w:sz w:val="21"/>
          <w:szCs w:val="21"/>
          <w:lang w:val="en-US"/>
        </w:rPr>
        <w:t xml:space="preserve">requires, and to keep the division informed of activities and/or specific issues in relation to the service implementation, development and ongoing management of the </w:t>
      </w:r>
      <w:r w:rsidR="006F4AC4" w:rsidRPr="006B737D">
        <w:rPr>
          <w:rFonts w:ascii="Arial" w:hAnsi="Arial" w:cs="Arial"/>
          <w:color w:val="292526"/>
          <w:sz w:val="21"/>
          <w:szCs w:val="21"/>
          <w:lang w:val="en-US"/>
        </w:rPr>
        <w:t>P</w:t>
      </w:r>
      <w:r w:rsidR="006C5ED3" w:rsidRPr="006B737D">
        <w:rPr>
          <w:rFonts w:ascii="Arial" w:hAnsi="Arial" w:cs="Arial"/>
          <w:color w:val="292526"/>
          <w:sz w:val="21"/>
          <w:szCs w:val="21"/>
          <w:lang w:val="en-US"/>
        </w:rPr>
        <w:t xml:space="preserve">rogram. In addition, at the direct client services level, </w:t>
      </w:r>
      <w:r w:rsidR="006F4AC4" w:rsidRPr="006B737D">
        <w:rPr>
          <w:rFonts w:ascii="Arial" w:hAnsi="Arial" w:cs="Arial"/>
          <w:color w:val="292526"/>
          <w:sz w:val="21"/>
          <w:szCs w:val="21"/>
          <w:lang w:val="en-US"/>
        </w:rPr>
        <w:t xml:space="preserve">Program funded service </w:t>
      </w:r>
      <w:r w:rsidR="006C5ED3" w:rsidRPr="006B737D">
        <w:rPr>
          <w:rFonts w:ascii="Arial" w:hAnsi="Arial" w:cs="Arial"/>
          <w:color w:val="292526"/>
          <w:sz w:val="21"/>
          <w:szCs w:val="21"/>
          <w:lang w:val="en-US"/>
        </w:rPr>
        <w:t xml:space="preserve">providers and local public housing offices/social housing providers/homelessness services/specialist providers will need to establish and maintain close working </w:t>
      </w:r>
      <w:r w:rsidR="006F4AC4" w:rsidRPr="006B737D">
        <w:rPr>
          <w:rFonts w:ascii="Arial" w:hAnsi="Arial" w:cs="Arial"/>
          <w:color w:val="292526"/>
          <w:sz w:val="21"/>
          <w:szCs w:val="21"/>
          <w:lang w:val="en-US"/>
        </w:rPr>
        <w:t xml:space="preserve">relationships. Statewide </w:t>
      </w:r>
      <w:r w:rsidR="0051506D" w:rsidRPr="006B737D">
        <w:rPr>
          <w:rFonts w:ascii="Arial" w:hAnsi="Arial" w:cs="Arial"/>
          <w:color w:val="292526"/>
          <w:sz w:val="21"/>
          <w:szCs w:val="21"/>
          <w:lang w:val="en-US"/>
        </w:rPr>
        <w:t>organisations</w:t>
      </w:r>
      <w:r w:rsidR="006C5ED3" w:rsidRPr="006B737D">
        <w:rPr>
          <w:rFonts w:ascii="Arial" w:hAnsi="Arial" w:cs="Arial"/>
          <w:color w:val="292526"/>
          <w:sz w:val="21"/>
          <w:szCs w:val="21"/>
          <w:lang w:val="en-US"/>
        </w:rPr>
        <w:t xml:space="preserve"> will also maintain a close working relationship with Central office. </w:t>
      </w:r>
    </w:p>
    <w:p w14:paraId="7BFEA212" w14:textId="77777777" w:rsidR="006C5ED3" w:rsidRPr="00610E3E" w:rsidRDefault="006F4AC4" w:rsidP="006F4AC4">
      <w:pPr>
        <w:pStyle w:val="Heading2"/>
        <w:ind w:left="709" w:hanging="709"/>
        <w:rPr>
          <w:color w:val="201547"/>
          <w:sz w:val="32"/>
        </w:rPr>
      </w:pPr>
      <w:bookmarkStart w:id="122" w:name="_Toc261504889"/>
      <w:bookmarkStart w:id="123" w:name="_Toc266783327"/>
      <w:bookmarkStart w:id="124" w:name="_Toc360451371"/>
      <w:bookmarkStart w:id="125" w:name="_Toc412720491"/>
      <w:bookmarkStart w:id="126" w:name="_Toc412801013"/>
      <w:bookmarkStart w:id="127" w:name="_Toc73529073"/>
      <w:bookmarkStart w:id="128" w:name="_Toc94785378"/>
      <w:r w:rsidRPr="00610E3E">
        <w:rPr>
          <w:color w:val="201547"/>
          <w:sz w:val="32"/>
        </w:rPr>
        <w:t>4.4</w:t>
      </w:r>
      <w:r w:rsidR="004C1E23" w:rsidRPr="00610E3E">
        <w:rPr>
          <w:color w:val="201547"/>
          <w:sz w:val="32"/>
        </w:rPr>
        <w:t xml:space="preserve"> </w:t>
      </w:r>
      <w:r w:rsidR="007C6818" w:rsidRPr="00610E3E">
        <w:rPr>
          <w:color w:val="201547"/>
          <w:sz w:val="32"/>
        </w:rPr>
        <w:t xml:space="preserve">  </w:t>
      </w:r>
      <w:r w:rsidR="006C5ED3" w:rsidRPr="00610E3E">
        <w:rPr>
          <w:color w:val="201547"/>
          <w:sz w:val="32"/>
        </w:rPr>
        <w:t xml:space="preserve">Initiatives impacting on </w:t>
      </w:r>
      <w:r w:rsidR="004C1E23" w:rsidRPr="00610E3E">
        <w:rPr>
          <w:color w:val="201547"/>
          <w:sz w:val="32"/>
        </w:rPr>
        <w:t xml:space="preserve">Program </w:t>
      </w:r>
      <w:r w:rsidR="006C5ED3" w:rsidRPr="00610E3E">
        <w:rPr>
          <w:color w:val="201547"/>
          <w:sz w:val="32"/>
        </w:rPr>
        <w:t>aims and directions</w:t>
      </w:r>
      <w:bookmarkEnd w:id="122"/>
      <w:bookmarkEnd w:id="123"/>
      <w:bookmarkEnd w:id="124"/>
      <w:bookmarkEnd w:id="125"/>
      <w:bookmarkEnd w:id="126"/>
      <w:bookmarkEnd w:id="127"/>
      <w:bookmarkEnd w:id="128"/>
      <w:r w:rsidR="006C5ED3" w:rsidRPr="00610E3E">
        <w:rPr>
          <w:color w:val="201547"/>
          <w:sz w:val="32"/>
        </w:rPr>
        <w:t xml:space="preserve"> </w:t>
      </w:r>
    </w:p>
    <w:p w14:paraId="729C938F" w14:textId="4D92A0B2" w:rsidR="006C5ED3" w:rsidRPr="006B737D" w:rsidRDefault="004C1E23" w:rsidP="00DA1C5F">
      <w:pPr>
        <w:tabs>
          <w:tab w:val="num" w:pos="709"/>
        </w:tabs>
        <w:spacing w:before="100" w:beforeAutospacing="1" w:after="120"/>
        <w:ind w:left="567"/>
        <w:rPr>
          <w:rFonts w:ascii="Arial" w:hAnsi="Arial" w:cs="Arial"/>
          <w:sz w:val="21"/>
          <w:szCs w:val="21"/>
          <w:lang w:val="en-US"/>
        </w:rPr>
      </w:pPr>
      <w:r w:rsidRPr="006B737D">
        <w:rPr>
          <w:rFonts w:ascii="Arial" w:hAnsi="Arial" w:cs="Arial"/>
          <w:sz w:val="21"/>
          <w:szCs w:val="21"/>
          <w:lang w:val="en-US"/>
        </w:rPr>
        <w:t>I</w:t>
      </w:r>
      <w:r w:rsidR="006C5ED3" w:rsidRPr="006B737D">
        <w:rPr>
          <w:rFonts w:ascii="Arial" w:hAnsi="Arial" w:cs="Arial"/>
          <w:sz w:val="21"/>
          <w:szCs w:val="21"/>
          <w:lang w:val="en-US"/>
        </w:rPr>
        <w:t>n addition to the initiative</w:t>
      </w:r>
      <w:r w:rsidRPr="006B737D">
        <w:rPr>
          <w:rFonts w:ascii="Arial" w:hAnsi="Arial" w:cs="Arial"/>
          <w:sz w:val="21"/>
          <w:szCs w:val="21"/>
          <w:lang w:val="en-US"/>
        </w:rPr>
        <w:t xml:space="preserve">s and agreements detailed in </w:t>
      </w:r>
      <w:r w:rsidR="00945988">
        <w:rPr>
          <w:rFonts w:ascii="Arial" w:hAnsi="Arial" w:cs="Arial"/>
          <w:sz w:val="21"/>
          <w:szCs w:val="21"/>
          <w:lang w:val="en-US"/>
        </w:rPr>
        <w:t xml:space="preserve">Activity descriptors </w:t>
      </w:r>
      <w:r w:rsidR="006C5ED3" w:rsidRPr="006B737D">
        <w:rPr>
          <w:rFonts w:ascii="Arial" w:hAnsi="Arial" w:cs="Arial"/>
          <w:sz w:val="21"/>
          <w:szCs w:val="21"/>
          <w:lang w:val="en-US"/>
        </w:rPr>
        <w:t xml:space="preserve">the following impact on the operation of </w:t>
      </w:r>
      <w:r w:rsidRPr="006B737D">
        <w:rPr>
          <w:rFonts w:ascii="Arial" w:hAnsi="Arial" w:cs="Arial"/>
          <w:sz w:val="21"/>
          <w:szCs w:val="21"/>
          <w:lang w:val="en-US"/>
        </w:rPr>
        <w:t>and underpin the Program</w:t>
      </w:r>
      <w:r w:rsidR="006C5ED3" w:rsidRPr="006B737D">
        <w:rPr>
          <w:rFonts w:ascii="Arial" w:hAnsi="Arial" w:cs="Arial"/>
          <w:sz w:val="21"/>
          <w:szCs w:val="21"/>
          <w:lang w:val="en-US"/>
        </w:rPr>
        <w:t>:</w:t>
      </w:r>
    </w:p>
    <w:p w14:paraId="7BD5BB13" w14:textId="39B96FE1" w:rsidR="006C5ED3" w:rsidRPr="00746411" w:rsidRDefault="005E34FD" w:rsidP="00DA1C5F">
      <w:pPr>
        <w:pStyle w:val="ListParagraph"/>
        <w:numPr>
          <w:ilvl w:val="0"/>
          <w:numId w:val="23"/>
        </w:numPr>
        <w:tabs>
          <w:tab w:val="num" w:pos="993"/>
        </w:tabs>
        <w:spacing w:after="100" w:afterAutospacing="1"/>
        <w:ind w:left="993" w:hanging="426"/>
        <w:rPr>
          <w:rFonts w:ascii="Arial" w:hAnsi="Arial" w:cs="Arial"/>
          <w:sz w:val="21"/>
          <w:szCs w:val="21"/>
          <w:lang w:val="en-US"/>
        </w:rPr>
      </w:pPr>
      <w:r w:rsidRPr="00746411">
        <w:rPr>
          <w:rFonts w:ascii="Arial" w:hAnsi="Arial" w:cs="Arial"/>
          <w:sz w:val="21"/>
          <w:szCs w:val="21"/>
          <w:lang w:val="en-US"/>
        </w:rPr>
        <w:t>t</w:t>
      </w:r>
      <w:r w:rsidR="006C5ED3" w:rsidRPr="00746411">
        <w:rPr>
          <w:rFonts w:ascii="Arial" w:hAnsi="Arial" w:cs="Arial"/>
          <w:sz w:val="21"/>
          <w:szCs w:val="21"/>
          <w:lang w:val="en-US"/>
        </w:rPr>
        <w:t>he Department ‘s</w:t>
      </w:r>
      <w:r w:rsidR="007D754C" w:rsidRPr="00746411">
        <w:rPr>
          <w:rFonts w:ascii="Arial" w:hAnsi="Arial" w:cs="Arial"/>
          <w:sz w:val="21"/>
          <w:szCs w:val="21"/>
          <w:lang w:val="en-US"/>
        </w:rPr>
        <w:t xml:space="preserve"> </w:t>
      </w:r>
      <w:hyperlink r:id="rId22" w:history="1">
        <w:r w:rsidR="007D754C" w:rsidRPr="00746411">
          <w:rPr>
            <w:rStyle w:val="Hyperlink"/>
            <w:rFonts w:ascii="Arial" w:hAnsi="Arial" w:cs="Arial"/>
            <w:i/>
            <w:iCs/>
            <w:sz w:val="21"/>
            <w:szCs w:val="21"/>
          </w:rPr>
          <w:t>Client Services Charte</w:t>
        </w:r>
        <w:r w:rsidR="007D754C" w:rsidRPr="00746411">
          <w:rPr>
            <w:rStyle w:val="Hyperlink"/>
            <w:rFonts w:ascii="Arial" w:hAnsi="Arial" w:cs="Arial"/>
            <w:sz w:val="21"/>
            <w:szCs w:val="21"/>
          </w:rPr>
          <w:t>r.</w:t>
        </w:r>
      </w:hyperlink>
      <w:r w:rsidR="007D754C" w:rsidRPr="00746411">
        <w:rPr>
          <w:rFonts w:ascii="Arial" w:hAnsi="Arial" w:cs="Arial"/>
          <w:i/>
          <w:iCs/>
          <w:sz w:val="21"/>
          <w:szCs w:val="21"/>
        </w:rPr>
        <w:t xml:space="preserve"> </w:t>
      </w:r>
      <w:r w:rsidR="00945988" w:rsidRPr="00746411">
        <w:rPr>
          <w:rFonts w:ascii="Arial" w:hAnsi="Arial" w:cs="Arial"/>
          <w:i/>
          <w:iCs/>
          <w:sz w:val="21"/>
          <w:szCs w:val="21"/>
        </w:rPr>
        <w:t>&lt;https://www.dhhs.vic.gov.au/publications/client-services-charter&gt;</w:t>
      </w:r>
      <w:r w:rsidR="00DA1C5F" w:rsidRPr="00746411">
        <w:rPr>
          <w:rFonts w:ascii="Arial" w:hAnsi="Arial" w:cs="Arial"/>
          <w:i/>
          <w:iCs/>
          <w:sz w:val="21"/>
          <w:szCs w:val="21"/>
        </w:rPr>
        <w:t xml:space="preserve"> </w:t>
      </w:r>
      <w:r w:rsidR="007D754C" w:rsidRPr="00746411">
        <w:rPr>
          <w:rFonts w:ascii="Arial" w:hAnsi="Arial" w:cs="Arial"/>
          <w:sz w:val="21"/>
          <w:szCs w:val="21"/>
          <w:lang w:val="en-US"/>
        </w:rPr>
        <w:t>t</w:t>
      </w:r>
      <w:r w:rsidR="006C5ED3" w:rsidRPr="00746411">
        <w:rPr>
          <w:rFonts w:ascii="Arial" w:hAnsi="Arial" w:cs="Arial"/>
          <w:sz w:val="21"/>
          <w:szCs w:val="21"/>
          <w:lang w:val="en-US"/>
        </w:rPr>
        <w:t xml:space="preserve">he charter sets the standards of service that public housing </w:t>
      </w:r>
      <w:r w:rsidR="00E95976" w:rsidRPr="00746411">
        <w:rPr>
          <w:rFonts w:ascii="Arial" w:hAnsi="Arial" w:cs="Arial"/>
          <w:sz w:val="21"/>
          <w:szCs w:val="21"/>
          <w:lang w:val="en-US"/>
        </w:rPr>
        <w:t>renters</w:t>
      </w:r>
      <w:r w:rsidR="006C5ED3" w:rsidRPr="00746411">
        <w:rPr>
          <w:rFonts w:ascii="Arial" w:hAnsi="Arial" w:cs="Arial"/>
          <w:sz w:val="21"/>
          <w:szCs w:val="21"/>
          <w:lang w:val="en-US"/>
        </w:rPr>
        <w:t xml:space="preserve">, applicants and other clients can expect from the department. </w:t>
      </w:r>
    </w:p>
    <w:p w14:paraId="527AA17D" w14:textId="6E15FCE0" w:rsidR="006C5ED3" w:rsidRPr="00746411" w:rsidRDefault="004C1E23" w:rsidP="00314B4A">
      <w:pPr>
        <w:pStyle w:val="ListParagraph"/>
        <w:numPr>
          <w:ilvl w:val="0"/>
          <w:numId w:val="23"/>
        </w:numPr>
        <w:tabs>
          <w:tab w:val="num" w:pos="993"/>
        </w:tabs>
        <w:spacing w:after="100" w:afterAutospacing="1"/>
        <w:ind w:left="993" w:hanging="426"/>
        <w:rPr>
          <w:rFonts w:ascii="Arial" w:hAnsi="Arial" w:cs="Arial"/>
          <w:sz w:val="21"/>
          <w:szCs w:val="21"/>
          <w:lang w:val="en-US"/>
        </w:rPr>
      </w:pPr>
      <w:r w:rsidRPr="00746411">
        <w:rPr>
          <w:rFonts w:ascii="Arial" w:hAnsi="Arial" w:cs="Arial"/>
          <w:sz w:val="21"/>
          <w:szCs w:val="21"/>
          <w:lang w:val="en-US"/>
        </w:rPr>
        <w:t>The Multiple and Complex Needs I</w:t>
      </w:r>
      <w:r w:rsidR="006C5ED3" w:rsidRPr="00746411">
        <w:rPr>
          <w:rFonts w:ascii="Arial" w:hAnsi="Arial" w:cs="Arial"/>
          <w:sz w:val="21"/>
          <w:szCs w:val="21"/>
          <w:lang w:val="en-US"/>
        </w:rPr>
        <w:t>nitiative has been in operation since late August 2004</w:t>
      </w:r>
      <w:r w:rsidRPr="00746411">
        <w:rPr>
          <w:rFonts w:ascii="Arial" w:hAnsi="Arial" w:cs="Arial"/>
          <w:sz w:val="21"/>
          <w:szCs w:val="21"/>
          <w:lang w:val="en-US"/>
        </w:rPr>
        <w:t xml:space="preserve"> and aims </w:t>
      </w:r>
      <w:r w:rsidR="006C5ED3" w:rsidRPr="00746411">
        <w:rPr>
          <w:rFonts w:ascii="Arial" w:hAnsi="Arial" w:cs="Arial"/>
          <w:sz w:val="21"/>
          <w:szCs w:val="21"/>
          <w:lang w:val="en-US"/>
        </w:rPr>
        <w:t>to develop and implement strategies for responding to peop</w:t>
      </w:r>
      <w:r w:rsidRPr="00746411">
        <w:rPr>
          <w:rFonts w:ascii="Arial" w:hAnsi="Arial" w:cs="Arial"/>
          <w:sz w:val="21"/>
          <w:szCs w:val="21"/>
          <w:lang w:val="en-US"/>
        </w:rPr>
        <w:t>le with extremely complex needs</w:t>
      </w:r>
      <w:r w:rsidR="006C5ED3" w:rsidRPr="00746411">
        <w:rPr>
          <w:rFonts w:ascii="Arial" w:hAnsi="Arial" w:cs="Arial"/>
          <w:sz w:val="21"/>
          <w:szCs w:val="21"/>
          <w:lang w:val="en-US"/>
        </w:rPr>
        <w:t xml:space="preserve"> to </w:t>
      </w:r>
      <w:r w:rsidRPr="00746411">
        <w:rPr>
          <w:rFonts w:ascii="Arial" w:hAnsi="Arial" w:cs="Arial"/>
          <w:sz w:val="21"/>
          <w:szCs w:val="21"/>
          <w:lang w:val="en-US"/>
        </w:rPr>
        <w:t xml:space="preserve">improve </w:t>
      </w:r>
      <w:r w:rsidR="006C5ED3" w:rsidRPr="00746411">
        <w:rPr>
          <w:rFonts w:ascii="Arial" w:hAnsi="Arial" w:cs="Arial"/>
          <w:sz w:val="21"/>
          <w:szCs w:val="21"/>
          <w:lang w:val="en-US"/>
        </w:rPr>
        <w:t>service outcomes</w:t>
      </w:r>
      <w:r w:rsidRPr="00746411">
        <w:rPr>
          <w:rFonts w:ascii="Arial" w:hAnsi="Arial" w:cs="Arial"/>
          <w:sz w:val="21"/>
          <w:szCs w:val="21"/>
          <w:lang w:val="en-US"/>
        </w:rPr>
        <w:t xml:space="preserve"> for these clients</w:t>
      </w:r>
      <w:r w:rsidR="006C5ED3" w:rsidRPr="00746411">
        <w:rPr>
          <w:rFonts w:ascii="Arial" w:hAnsi="Arial" w:cs="Arial"/>
          <w:sz w:val="21"/>
          <w:szCs w:val="21"/>
          <w:lang w:val="en-US"/>
        </w:rPr>
        <w:t xml:space="preserve">.  </w:t>
      </w:r>
      <w:bookmarkStart w:id="129" w:name="macn"/>
      <w:bookmarkStart w:id="130" w:name="supportfor_tenants"/>
      <w:bookmarkEnd w:id="129"/>
      <w:bookmarkEnd w:id="130"/>
    </w:p>
    <w:p w14:paraId="4592208F" w14:textId="77777777" w:rsidR="006C5ED3" w:rsidRPr="006B737D" w:rsidRDefault="006C5ED3" w:rsidP="00DA1C5F">
      <w:pPr>
        <w:spacing w:before="100" w:beforeAutospacing="1" w:after="120"/>
        <w:ind w:left="567"/>
        <w:rPr>
          <w:rFonts w:ascii="Arial" w:hAnsi="Arial" w:cs="Arial"/>
          <w:sz w:val="21"/>
          <w:szCs w:val="21"/>
          <w:lang w:eastAsia="en-AU"/>
        </w:rPr>
      </w:pPr>
      <w:r w:rsidRPr="006B737D">
        <w:rPr>
          <w:rFonts w:ascii="Arial" w:hAnsi="Arial" w:cs="Arial"/>
          <w:sz w:val="21"/>
          <w:szCs w:val="21"/>
          <w:lang w:eastAsia="en-AU"/>
        </w:rPr>
        <w:t>The service model, established under the Human Services (Complex Needs) Act 2009 has the following key elements:</w:t>
      </w:r>
    </w:p>
    <w:p w14:paraId="11F7FA39" w14:textId="6D17AB44" w:rsidR="006C5ED3" w:rsidRPr="006B737D" w:rsidRDefault="004C1E23" w:rsidP="00DA1C5F">
      <w:pPr>
        <w:pStyle w:val="ListParagraph"/>
        <w:numPr>
          <w:ilvl w:val="0"/>
          <w:numId w:val="31"/>
        </w:numPr>
        <w:spacing w:after="100" w:afterAutospacing="1"/>
        <w:ind w:left="993" w:hanging="426"/>
        <w:rPr>
          <w:rFonts w:ascii="Arial" w:hAnsi="Arial" w:cs="Arial"/>
          <w:sz w:val="21"/>
          <w:szCs w:val="21"/>
          <w:lang w:val="en-US"/>
        </w:rPr>
      </w:pPr>
      <w:r w:rsidRPr="006B737D">
        <w:rPr>
          <w:rFonts w:ascii="Arial" w:hAnsi="Arial" w:cs="Arial"/>
          <w:sz w:val="21"/>
          <w:szCs w:val="21"/>
          <w:lang w:val="en-US"/>
        </w:rPr>
        <w:t>d</w:t>
      </w:r>
      <w:r w:rsidR="006C5ED3" w:rsidRPr="006B737D">
        <w:rPr>
          <w:rFonts w:ascii="Arial" w:hAnsi="Arial" w:cs="Arial"/>
          <w:sz w:val="21"/>
          <w:szCs w:val="21"/>
          <w:lang w:val="en-US"/>
        </w:rPr>
        <w:t>ivisional gateway and referral process including divisional coordinators</w:t>
      </w:r>
    </w:p>
    <w:p w14:paraId="7147223D" w14:textId="77777777" w:rsidR="006C5ED3" w:rsidRPr="006B737D" w:rsidRDefault="004C1E23" w:rsidP="00DA1C5F">
      <w:pPr>
        <w:pStyle w:val="ListParagraph"/>
        <w:numPr>
          <w:ilvl w:val="0"/>
          <w:numId w:val="31"/>
        </w:numPr>
        <w:spacing w:after="100" w:afterAutospacing="1"/>
        <w:ind w:left="993" w:hanging="426"/>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xtensive divisional collaboration and coordination processes to minimize need for referral</w:t>
      </w:r>
    </w:p>
    <w:p w14:paraId="50F96D94" w14:textId="131EE5BA" w:rsidR="006C5ED3" w:rsidRPr="006B737D" w:rsidRDefault="004C1E23" w:rsidP="00DA1C5F">
      <w:pPr>
        <w:pStyle w:val="ListParagraph"/>
        <w:numPr>
          <w:ilvl w:val="0"/>
          <w:numId w:val="31"/>
        </w:numPr>
        <w:spacing w:before="100" w:beforeAutospacing="1" w:after="100" w:afterAutospacing="1"/>
        <w:ind w:left="993" w:hanging="426"/>
        <w:rPr>
          <w:rFonts w:ascii="Arial" w:hAnsi="Arial" w:cs="Arial"/>
          <w:sz w:val="21"/>
          <w:szCs w:val="21"/>
          <w:lang w:val="en-US"/>
        </w:rPr>
      </w:pPr>
      <w:r w:rsidRPr="006B737D">
        <w:rPr>
          <w:rFonts w:ascii="Arial" w:hAnsi="Arial" w:cs="Arial"/>
          <w:sz w:val="21"/>
          <w:szCs w:val="21"/>
          <w:lang w:val="en-US"/>
        </w:rPr>
        <w:t>c</w:t>
      </w:r>
      <w:r w:rsidR="006C5ED3" w:rsidRPr="006B737D">
        <w:rPr>
          <w:rFonts w:ascii="Arial" w:hAnsi="Arial" w:cs="Arial"/>
          <w:sz w:val="21"/>
          <w:szCs w:val="21"/>
          <w:lang w:val="en-US"/>
        </w:rPr>
        <w:t>entral group of program and clinical managers to approve eligibility and provide oversight</w:t>
      </w:r>
    </w:p>
    <w:p w14:paraId="0BEDA481" w14:textId="77777777" w:rsidR="006C5ED3" w:rsidRPr="006B737D" w:rsidRDefault="004C1E23" w:rsidP="00DA1C5F">
      <w:pPr>
        <w:pStyle w:val="ListParagraph"/>
        <w:numPr>
          <w:ilvl w:val="0"/>
          <w:numId w:val="31"/>
        </w:numPr>
        <w:spacing w:before="100" w:beforeAutospacing="1" w:after="100" w:afterAutospacing="1"/>
        <w:ind w:left="993" w:hanging="426"/>
        <w:rPr>
          <w:rFonts w:ascii="Arial" w:hAnsi="Arial" w:cs="Arial"/>
          <w:sz w:val="21"/>
          <w:szCs w:val="21"/>
          <w:lang w:val="en-US"/>
        </w:rPr>
      </w:pPr>
      <w:r w:rsidRPr="006B737D">
        <w:rPr>
          <w:rFonts w:ascii="Arial" w:hAnsi="Arial" w:cs="Arial"/>
          <w:sz w:val="21"/>
          <w:szCs w:val="21"/>
          <w:lang w:val="en-US"/>
        </w:rPr>
        <w:t>i</w:t>
      </w:r>
      <w:r w:rsidR="006C5ED3" w:rsidRPr="006B737D">
        <w:rPr>
          <w:rFonts w:ascii="Arial" w:hAnsi="Arial" w:cs="Arial"/>
          <w:sz w:val="21"/>
          <w:szCs w:val="21"/>
          <w:lang w:val="en-US"/>
        </w:rPr>
        <w:t xml:space="preserve">ntensive assessment, care coordination and case management service, where no appropriate </w:t>
      </w:r>
      <w:r w:rsidRPr="006B737D">
        <w:rPr>
          <w:rFonts w:ascii="Arial" w:hAnsi="Arial" w:cs="Arial"/>
          <w:sz w:val="21"/>
          <w:szCs w:val="21"/>
          <w:lang w:val="en-US"/>
        </w:rPr>
        <w:t xml:space="preserve">divisional </w:t>
      </w:r>
      <w:r w:rsidR="006C5ED3" w:rsidRPr="006B737D">
        <w:rPr>
          <w:rFonts w:ascii="Arial" w:hAnsi="Arial" w:cs="Arial"/>
          <w:sz w:val="21"/>
          <w:szCs w:val="21"/>
          <w:lang w:val="en-US"/>
        </w:rPr>
        <w:t>option is available, for</w:t>
      </w:r>
      <w:r w:rsidRPr="006B737D">
        <w:rPr>
          <w:rFonts w:ascii="Arial" w:hAnsi="Arial" w:cs="Arial"/>
          <w:sz w:val="21"/>
          <w:szCs w:val="21"/>
          <w:lang w:val="en-US"/>
        </w:rPr>
        <w:t xml:space="preserve"> </w:t>
      </w:r>
      <w:r w:rsidR="006C5ED3" w:rsidRPr="006B737D">
        <w:rPr>
          <w:rFonts w:ascii="Arial" w:hAnsi="Arial" w:cs="Arial"/>
          <w:sz w:val="21"/>
          <w:szCs w:val="21"/>
          <w:lang w:val="en-US"/>
        </w:rPr>
        <w:t>eligible</w:t>
      </w:r>
      <w:r w:rsidRPr="006B737D">
        <w:rPr>
          <w:rFonts w:ascii="Arial" w:hAnsi="Arial" w:cs="Arial"/>
          <w:sz w:val="21"/>
          <w:szCs w:val="21"/>
          <w:lang w:val="en-US"/>
        </w:rPr>
        <w:t xml:space="preserve"> clients</w:t>
      </w:r>
    </w:p>
    <w:p w14:paraId="36CCA542" w14:textId="77777777" w:rsidR="006C5ED3" w:rsidRPr="006B737D" w:rsidRDefault="004C1E23" w:rsidP="00DA1C5F">
      <w:pPr>
        <w:pStyle w:val="ListParagraph"/>
        <w:numPr>
          <w:ilvl w:val="0"/>
          <w:numId w:val="31"/>
        </w:numPr>
        <w:spacing w:before="100" w:beforeAutospacing="1" w:after="100" w:afterAutospacing="1"/>
        <w:ind w:left="993" w:hanging="426"/>
        <w:rPr>
          <w:rFonts w:ascii="Arial" w:hAnsi="Arial" w:cs="Arial"/>
          <w:sz w:val="21"/>
          <w:szCs w:val="21"/>
          <w:lang w:val="en-US"/>
        </w:rPr>
      </w:pPr>
      <w:r w:rsidRPr="006B737D">
        <w:rPr>
          <w:rFonts w:ascii="Arial" w:hAnsi="Arial" w:cs="Arial"/>
          <w:sz w:val="21"/>
          <w:szCs w:val="21"/>
          <w:lang w:val="en-US"/>
        </w:rPr>
        <w:t>s</w:t>
      </w:r>
      <w:r w:rsidR="006C5ED3" w:rsidRPr="006B737D">
        <w:rPr>
          <w:rFonts w:ascii="Arial" w:hAnsi="Arial" w:cs="Arial"/>
          <w:sz w:val="21"/>
          <w:szCs w:val="21"/>
          <w:lang w:val="en-US"/>
        </w:rPr>
        <w:t>trong partnership between the department and Department of Justice, both centrally and locally.</w:t>
      </w:r>
    </w:p>
    <w:p w14:paraId="63EC97E3" w14:textId="77777777" w:rsidR="006C5ED3" w:rsidRPr="00FF2CC9" w:rsidRDefault="006C5ED3" w:rsidP="00D80C8B">
      <w:pPr>
        <w:pStyle w:val="Heading1"/>
        <w:rPr>
          <w:rFonts w:eastAsia="MS Gothic" w:cs="Arial"/>
          <w:color w:val="201547"/>
          <w:kern w:val="32"/>
        </w:rPr>
      </w:pPr>
      <w:bookmarkStart w:id="131" w:name="_Toc266783328"/>
      <w:bookmarkStart w:id="132" w:name="_Toc266806019"/>
      <w:bookmarkStart w:id="133" w:name="_Toc266806401"/>
      <w:bookmarkStart w:id="134" w:name="_Toc266806446"/>
      <w:bookmarkStart w:id="135" w:name="_Toc360451372"/>
      <w:bookmarkStart w:id="136" w:name="_Toc412720492"/>
      <w:bookmarkStart w:id="137" w:name="_Toc412801014"/>
      <w:bookmarkStart w:id="138" w:name="_Toc73529074"/>
      <w:bookmarkStart w:id="139" w:name="_Toc94785379"/>
      <w:r w:rsidRPr="00FF2CC9">
        <w:rPr>
          <w:rFonts w:eastAsia="MS Gothic" w:cs="Arial"/>
          <w:color w:val="201547"/>
          <w:kern w:val="32"/>
        </w:rPr>
        <w:lastRenderedPageBreak/>
        <w:t>5. General requirements</w:t>
      </w:r>
      <w:bookmarkEnd w:id="131"/>
      <w:bookmarkEnd w:id="132"/>
      <w:bookmarkEnd w:id="133"/>
      <w:bookmarkEnd w:id="134"/>
      <w:bookmarkEnd w:id="135"/>
      <w:bookmarkEnd w:id="136"/>
      <w:bookmarkEnd w:id="137"/>
      <w:bookmarkEnd w:id="138"/>
      <w:bookmarkEnd w:id="139"/>
    </w:p>
    <w:p w14:paraId="068BC12D" w14:textId="77777777" w:rsidR="006C5ED3" w:rsidRPr="00610E3E" w:rsidRDefault="006C5ED3" w:rsidP="00610E3E">
      <w:pPr>
        <w:pStyle w:val="Heading2"/>
        <w:ind w:left="709" w:hanging="709"/>
        <w:rPr>
          <w:color w:val="201547"/>
          <w:sz w:val="32"/>
        </w:rPr>
      </w:pPr>
      <w:bookmarkStart w:id="140" w:name="_Toc261504890"/>
      <w:bookmarkStart w:id="141" w:name="_Toc266783329"/>
      <w:bookmarkStart w:id="142" w:name="_Toc360451373"/>
      <w:bookmarkStart w:id="143" w:name="_Toc412720493"/>
      <w:bookmarkStart w:id="144" w:name="_Toc412801015"/>
      <w:bookmarkStart w:id="145" w:name="_Toc73529075"/>
      <w:bookmarkStart w:id="146" w:name="_Toc94785380"/>
      <w:r w:rsidRPr="00610E3E">
        <w:rPr>
          <w:color w:val="201547"/>
          <w:sz w:val="32"/>
        </w:rPr>
        <w:t>5.1</w:t>
      </w:r>
      <w:r w:rsidRPr="00610E3E">
        <w:rPr>
          <w:color w:val="201547"/>
          <w:sz w:val="32"/>
        </w:rPr>
        <w:tab/>
        <w:t>Service agreement context</w:t>
      </w:r>
      <w:bookmarkEnd w:id="140"/>
      <w:bookmarkEnd w:id="141"/>
      <w:bookmarkEnd w:id="142"/>
      <w:bookmarkEnd w:id="143"/>
      <w:bookmarkEnd w:id="144"/>
      <w:bookmarkEnd w:id="145"/>
      <w:bookmarkEnd w:id="146"/>
    </w:p>
    <w:p w14:paraId="3A7E896E" w14:textId="0D95CCE5"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The department provides P</w:t>
      </w:r>
      <w:r w:rsidR="004C1E23" w:rsidRPr="006B737D">
        <w:rPr>
          <w:rFonts w:ascii="Arial" w:hAnsi="Arial" w:cs="Arial"/>
          <w:sz w:val="21"/>
          <w:szCs w:val="21"/>
        </w:rPr>
        <w:t xml:space="preserve">rogram </w:t>
      </w:r>
      <w:r w:rsidRPr="006B737D">
        <w:rPr>
          <w:rFonts w:ascii="Arial" w:hAnsi="Arial" w:cs="Arial"/>
          <w:sz w:val="21"/>
          <w:szCs w:val="21"/>
        </w:rPr>
        <w:t xml:space="preserve">funds to incorporated non-government or local government </w:t>
      </w:r>
      <w:r w:rsidR="004C1E23" w:rsidRPr="006B737D">
        <w:rPr>
          <w:rFonts w:ascii="Arial" w:hAnsi="Arial" w:cs="Arial"/>
          <w:sz w:val="21"/>
          <w:szCs w:val="21"/>
        </w:rPr>
        <w:t xml:space="preserve">community service organisations </w:t>
      </w:r>
      <w:r w:rsidRPr="006B737D">
        <w:rPr>
          <w:rFonts w:ascii="Arial" w:hAnsi="Arial" w:cs="Arial"/>
          <w:sz w:val="21"/>
          <w:szCs w:val="21"/>
        </w:rPr>
        <w:t xml:space="preserve">to deliver services for social housing </w:t>
      </w:r>
      <w:r w:rsidR="00E95976" w:rsidRPr="006B737D">
        <w:rPr>
          <w:rFonts w:ascii="Arial" w:hAnsi="Arial" w:cs="Arial"/>
          <w:sz w:val="21"/>
          <w:szCs w:val="21"/>
        </w:rPr>
        <w:t>renters</w:t>
      </w:r>
      <w:r w:rsidRPr="006B737D">
        <w:rPr>
          <w:rFonts w:ascii="Arial" w:hAnsi="Arial" w:cs="Arial"/>
          <w:sz w:val="21"/>
          <w:szCs w:val="21"/>
        </w:rPr>
        <w:t>.</w:t>
      </w:r>
    </w:p>
    <w:p w14:paraId="236B0FA3" w14:textId="6756F22E"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color w:val="000000"/>
          <w:sz w:val="21"/>
          <w:szCs w:val="21"/>
        </w:rPr>
        <w:t>The department develops general and specific guidelines to ensu</w:t>
      </w:r>
      <w:r w:rsidR="004C1E23" w:rsidRPr="006B737D">
        <w:rPr>
          <w:rFonts w:ascii="Arial" w:hAnsi="Arial" w:cs="Arial"/>
          <w:color w:val="000000"/>
          <w:sz w:val="21"/>
          <w:szCs w:val="21"/>
        </w:rPr>
        <w:t>re services are tailored toward</w:t>
      </w:r>
      <w:r w:rsidRPr="006B737D">
        <w:rPr>
          <w:rFonts w:ascii="Arial" w:hAnsi="Arial" w:cs="Arial"/>
          <w:color w:val="000000"/>
          <w:sz w:val="21"/>
          <w:szCs w:val="21"/>
        </w:rPr>
        <w:t xml:space="preserve"> the needs of</w:t>
      </w:r>
      <w:r w:rsidR="004C1E23" w:rsidRPr="006B737D">
        <w:rPr>
          <w:rFonts w:ascii="Arial" w:hAnsi="Arial" w:cs="Arial"/>
          <w:color w:val="000000"/>
          <w:sz w:val="21"/>
          <w:szCs w:val="21"/>
        </w:rPr>
        <w:t xml:space="preserve"> </w:t>
      </w:r>
      <w:r w:rsidR="00E95976" w:rsidRPr="006B737D">
        <w:rPr>
          <w:rFonts w:ascii="Arial" w:hAnsi="Arial" w:cs="Arial"/>
          <w:color w:val="000000"/>
          <w:sz w:val="21"/>
          <w:szCs w:val="21"/>
        </w:rPr>
        <w:t>renters</w:t>
      </w:r>
      <w:r w:rsidRPr="006B737D">
        <w:rPr>
          <w:rFonts w:ascii="Arial" w:hAnsi="Arial" w:cs="Arial"/>
          <w:color w:val="000000"/>
          <w:sz w:val="21"/>
          <w:szCs w:val="21"/>
        </w:rPr>
        <w:t xml:space="preserve">. As the understanding of need changes, so too do program </w:t>
      </w:r>
      <w:r w:rsidRPr="006B737D">
        <w:rPr>
          <w:rFonts w:ascii="Arial" w:hAnsi="Arial" w:cs="Arial"/>
          <w:sz w:val="21"/>
          <w:szCs w:val="21"/>
        </w:rPr>
        <w:t>frameworks and funding guidelines.</w:t>
      </w:r>
    </w:p>
    <w:p w14:paraId="5D43AF6A" w14:textId="7F0CDDED"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Department funded community programs form part of the service agreement arrangements arising through the department’s partnerships project.  The </w:t>
      </w:r>
      <w:r w:rsidR="0007410E">
        <w:rPr>
          <w:rFonts w:ascii="Arial" w:hAnsi="Arial" w:cs="Arial"/>
          <w:sz w:val="21"/>
          <w:szCs w:val="21"/>
        </w:rPr>
        <w:t xml:space="preserve">activity </w:t>
      </w:r>
      <w:r w:rsidR="005949D0">
        <w:rPr>
          <w:rFonts w:ascii="Arial" w:hAnsi="Arial" w:cs="Arial"/>
          <w:sz w:val="21"/>
          <w:szCs w:val="21"/>
        </w:rPr>
        <w:t>descriptor</w:t>
      </w:r>
      <w:r w:rsidR="005949D0" w:rsidRPr="006B737D">
        <w:rPr>
          <w:rFonts w:ascii="Arial" w:hAnsi="Arial" w:cs="Arial"/>
          <w:sz w:val="21"/>
          <w:szCs w:val="21"/>
        </w:rPr>
        <w:t>s</w:t>
      </w:r>
      <w:r w:rsidRPr="006B737D">
        <w:rPr>
          <w:rFonts w:ascii="Arial" w:hAnsi="Arial" w:cs="Arial"/>
          <w:sz w:val="21"/>
          <w:szCs w:val="21"/>
        </w:rPr>
        <w:t xml:space="preserve"> complementary to the service agreements and provides information on government and departmental policies, strategies, and service specification information.</w:t>
      </w:r>
    </w:p>
    <w:p w14:paraId="08AD4F20" w14:textId="3EF3B9C6" w:rsidR="006C5ED3" w:rsidRPr="00610E3E" w:rsidRDefault="006C5ED3" w:rsidP="00610E3E">
      <w:pPr>
        <w:pStyle w:val="Heading2"/>
        <w:ind w:left="709" w:hanging="709"/>
        <w:rPr>
          <w:color w:val="201547"/>
          <w:sz w:val="32"/>
        </w:rPr>
      </w:pPr>
      <w:bookmarkStart w:id="147" w:name="_Toc261504891"/>
      <w:bookmarkStart w:id="148" w:name="_Toc266783330"/>
      <w:bookmarkStart w:id="149" w:name="_Toc360451374"/>
      <w:bookmarkStart w:id="150" w:name="_Toc412720494"/>
      <w:bookmarkStart w:id="151" w:name="_Toc412801016"/>
      <w:bookmarkStart w:id="152" w:name="_Toc73529076"/>
      <w:bookmarkStart w:id="153" w:name="_Toc94785381"/>
      <w:r w:rsidRPr="00610E3E">
        <w:rPr>
          <w:color w:val="201547"/>
          <w:sz w:val="32"/>
        </w:rPr>
        <w:t>5.2</w:t>
      </w:r>
      <w:r w:rsidRPr="00610E3E">
        <w:rPr>
          <w:color w:val="201547"/>
          <w:sz w:val="32"/>
        </w:rPr>
        <w:tab/>
        <w:t xml:space="preserve">Continuous development, </w:t>
      </w:r>
      <w:r w:rsidR="00610E3E" w:rsidRPr="00610E3E">
        <w:rPr>
          <w:color w:val="201547"/>
          <w:sz w:val="32"/>
        </w:rPr>
        <w:t>standards,</w:t>
      </w:r>
      <w:r w:rsidRPr="00610E3E">
        <w:rPr>
          <w:color w:val="201547"/>
          <w:sz w:val="32"/>
        </w:rPr>
        <w:t xml:space="preserve"> and planning</w:t>
      </w:r>
      <w:bookmarkEnd w:id="147"/>
      <w:bookmarkEnd w:id="148"/>
      <w:bookmarkEnd w:id="149"/>
      <w:bookmarkEnd w:id="150"/>
      <w:bookmarkEnd w:id="151"/>
      <w:bookmarkEnd w:id="152"/>
      <w:bookmarkEnd w:id="153"/>
      <w:r w:rsidRPr="00610E3E">
        <w:rPr>
          <w:color w:val="201547"/>
          <w:sz w:val="32"/>
        </w:rPr>
        <w:t xml:space="preserve"> </w:t>
      </w:r>
    </w:p>
    <w:p w14:paraId="7BC13B63" w14:textId="77777777" w:rsidR="006C5ED3" w:rsidRPr="006B737D" w:rsidRDefault="006C5ED3" w:rsidP="007D754C">
      <w:pPr>
        <w:spacing w:before="100" w:beforeAutospacing="1" w:after="120"/>
        <w:ind w:left="567"/>
        <w:rPr>
          <w:rFonts w:ascii="Arial" w:hAnsi="Arial" w:cs="Arial"/>
          <w:sz w:val="21"/>
          <w:szCs w:val="21"/>
        </w:rPr>
      </w:pPr>
      <w:r w:rsidRPr="006B737D">
        <w:rPr>
          <w:rFonts w:ascii="Arial" w:hAnsi="Arial" w:cs="Arial"/>
          <w:sz w:val="21"/>
          <w:szCs w:val="21"/>
        </w:rPr>
        <w:t xml:space="preserve">All service providers should develop an annual cycle of internal planning and review, which outlines service improvement objectives, along with strategies to deliver required services. </w:t>
      </w:r>
      <w:r w:rsidR="00307729" w:rsidRPr="006B737D">
        <w:rPr>
          <w:rFonts w:ascii="Arial" w:hAnsi="Arial" w:cs="Arial"/>
          <w:sz w:val="21"/>
          <w:szCs w:val="21"/>
        </w:rPr>
        <w:t xml:space="preserve">Funded service providers </w:t>
      </w:r>
      <w:r w:rsidRPr="006B737D">
        <w:rPr>
          <w:rFonts w:ascii="Arial" w:hAnsi="Arial" w:cs="Arial"/>
          <w:sz w:val="21"/>
          <w:szCs w:val="21"/>
        </w:rPr>
        <w:t xml:space="preserve">must participate in a detailed review of their </w:t>
      </w:r>
      <w:r w:rsidR="00307729" w:rsidRPr="006B737D">
        <w:rPr>
          <w:rFonts w:ascii="Arial" w:hAnsi="Arial" w:cs="Arial"/>
          <w:sz w:val="21"/>
          <w:szCs w:val="21"/>
        </w:rPr>
        <w:t xml:space="preserve">Program </w:t>
      </w:r>
      <w:r w:rsidRPr="006B737D">
        <w:rPr>
          <w:rFonts w:ascii="Arial" w:hAnsi="Arial" w:cs="Arial"/>
          <w:sz w:val="21"/>
          <w:szCs w:val="21"/>
        </w:rPr>
        <w:t xml:space="preserve">funding on request by the department. </w:t>
      </w:r>
      <w:r w:rsidR="00307729" w:rsidRPr="006B737D">
        <w:rPr>
          <w:rFonts w:ascii="Arial" w:hAnsi="Arial" w:cs="Arial"/>
          <w:sz w:val="21"/>
          <w:szCs w:val="21"/>
        </w:rPr>
        <w:t xml:space="preserve">Program </w:t>
      </w:r>
      <w:r w:rsidRPr="006B737D">
        <w:rPr>
          <w:rFonts w:ascii="Arial" w:hAnsi="Arial" w:cs="Arial"/>
          <w:sz w:val="21"/>
          <w:szCs w:val="21"/>
        </w:rPr>
        <w:t xml:space="preserve">funded </w:t>
      </w:r>
      <w:r w:rsidR="00307729" w:rsidRPr="006B737D">
        <w:rPr>
          <w:rFonts w:ascii="Arial" w:hAnsi="Arial" w:cs="Arial"/>
          <w:sz w:val="21"/>
          <w:szCs w:val="21"/>
        </w:rPr>
        <w:t xml:space="preserve">service providers </w:t>
      </w:r>
      <w:r w:rsidRPr="006B737D">
        <w:rPr>
          <w:rFonts w:ascii="Arial" w:hAnsi="Arial" w:cs="Arial"/>
          <w:sz w:val="21"/>
          <w:szCs w:val="21"/>
        </w:rPr>
        <w:t>should maintain the highest standards of contemporary service management, financial management and planning and evaluation. This includes, but is not limited to:</w:t>
      </w:r>
    </w:p>
    <w:p w14:paraId="3F105115" w14:textId="77777777" w:rsidR="006C5ED3" w:rsidRPr="006B737D" w:rsidRDefault="00307729" w:rsidP="007D754C">
      <w:pPr>
        <w:pStyle w:val="ListParagraph"/>
        <w:numPr>
          <w:ilvl w:val="0"/>
          <w:numId w:val="24"/>
        </w:numPr>
        <w:tabs>
          <w:tab w:val="num" w:pos="709"/>
        </w:tabs>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mployment of staff competent to the level of service delivery required to meet client needs, and ensure that appropriate staff development, supervision and de-briefing is available.</w:t>
      </w:r>
    </w:p>
    <w:p w14:paraId="70035FE1" w14:textId="77777777" w:rsidR="006C5ED3" w:rsidRPr="006B737D" w:rsidRDefault="00307729" w:rsidP="007D754C">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nsuring operational funds provided through the program are principally spent on outlays directly arising from meeting client needs, and for the purposes for which the funding has been approved (excluding transfers to</w:t>
      </w:r>
      <w:r w:rsidRPr="006B737D">
        <w:rPr>
          <w:rFonts w:ascii="Arial" w:hAnsi="Arial" w:cs="Arial"/>
          <w:sz w:val="21"/>
          <w:szCs w:val="21"/>
          <w:lang w:val="en-US"/>
        </w:rPr>
        <w:t xml:space="preserve"> other services by way of </w:t>
      </w:r>
      <w:r w:rsidR="006C5ED3" w:rsidRPr="006B737D">
        <w:rPr>
          <w:rFonts w:ascii="Arial" w:hAnsi="Arial" w:cs="Arial"/>
          <w:sz w:val="21"/>
          <w:szCs w:val="21"/>
          <w:lang w:val="en-US"/>
        </w:rPr>
        <w:t>grants</w:t>
      </w:r>
      <w:r w:rsidRPr="006B737D">
        <w:rPr>
          <w:rFonts w:ascii="Arial" w:hAnsi="Arial" w:cs="Arial"/>
          <w:sz w:val="21"/>
          <w:szCs w:val="21"/>
          <w:lang w:val="en-US"/>
        </w:rPr>
        <w:t xml:space="preserve">, other staff related items including but not limited to parking fines, entertainment and other </w:t>
      </w:r>
      <w:r w:rsidR="006C5ED3" w:rsidRPr="006B737D">
        <w:rPr>
          <w:rFonts w:ascii="Arial" w:hAnsi="Arial" w:cs="Arial"/>
          <w:sz w:val="21"/>
          <w:szCs w:val="21"/>
          <w:lang w:val="en-US"/>
        </w:rPr>
        <w:t>liabilities incurred by staff</w:t>
      </w:r>
      <w:r w:rsidRPr="006B737D">
        <w:rPr>
          <w:rFonts w:ascii="Arial" w:hAnsi="Arial" w:cs="Arial"/>
          <w:sz w:val="21"/>
          <w:szCs w:val="21"/>
          <w:lang w:val="en-US"/>
        </w:rPr>
        <w:t xml:space="preserve"> </w:t>
      </w:r>
      <w:r w:rsidR="006C5ED3" w:rsidRPr="006B737D">
        <w:rPr>
          <w:rFonts w:ascii="Arial" w:hAnsi="Arial" w:cs="Arial"/>
          <w:sz w:val="21"/>
          <w:szCs w:val="21"/>
          <w:lang w:val="en-US"/>
        </w:rPr>
        <w:t>ou</w:t>
      </w:r>
      <w:r w:rsidRPr="006B737D">
        <w:rPr>
          <w:rFonts w:ascii="Arial" w:hAnsi="Arial" w:cs="Arial"/>
          <w:sz w:val="21"/>
          <w:szCs w:val="21"/>
          <w:lang w:val="en-US"/>
        </w:rPr>
        <w:t>tside of work responsibilities</w:t>
      </w:r>
      <w:r w:rsidR="006C5ED3" w:rsidRPr="006B737D">
        <w:rPr>
          <w:rFonts w:ascii="Arial" w:hAnsi="Arial" w:cs="Arial"/>
          <w:sz w:val="21"/>
          <w:szCs w:val="21"/>
          <w:lang w:val="en-US"/>
        </w:rPr>
        <w:t>).</w:t>
      </w:r>
    </w:p>
    <w:p w14:paraId="4C821EFE" w14:textId="3AC43D09" w:rsidR="006C5ED3" w:rsidRPr="006B737D" w:rsidRDefault="00307729" w:rsidP="004C1E23">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stablishing clear procedural and budgetary policies for reimbursement of non-employee members of boards and committees of management for expenses incurred in carrying out their voluntary duties in relation to the governance of the funded</w:t>
      </w:r>
      <w:r w:rsidRPr="006B737D">
        <w:rPr>
          <w:rFonts w:ascii="Arial" w:hAnsi="Arial" w:cs="Arial"/>
          <w:sz w:val="21"/>
          <w:szCs w:val="21"/>
          <w:lang w:val="en-US"/>
        </w:rPr>
        <w:t xml:space="preserve"> service provider</w:t>
      </w:r>
      <w:r w:rsidR="006C5ED3" w:rsidRPr="006B737D">
        <w:rPr>
          <w:rFonts w:ascii="Arial" w:hAnsi="Arial" w:cs="Arial"/>
          <w:sz w:val="21"/>
          <w:szCs w:val="21"/>
          <w:lang w:val="en-US"/>
        </w:rPr>
        <w:t>.</w:t>
      </w:r>
    </w:p>
    <w:p w14:paraId="36EBD19D" w14:textId="77777777" w:rsidR="006C5ED3" w:rsidRPr="006B737D" w:rsidRDefault="00307729" w:rsidP="004C1E23">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 xml:space="preserve">nsuring that any goods purchased by the funded </w:t>
      </w:r>
      <w:r w:rsidRPr="006B737D">
        <w:rPr>
          <w:rFonts w:ascii="Arial" w:hAnsi="Arial" w:cs="Arial"/>
          <w:sz w:val="21"/>
          <w:szCs w:val="21"/>
          <w:lang w:val="en-US"/>
        </w:rPr>
        <w:t xml:space="preserve">service provider </w:t>
      </w:r>
      <w:r w:rsidR="006C5ED3" w:rsidRPr="006B737D">
        <w:rPr>
          <w:rFonts w:ascii="Arial" w:hAnsi="Arial" w:cs="Arial"/>
          <w:sz w:val="21"/>
          <w:szCs w:val="21"/>
          <w:lang w:val="en-US"/>
        </w:rPr>
        <w:t>are used for the benefit of clients.</w:t>
      </w:r>
    </w:p>
    <w:p w14:paraId="0FD537A0" w14:textId="77777777" w:rsidR="006C5ED3" w:rsidRPr="006B737D" w:rsidRDefault="00307729" w:rsidP="004C1E23">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m</w:t>
      </w:r>
      <w:r w:rsidR="006C5ED3" w:rsidRPr="006B737D">
        <w:rPr>
          <w:rFonts w:ascii="Arial" w:hAnsi="Arial" w:cs="Arial"/>
          <w:sz w:val="21"/>
          <w:szCs w:val="21"/>
          <w:lang w:val="en-US"/>
        </w:rPr>
        <w:t>aintaining organisational governance and service delivery as separate and distinct functions, in</w:t>
      </w:r>
      <w:r w:rsidRPr="006B737D">
        <w:rPr>
          <w:rFonts w:ascii="Arial" w:hAnsi="Arial" w:cs="Arial"/>
          <w:sz w:val="21"/>
          <w:szCs w:val="21"/>
          <w:lang w:val="en-US"/>
        </w:rPr>
        <w:t xml:space="preserve"> the structure of the funded service provider </w:t>
      </w:r>
      <w:r w:rsidR="006C5ED3" w:rsidRPr="006B737D">
        <w:rPr>
          <w:rFonts w:ascii="Arial" w:hAnsi="Arial" w:cs="Arial"/>
          <w:sz w:val="21"/>
          <w:szCs w:val="21"/>
          <w:lang w:val="en-US"/>
        </w:rPr>
        <w:t>and its governing body, and in the allocation of roles.</w:t>
      </w:r>
    </w:p>
    <w:p w14:paraId="01C3A276" w14:textId="77777777" w:rsidR="006C5ED3" w:rsidRPr="006B737D" w:rsidRDefault="00307729" w:rsidP="004C1E23">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 xml:space="preserve">nsuring that the majority of members of the governing body responsible for </w:t>
      </w:r>
      <w:r w:rsidRPr="006B737D">
        <w:rPr>
          <w:rFonts w:ascii="Arial" w:hAnsi="Arial" w:cs="Arial"/>
          <w:sz w:val="21"/>
          <w:szCs w:val="21"/>
          <w:lang w:val="en-US"/>
        </w:rPr>
        <w:t xml:space="preserve">Program </w:t>
      </w:r>
      <w:r w:rsidR="006C5ED3" w:rsidRPr="006B737D">
        <w:rPr>
          <w:rFonts w:ascii="Arial" w:hAnsi="Arial" w:cs="Arial"/>
          <w:sz w:val="21"/>
          <w:szCs w:val="21"/>
          <w:lang w:val="en-US"/>
        </w:rPr>
        <w:t xml:space="preserve">funding are not </w:t>
      </w:r>
      <w:r w:rsidRPr="006B737D">
        <w:rPr>
          <w:rFonts w:ascii="Arial" w:hAnsi="Arial" w:cs="Arial"/>
          <w:sz w:val="21"/>
          <w:szCs w:val="21"/>
          <w:lang w:val="en-US"/>
        </w:rPr>
        <w:t xml:space="preserve">Program </w:t>
      </w:r>
      <w:r w:rsidR="006C5ED3" w:rsidRPr="006B737D">
        <w:rPr>
          <w:rFonts w:ascii="Arial" w:hAnsi="Arial" w:cs="Arial"/>
          <w:sz w:val="21"/>
          <w:szCs w:val="21"/>
          <w:lang w:val="en-US"/>
        </w:rPr>
        <w:t xml:space="preserve">funded paid employees of the funded </w:t>
      </w:r>
      <w:r w:rsidRPr="006B737D">
        <w:rPr>
          <w:rFonts w:ascii="Arial" w:hAnsi="Arial" w:cs="Arial"/>
          <w:sz w:val="21"/>
          <w:szCs w:val="21"/>
          <w:lang w:val="en-US"/>
        </w:rPr>
        <w:t xml:space="preserve">service provider </w:t>
      </w:r>
      <w:r w:rsidR="006C5ED3" w:rsidRPr="006B737D">
        <w:rPr>
          <w:rFonts w:ascii="Arial" w:hAnsi="Arial" w:cs="Arial"/>
          <w:sz w:val="21"/>
          <w:szCs w:val="21"/>
          <w:lang w:val="en-US"/>
        </w:rPr>
        <w:t xml:space="preserve">or other </w:t>
      </w:r>
      <w:r w:rsidRPr="006B737D">
        <w:rPr>
          <w:rFonts w:ascii="Arial" w:hAnsi="Arial" w:cs="Arial"/>
          <w:sz w:val="21"/>
          <w:szCs w:val="21"/>
          <w:lang w:val="en-US"/>
        </w:rPr>
        <w:t xml:space="preserve">Program funded </w:t>
      </w:r>
      <w:r w:rsidR="006C5ED3" w:rsidRPr="006B737D">
        <w:rPr>
          <w:rFonts w:ascii="Arial" w:hAnsi="Arial" w:cs="Arial"/>
          <w:sz w:val="21"/>
          <w:szCs w:val="21"/>
          <w:lang w:val="en-US"/>
        </w:rPr>
        <w:t>organisations.</w:t>
      </w:r>
    </w:p>
    <w:p w14:paraId="493C3839" w14:textId="77777777" w:rsidR="006C5ED3" w:rsidRPr="006B737D" w:rsidRDefault="00307729" w:rsidP="004C1E23">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nsuring that f</w:t>
      </w:r>
      <w:r w:rsidRPr="006B737D">
        <w:rPr>
          <w:rFonts w:ascii="Arial" w:hAnsi="Arial" w:cs="Arial"/>
          <w:sz w:val="21"/>
          <w:szCs w:val="21"/>
          <w:lang w:val="en-US"/>
        </w:rPr>
        <w:t>or vehicles secured through Program</w:t>
      </w:r>
      <w:r w:rsidR="006C5ED3" w:rsidRPr="006B737D">
        <w:rPr>
          <w:rFonts w:ascii="Arial" w:hAnsi="Arial" w:cs="Arial"/>
          <w:sz w:val="21"/>
          <w:szCs w:val="21"/>
          <w:lang w:val="en-US"/>
        </w:rPr>
        <w:t xml:space="preserve"> funds, explicit policies are implemented, designed to maximise use in responding to client needs, fulfil legal obligations regarding safe use and insurance for the class of vehicle concerned, protect th</w:t>
      </w:r>
      <w:r w:rsidRPr="006B737D">
        <w:rPr>
          <w:rFonts w:ascii="Arial" w:hAnsi="Arial" w:cs="Arial"/>
          <w:sz w:val="21"/>
          <w:szCs w:val="21"/>
          <w:lang w:val="en-US"/>
        </w:rPr>
        <w:t>e assets purchased with P</w:t>
      </w:r>
      <w:r w:rsidR="006C5ED3" w:rsidRPr="006B737D">
        <w:rPr>
          <w:rFonts w:ascii="Arial" w:hAnsi="Arial" w:cs="Arial"/>
          <w:sz w:val="21"/>
          <w:szCs w:val="21"/>
          <w:lang w:val="en-US"/>
        </w:rPr>
        <w:t>rogram funds, and limit interstate travel to the minimum necessary as deemed by management and agreed by the department.</w:t>
      </w:r>
    </w:p>
    <w:p w14:paraId="2645B4C2" w14:textId="77777777" w:rsidR="006C5ED3" w:rsidRPr="006B737D" w:rsidRDefault="00A433BF" w:rsidP="00A433BF">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e</w:t>
      </w:r>
      <w:r w:rsidR="006C5ED3" w:rsidRPr="006B737D">
        <w:rPr>
          <w:rFonts w:ascii="Arial" w:hAnsi="Arial" w:cs="Arial"/>
          <w:sz w:val="21"/>
          <w:szCs w:val="21"/>
          <w:lang w:val="en-US"/>
        </w:rPr>
        <w:t xml:space="preserve">nsuring that mechanisms and processes are in place that enables consumers to contribute to determining the way the </w:t>
      </w:r>
      <w:r w:rsidRPr="006B737D">
        <w:rPr>
          <w:rFonts w:ascii="Arial" w:hAnsi="Arial" w:cs="Arial"/>
          <w:sz w:val="21"/>
          <w:szCs w:val="21"/>
          <w:lang w:val="en-US"/>
        </w:rPr>
        <w:t xml:space="preserve">Program service provider </w:t>
      </w:r>
      <w:r w:rsidR="006C5ED3" w:rsidRPr="006B737D">
        <w:rPr>
          <w:rFonts w:ascii="Arial" w:hAnsi="Arial" w:cs="Arial"/>
          <w:sz w:val="21"/>
          <w:szCs w:val="21"/>
          <w:lang w:val="en-US"/>
        </w:rPr>
        <w:t xml:space="preserve">provides services. </w:t>
      </w:r>
    </w:p>
    <w:p w14:paraId="5B343CFC" w14:textId="19E952A4" w:rsidR="006C5ED3" w:rsidRPr="006B737D" w:rsidRDefault="00A433BF" w:rsidP="007C6818">
      <w:pPr>
        <w:spacing w:before="100" w:beforeAutospacing="1" w:after="100" w:afterAutospacing="1"/>
        <w:ind w:left="567"/>
        <w:rPr>
          <w:rFonts w:ascii="Arial" w:hAnsi="Arial" w:cs="Arial"/>
          <w:iCs/>
          <w:sz w:val="21"/>
          <w:szCs w:val="21"/>
        </w:rPr>
      </w:pPr>
      <w:r w:rsidRPr="006B737D">
        <w:rPr>
          <w:rFonts w:ascii="Arial" w:hAnsi="Arial" w:cs="Arial"/>
          <w:sz w:val="21"/>
          <w:szCs w:val="21"/>
        </w:rPr>
        <w:lastRenderedPageBreak/>
        <w:t xml:space="preserve">Program </w:t>
      </w:r>
      <w:r w:rsidR="006C5ED3" w:rsidRPr="006B737D">
        <w:rPr>
          <w:rFonts w:ascii="Arial" w:hAnsi="Arial" w:cs="Arial"/>
          <w:sz w:val="21"/>
          <w:szCs w:val="21"/>
        </w:rPr>
        <w:t xml:space="preserve">funded </w:t>
      </w:r>
      <w:r w:rsidRPr="006B737D">
        <w:rPr>
          <w:rFonts w:ascii="Arial" w:hAnsi="Arial" w:cs="Arial"/>
          <w:sz w:val="21"/>
          <w:szCs w:val="21"/>
        </w:rPr>
        <w:t xml:space="preserve">service providers </w:t>
      </w:r>
      <w:r w:rsidR="006C5ED3" w:rsidRPr="006B737D">
        <w:rPr>
          <w:rFonts w:ascii="Arial" w:hAnsi="Arial" w:cs="Arial"/>
          <w:sz w:val="21"/>
          <w:szCs w:val="21"/>
        </w:rPr>
        <w:t xml:space="preserve">will maintain an up to date knowledge of the provisions of the </w:t>
      </w:r>
      <w:hyperlink r:id="rId23" w:history="1">
        <w:r w:rsidR="006C5ED3" w:rsidRPr="006C7BB2">
          <w:rPr>
            <w:rStyle w:val="Hyperlink"/>
            <w:rFonts w:ascii="Arial" w:hAnsi="Arial" w:cs="Arial"/>
            <w:i/>
            <w:sz w:val="21"/>
            <w:szCs w:val="21"/>
          </w:rPr>
          <w:t>Residential Tenancies Act</w:t>
        </w:r>
        <w:r w:rsidR="006C7BB2" w:rsidRPr="006C7BB2">
          <w:rPr>
            <w:rStyle w:val="Hyperlink"/>
            <w:rFonts w:ascii="Arial" w:hAnsi="Arial" w:cs="Arial"/>
            <w:i/>
            <w:sz w:val="21"/>
            <w:szCs w:val="21"/>
          </w:rPr>
          <w:t xml:space="preserve"> 1997</w:t>
        </w:r>
      </w:hyperlink>
      <w:r w:rsidR="007E2FA0">
        <w:rPr>
          <w:rFonts w:ascii="Arial" w:hAnsi="Arial" w:cs="Arial"/>
          <w:i/>
          <w:sz w:val="21"/>
          <w:szCs w:val="21"/>
        </w:rPr>
        <w:t xml:space="preserve"> </w:t>
      </w:r>
      <w:r w:rsidR="006C7BB2">
        <w:rPr>
          <w:rFonts w:ascii="Arial" w:hAnsi="Arial" w:cs="Arial"/>
          <w:iCs/>
          <w:sz w:val="21"/>
          <w:szCs w:val="21"/>
        </w:rPr>
        <w:t>&lt;</w:t>
      </w:r>
      <w:r w:rsidR="007E2FA0" w:rsidRPr="006C7BB2">
        <w:rPr>
          <w:rFonts w:ascii="Arial" w:hAnsi="Arial" w:cs="Arial"/>
          <w:iCs/>
          <w:sz w:val="21"/>
          <w:szCs w:val="21"/>
        </w:rPr>
        <w:t>https://www.legislation.vic.gov.au/in-force/acts/residential-tenancies-act-1997/100</w:t>
      </w:r>
      <w:r w:rsidR="006C7BB2">
        <w:rPr>
          <w:rFonts w:ascii="Arial" w:hAnsi="Arial" w:cs="Arial"/>
          <w:iCs/>
          <w:sz w:val="21"/>
          <w:szCs w:val="21"/>
        </w:rPr>
        <w:t>&gt;</w:t>
      </w:r>
      <w:r w:rsidR="006C5ED3" w:rsidRPr="006B737D">
        <w:rPr>
          <w:rFonts w:ascii="Arial" w:hAnsi="Arial" w:cs="Arial"/>
          <w:sz w:val="21"/>
          <w:szCs w:val="21"/>
        </w:rPr>
        <w:t>, and departmental policies.</w:t>
      </w:r>
    </w:p>
    <w:p w14:paraId="7E146676" w14:textId="1AD11DDE" w:rsidR="006C5ED3" w:rsidRPr="006C5ED3" w:rsidRDefault="00A433BF" w:rsidP="007C6818">
      <w:pPr>
        <w:spacing w:before="100" w:beforeAutospacing="1" w:after="100" w:afterAutospacing="1"/>
        <w:ind w:left="567"/>
        <w:rPr>
          <w:rFonts w:ascii="Arial" w:hAnsi="Arial" w:cs="Arial"/>
        </w:rPr>
      </w:pPr>
      <w:r w:rsidRPr="006B737D">
        <w:rPr>
          <w:rFonts w:ascii="Arial" w:hAnsi="Arial" w:cs="Arial"/>
          <w:iCs/>
          <w:sz w:val="21"/>
          <w:szCs w:val="21"/>
        </w:rPr>
        <w:t xml:space="preserve">Program service </w:t>
      </w:r>
      <w:r w:rsidR="006C5ED3" w:rsidRPr="006B737D">
        <w:rPr>
          <w:rFonts w:ascii="Arial" w:hAnsi="Arial" w:cs="Arial"/>
          <w:iCs/>
          <w:sz w:val="21"/>
          <w:szCs w:val="21"/>
        </w:rPr>
        <w:t xml:space="preserve">providers are required to either register as a housing association or provider under </w:t>
      </w:r>
      <w:r w:rsidR="006C5ED3" w:rsidRPr="006B737D">
        <w:rPr>
          <w:rFonts w:ascii="Arial" w:hAnsi="Arial" w:cs="Arial"/>
          <w:sz w:val="21"/>
          <w:szCs w:val="21"/>
        </w:rPr>
        <w:t xml:space="preserve">the regulatory provisions for non-government, not for profit </w:t>
      </w:r>
      <w:r w:rsidRPr="006B737D">
        <w:rPr>
          <w:rFonts w:ascii="Arial" w:hAnsi="Arial" w:cs="Arial"/>
          <w:sz w:val="21"/>
          <w:szCs w:val="21"/>
        </w:rPr>
        <w:t xml:space="preserve">community organisations </w:t>
      </w:r>
      <w:r w:rsidR="006C5ED3" w:rsidRPr="006B737D">
        <w:rPr>
          <w:rFonts w:ascii="Arial" w:hAnsi="Arial" w:cs="Arial"/>
          <w:sz w:val="21"/>
          <w:szCs w:val="21"/>
        </w:rPr>
        <w:t>contained</w:t>
      </w:r>
      <w:r w:rsidRPr="006B737D">
        <w:rPr>
          <w:rFonts w:ascii="Arial" w:hAnsi="Arial" w:cs="Arial"/>
          <w:sz w:val="21"/>
          <w:szCs w:val="21"/>
        </w:rPr>
        <w:t xml:space="preserve"> in the </w:t>
      </w:r>
      <w:r w:rsidR="006C5ED3" w:rsidRPr="006B737D">
        <w:rPr>
          <w:rFonts w:ascii="Arial" w:hAnsi="Arial" w:cs="Arial"/>
          <w:sz w:val="21"/>
          <w:szCs w:val="21"/>
        </w:rPr>
        <w:t xml:space="preserve"> </w:t>
      </w:r>
      <w:hyperlink r:id="rId24" w:history="1">
        <w:r w:rsidR="006C5ED3" w:rsidRPr="00CF2C77">
          <w:rPr>
            <w:rStyle w:val="Hyperlink"/>
            <w:rFonts w:ascii="Arial" w:hAnsi="Arial" w:cs="Arial"/>
            <w:i/>
            <w:iCs/>
            <w:sz w:val="21"/>
            <w:szCs w:val="21"/>
          </w:rPr>
          <w:t>Housing Act 1983</w:t>
        </w:r>
        <w:r w:rsidR="006C5ED3" w:rsidRPr="006C7BB2">
          <w:rPr>
            <w:rStyle w:val="Hyperlink"/>
            <w:rFonts w:ascii="Arial" w:hAnsi="Arial" w:cs="Arial"/>
            <w:sz w:val="21"/>
            <w:szCs w:val="21"/>
          </w:rPr>
          <w:t xml:space="preserve"> </w:t>
        </w:r>
      </w:hyperlink>
      <w:r w:rsidR="006C7BB2">
        <w:rPr>
          <w:rFonts w:ascii="Arial" w:hAnsi="Arial" w:cs="Arial"/>
          <w:sz w:val="21"/>
          <w:szCs w:val="21"/>
        </w:rPr>
        <w:t xml:space="preserve"> &lt;</w:t>
      </w:r>
      <w:r w:rsidR="006C7BB2" w:rsidRPr="006C7BB2">
        <w:rPr>
          <w:rFonts w:ascii="Arial" w:hAnsi="Arial" w:cs="Arial"/>
          <w:sz w:val="21"/>
          <w:szCs w:val="21"/>
        </w:rPr>
        <w:t>https://www.legislation.vic.gov.au/in-force/acts/housing-act-1983/077</w:t>
      </w:r>
      <w:r w:rsidR="006C7BB2">
        <w:rPr>
          <w:rFonts w:ascii="Arial" w:hAnsi="Arial" w:cs="Arial"/>
          <w:sz w:val="21"/>
          <w:szCs w:val="21"/>
        </w:rPr>
        <w:t xml:space="preserve">&gt;  </w:t>
      </w:r>
      <w:r w:rsidR="006C5ED3" w:rsidRPr="006B737D">
        <w:rPr>
          <w:rFonts w:ascii="Arial" w:hAnsi="Arial" w:cs="Arial"/>
          <w:iCs/>
          <w:sz w:val="21"/>
          <w:szCs w:val="21"/>
        </w:rPr>
        <w:t xml:space="preserve">or where they do not manage housing stock, to achieve the Department of  </w:t>
      </w:r>
      <w:r w:rsidR="009D5B2B" w:rsidRPr="006B737D">
        <w:rPr>
          <w:rFonts w:ascii="Arial" w:hAnsi="Arial" w:cs="Arial"/>
          <w:iCs/>
          <w:sz w:val="21"/>
          <w:szCs w:val="21"/>
        </w:rPr>
        <w:t xml:space="preserve">Families </w:t>
      </w:r>
      <w:r w:rsidR="00123745" w:rsidRPr="006B737D">
        <w:rPr>
          <w:rFonts w:ascii="Arial" w:hAnsi="Arial" w:cs="Arial"/>
          <w:iCs/>
          <w:sz w:val="21"/>
          <w:szCs w:val="21"/>
        </w:rPr>
        <w:t>Fairness</w:t>
      </w:r>
      <w:r w:rsidR="009D5B2B" w:rsidRPr="006B737D">
        <w:rPr>
          <w:rFonts w:ascii="Arial" w:hAnsi="Arial" w:cs="Arial"/>
          <w:iCs/>
          <w:sz w:val="21"/>
          <w:szCs w:val="21"/>
        </w:rPr>
        <w:t xml:space="preserve"> and Housing </w:t>
      </w:r>
      <w:r w:rsidR="006C5ED3" w:rsidRPr="006B737D">
        <w:rPr>
          <w:rFonts w:ascii="Arial" w:hAnsi="Arial" w:cs="Arial"/>
          <w:iCs/>
          <w:sz w:val="21"/>
          <w:szCs w:val="21"/>
        </w:rPr>
        <w:t>Standards</w:t>
      </w:r>
      <w:r w:rsidR="006C5ED3" w:rsidRPr="006C5ED3">
        <w:rPr>
          <w:rFonts w:ascii="Arial" w:hAnsi="Arial" w:cs="Arial"/>
          <w:iCs/>
        </w:rPr>
        <w:t xml:space="preserve"> </w:t>
      </w:r>
    </w:p>
    <w:p w14:paraId="6FABB1AE" w14:textId="77777777" w:rsidR="006C5ED3" w:rsidRPr="00610E3E" w:rsidRDefault="006C5ED3" w:rsidP="00610E3E">
      <w:pPr>
        <w:pStyle w:val="Heading2"/>
        <w:ind w:left="709" w:hanging="709"/>
        <w:rPr>
          <w:color w:val="201547"/>
          <w:sz w:val="32"/>
        </w:rPr>
      </w:pPr>
      <w:bookmarkStart w:id="154" w:name="_Toc261504892"/>
      <w:bookmarkStart w:id="155" w:name="_Toc266783331"/>
      <w:bookmarkStart w:id="156" w:name="_Toc360451375"/>
      <w:bookmarkStart w:id="157" w:name="_Toc412720495"/>
      <w:bookmarkStart w:id="158" w:name="_Toc412801017"/>
      <w:bookmarkStart w:id="159" w:name="_Toc73529077"/>
      <w:bookmarkStart w:id="160" w:name="_Toc94785382"/>
      <w:r w:rsidRPr="00610E3E">
        <w:rPr>
          <w:color w:val="201547"/>
          <w:sz w:val="32"/>
        </w:rPr>
        <w:t>5.3</w:t>
      </w:r>
      <w:r w:rsidRPr="00610E3E">
        <w:rPr>
          <w:color w:val="201547"/>
          <w:sz w:val="32"/>
        </w:rPr>
        <w:tab/>
        <w:t>Data collection and privacy</w:t>
      </w:r>
      <w:bookmarkEnd w:id="154"/>
      <w:bookmarkEnd w:id="155"/>
      <w:bookmarkEnd w:id="156"/>
      <w:bookmarkEnd w:id="157"/>
      <w:bookmarkEnd w:id="158"/>
      <w:bookmarkEnd w:id="159"/>
      <w:bookmarkEnd w:id="160"/>
      <w:r w:rsidRPr="00610E3E">
        <w:rPr>
          <w:color w:val="201547"/>
          <w:sz w:val="32"/>
        </w:rPr>
        <w:t xml:space="preserve"> </w:t>
      </w:r>
    </w:p>
    <w:p w14:paraId="28CC40F2"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The department collects some personal information for the purposes of planning, funding, monitoring and evaluating the services and functions delivered on its behalf but where practicable it will remove identifying details from information used for these purposes. </w:t>
      </w:r>
    </w:p>
    <w:p w14:paraId="3EE44A92"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The department is also required by N</w:t>
      </w:r>
      <w:r w:rsidR="00A433BF" w:rsidRPr="006B737D">
        <w:rPr>
          <w:rFonts w:ascii="Arial" w:hAnsi="Arial" w:cs="Arial"/>
          <w:sz w:val="21"/>
          <w:szCs w:val="21"/>
        </w:rPr>
        <w:t xml:space="preserve">ational </w:t>
      </w:r>
      <w:r w:rsidRPr="006B737D">
        <w:rPr>
          <w:rFonts w:ascii="Arial" w:hAnsi="Arial" w:cs="Arial"/>
          <w:sz w:val="21"/>
          <w:szCs w:val="21"/>
        </w:rPr>
        <w:t>A</w:t>
      </w:r>
      <w:r w:rsidR="00A433BF" w:rsidRPr="006B737D">
        <w:rPr>
          <w:rFonts w:ascii="Arial" w:hAnsi="Arial" w:cs="Arial"/>
          <w:sz w:val="21"/>
          <w:szCs w:val="21"/>
        </w:rPr>
        <w:t xml:space="preserve">ffordable </w:t>
      </w:r>
      <w:r w:rsidRPr="006B737D">
        <w:rPr>
          <w:rFonts w:ascii="Arial" w:hAnsi="Arial" w:cs="Arial"/>
          <w:sz w:val="21"/>
          <w:szCs w:val="21"/>
        </w:rPr>
        <w:t>H</w:t>
      </w:r>
      <w:r w:rsidR="00A433BF" w:rsidRPr="006B737D">
        <w:rPr>
          <w:rFonts w:ascii="Arial" w:hAnsi="Arial" w:cs="Arial"/>
          <w:sz w:val="21"/>
          <w:szCs w:val="21"/>
        </w:rPr>
        <w:t xml:space="preserve">ousing </w:t>
      </w:r>
      <w:r w:rsidRPr="006B737D">
        <w:rPr>
          <w:rFonts w:ascii="Arial" w:hAnsi="Arial" w:cs="Arial"/>
          <w:sz w:val="21"/>
          <w:szCs w:val="21"/>
        </w:rPr>
        <w:t>A</w:t>
      </w:r>
      <w:r w:rsidR="00A433BF" w:rsidRPr="006B737D">
        <w:rPr>
          <w:rFonts w:ascii="Arial" w:hAnsi="Arial" w:cs="Arial"/>
          <w:sz w:val="21"/>
          <w:szCs w:val="21"/>
        </w:rPr>
        <w:t>greement</w:t>
      </w:r>
      <w:r w:rsidRPr="006B737D">
        <w:rPr>
          <w:rFonts w:ascii="Arial" w:hAnsi="Arial" w:cs="Arial"/>
          <w:sz w:val="21"/>
          <w:szCs w:val="21"/>
        </w:rPr>
        <w:t xml:space="preserve"> to report on the assistance provided by each of its housing programs.</w:t>
      </w:r>
    </w:p>
    <w:p w14:paraId="570DA7E4" w14:textId="49D1388C" w:rsidR="006C5ED3" w:rsidRPr="006C7BB2" w:rsidRDefault="006C5ED3" w:rsidP="007C6818">
      <w:pPr>
        <w:spacing w:before="100" w:beforeAutospacing="1" w:after="100" w:afterAutospacing="1"/>
        <w:ind w:left="567"/>
        <w:rPr>
          <w:rFonts w:ascii="Arial" w:hAnsi="Arial" w:cs="Arial"/>
          <w:color w:val="000000" w:themeColor="text1"/>
          <w:sz w:val="21"/>
          <w:szCs w:val="21"/>
          <w:lang w:val="en-US"/>
        </w:rPr>
      </w:pPr>
      <w:r w:rsidRPr="006B737D">
        <w:rPr>
          <w:rFonts w:ascii="Arial" w:hAnsi="Arial" w:cs="Arial"/>
          <w:sz w:val="21"/>
          <w:szCs w:val="21"/>
        </w:rPr>
        <w:t xml:space="preserve">As part of this reporting process </w:t>
      </w:r>
      <w:r w:rsidR="00A433BF" w:rsidRPr="006B737D">
        <w:rPr>
          <w:rFonts w:ascii="Arial" w:hAnsi="Arial" w:cs="Arial"/>
          <w:sz w:val="21"/>
          <w:szCs w:val="21"/>
        </w:rPr>
        <w:t xml:space="preserve">Program </w:t>
      </w:r>
      <w:r w:rsidRPr="006B737D">
        <w:rPr>
          <w:rFonts w:ascii="Arial" w:hAnsi="Arial" w:cs="Arial"/>
          <w:sz w:val="21"/>
          <w:szCs w:val="21"/>
        </w:rPr>
        <w:t xml:space="preserve">funded </w:t>
      </w:r>
      <w:r w:rsidR="00A433BF" w:rsidRPr="006B737D">
        <w:rPr>
          <w:rFonts w:ascii="Arial" w:hAnsi="Arial" w:cs="Arial"/>
          <w:sz w:val="21"/>
          <w:szCs w:val="21"/>
        </w:rPr>
        <w:t>service providers will provide data</w:t>
      </w:r>
      <w:r w:rsidR="000C6ADF" w:rsidRPr="006B737D">
        <w:rPr>
          <w:rFonts w:ascii="Arial" w:hAnsi="Arial" w:cs="Arial"/>
          <w:sz w:val="21"/>
          <w:szCs w:val="21"/>
        </w:rPr>
        <w:t xml:space="preserve"> monthly </w:t>
      </w:r>
      <w:r w:rsidR="00A433BF" w:rsidRPr="006B737D">
        <w:rPr>
          <w:rFonts w:ascii="Arial" w:hAnsi="Arial" w:cs="Arial"/>
          <w:sz w:val="21"/>
          <w:szCs w:val="21"/>
        </w:rPr>
        <w:t>as required by the department</w:t>
      </w:r>
      <w:r w:rsidR="00CC50FC" w:rsidRPr="006B737D">
        <w:rPr>
          <w:rFonts w:ascii="Arial" w:hAnsi="Arial" w:cs="Arial"/>
          <w:sz w:val="21"/>
          <w:szCs w:val="21"/>
        </w:rPr>
        <w:t xml:space="preserve"> under </w:t>
      </w:r>
      <w:r w:rsidR="00A433BF" w:rsidRPr="006B737D">
        <w:rPr>
          <w:rFonts w:ascii="Arial" w:hAnsi="Arial" w:cs="Arial"/>
          <w:sz w:val="21"/>
          <w:szCs w:val="21"/>
        </w:rPr>
        <w:t xml:space="preserve"> </w:t>
      </w:r>
      <w:hyperlink r:id="rId25" w:history="1">
        <w:r w:rsidR="00CC50FC" w:rsidRPr="006C7BB2">
          <w:rPr>
            <w:rStyle w:val="Hyperlink"/>
            <w:rFonts w:ascii="Arial" w:hAnsi="Arial" w:cs="Arial"/>
            <w:sz w:val="21"/>
            <w:szCs w:val="21"/>
          </w:rPr>
          <w:t>s</w:t>
        </w:r>
        <w:r w:rsidR="00A433BF" w:rsidRPr="006C7BB2">
          <w:rPr>
            <w:rStyle w:val="Hyperlink"/>
            <w:rFonts w:ascii="Arial" w:hAnsi="Arial" w:cs="Arial"/>
            <w:sz w:val="21"/>
            <w:szCs w:val="21"/>
          </w:rPr>
          <w:t xml:space="preserve">ervice </w:t>
        </w:r>
        <w:r w:rsidR="00CC50FC" w:rsidRPr="006C7BB2">
          <w:rPr>
            <w:rStyle w:val="Hyperlink"/>
            <w:rFonts w:ascii="Arial" w:hAnsi="Arial" w:cs="Arial"/>
            <w:sz w:val="21"/>
            <w:szCs w:val="21"/>
          </w:rPr>
          <w:t>d</w:t>
        </w:r>
        <w:r w:rsidR="00A433BF" w:rsidRPr="006C7BB2">
          <w:rPr>
            <w:rStyle w:val="Hyperlink"/>
            <w:rFonts w:ascii="Arial" w:hAnsi="Arial" w:cs="Arial"/>
            <w:sz w:val="21"/>
            <w:szCs w:val="21"/>
          </w:rPr>
          <w:t>elivery</w:t>
        </w:r>
        <w:r w:rsidR="00CC50FC" w:rsidRPr="006C7BB2">
          <w:rPr>
            <w:rStyle w:val="Hyperlink"/>
            <w:rFonts w:ascii="Arial" w:hAnsi="Arial" w:cs="Arial"/>
            <w:sz w:val="21"/>
            <w:szCs w:val="21"/>
          </w:rPr>
          <w:t xml:space="preserve"> t</w:t>
        </w:r>
        <w:r w:rsidR="00A433BF" w:rsidRPr="006C7BB2">
          <w:rPr>
            <w:rStyle w:val="Hyperlink"/>
            <w:rFonts w:ascii="Arial" w:hAnsi="Arial" w:cs="Arial"/>
            <w:sz w:val="21"/>
            <w:szCs w:val="21"/>
          </w:rPr>
          <w:t>racking</w:t>
        </w:r>
      </w:hyperlink>
      <w:r w:rsidR="006C7BB2">
        <w:rPr>
          <w:rFonts w:ascii="Arial" w:hAnsi="Arial" w:cs="Arial"/>
          <w:sz w:val="21"/>
          <w:szCs w:val="21"/>
        </w:rPr>
        <w:t xml:space="preserve">  &lt;</w:t>
      </w:r>
      <w:r w:rsidR="006C7BB2" w:rsidRPr="006C7BB2">
        <w:rPr>
          <w:rFonts w:ascii="Arial" w:hAnsi="Arial" w:cs="Arial"/>
          <w:sz w:val="21"/>
          <w:szCs w:val="21"/>
        </w:rPr>
        <w:t>https://fac.dffh.vic.gov.au/service-delivery-tracking</w:t>
      </w:r>
      <w:r w:rsidR="006C7BB2">
        <w:rPr>
          <w:rFonts w:ascii="Arial" w:hAnsi="Arial" w:cs="Arial"/>
          <w:sz w:val="21"/>
          <w:szCs w:val="21"/>
        </w:rPr>
        <w:t>&gt;</w:t>
      </w:r>
    </w:p>
    <w:p w14:paraId="41EEC266" w14:textId="67F8FEA6" w:rsidR="006C5ED3" w:rsidRPr="006B737D" w:rsidRDefault="006C5ED3" w:rsidP="007C6818">
      <w:pPr>
        <w:autoSpaceDE w:val="0"/>
        <w:autoSpaceDN w:val="0"/>
        <w:adjustRightInd w:val="0"/>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T</w:t>
      </w:r>
      <w:r w:rsidRPr="006B737D">
        <w:rPr>
          <w:rFonts w:ascii="Arial" w:hAnsi="Arial" w:cs="Arial"/>
          <w:sz w:val="21"/>
          <w:szCs w:val="21"/>
        </w:rPr>
        <w:t>he department</w:t>
      </w:r>
      <w:r w:rsidRPr="006B737D">
        <w:rPr>
          <w:rFonts w:ascii="Arial" w:hAnsi="Arial" w:cs="Arial"/>
          <w:sz w:val="21"/>
          <w:szCs w:val="21"/>
          <w:lang w:val="en-US"/>
        </w:rPr>
        <w:t xml:space="preserve"> and its funded </w:t>
      </w:r>
      <w:r w:rsidR="00CC50FC" w:rsidRPr="006B737D">
        <w:rPr>
          <w:rFonts w:ascii="Arial" w:hAnsi="Arial" w:cs="Arial"/>
          <w:sz w:val="21"/>
          <w:szCs w:val="21"/>
          <w:lang w:val="en-US"/>
        </w:rPr>
        <w:t xml:space="preserve">service providers </w:t>
      </w:r>
      <w:r w:rsidRPr="006B737D">
        <w:rPr>
          <w:rFonts w:ascii="Arial" w:hAnsi="Arial" w:cs="Arial"/>
          <w:sz w:val="21"/>
          <w:szCs w:val="21"/>
          <w:lang w:val="en-US"/>
        </w:rPr>
        <w:t xml:space="preserve">operate according to strict privacy protocols as set out in the </w:t>
      </w:r>
      <w:hyperlink r:id="rId26" w:history="1">
        <w:r w:rsidRPr="00CF2C77">
          <w:rPr>
            <w:rStyle w:val="Hyperlink"/>
            <w:rFonts w:ascii="Arial" w:hAnsi="Arial" w:cs="Arial"/>
            <w:i/>
            <w:iCs/>
            <w:sz w:val="21"/>
            <w:szCs w:val="21"/>
            <w:lang w:val="en-US"/>
          </w:rPr>
          <w:t>Health Records Act 2001</w:t>
        </w:r>
      </w:hyperlink>
      <w:r w:rsidR="00357673">
        <w:rPr>
          <w:rFonts w:ascii="Arial" w:hAnsi="Arial" w:cs="Arial"/>
          <w:sz w:val="21"/>
          <w:szCs w:val="21"/>
          <w:lang w:val="en-US"/>
        </w:rPr>
        <w:t xml:space="preserve"> &lt;</w:t>
      </w:r>
      <w:r w:rsidR="00357673" w:rsidRPr="00357673">
        <w:rPr>
          <w:rFonts w:ascii="Arial" w:hAnsi="Arial" w:cs="Arial"/>
          <w:sz w:val="21"/>
          <w:szCs w:val="21"/>
          <w:lang w:val="en-US"/>
        </w:rPr>
        <w:t>https://www.legislation.vic.gov.au/in-force/acts/health-records-act-2001/046</w:t>
      </w:r>
      <w:r w:rsidR="00357673">
        <w:rPr>
          <w:rFonts w:ascii="Arial" w:hAnsi="Arial" w:cs="Arial"/>
          <w:sz w:val="21"/>
          <w:szCs w:val="21"/>
          <w:lang w:val="en-US"/>
        </w:rPr>
        <w:t>&gt;</w:t>
      </w:r>
      <w:r w:rsidRPr="006B737D">
        <w:rPr>
          <w:rFonts w:ascii="Arial" w:hAnsi="Arial" w:cs="Arial"/>
          <w:sz w:val="21"/>
          <w:szCs w:val="21"/>
          <w:lang w:val="en-US"/>
        </w:rPr>
        <w:t xml:space="preserve"> and the</w:t>
      </w:r>
      <w:r w:rsidR="00CC50FC" w:rsidRPr="006B737D">
        <w:rPr>
          <w:rFonts w:ascii="Arial" w:hAnsi="Arial" w:cs="Arial"/>
          <w:sz w:val="21"/>
          <w:szCs w:val="21"/>
          <w:lang w:val="en-US"/>
        </w:rPr>
        <w:t xml:space="preserve"> </w:t>
      </w:r>
      <w:hyperlink r:id="rId27" w:history="1">
        <w:r w:rsidR="00CC50FC" w:rsidRPr="00CF2C77">
          <w:rPr>
            <w:rStyle w:val="Hyperlink"/>
            <w:rFonts w:ascii="Arial" w:hAnsi="Arial" w:cs="Arial"/>
            <w:i/>
            <w:iCs/>
            <w:sz w:val="21"/>
            <w:szCs w:val="21"/>
            <w:lang w:val="en-US"/>
          </w:rPr>
          <w:t>Privacy and Data protection Act 2014</w:t>
        </w:r>
      </w:hyperlink>
      <w:r w:rsidR="00357673">
        <w:rPr>
          <w:rFonts w:ascii="Arial" w:hAnsi="Arial" w:cs="Arial"/>
          <w:sz w:val="21"/>
          <w:szCs w:val="21"/>
          <w:lang w:val="en-US"/>
        </w:rPr>
        <w:t xml:space="preserve"> &lt;</w:t>
      </w:r>
      <w:r w:rsidR="00357673" w:rsidRPr="00357673">
        <w:rPr>
          <w:rFonts w:ascii="Arial" w:hAnsi="Arial" w:cs="Arial"/>
          <w:sz w:val="21"/>
          <w:szCs w:val="21"/>
          <w:lang w:val="en-US"/>
        </w:rPr>
        <w:t>https://www.legislation.vic.gov.au/in-force/acts/privacy-and-data-protection-act-2014/027</w:t>
      </w:r>
      <w:r w:rsidR="00357673">
        <w:rPr>
          <w:rFonts w:ascii="Arial" w:hAnsi="Arial" w:cs="Arial"/>
          <w:sz w:val="21"/>
          <w:szCs w:val="21"/>
          <w:lang w:val="en-US"/>
        </w:rPr>
        <w:t>&gt;</w:t>
      </w:r>
      <w:r w:rsidRPr="006B737D">
        <w:rPr>
          <w:rFonts w:ascii="Arial" w:hAnsi="Arial" w:cs="Arial"/>
          <w:sz w:val="21"/>
          <w:szCs w:val="21"/>
          <w:lang w:val="en-US"/>
        </w:rPr>
        <w:t xml:space="preserve"> Collection of data by providers will be undertaken in a manner that ensures clients have the right to:</w:t>
      </w:r>
    </w:p>
    <w:p w14:paraId="7FA4A475" w14:textId="77777777" w:rsidR="006C5ED3" w:rsidRPr="006B737D" w:rsidRDefault="00CC50FC"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b</w:t>
      </w:r>
      <w:r w:rsidR="006C5ED3" w:rsidRPr="006B737D">
        <w:rPr>
          <w:rFonts w:ascii="Arial" w:hAnsi="Arial" w:cs="Arial"/>
          <w:sz w:val="21"/>
          <w:szCs w:val="21"/>
          <w:lang w:val="en-US"/>
        </w:rPr>
        <w:t>e told why the collection is being conducted.</w:t>
      </w:r>
    </w:p>
    <w:p w14:paraId="6A4621CD" w14:textId="77777777" w:rsidR="006C5ED3" w:rsidRPr="006B737D" w:rsidRDefault="00CC50FC"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b</w:t>
      </w:r>
      <w:r w:rsidR="006C5ED3" w:rsidRPr="006B737D">
        <w:rPr>
          <w:rFonts w:ascii="Arial" w:hAnsi="Arial" w:cs="Arial"/>
          <w:sz w:val="21"/>
          <w:szCs w:val="21"/>
          <w:lang w:val="en-US"/>
        </w:rPr>
        <w:t>e told how the information will be used.</w:t>
      </w:r>
    </w:p>
    <w:p w14:paraId="1F8B94B5" w14:textId="77777777" w:rsidR="006C5ED3" w:rsidRPr="006B737D" w:rsidRDefault="00CC50FC"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b</w:t>
      </w:r>
      <w:r w:rsidR="006C5ED3" w:rsidRPr="006B737D">
        <w:rPr>
          <w:rFonts w:ascii="Arial" w:hAnsi="Arial" w:cs="Arial"/>
          <w:sz w:val="21"/>
          <w:szCs w:val="21"/>
          <w:lang w:val="en-US"/>
        </w:rPr>
        <w:t>e told who will have access to the information.</w:t>
      </w:r>
    </w:p>
    <w:p w14:paraId="48D4B86C" w14:textId="77777777" w:rsidR="006C5ED3" w:rsidRPr="006B737D" w:rsidRDefault="00CC50FC"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r</w:t>
      </w:r>
      <w:r w:rsidR="006C5ED3" w:rsidRPr="006B737D">
        <w:rPr>
          <w:rFonts w:ascii="Arial" w:hAnsi="Arial" w:cs="Arial"/>
          <w:sz w:val="21"/>
          <w:szCs w:val="21"/>
          <w:lang w:val="en-US"/>
        </w:rPr>
        <w:t>efuse to participate in the collection without affecting their right to receive services.</w:t>
      </w:r>
    </w:p>
    <w:p w14:paraId="23B3EAD1" w14:textId="3B1C7E71" w:rsidR="006C5ED3"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In fulfilling the above providers should explain to the client that whilst identifying information may be collected that client confidentiality and privacy will be protected.</w:t>
      </w:r>
    </w:p>
    <w:p w14:paraId="556BCE9F" w14:textId="5A1B85EC" w:rsidR="003B541C" w:rsidRPr="003B541C" w:rsidRDefault="003B541C" w:rsidP="003B541C">
      <w:pPr>
        <w:pStyle w:val="Heading2"/>
        <w:ind w:left="567" w:hanging="567"/>
        <w:rPr>
          <w:color w:val="201547"/>
          <w:sz w:val="32"/>
        </w:rPr>
      </w:pPr>
      <w:bookmarkStart w:id="161" w:name="_Toc94785383"/>
      <w:r w:rsidRPr="00610E3E">
        <w:rPr>
          <w:color w:val="201547"/>
          <w:sz w:val="32"/>
        </w:rPr>
        <w:t>5.</w:t>
      </w:r>
      <w:r>
        <w:rPr>
          <w:color w:val="201547"/>
          <w:sz w:val="32"/>
        </w:rPr>
        <w:t xml:space="preserve">4 </w:t>
      </w:r>
      <w:r w:rsidRPr="003B541C">
        <w:rPr>
          <w:color w:val="201547"/>
          <w:sz w:val="32"/>
        </w:rPr>
        <w:t>Multi-Agency Risk Assessment and Management Framework (MARAM)</w:t>
      </w:r>
      <w:bookmarkEnd w:id="161"/>
    </w:p>
    <w:p w14:paraId="6EC5E5DE" w14:textId="77777777" w:rsidR="003B541C" w:rsidRPr="006B737D" w:rsidRDefault="003B541C" w:rsidP="003B541C">
      <w:pPr>
        <w:spacing w:before="100" w:beforeAutospacing="1" w:after="100" w:afterAutospacing="1"/>
        <w:ind w:left="567"/>
        <w:rPr>
          <w:rFonts w:ascii="Arial" w:hAnsi="Arial" w:cs="Arial"/>
          <w:sz w:val="21"/>
          <w:szCs w:val="21"/>
        </w:rPr>
      </w:pPr>
      <w:r w:rsidRPr="003B541C">
        <w:rPr>
          <w:rFonts w:ascii="Arial" w:hAnsi="Arial"/>
          <w:sz w:val="21"/>
        </w:rPr>
        <w:t xml:space="preserve">The MARAM framework is established in law under Part 11 of the </w:t>
      </w:r>
      <w:r w:rsidRPr="003B541C">
        <w:rPr>
          <w:rFonts w:ascii="Arial" w:hAnsi="Arial"/>
          <w:i/>
          <w:iCs/>
          <w:sz w:val="21"/>
        </w:rPr>
        <w:t>Family Violence Protection Act 2008</w:t>
      </w:r>
      <w:r w:rsidRPr="003B541C">
        <w:rPr>
          <w:rFonts w:ascii="Arial" w:eastAsia="MS Gothic" w:hAnsi="Arial" w:cs="Arial"/>
          <w:i/>
          <w:sz w:val="21"/>
          <w:szCs w:val="21"/>
        </w:rPr>
        <w:t>.</w:t>
      </w:r>
      <w:r w:rsidRPr="003B541C">
        <w:rPr>
          <w:rFonts w:ascii="Arial" w:eastAsia="MS Gothic" w:hAnsi="Arial" w:cs="Arial"/>
          <w:sz w:val="21"/>
          <w:szCs w:val="21"/>
        </w:rPr>
        <w:t xml:space="preserve"> </w:t>
      </w:r>
      <w:r w:rsidRPr="003B541C">
        <w:rPr>
          <w:rFonts w:ascii="Arial" w:hAnsi="Arial"/>
          <w:sz w:val="21"/>
        </w:rPr>
        <w:t>It provides policy and practice guidance to organisations that have responsibilities in identifying, assessing and managing family violence risk, including those that have been prescribed under regulation as framework organisations. A framework organisation is required to progressively align its policies, procedures, practice guidance and tools to MARAM.</w:t>
      </w:r>
      <w:r>
        <w:rPr>
          <w:rFonts w:ascii="Arial" w:hAnsi="Arial"/>
          <w:sz w:val="21"/>
        </w:rPr>
        <w:t xml:space="preserve"> </w:t>
      </w:r>
      <w:r>
        <w:rPr>
          <w:rFonts w:ascii="Arial" w:hAnsi="Arial" w:cs="Arial"/>
          <w:sz w:val="21"/>
          <w:szCs w:val="21"/>
        </w:rPr>
        <w:t>Tenancy plus- Tenancy support program providers are prescribed under the MARAM</w:t>
      </w:r>
    </w:p>
    <w:p w14:paraId="4D245E5F" w14:textId="7D3869A6" w:rsidR="003B541C" w:rsidRPr="003B541C" w:rsidRDefault="003B541C" w:rsidP="003B541C">
      <w:pPr>
        <w:spacing w:after="120" w:line="280" w:lineRule="atLeast"/>
        <w:ind w:left="567"/>
        <w:rPr>
          <w:rFonts w:ascii="Arial" w:hAnsi="Arial" w:cs="Arial"/>
          <w:color w:val="0052C2"/>
          <w:kern w:val="36"/>
          <w:sz w:val="21"/>
          <w:szCs w:val="21"/>
          <w:lang w:eastAsia="en-AU"/>
        </w:rPr>
      </w:pPr>
      <w:r w:rsidRPr="003B541C">
        <w:rPr>
          <w:rFonts w:ascii="Arial" w:hAnsi="Arial"/>
          <w:sz w:val="21"/>
        </w:rPr>
        <w:t xml:space="preserve">MARAM is one of three interrelated reforms to reduce family violence and promote child wellbeing and safety.  The Child Information Sharing Scheme (CISS) enables prescribed Information Sharing Entities (ISEs) to share information to promote the wellbeing and safety of children. The Family Violence Information Sharing Scheme (FVISS) enables ISEs to share information to facilitate assessment and management of family violence risk. MARAM guides </w:t>
      </w:r>
      <w:r w:rsidRPr="003B541C">
        <w:rPr>
          <w:rFonts w:ascii="Arial" w:hAnsi="Arial"/>
          <w:sz w:val="21"/>
        </w:rPr>
        <w:lastRenderedPageBreak/>
        <w:t>information sharing under both schemes wherever family violence is present.</w:t>
      </w:r>
      <w:r>
        <w:rPr>
          <w:rFonts w:ascii="Arial" w:hAnsi="Arial"/>
          <w:sz w:val="21"/>
        </w:rPr>
        <w:t xml:space="preserve"> Tenancy plus- Tenancy support program providers should refer to the </w:t>
      </w:r>
      <w:hyperlink r:id="rId28" w:history="1">
        <w:r w:rsidRPr="00CF2C77">
          <w:rPr>
            <w:rStyle w:val="Hyperlink"/>
            <w:rFonts w:ascii="Arial" w:hAnsi="Arial"/>
            <w:i/>
            <w:iCs/>
            <w:sz w:val="21"/>
          </w:rPr>
          <w:t xml:space="preserve">Tenancy plus - Tenancy support program operational </w:t>
        </w:r>
        <w:r w:rsidR="00720B55" w:rsidRPr="00CF2C77">
          <w:rPr>
            <w:rStyle w:val="Hyperlink"/>
            <w:rFonts w:ascii="Arial" w:hAnsi="Arial"/>
            <w:i/>
            <w:iCs/>
            <w:sz w:val="21"/>
          </w:rPr>
          <w:t>guidelines</w:t>
        </w:r>
      </w:hyperlink>
      <w:r w:rsidR="00357673" w:rsidRPr="00CF2C77">
        <w:rPr>
          <w:rFonts w:ascii="Arial" w:hAnsi="Arial"/>
          <w:i/>
          <w:iCs/>
          <w:sz w:val="21"/>
        </w:rPr>
        <w:t xml:space="preserve"> </w:t>
      </w:r>
      <w:r w:rsidR="00357673">
        <w:rPr>
          <w:rFonts w:ascii="Arial" w:hAnsi="Arial"/>
          <w:sz w:val="21"/>
        </w:rPr>
        <w:t xml:space="preserve">&lt; </w:t>
      </w:r>
      <w:r w:rsidR="00357673" w:rsidRPr="00357673">
        <w:rPr>
          <w:rFonts w:ascii="Arial" w:hAnsi="Arial" w:cs="Arial"/>
          <w:color w:val="000000" w:themeColor="text1"/>
          <w:sz w:val="21"/>
          <w:szCs w:val="21"/>
        </w:rPr>
        <w:t>Tenancy plus - tenancy support program operational guidelines - DFFH Service Providers</w:t>
      </w:r>
      <w:r w:rsidR="00357673">
        <w:t>&gt;</w:t>
      </w:r>
      <w:r w:rsidR="00720B55">
        <w:rPr>
          <w:rFonts w:ascii="Arial" w:hAnsi="Arial"/>
          <w:sz w:val="21"/>
        </w:rPr>
        <w:t xml:space="preserve"> and </w:t>
      </w:r>
      <w:hyperlink r:id="rId29" w:history="1">
        <w:r w:rsidRPr="00CF2C77">
          <w:rPr>
            <w:rStyle w:val="Hyperlink"/>
            <w:rFonts w:ascii="Arial" w:hAnsi="Arial" w:cs="Arial"/>
            <w:i/>
            <w:iCs/>
            <w:kern w:val="36"/>
            <w:sz w:val="21"/>
            <w:szCs w:val="21"/>
            <w:lang w:eastAsia="en-AU"/>
          </w:rPr>
          <w:t>MARAM practice guides and resources</w:t>
        </w:r>
      </w:hyperlink>
      <w:r w:rsidR="00357673">
        <w:rPr>
          <w:rFonts w:ascii="Arial" w:hAnsi="Arial" w:cs="Arial"/>
          <w:color w:val="0052C2"/>
          <w:kern w:val="36"/>
          <w:sz w:val="21"/>
          <w:szCs w:val="21"/>
          <w:lang w:eastAsia="en-AU"/>
        </w:rPr>
        <w:t xml:space="preserve">                   </w:t>
      </w:r>
      <w:r w:rsidR="00357673" w:rsidRPr="00357673">
        <w:rPr>
          <w:rStyle w:val="BodyChar"/>
        </w:rPr>
        <w:t xml:space="preserve">&lt; </w:t>
      </w:r>
      <w:r w:rsidR="00357673" w:rsidRPr="00357673">
        <w:rPr>
          <w:rStyle w:val="BodyChar"/>
          <w:lang w:eastAsia="en-AU"/>
        </w:rPr>
        <w:t>https://www.vic.gov.au/maram-practice-guides-and-resources</w:t>
      </w:r>
      <w:r w:rsidR="00357673" w:rsidRPr="00357673">
        <w:rPr>
          <w:rStyle w:val="BodyChar"/>
        </w:rPr>
        <w:t>&gt;</w:t>
      </w:r>
      <w:r>
        <w:rPr>
          <w:rFonts w:ascii="Arial" w:hAnsi="Arial" w:cs="Arial"/>
          <w:color w:val="0052C2"/>
          <w:kern w:val="36"/>
          <w:sz w:val="21"/>
          <w:szCs w:val="21"/>
          <w:lang w:eastAsia="en-AU"/>
        </w:rPr>
        <w:t xml:space="preserve"> </w:t>
      </w:r>
      <w:r w:rsidRPr="00357673">
        <w:rPr>
          <w:rStyle w:val="BodyChar"/>
        </w:rPr>
        <w:t>for further information.</w:t>
      </w:r>
      <w:r>
        <w:rPr>
          <w:rFonts w:ascii="Arial" w:hAnsi="Arial" w:cs="Arial"/>
          <w:color w:val="0052C2"/>
          <w:kern w:val="36"/>
          <w:sz w:val="21"/>
          <w:szCs w:val="21"/>
          <w:lang w:eastAsia="en-AU"/>
        </w:rPr>
        <w:t xml:space="preserve"> </w:t>
      </w:r>
    </w:p>
    <w:p w14:paraId="484416C3" w14:textId="0458872B" w:rsidR="006C5ED3" w:rsidRPr="00610E3E" w:rsidRDefault="006C5ED3" w:rsidP="00610E3E">
      <w:pPr>
        <w:pStyle w:val="Heading2"/>
        <w:ind w:left="709" w:hanging="709"/>
        <w:rPr>
          <w:color w:val="201547"/>
          <w:sz w:val="32"/>
        </w:rPr>
      </w:pPr>
      <w:bookmarkStart w:id="162" w:name="_Toc261504893"/>
      <w:bookmarkStart w:id="163" w:name="_Toc266783332"/>
      <w:bookmarkStart w:id="164" w:name="_Toc360451376"/>
      <w:bookmarkStart w:id="165" w:name="_Toc412720496"/>
      <w:bookmarkStart w:id="166" w:name="_Toc412801018"/>
      <w:bookmarkStart w:id="167" w:name="_Toc73529078"/>
      <w:bookmarkStart w:id="168" w:name="_Toc94785384"/>
      <w:r w:rsidRPr="00610E3E">
        <w:rPr>
          <w:color w:val="201547"/>
          <w:sz w:val="32"/>
        </w:rPr>
        <w:t>5.</w:t>
      </w:r>
      <w:r w:rsidR="003B541C">
        <w:rPr>
          <w:color w:val="201547"/>
          <w:sz w:val="32"/>
        </w:rPr>
        <w:t>5</w:t>
      </w:r>
      <w:r w:rsidRPr="00610E3E">
        <w:rPr>
          <w:color w:val="201547"/>
          <w:sz w:val="32"/>
        </w:rPr>
        <w:tab/>
        <w:t>Monitoring and reporting</w:t>
      </w:r>
      <w:bookmarkEnd w:id="162"/>
      <w:bookmarkEnd w:id="163"/>
      <w:bookmarkEnd w:id="164"/>
      <w:bookmarkEnd w:id="165"/>
      <w:bookmarkEnd w:id="166"/>
      <w:bookmarkEnd w:id="167"/>
      <w:bookmarkEnd w:id="168"/>
    </w:p>
    <w:p w14:paraId="772A1193" w14:textId="69544477" w:rsidR="006C5ED3" w:rsidRPr="006B737D" w:rsidRDefault="0007410E" w:rsidP="007C6818">
      <w:pPr>
        <w:spacing w:before="100" w:beforeAutospacing="1" w:after="100" w:afterAutospacing="1"/>
        <w:ind w:left="567"/>
        <w:rPr>
          <w:rFonts w:ascii="Arial" w:hAnsi="Arial" w:cs="Arial"/>
          <w:sz w:val="21"/>
          <w:szCs w:val="21"/>
        </w:rPr>
      </w:pPr>
      <w:r>
        <w:rPr>
          <w:rFonts w:ascii="Arial" w:hAnsi="Arial" w:cs="Arial"/>
          <w:sz w:val="21"/>
          <w:szCs w:val="21"/>
        </w:rPr>
        <w:t xml:space="preserve">Notwithstanding the </w:t>
      </w:r>
      <w:r w:rsidR="008E26D4" w:rsidRPr="008E26D4">
        <w:rPr>
          <w:rStyle w:val="BodyChar"/>
        </w:rPr>
        <w:t>Privacy, Data Protection and Protected Disclosures</w:t>
      </w:r>
      <w:r w:rsidR="008E26D4">
        <w:t xml:space="preserve"> </w:t>
      </w:r>
      <w:r>
        <w:rPr>
          <w:rFonts w:ascii="Arial" w:hAnsi="Arial" w:cs="Arial"/>
          <w:sz w:val="21"/>
          <w:szCs w:val="21"/>
        </w:rPr>
        <w:t xml:space="preserve">in section 17 of the service agreement </w:t>
      </w:r>
      <w:r w:rsidR="008E26D4">
        <w:rPr>
          <w:rFonts w:ascii="Arial" w:hAnsi="Arial" w:cs="Arial"/>
          <w:sz w:val="21"/>
          <w:szCs w:val="21"/>
        </w:rPr>
        <w:t>m</w:t>
      </w:r>
      <w:r w:rsidR="006C5ED3" w:rsidRPr="006B737D">
        <w:rPr>
          <w:rFonts w:ascii="Arial" w:hAnsi="Arial" w:cs="Arial"/>
          <w:sz w:val="21"/>
          <w:szCs w:val="21"/>
        </w:rPr>
        <w:t>onitoring of service performance will be undertaken through liaison with P</w:t>
      </w:r>
      <w:r w:rsidR="008437D4" w:rsidRPr="006B737D">
        <w:rPr>
          <w:rFonts w:ascii="Arial" w:hAnsi="Arial" w:cs="Arial"/>
          <w:sz w:val="21"/>
          <w:szCs w:val="21"/>
        </w:rPr>
        <w:t>rogram</w:t>
      </w:r>
      <w:r w:rsidR="006C5ED3" w:rsidRPr="006B737D">
        <w:rPr>
          <w:rFonts w:ascii="Arial" w:hAnsi="Arial" w:cs="Arial"/>
          <w:sz w:val="21"/>
          <w:szCs w:val="21"/>
        </w:rPr>
        <w:t xml:space="preserve"> funded</w:t>
      </w:r>
      <w:r w:rsidR="008437D4" w:rsidRPr="006B737D">
        <w:rPr>
          <w:rFonts w:ascii="Arial" w:hAnsi="Arial" w:cs="Arial"/>
          <w:sz w:val="21"/>
          <w:szCs w:val="21"/>
        </w:rPr>
        <w:t xml:space="preserve"> service providers </w:t>
      </w:r>
      <w:r w:rsidR="006C5ED3" w:rsidRPr="006B737D">
        <w:rPr>
          <w:rFonts w:ascii="Arial" w:hAnsi="Arial" w:cs="Arial"/>
          <w:sz w:val="21"/>
          <w:szCs w:val="21"/>
        </w:rPr>
        <w:t xml:space="preserve">within the parameters of the department’s monitoring framework.  Service requirements will be monitored through the collation of performance indicators and supported by an analysis of issues impacting on the performance achieved.  The department will work with funded </w:t>
      </w:r>
      <w:r w:rsidR="003C56EB" w:rsidRPr="006B737D">
        <w:rPr>
          <w:rFonts w:ascii="Arial" w:hAnsi="Arial" w:cs="Arial"/>
          <w:sz w:val="21"/>
          <w:szCs w:val="21"/>
        </w:rPr>
        <w:t xml:space="preserve">service providers </w:t>
      </w:r>
      <w:r w:rsidR="006C5ED3" w:rsidRPr="006B737D">
        <w:rPr>
          <w:rFonts w:ascii="Arial" w:hAnsi="Arial" w:cs="Arial"/>
          <w:sz w:val="21"/>
          <w:szCs w:val="21"/>
        </w:rPr>
        <w:t>to develop performance monitoring in the areas of financial viability, governance and service quality.</w:t>
      </w:r>
    </w:p>
    <w:p w14:paraId="23F13355" w14:textId="77777777" w:rsidR="006C5ED3" w:rsidRPr="006B737D" w:rsidRDefault="006C5ED3" w:rsidP="00DA1C5F">
      <w:pPr>
        <w:spacing w:before="100" w:beforeAutospacing="1" w:after="120"/>
        <w:ind w:left="567"/>
        <w:rPr>
          <w:rFonts w:ascii="Arial" w:hAnsi="Arial" w:cs="Arial"/>
          <w:sz w:val="21"/>
          <w:szCs w:val="21"/>
        </w:rPr>
      </w:pPr>
      <w:r w:rsidRPr="006B737D">
        <w:rPr>
          <w:rFonts w:ascii="Arial" w:hAnsi="Arial" w:cs="Arial"/>
          <w:sz w:val="21"/>
          <w:szCs w:val="21"/>
        </w:rPr>
        <w:t>To assist service providers in the delivery of the service, the department will undertake to provide:</w:t>
      </w:r>
    </w:p>
    <w:p w14:paraId="774B1253" w14:textId="77777777" w:rsidR="006C5ED3" w:rsidRPr="006B737D" w:rsidRDefault="003C56EB" w:rsidP="00DA1C5F">
      <w:pPr>
        <w:pStyle w:val="ListParagraph"/>
        <w:numPr>
          <w:ilvl w:val="0"/>
          <w:numId w:val="24"/>
        </w:numPr>
        <w:tabs>
          <w:tab w:val="num" w:pos="709"/>
        </w:tabs>
        <w:rPr>
          <w:rFonts w:ascii="Arial" w:hAnsi="Arial" w:cs="Arial"/>
          <w:sz w:val="21"/>
          <w:szCs w:val="21"/>
          <w:lang w:val="en-US"/>
        </w:rPr>
      </w:pPr>
      <w:r w:rsidRPr="006B737D">
        <w:rPr>
          <w:rFonts w:ascii="Arial" w:hAnsi="Arial" w:cs="Arial"/>
          <w:sz w:val="21"/>
          <w:szCs w:val="21"/>
          <w:lang w:val="en-US"/>
        </w:rPr>
        <w:t>a</w:t>
      </w:r>
      <w:r w:rsidR="006C5ED3" w:rsidRPr="006B737D">
        <w:rPr>
          <w:rFonts w:ascii="Arial" w:hAnsi="Arial" w:cs="Arial"/>
          <w:sz w:val="21"/>
          <w:szCs w:val="21"/>
          <w:lang w:val="en-US"/>
        </w:rPr>
        <w:t>n ongoing commitment to the development of collaborative relationships.</w:t>
      </w:r>
    </w:p>
    <w:p w14:paraId="160B012D" w14:textId="77777777" w:rsidR="006C5ED3" w:rsidRPr="006B737D" w:rsidRDefault="003C56EB"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f</w:t>
      </w:r>
      <w:r w:rsidR="006C5ED3" w:rsidRPr="006B737D">
        <w:rPr>
          <w:rFonts w:ascii="Arial" w:hAnsi="Arial" w:cs="Arial"/>
          <w:sz w:val="21"/>
          <w:szCs w:val="21"/>
          <w:lang w:val="en-US"/>
        </w:rPr>
        <w:t>ormal support via regular meetings with the service provider.</w:t>
      </w:r>
    </w:p>
    <w:p w14:paraId="3F38DB1D" w14:textId="77777777" w:rsidR="006C5ED3" w:rsidRPr="006B737D" w:rsidRDefault="003C56EB"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r</w:t>
      </w:r>
      <w:r w:rsidR="006C5ED3" w:rsidRPr="006B737D">
        <w:rPr>
          <w:rFonts w:ascii="Arial" w:hAnsi="Arial" w:cs="Arial"/>
          <w:sz w:val="21"/>
          <w:szCs w:val="21"/>
          <w:lang w:val="en-US"/>
        </w:rPr>
        <w:t>egular updates on relevant policy directions and initiatives.</w:t>
      </w:r>
    </w:p>
    <w:p w14:paraId="033AB11E" w14:textId="77777777" w:rsidR="006C5ED3" w:rsidRPr="006B737D" w:rsidRDefault="003C56EB"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c</w:t>
      </w:r>
      <w:r w:rsidR="006C5ED3" w:rsidRPr="006B737D">
        <w:rPr>
          <w:rFonts w:ascii="Arial" w:hAnsi="Arial" w:cs="Arial"/>
          <w:sz w:val="21"/>
          <w:szCs w:val="21"/>
          <w:lang w:val="en-US"/>
        </w:rPr>
        <w:t>onsultancy where appropriate.</w:t>
      </w:r>
    </w:p>
    <w:p w14:paraId="7DA98D9B" w14:textId="77777777" w:rsidR="006C5ED3" w:rsidRPr="006B737D" w:rsidRDefault="003C56EB"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f</w:t>
      </w:r>
      <w:r w:rsidR="006C5ED3" w:rsidRPr="006B737D">
        <w:rPr>
          <w:rFonts w:ascii="Arial" w:hAnsi="Arial" w:cs="Arial"/>
          <w:sz w:val="21"/>
          <w:szCs w:val="21"/>
          <w:lang w:val="en-US"/>
        </w:rPr>
        <w:t>ormal and informal contact as required.</w:t>
      </w:r>
    </w:p>
    <w:p w14:paraId="6CAA7EFA"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The frequency of formal liaison meetings will be determined in consultation with the service provider.  A departmental officer will be nominated to act as the initial point of contact for the service provider.</w:t>
      </w:r>
    </w:p>
    <w:p w14:paraId="63D61D8D"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The department will communicate any information or recent development such as the release of new policies, initiatives or strategic documents or training opportunities to the provider in a timely manner.  The department will undertake to action funding in a timely manner.</w:t>
      </w:r>
    </w:p>
    <w:p w14:paraId="2838973F"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The department will undertake to address any issues requiring clarification or discussion at the earliest opportunity in order to reach resolution.</w:t>
      </w:r>
    </w:p>
    <w:p w14:paraId="1E0F0A61" w14:textId="77777777" w:rsidR="006C5ED3" w:rsidRPr="006B737D" w:rsidRDefault="006C5ED3" w:rsidP="00DA1C5F">
      <w:pPr>
        <w:spacing w:before="100" w:beforeAutospacing="1" w:after="120"/>
        <w:ind w:left="567"/>
        <w:rPr>
          <w:rFonts w:ascii="Arial" w:hAnsi="Arial" w:cs="Arial"/>
          <w:sz w:val="21"/>
          <w:szCs w:val="21"/>
        </w:rPr>
      </w:pPr>
      <w:r w:rsidRPr="006B737D">
        <w:rPr>
          <w:rFonts w:ascii="Arial" w:hAnsi="Arial" w:cs="Arial"/>
          <w:sz w:val="21"/>
          <w:szCs w:val="21"/>
        </w:rPr>
        <w:t>Annual service targets and financial data will be monitored by the department using:</w:t>
      </w:r>
    </w:p>
    <w:p w14:paraId="420DF172" w14:textId="77777777" w:rsidR="006C5ED3" w:rsidRPr="006B737D" w:rsidRDefault="00256C86" w:rsidP="00DA1C5F">
      <w:pPr>
        <w:pStyle w:val="ListParagraph"/>
        <w:numPr>
          <w:ilvl w:val="0"/>
          <w:numId w:val="24"/>
        </w:numPr>
        <w:tabs>
          <w:tab w:val="num" w:pos="709"/>
        </w:tabs>
        <w:spacing w:after="100" w:afterAutospacing="1"/>
        <w:rPr>
          <w:rFonts w:ascii="Arial" w:hAnsi="Arial" w:cs="Arial"/>
          <w:sz w:val="21"/>
          <w:szCs w:val="21"/>
          <w:lang w:val="en-US"/>
        </w:rPr>
      </w:pPr>
      <w:r w:rsidRPr="006B737D">
        <w:rPr>
          <w:rFonts w:ascii="Arial" w:hAnsi="Arial" w:cs="Arial"/>
          <w:sz w:val="21"/>
          <w:szCs w:val="21"/>
          <w:lang w:val="en-US"/>
        </w:rPr>
        <w:t>s</w:t>
      </w:r>
      <w:r w:rsidR="006C5ED3" w:rsidRPr="006B737D">
        <w:rPr>
          <w:rFonts w:ascii="Arial" w:hAnsi="Arial" w:cs="Arial"/>
          <w:sz w:val="21"/>
          <w:szCs w:val="21"/>
          <w:lang w:val="en-US"/>
        </w:rPr>
        <w:t>ervice user data, service provision and financial accountability returns as required under the service standards and guidelines listed in the service agreement.</w:t>
      </w:r>
    </w:p>
    <w:p w14:paraId="2BF483D3" w14:textId="0055741E" w:rsidR="00A9663D" w:rsidRPr="006B737D" w:rsidRDefault="00DA1C5F"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s</w:t>
      </w:r>
      <w:r w:rsidR="00A9663D" w:rsidRPr="006B737D">
        <w:rPr>
          <w:rFonts w:ascii="Arial" w:hAnsi="Arial" w:cs="Arial"/>
          <w:sz w:val="21"/>
          <w:szCs w:val="21"/>
          <w:lang w:val="en-US"/>
        </w:rPr>
        <w:t xml:space="preserve">ervice delivery tracking </w:t>
      </w:r>
    </w:p>
    <w:p w14:paraId="5E71EE39" w14:textId="77777777" w:rsidR="006C5ED3" w:rsidRPr="006B737D" w:rsidRDefault="00256C86"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 xml:space="preserve">service provider </w:t>
      </w:r>
      <w:r w:rsidR="006C5ED3" w:rsidRPr="006B737D">
        <w:rPr>
          <w:rFonts w:ascii="Arial" w:hAnsi="Arial" w:cs="Arial"/>
          <w:sz w:val="21"/>
          <w:szCs w:val="21"/>
          <w:lang w:val="en-US"/>
        </w:rPr>
        <w:t xml:space="preserve">reports as required under the service agreement and as required in these guidelines. </w:t>
      </w:r>
    </w:p>
    <w:p w14:paraId="53CCDFDD" w14:textId="77777777" w:rsidR="006C5ED3" w:rsidRPr="006B737D" w:rsidRDefault="00256C86"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o</w:t>
      </w:r>
      <w:r w:rsidR="006C5ED3" w:rsidRPr="006B737D">
        <w:rPr>
          <w:rFonts w:ascii="Arial" w:hAnsi="Arial" w:cs="Arial"/>
          <w:sz w:val="21"/>
          <w:szCs w:val="21"/>
          <w:lang w:val="en-US"/>
        </w:rPr>
        <w:t>ther relevant information provided by the P</w:t>
      </w:r>
      <w:r w:rsidRPr="006B737D">
        <w:rPr>
          <w:rFonts w:ascii="Arial" w:hAnsi="Arial" w:cs="Arial"/>
          <w:sz w:val="21"/>
          <w:szCs w:val="21"/>
          <w:lang w:val="en-US"/>
        </w:rPr>
        <w:t>rogram</w:t>
      </w:r>
      <w:r w:rsidR="006C5ED3" w:rsidRPr="006B737D">
        <w:rPr>
          <w:rFonts w:ascii="Arial" w:hAnsi="Arial" w:cs="Arial"/>
          <w:sz w:val="21"/>
          <w:szCs w:val="21"/>
          <w:lang w:val="en-US"/>
        </w:rPr>
        <w:t xml:space="preserve"> funded </w:t>
      </w:r>
      <w:r w:rsidRPr="006B737D">
        <w:rPr>
          <w:rFonts w:ascii="Arial" w:hAnsi="Arial" w:cs="Arial"/>
          <w:sz w:val="21"/>
          <w:szCs w:val="21"/>
          <w:lang w:val="en-US"/>
        </w:rPr>
        <w:t xml:space="preserve">service providers </w:t>
      </w:r>
      <w:r w:rsidR="006C5ED3" w:rsidRPr="006B737D">
        <w:rPr>
          <w:rFonts w:ascii="Arial" w:hAnsi="Arial" w:cs="Arial"/>
          <w:sz w:val="21"/>
          <w:szCs w:val="21"/>
          <w:lang w:val="en-US"/>
        </w:rPr>
        <w:t>on request from the department.</w:t>
      </w:r>
    </w:p>
    <w:p w14:paraId="75B51559" w14:textId="77777777" w:rsidR="006C5ED3" w:rsidRPr="006B737D" w:rsidRDefault="006C5ED3" w:rsidP="00DA1C5F">
      <w:pPr>
        <w:spacing w:before="100" w:beforeAutospacing="1" w:after="100" w:afterAutospacing="1"/>
        <w:ind w:left="567"/>
        <w:rPr>
          <w:rFonts w:ascii="Arial" w:hAnsi="Arial" w:cs="Arial"/>
          <w:sz w:val="21"/>
          <w:szCs w:val="21"/>
        </w:rPr>
      </w:pPr>
      <w:r w:rsidRPr="006B737D">
        <w:rPr>
          <w:rFonts w:ascii="Arial" w:hAnsi="Arial" w:cs="Arial"/>
          <w:sz w:val="21"/>
          <w:szCs w:val="21"/>
        </w:rPr>
        <w:t>The direct relationship between funding and the service activity outputs also impacts on monitoring and reporting requirements. Performance below 95</w:t>
      </w:r>
      <w:r w:rsidR="00256C86" w:rsidRPr="006B737D">
        <w:rPr>
          <w:rFonts w:ascii="Arial" w:hAnsi="Arial" w:cs="Arial"/>
          <w:sz w:val="21"/>
          <w:szCs w:val="21"/>
        </w:rPr>
        <w:t xml:space="preserve"> per cent </w:t>
      </w:r>
      <w:r w:rsidRPr="006B737D">
        <w:rPr>
          <w:rFonts w:ascii="Arial" w:hAnsi="Arial" w:cs="Arial"/>
          <w:sz w:val="21"/>
          <w:szCs w:val="21"/>
        </w:rPr>
        <w:t>will trigger discussion with the department about strategies to improve achievement levels and if it was not agreed that imp</w:t>
      </w:r>
      <w:r w:rsidR="00256C86" w:rsidRPr="006B737D">
        <w:rPr>
          <w:rFonts w:ascii="Arial" w:hAnsi="Arial" w:cs="Arial"/>
          <w:sz w:val="21"/>
          <w:szCs w:val="21"/>
        </w:rPr>
        <w:t xml:space="preserve">rovement was likely and that 95 per cent </w:t>
      </w:r>
      <w:r w:rsidRPr="006B737D">
        <w:rPr>
          <w:rFonts w:ascii="Arial" w:hAnsi="Arial" w:cs="Arial"/>
          <w:sz w:val="21"/>
          <w:szCs w:val="21"/>
        </w:rPr>
        <w:t xml:space="preserve">performance standard could not be met in the following financial year, target and funding reallocation may result. </w:t>
      </w:r>
    </w:p>
    <w:p w14:paraId="3F00DF08" w14:textId="77777777" w:rsidR="006C5ED3" w:rsidRPr="006B737D" w:rsidRDefault="00256C86"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Program funded service providers </w:t>
      </w:r>
      <w:r w:rsidR="006C5ED3" w:rsidRPr="006B737D">
        <w:rPr>
          <w:rFonts w:ascii="Arial" w:hAnsi="Arial" w:cs="Arial"/>
          <w:sz w:val="21"/>
          <w:szCs w:val="21"/>
        </w:rPr>
        <w:t xml:space="preserve">will maintain a close working relationship with their service agreement manager in order to keep them appraised of activities and/or specific issues in relation to the service.  This will include early identification of operational difficulties and other </w:t>
      </w:r>
      <w:r w:rsidR="006C5ED3" w:rsidRPr="006B737D">
        <w:rPr>
          <w:rFonts w:ascii="Arial" w:hAnsi="Arial" w:cs="Arial"/>
          <w:sz w:val="21"/>
          <w:szCs w:val="21"/>
        </w:rPr>
        <w:lastRenderedPageBreak/>
        <w:t>areas that could either disrupt delivery of services or adversely impact on clients</w:t>
      </w:r>
      <w:r w:rsidRPr="006B737D">
        <w:rPr>
          <w:rFonts w:ascii="Arial" w:hAnsi="Arial" w:cs="Arial"/>
          <w:sz w:val="21"/>
          <w:szCs w:val="21"/>
        </w:rPr>
        <w:t>, for example</w:t>
      </w:r>
      <w:r w:rsidR="006C5ED3" w:rsidRPr="006B737D">
        <w:rPr>
          <w:rFonts w:ascii="Arial" w:hAnsi="Arial" w:cs="Arial"/>
          <w:sz w:val="21"/>
          <w:szCs w:val="21"/>
        </w:rPr>
        <w:t xml:space="preserve"> the absence of staff at small offices.</w:t>
      </w:r>
    </w:p>
    <w:p w14:paraId="1F791EBC"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An agency monitoring framework has been developed by the department to produce a more consistent approach to </w:t>
      </w:r>
      <w:r w:rsidR="00256C86" w:rsidRPr="006B737D">
        <w:rPr>
          <w:rFonts w:ascii="Arial" w:hAnsi="Arial" w:cs="Arial"/>
          <w:sz w:val="21"/>
          <w:szCs w:val="21"/>
        </w:rPr>
        <w:t xml:space="preserve">service provider </w:t>
      </w:r>
      <w:r w:rsidRPr="006B737D">
        <w:rPr>
          <w:rFonts w:ascii="Arial" w:hAnsi="Arial" w:cs="Arial"/>
          <w:sz w:val="21"/>
          <w:szCs w:val="21"/>
        </w:rPr>
        <w:t>performance monitoring and improvement with a strong emphasis on continuous improvement.</w:t>
      </w:r>
    </w:p>
    <w:p w14:paraId="049CCA33" w14:textId="00D73EC7" w:rsidR="00256C86" w:rsidRPr="006B737D" w:rsidRDefault="00256C86"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In 2014, the department introduced an online service delivery tracking process which involves organisations accounting for monthly service delivery against their service agreement targets. This ensures that both the organisation and the department have a shared view of service delivery in a timely and regular manner. Service Delivery Tracking supports organisations in managing their progress towards meeting agreed targets and assists the department to manage its reporting commitments. Not all funded services providers are required to use service delivery tracking</w:t>
      </w:r>
      <w:r w:rsidR="003173B4">
        <w:rPr>
          <w:rFonts w:ascii="Arial" w:hAnsi="Arial" w:cs="Arial"/>
          <w:sz w:val="21"/>
          <w:szCs w:val="21"/>
        </w:rPr>
        <w:t>,</w:t>
      </w:r>
      <w:r w:rsidRPr="006B737D">
        <w:rPr>
          <w:rFonts w:ascii="Arial" w:hAnsi="Arial" w:cs="Arial"/>
          <w:sz w:val="21"/>
          <w:szCs w:val="21"/>
        </w:rPr>
        <w:t xml:space="preserve"> </w:t>
      </w:r>
      <w:r w:rsidR="003173B4">
        <w:rPr>
          <w:rFonts w:ascii="Arial" w:hAnsi="Arial" w:cs="Arial"/>
          <w:sz w:val="21"/>
          <w:szCs w:val="21"/>
        </w:rPr>
        <w:t xml:space="preserve">click on the following service delivery tracking link </w:t>
      </w:r>
      <w:r w:rsidRPr="006B737D">
        <w:rPr>
          <w:rFonts w:ascii="Arial" w:hAnsi="Arial" w:cs="Arial"/>
          <w:sz w:val="21"/>
          <w:szCs w:val="21"/>
        </w:rPr>
        <w:t>to see if y</w:t>
      </w:r>
      <w:r w:rsidR="009529C8" w:rsidRPr="006B737D">
        <w:rPr>
          <w:rFonts w:ascii="Arial" w:hAnsi="Arial" w:cs="Arial"/>
          <w:sz w:val="21"/>
          <w:szCs w:val="21"/>
        </w:rPr>
        <w:t xml:space="preserve">our organisation is listed or for further information about </w:t>
      </w:r>
      <w:hyperlink r:id="rId30" w:history="1">
        <w:r w:rsidR="00357673" w:rsidRPr="006C7BB2">
          <w:rPr>
            <w:rStyle w:val="Hyperlink"/>
            <w:rFonts w:ascii="Arial" w:hAnsi="Arial" w:cs="Arial"/>
            <w:sz w:val="21"/>
            <w:szCs w:val="21"/>
          </w:rPr>
          <w:t>service delivery tracking</w:t>
        </w:r>
      </w:hyperlink>
      <w:r w:rsidR="00357673">
        <w:rPr>
          <w:rFonts w:ascii="Arial" w:hAnsi="Arial" w:cs="Arial"/>
          <w:sz w:val="21"/>
          <w:szCs w:val="21"/>
        </w:rPr>
        <w:t xml:space="preserve">  &lt;</w:t>
      </w:r>
      <w:r w:rsidR="00357673" w:rsidRPr="006C7BB2">
        <w:rPr>
          <w:rFonts w:ascii="Arial" w:hAnsi="Arial" w:cs="Arial"/>
          <w:sz w:val="21"/>
          <w:szCs w:val="21"/>
        </w:rPr>
        <w:t>https://fac.dffh.vic.gov.au/service-delivery-tracking</w:t>
      </w:r>
      <w:r w:rsidR="003173B4">
        <w:rPr>
          <w:rFonts w:ascii="Arial" w:hAnsi="Arial" w:cs="Arial"/>
          <w:sz w:val="21"/>
          <w:szCs w:val="21"/>
        </w:rPr>
        <w:t>&gt;</w:t>
      </w:r>
      <w:r w:rsidR="00357673" w:rsidRPr="006B737D">
        <w:rPr>
          <w:rFonts w:ascii="Arial" w:hAnsi="Arial" w:cs="Arial"/>
          <w:sz w:val="21"/>
          <w:szCs w:val="21"/>
        </w:rPr>
        <w:t xml:space="preserve"> </w:t>
      </w:r>
    </w:p>
    <w:p w14:paraId="0E05A6FA" w14:textId="494DC29F" w:rsidR="006C5ED3" w:rsidRPr="00610E3E" w:rsidRDefault="006C5ED3" w:rsidP="00610E3E">
      <w:pPr>
        <w:pStyle w:val="Heading2"/>
        <w:ind w:left="709" w:hanging="709"/>
        <w:rPr>
          <w:color w:val="201547"/>
          <w:sz w:val="32"/>
        </w:rPr>
      </w:pPr>
      <w:bookmarkStart w:id="169" w:name="_Toc261504894"/>
      <w:bookmarkStart w:id="170" w:name="_Toc266783333"/>
      <w:bookmarkStart w:id="171" w:name="_Toc360451377"/>
      <w:bookmarkStart w:id="172" w:name="_Toc412720497"/>
      <w:bookmarkStart w:id="173" w:name="_Toc412801019"/>
      <w:bookmarkStart w:id="174" w:name="_Toc73529079"/>
      <w:bookmarkStart w:id="175" w:name="_Toc94785385"/>
      <w:r w:rsidRPr="00610E3E">
        <w:rPr>
          <w:color w:val="201547"/>
          <w:sz w:val="32"/>
        </w:rPr>
        <w:t>5.</w:t>
      </w:r>
      <w:r w:rsidR="003B541C">
        <w:rPr>
          <w:color w:val="201547"/>
          <w:sz w:val="32"/>
        </w:rPr>
        <w:t>6</w:t>
      </w:r>
      <w:r w:rsidRPr="00610E3E">
        <w:rPr>
          <w:color w:val="201547"/>
          <w:sz w:val="32"/>
        </w:rPr>
        <w:tab/>
        <w:t>Grievance process</w:t>
      </w:r>
      <w:bookmarkEnd w:id="169"/>
      <w:bookmarkEnd w:id="170"/>
      <w:bookmarkEnd w:id="171"/>
      <w:bookmarkEnd w:id="172"/>
      <w:bookmarkEnd w:id="173"/>
      <w:bookmarkEnd w:id="174"/>
      <w:bookmarkEnd w:id="175"/>
    </w:p>
    <w:p w14:paraId="727B42F0" w14:textId="77777777" w:rsidR="00EA0CC7" w:rsidRPr="00EA0CC7" w:rsidRDefault="0007410E" w:rsidP="00EA0CC7">
      <w:pPr>
        <w:pStyle w:val="Body"/>
        <w:ind w:left="567"/>
      </w:pPr>
      <w:bookmarkStart w:id="176" w:name="_Toc90904064"/>
      <w:r w:rsidRPr="00EA0CC7">
        <w:t>Refer to service agreement</w:t>
      </w:r>
      <w:bookmarkEnd w:id="176"/>
      <w:r w:rsidRPr="00EA0CC7">
        <w:t xml:space="preserve"> </w:t>
      </w:r>
      <w:bookmarkStart w:id="177" w:name="_Toc261504895"/>
      <w:bookmarkStart w:id="178" w:name="_Toc266783334"/>
      <w:bookmarkStart w:id="179" w:name="_Toc360451378"/>
      <w:bookmarkStart w:id="180" w:name="_Toc412720498"/>
      <w:bookmarkStart w:id="181" w:name="_Toc412801020"/>
      <w:bookmarkStart w:id="182" w:name="_Toc73529080"/>
    </w:p>
    <w:p w14:paraId="3F044525" w14:textId="0A86DA8E" w:rsidR="006C5ED3" w:rsidRPr="00610E3E" w:rsidRDefault="006C5ED3" w:rsidP="00610E3E">
      <w:pPr>
        <w:pStyle w:val="Heading2"/>
        <w:ind w:left="709" w:hanging="709"/>
        <w:rPr>
          <w:color w:val="201547"/>
          <w:sz w:val="32"/>
        </w:rPr>
      </w:pPr>
      <w:bookmarkStart w:id="183" w:name="_Toc94785386"/>
      <w:r w:rsidRPr="00610E3E">
        <w:rPr>
          <w:color w:val="201547"/>
          <w:sz w:val="32"/>
        </w:rPr>
        <w:t>5.</w:t>
      </w:r>
      <w:r w:rsidR="003B541C">
        <w:rPr>
          <w:color w:val="201547"/>
          <w:sz w:val="32"/>
        </w:rPr>
        <w:t>7</w:t>
      </w:r>
      <w:r w:rsidRPr="00610E3E">
        <w:rPr>
          <w:color w:val="201547"/>
          <w:sz w:val="32"/>
        </w:rPr>
        <w:tab/>
        <w:t>Approved use of funds</w:t>
      </w:r>
      <w:bookmarkEnd w:id="177"/>
      <w:bookmarkEnd w:id="178"/>
      <w:bookmarkEnd w:id="179"/>
      <w:bookmarkEnd w:id="180"/>
      <w:bookmarkEnd w:id="181"/>
      <w:bookmarkEnd w:id="182"/>
      <w:bookmarkEnd w:id="183"/>
    </w:p>
    <w:p w14:paraId="21DD644D" w14:textId="77777777" w:rsidR="006C5ED3" w:rsidRPr="006B737D" w:rsidRDefault="006C5ED3" w:rsidP="007C6818">
      <w:pPr>
        <w:spacing w:before="240"/>
        <w:ind w:left="567"/>
        <w:rPr>
          <w:rFonts w:ascii="Arial" w:hAnsi="Arial" w:cs="Arial"/>
          <w:sz w:val="21"/>
          <w:szCs w:val="21"/>
        </w:rPr>
      </w:pPr>
      <w:r w:rsidRPr="006B737D">
        <w:rPr>
          <w:rFonts w:ascii="Arial" w:hAnsi="Arial" w:cs="Arial"/>
          <w:sz w:val="21"/>
          <w:szCs w:val="21"/>
        </w:rPr>
        <w:t>Funds provided to organisations must only be expended for purposes approved under these guidelines, and as agreed under the terms and conditions of service agreements or any variations to such agreements.</w:t>
      </w:r>
    </w:p>
    <w:p w14:paraId="455D98DE" w14:textId="43A1EEAD" w:rsidR="006C5ED3" w:rsidRPr="00610E3E" w:rsidRDefault="006C5ED3" w:rsidP="00610E3E">
      <w:pPr>
        <w:pStyle w:val="Heading2"/>
        <w:ind w:left="709" w:hanging="709"/>
        <w:rPr>
          <w:color w:val="201547"/>
          <w:sz w:val="32"/>
        </w:rPr>
      </w:pPr>
      <w:bookmarkStart w:id="184" w:name="_Toc261504896"/>
      <w:bookmarkStart w:id="185" w:name="_Toc266783335"/>
      <w:bookmarkStart w:id="186" w:name="_Toc360451379"/>
      <w:bookmarkStart w:id="187" w:name="_Toc412720499"/>
      <w:bookmarkStart w:id="188" w:name="_Toc412801021"/>
      <w:bookmarkStart w:id="189" w:name="_Toc73529081"/>
      <w:bookmarkStart w:id="190" w:name="_Toc94785387"/>
      <w:r w:rsidRPr="00610E3E">
        <w:rPr>
          <w:color w:val="201547"/>
          <w:sz w:val="32"/>
        </w:rPr>
        <w:t>5.</w:t>
      </w:r>
      <w:r w:rsidR="003B541C">
        <w:rPr>
          <w:color w:val="201547"/>
          <w:sz w:val="32"/>
        </w:rPr>
        <w:t>8</w:t>
      </w:r>
      <w:r w:rsidRPr="00610E3E">
        <w:rPr>
          <w:color w:val="201547"/>
          <w:sz w:val="32"/>
        </w:rPr>
        <w:tab/>
        <w:t>Acknowledgement of funding</w:t>
      </w:r>
      <w:bookmarkEnd w:id="184"/>
      <w:bookmarkEnd w:id="185"/>
      <w:bookmarkEnd w:id="186"/>
      <w:bookmarkEnd w:id="187"/>
      <w:bookmarkEnd w:id="188"/>
      <w:bookmarkEnd w:id="189"/>
      <w:bookmarkEnd w:id="190"/>
    </w:p>
    <w:p w14:paraId="6686659A" w14:textId="12313D72" w:rsidR="007B12EC" w:rsidRPr="007B12EC" w:rsidRDefault="007B12EC" w:rsidP="007B12EC">
      <w:pPr>
        <w:pStyle w:val="Body"/>
        <w:ind w:left="567"/>
        <w:rPr>
          <w:rFonts w:cs="Arial"/>
          <w:i/>
          <w:iCs/>
          <w:color w:val="333333"/>
          <w:kern w:val="36"/>
          <w:lang w:eastAsia="en-AU"/>
        </w:rPr>
      </w:pPr>
      <w:r w:rsidRPr="007B12EC">
        <w:t>Under a service or funding agreement, organisations are required to acknowledge the funding support provided by the Victorian Government for the services funded. The</w:t>
      </w:r>
      <w:r w:rsidRPr="007B12EC">
        <w:rPr>
          <w:i/>
          <w:iCs/>
        </w:rPr>
        <w:t xml:space="preserve"> </w:t>
      </w:r>
      <w:hyperlink r:id="rId31" w:history="1">
        <w:r w:rsidRPr="007B12EC">
          <w:rPr>
            <w:rStyle w:val="Hyperlink"/>
            <w:rFonts w:eastAsia="Times New Roman" w:cs="Arial"/>
            <w:i/>
            <w:iCs/>
            <w:kern w:val="36"/>
            <w:lang w:eastAsia="en-AU"/>
          </w:rPr>
          <w:t>Acknowledgement and publicity guidelines for Victorian Government funding support</w:t>
        </w:r>
      </w:hyperlink>
      <w:r w:rsidR="0042114F">
        <w:rPr>
          <w:rFonts w:eastAsia="Times New Roman" w:cs="Arial"/>
          <w:i/>
          <w:iCs/>
          <w:kern w:val="36"/>
          <w:lang w:eastAsia="en-AU"/>
        </w:rPr>
        <w:t xml:space="preserve"> </w:t>
      </w:r>
      <w:r w:rsidR="003173B4">
        <w:rPr>
          <w:rFonts w:eastAsia="Times New Roman" w:cs="Arial"/>
          <w:kern w:val="36"/>
          <w:lang w:eastAsia="en-AU"/>
        </w:rPr>
        <w:t>&lt;</w:t>
      </w:r>
      <w:r w:rsidR="003173B4" w:rsidRPr="003173B4">
        <w:t>https://fac.dhhs.vic.gov.au/acknowledgement-and-publicity-guidelines-victorian-government-funding-suppor</w:t>
      </w:r>
      <w:r w:rsidR="003173B4" w:rsidRPr="003173B4">
        <w:rPr>
          <w:color w:val="000000" w:themeColor="text1"/>
        </w:rPr>
        <w:t>t</w:t>
      </w:r>
      <w:r w:rsidR="003173B4" w:rsidRPr="003173B4">
        <w:rPr>
          <w:rStyle w:val="Hyperlink"/>
          <w:color w:val="000000" w:themeColor="text1"/>
        </w:rPr>
        <w:t>&gt;</w:t>
      </w:r>
      <w:r w:rsidR="0042114F" w:rsidRPr="003173B4">
        <w:rPr>
          <w:color w:val="000000" w:themeColor="text1"/>
        </w:rPr>
        <w:t xml:space="preserve"> </w:t>
      </w:r>
      <w:r w:rsidR="0042114F">
        <w:rPr>
          <w:rFonts w:eastAsia="Times New Roman" w:cs="Arial"/>
          <w:kern w:val="36"/>
          <w:lang w:eastAsia="en-AU"/>
        </w:rPr>
        <w:t>provide guidance on this requirement.</w:t>
      </w:r>
    </w:p>
    <w:p w14:paraId="5A81F035" w14:textId="720802C8" w:rsidR="006C5ED3" w:rsidRPr="00610E3E" w:rsidRDefault="006C5ED3" w:rsidP="00ED4482">
      <w:pPr>
        <w:pStyle w:val="Heading2"/>
        <w:ind w:left="709" w:hanging="709"/>
        <w:rPr>
          <w:color w:val="201547"/>
          <w:sz w:val="32"/>
        </w:rPr>
      </w:pPr>
      <w:bookmarkStart w:id="191" w:name="_Toc94785388"/>
      <w:bookmarkStart w:id="192" w:name="_Toc261504897"/>
      <w:bookmarkStart w:id="193" w:name="_Toc266783336"/>
      <w:bookmarkStart w:id="194" w:name="_Toc360451380"/>
      <w:bookmarkStart w:id="195" w:name="_Toc412720500"/>
      <w:bookmarkStart w:id="196" w:name="_Toc412801022"/>
      <w:bookmarkStart w:id="197" w:name="_Toc73529082"/>
      <w:r w:rsidRPr="00610E3E">
        <w:rPr>
          <w:color w:val="201547"/>
          <w:sz w:val="32"/>
        </w:rPr>
        <w:t>5.</w:t>
      </w:r>
      <w:r w:rsidR="003B541C">
        <w:rPr>
          <w:color w:val="201547"/>
          <w:sz w:val="32"/>
        </w:rPr>
        <w:t>9</w:t>
      </w:r>
      <w:r w:rsidRPr="00610E3E">
        <w:rPr>
          <w:color w:val="201547"/>
          <w:sz w:val="32"/>
        </w:rPr>
        <w:tab/>
        <w:t xml:space="preserve">General notice to the </w:t>
      </w:r>
      <w:r w:rsidR="00082868" w:rsidRPr="00610E3E">
        <w:rPr>
          <w:color w:val="201547"/>
          <w:sz w:val="32"/>
        </w:rPr>
        <w:t xml:space="preserve">Victorian Department </w:t>
      </w:r>
      <w:r w:rsidR="007B12EC">
        <w:rPr>
          <w:color w:val="201547"/>
          <w:sz w:val="32"/>
        </w:rPr>
        <w:t xml:space="preserve">of </w:t>
      </w:r>
      <w:r w:rsidR="0007410E">
        <w:rPr>
          <w:color w:val="201547"/>
          <w:sz w:val="32"/>
        </w:rPr>
        <w:t>Families Fairness and Housing</w:t>
      </w:r>
      <w:bookmarkEnd w:id="191"/>
      <w:r w:rsidR="0007410E">
        <w:rPr>
          <w:color w:val="201547"/>
          <w:sz w:val="32"/>
        </w:rPr>
        <w:t xml:space="preserve"> </w:t>
      </w:r>
      <w:bookmarkEnd w:id="192"/>
      <w:bookmarkEnd w:id="193"/>
      <w:bookmarkEnd w:id="194"/>
      <w:bookmarkEnd w:id="195"/>
      <w:bookmarkEnd w:id="196"/>
      <w:bookmarkEnd w:id="197"/>
    </w:p>
    <w:p w14:paraId="45E8FBC4" w14:textId="77777777" w:rsidR="006C5ED3" w:rsidRPr="006C5ED3" w:rsidRDefault="006C5ED3" w:rsidP="007C6818">
      <w:pPr>
        <w:spacing w:before="100" w:beforeAutospacing="1" w:after="100" w:afterAutospacing="1"/>
        <w:ind w:left="567"/>
        <w:rPr>
          <w:rFonts w:ascii="Arial" w:hAnsi="Arial" w:cs="Arial"/>
        </w:rPr>
      </w:pPr>
      <w:r w:rsidRPr="006B737D">
        <w:rPr>
          <w:rFonts w:ascii="Arial" w:hAnsi="Arial" w:cs="Arial"/>
          <w:sz w:val="21"/>
          <w:szCs w:val="21"/>
        </w:rPr>
        <w:t xml:space="preserve">The funded </w:t>
      </w:r>
      <w:r w:rsidR="00082868" w:rsidRPr="006B737D">
        <w:rPr>
          <w:rFonts w:ascii="Arial" w:hAnsi="Arial" w:cs="Arial"/>
          <w:sz w:val="21"/>
          <w:szCs w:val="21"/>
        </w:rPr>
        <w:t xml:space="preserve">service provider </w:t>
      </w:r>
      <w:r w:rsidRPr="006B737D">
        <w:rPr>
          <w:rFonts w:ascii="Arial" w:hAnsi="Arial" w:cs="Arial"/>
          <w:sz w:val="21"/>
          <w:szCs w:val="21"/>
        </w:rPr>
        <w:t xml:space="preserve">is required to notify its </w:t>
      </w:r>
      <w:r w:rsidR="00082868" w:rsidRPr="006B737D">
        <w:rPr>
          <w:rFonts w:ascii="Arial" w:hAnsi="Arial" w:cs="Arial"/>
          <w:sz w:val="21"/>
          <w:szCs w:val="21"/>
        </w:rPr>
        <w:t xml:space="preserve">service agreement manager </w:t>
      </w:r>
      <w:r w:rsidRPr="006B737D">
        <w:rPr>
          <w:rFonts w:ascii="Arial" w:hAnsi="Arial" w:cs="Arial"/>
          <w:sz w:val="21"/>
          <w:szCs w:val="21"/>
        </w:rPr>
        <w:t>as soon as possible of any events that may prevent it from adhering to any of the terms and conditions agreed to in this document, or which in any way alters its ability to provide services as outlined in the document</w:t>
      </w:r>
      <w:r w:rsidR="00144F67" w:rsidRPr="006B737D">
        <w:rPr>
          <w:rFonts w:ascii="Arial" w:hAnsi="Arial" w:cs="Arial"/>
          <w:sz w:val="21"/>
          <w:szCs w:val="21"/>
        </w:rPr>
        <w:t xml:space="preserve"> and the service agreement with the department</w:t>
      </w:r>
      <w:r w:rsidRPr="006C5ED3">
        <w:rPr>
          <w:rFonts w:ascii="Arial" w:hAnsi="Arial" w:cs="Arial"/>
        </w:rPr>
        <w:t xml:space="preserve">. </w:t>
      </w:r>
    </w:p>
    <w:p w14:paraId="160F783B" w14:textId="26475994" w:rsidR="006C5ED3" w:rsidRPr="00610E3E" w:rsidRDefault="006C5ED3" w:rsidP="00610E3E">
      <w:pPr>
        <w:pStyle w:val="Heading2"/>
        <w:ind w:left="709" w:hanging="709"/>
        <w:rPr>
          <w:color w:val="201547"/>
          <w:sz w:val="32"/>
        </w:rPr>
      </w:pPr>
      <w:bookmarkStart w:id="198" w:name="_Toc261504898"/>
      <w:bookmarkStart w:id="199" w:name="_Toc266783337"/>
      <w:bookmarkStart w:id="200" w:name="_Toc360451381"/>
      <w:bookmarkStart w:id="201" w:name="_Toc412720501"/>
      <w:bookmarkStart w:id="202" w:name="_Toc412801023"/>
      <w:bookmarkStart w:id="203" w:name="_Toc73529083"/>
      <w:bookmarkStart w:id="204" w:name="_Toc94785389"/>
      <w:r w:rsidRPr="00610E3E">
        <w:rPr>
          <w:color w:val="201547"/>
          <w:sz w:val="32"/>
        </w:rPr>
        <w:t>5</w:t>
      </w:r>
      <w:r w:rsidR="003B541C">
        <w:rPr>
          <w:color w:val="201547"/>
          <w:sz w:val="32"/>
        </w:rPr>
        <w:t>.10</w:t>
      </w:r>
      <w:r w:rsidRPr="00610E3E">
        <w:rPr>
          <w:color w:val="201547"/>
          <w:sz w:val="32"/>
        </w:rPr>
        <w:tab/>
        <w:t>Access to documentation</w:t>
      </w:r>
      <w:bookmarkEnd w:id="198"/>
      <w:bookmarkEnd w:id="199"/>
      <w:bookmarkEnd w:id="200"/>
      <w:bookmarkEnd w:id="201"/>
      <w:bookmarkEnd w:id="202"/>
      <w:bookmarkEnd w:id="203"/>
      <w:bookmarkEnd w:id="204"/>
      <w:r w:rsidRPr="00610E3E">
        <w:rPr>
          <w:color w:val="201547"/>
          <w:sz w:val="32"/>
        </w:rPr>
        <w:t xml:space="preserve"> </w:t>
      </w:r>
    </w:p>
    <w:p w14:paraId="6A8423BB"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The funded </w:t>
      </w:r>
      <w:r w:rsidR="00082868" w:rsidRPr="006B737D">
        <w:rPr>
          <w:rFonts w:ascii="Arial" w:hAnsi="Arial" w:cs="Arial"/>
          <w:sz w:val="21"/>
          <w:szCs w:val="21"/>
        </w:rPr>
        <w:t>service provider</w:t>
      </w:r>
      <w:r w:rsidRPr="006B737D">
        <w:rPr>
          <w:rFonts w:ascii="Arial" w:hAnsi="Arial" w:cs="Arial"/>
          <w:sz w:val="21"/>
          <w:szCs w:val="21"/>
        </w:rPr>
        <w:t xml:space="preserve"> is required to provide the department with access to the service. The department agrees to endeavour to provide notification of intended access visits.</w:t>
      </w:r>
    </w:p>
    <w:p w14:paraId="6A5BB4E4" w14:textId="1A99D999" w:rsidR="006C5ED3" w:rsidRPr="006B737D" w:rsidRDefault="00082868"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The funded service provider</w:t>
      </w:r>
      <w:r w:rsidR="006C5ED3" w:rsidRPr="006B737D">
        <w:rPr>
          <w:rFonts w:ascii="Arial" w:hAnsi="Arial" w:cs="Arial"/>
          <w:sz w:val="21"/>
          <w:szCs w:val="21"/>
        </w:rPr>
        <w:t xml:space="preserve"> is required, if</w:t>
      </w:r>
      <w:r w:rsidRPr="006B737D">
        <w:rPr>
          <w:rFonts w:ascii="Arial" w:hAnsi="Arial" w:cs="Arial"/>
          <w:sz w:val="21"/>
          <w:szCs w:val="21"/>
        </w:rPr>
        <w:t xml:space="preserve"> requested by an authorised </w:t>
      </w:r>
      <w:r w:rsidR="006C5ED3" w:rsidRPr="006B737D">
        <w:rPr>
          <w:rFonts w:ascii="Arial" w:hAnsi="Arial" w:cs="Arial"/>
          <w:sz w:val="21"/>
          <w:szCs w:val="21"/>
        </w:rPr>
        <w:t>departmental officer, to provide:</w:t>
      </w:r>
    </w:p>
    <w:p w14:paraId="5B37879C" w14:textId="24AFD8D3" w:rsidR="006C5ED3" w:rsidRPr="006B737D" w:rsidRDefault="00082868"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lastRenderedPageBreak/>
        <w:t>c</w:t>
      </w:r>
      <w:r w:rsidR="006C5ED3" w:rsidRPr="006B737D">
        <w:rPr>
          <w:rFonts w:ascii="Arial" w:hAnsi="Arial" w:cs="Arial"/>
          <w:sz w:val="21"/>
          <w:szCs w:val="21"/>
          <w:lang w:val="en-US"/>
        </w:rPr>
        <w:t>urrent job descriptions fo</w:t>
      </w:r>
      <w:r w:rsidRPr="006B737D">
        <w:rPr>
          <w:rFonts w:ascii="Arial" w:hAnsi="Arial" w:cs="Arial"/>
          <w:sz w:val="21"/>
          <w:szCs w:val="21"/>
          <w:lang w:val="en-US"/>
        </w:rPr>
        <w:t>r all positions undertaking Program</w:t>
      </w:r>
      <w:r w:rsidR="006C5ED3" w:rsidRPr="006B737D">
        <w:rPr>
          <w:rFonts w:ascii="Arial" w:hAnsi="Arial" w:cs="Arial"/>
          <w:sz w:val="21"/>
          <w:szCs w:val="21"/>
          <w:lang w:val="en-US"/>
        </w:rPr>
        <w:t xml:space="preserve"> funded activities, which identify the funded tasks clearly related to the agr</w:t>
      </w:r>
      <w:r w:rsidRPr="006B737D">
        <w:rPr>
          <w:rFonts w:ascii="Arial" w:hAnsi="Arial" w:cs="Arial"/>
          <w:sz w:val="21"/>
          <w:szCs w:val="21"/>
          <w:lang w:val="en-US"/>
        </w:rPr>
        <w:t>eed objectives of the funded service provider</w:t>
      </w:r>
      <w:r w:rsidR="006C5ED3" w:rsidRPr="006B737D">
        <w:rPr>
          <w:rFonts w:ascii="Arial" w:hAnsi="Arial" w:cs="Arial"/>
          <w:sz w:val="21"/>
          <w:szCs w:val="21"/>
          <w:lang w:val="en-US"/>
        </w:rPr>
        <w:t>.</w:t>
      </w:r>
    </w:p>
    <w:p w14:paraId="7C5A6461" w14:textId="77777777" w:rsidR="006C5ED3" w:rsidRPr="006B737D" w:rsidRDefault="00082868"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t</w:t>
      </w:r>
      <w:r w:rsidR="006C5ED3" w:rsidRPr="006B737D">
        <w:rPr>
          <w:rFonts w:ascii="Arial" w:hAnsi="Arial" w:cs="Arial"/>
          <w:sz w:val="21"/>
          <w:szCs w:val="21"/>
          <w:lang w:val="en-US"/>
        </w:rPr>
        <w:t>he nam</w:t>
      </w:r>
      <w:r w:rsidRPr="006B737D">
        <w:rPr>
          <w:rFonts w:ascii="Arial" w:hAnsi="Arial" w:cs="Arial"/>
          <w:sz w:val="21"/>
          <w:szCs w:val="21"/>
          <w:lang w:val="en-US"/>
        </w:rPr>
        <w:t>es of workers employed with Program</w:t>
      </w:r>
      <w:r w:rsidR="006C5ED3" w:rsidRPr="006B737D">
        <w:rPr>
          <w:rFonts w:ascii="Arial" w:hAnsi="Arial" w:cs="Arial"/>
          <w:sz w:val="21"/>
          <w:szCs w:val="21"/>
          <w:lang w:val="en-US"/>
        </w:rPr>
        <w:t xml:space="preserve"> funding, notification that the workers are suitably qualified, and the commencement date and finishing date of each worker.</w:t>
      </w:r>
    </w:p>
    <w:p w14:paraId="32C9CEFB" w14:textId="77777777" w:rsidR="006C5ED3" w:rsidRPr="006B737D" w:rsidRDefault="006C5ED3"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The addresses of any client or office properties rented</w:t>
      </w:r>
      <w:r w:rsidR="00082868" w:rsidRPr="006B737D">
        <w:rPr>
          <w:rFonts w:ascii="Arial" w:hAnsi="Arial" w:cs="Arial"/>
          <w:sz w:val="21"/>
          <w:szCs w:val="21"/>
          <w:lang w:val="en-US"/>
        </w:rPr>
        <w:t xml:space="preserve"> with Program</w:t>
      </w:r>
      <w:r w:rsidRPr="006B737D">
        <w:rPr>
          <w:rFonts w:ascii="Arial" w:hAnsi="Arial" w:cs="Arial"/>
          <w:sz w:val="21"/>
          <w:szCs w:val="21"/>
          <w:lang w:val="en-US"/>
        </w:rPr>
        <w:t xml:space="preserve"> funds, the date of commencement of the rental period, amount of rental (and changes during the period) and the date of conclusion of the rental period.</w:t>
      </w:r>
    </w:p>
    <w:p w14:paraId="031642D6" w14:textId="77777777" w:rsidR="006C5ED3" w:rsidRPr="006B737D" w:rsidRDefault="006C5ED3" w:rsidP="007C6818">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The names and occupations of members of the management committee</w:t>
      </w:r>
      <w:r w:rsidR="00082868" w:rsidRPr="006B737D">
        <w:rPr>
          <w:rFonts w:ascii="Arial" w:hAnsi="Arial" w:cs="Arial"/>
          <w:sz w:val="21"/>
          <w:szCs w:val="21"/>
          <w:lang w:val="en-US"/>
        </w:rPr>
        <w:t xml:space="preserve"> or board</w:t>
      </w:r>
      <w:r w:rsidRPr="006B737D">
        <w:rPr>
          <w:rFonts w:ascii="Arial" w:hAnsi="Arial" w:cs="Arial"/>
          <w:sz w:val="21"/>
          <w:szCs w:val="21"/>
          <w:lang w:val="en-US"/>
        </w:rPr>
        <w:t>.</w:t>
      </w:r>
    </w:p>
    <w:p w14:paraId="080EC272"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The department agrees that all data received will be managed in accordance with the </w:t>
      </w:r>
      <w:r w:rsidR="00082868" w:rsidRPr="006B737D">
        <w:rPr>
          <w:rFonts w:ascii="Arial" w:hAnsi="Arial" w:cs="Arial"/>
          <w:i/>
          <w:sz w:val="21"/>
          <w:szCs w:val="21"/>
        </w:rPr>
        <w:t>Privacy and Data protection Act 2014</w:t>
      </w:r>
      <w:r w:rsidRPr="006B737D">
        <w:rPr>
          <w:rFonts w:ascii="Arial" w:hAnsi="Arial" w:cs="Arial"/>
          <w:i/>
          <w:sz w:val="21"/>
          <w:szCs w:val="21"/>
        </w:rPr>
        <w:t>.</w:t>
      </w:r>
    </w:p>
    <w:p w14:paraId="39463375" w14:textId="47434A4A" w:rsidR="006C5ED3" w:rsidRPr="00610E3E" w:rsidRDefault="006C5ED3" w:rsidP="00610E3E">
      <w:pPr>
        <w:pStyle w:val="Heading2"/>
        <w:ind w:left="709" w:hanging="709"/>
        <w:rPr>
          <w:color w:val="201547"/>
          <w:sz w:val="32"/>
        </w:rPr>
      </w:pPr>
      <w:bookmarkStart w:id="205" w:name="_Toc261504899"/>
      <w:bookmarkStart w:id="206" w:name="_Toc360451382"/>
      <w:bookmarkStart w:id="207" w:name="_Toc412720502"/>
      <w:bookmarkStart w:id="208" w:name="_Toc412801024"/>
      <w:bookmarkStart w:id="209" w:name="_Toc73529084"/>
      <w:bookmarkStart w:id="210" w:name="_Toc94785390"/>
      <w:r w:rsidRPr="00610E3E">
        <w:rPr>
          <w:color w:val="201547"/>
          <w:sz w:val="32"/>
        </w:rPr>
        <w:t>5.1</w:t>
      </w:r>
      <w:r w:rsidR="003B541C">
        <w:rPr>
          <w:color w:val="201547"/>
          <w:sz w:val="32"/>
        </w:rPr>
        <w:t>1</w:t>
      </w:r>
      <w:r w:rsidRPr="00610E3E">
        <w:rPr>
          <w:color w:val="201547"/>
          <w:sz w:val="32"/>
        </w:rPr>
        <w:t xml:space="preserve"> Advance notice of service suspension/closure</w:t>
      </w:r>
      <w:bookmarkEnd w:id="205"/>
      <w:bookmarkEnd w:id="206"/>
      <w:bookmarkEnd w:id="207"/>
      <w:bookmarkEnd w:id="208"/>
      <w:bookmarkEnd w:id="209"/>
      <w:bookmarkEnd w:id="210"/>
    </w:p>
    <w:p w14:paraId="08AFD2EE" w14:textId="77777777" w:rsidR="00D52A7B" w:rsidRPr="00D52A7B" w:rsidRDefault="0007410E" w:rsidP="00EA0CC7">
      <w:pPr>
        <w:pStyle w:val="Body"/>
        <w:ind w:left="567"/>
      </w:pPr>
      <w:bookmarkStart w:id="211" w:name="_Toc90904070"/>
      <w:r w:rsidRPr="00D52A7B">
        <w:t>Refer to service agreement</w:t>
      </w:r>
      <w:bookmarkEnd w:id="211"/>
      <w:r w:rsidRPr="00D52A7B">
        <w:t xml:space="preserve"> </w:t>
      </w:r>
      <w:bookmarkStart w:id="212" w:name="_Toc261504900"/>
      <w:bookmarkStart w:id="213" w:name="_Toc266783338"/>
      <w:bookmarkStart w:id="214" w:name="_Toc360451383"/>
      <w:bookmarkStart w:id="215" w:name="_Toc412720503"/>
      <w:bookmarkStart w:id="216" w:name="_Toc412801025"/>
      <w:bookmarkStart w:id="217" w:name="_Toc73529085"/>
    </w:p>
    <w:p w14:paraId="08B75713" w14:textId="5D831454" w:rsidR="006C5ED3" w:rsidRPr="00610E3E" w:rsidRDefault="006C5ED3" w:rsidP="00610E3E">
      <w:pPr>
        <w:pStyle w:val="Heading2"/>
        <w:ind w:left="709" w:hanging="709"/>
        <w:rPr>
          <w:color w:val="201547"/>
          <w:sz w:val="32"/>
        </w:rPr>
      </w:pPr>
      <w:bookmarkStart w:id="218" w:name="_Toc94785391"/>
      <w:r w:rsidRPr="00610E3E">
        <w:rPr>
          <w:color w:val="201547"/>
          <w:sz w:val="32"/>
        </w:rPr>
        <w:t>5.1</w:t>
      </w:r>
      <w:r w:rsidR="003B541C">
        <w:rPr>
          <w:color w:val="201547"/>
          <w:sz w:val="32"/>
        </w:rPr>
        <w:t>2</w:t>
      </w:r>
      <w:r w:rsidRPr="00610E3E">
        <w:rPr>
          <w:color w:val="201547"/>
          <w:sz w:val="32"/>
        </w:rPr>
        <w:t xml:space="preserve"> Transfers of funding</w:t>
      </w:r>
      <w:bookmarkEnd w:id="212"/>
      <w:bookmarkEnd w:id="213"/>
      <w:bookmarkEnd w:id="214"/>
      <w:bookmarkEnd w:id="215"/>
      <w:bookmarkEnd w:id="216"/>
      <w:bookmarkEnd w:id="217"/>
      <w:bookmarkEnd w:id="218"/>
    </w:p>
    <w:p w14:paraId="2C7AEEAF" w14:textId="03FFF766" w:rsidR="00AD081E" w:rsidRPr="006B737D" w:rsidRDefault="00AD081E" w:rsidP="00AD081E">
      <w:pPr>
        <w:spacing w:before="100" w:beforeAutospacing="1" w:after="100" w:afterAutospacing="1"/>
        <w:ind w:left="567"/>
        <w:rPr>
          <w:rFonts w:ascii="Arial" w:hAnsi="Arial" w:cs="Arial"/>
          <w:sz w:val="21"/>
          <w:szCs w:val="21"/>
        </w:rPr>
      </w:pPr>
      <w:r w:rsidRPr="006B737D">
        <w:rPr>
          <w:rFonts w:ascii="Arial" w:hAnsi="Arial" w:cs="Arial"/>
          <w:sz w:val="21"/>
          <w:szCs w:val="21"/>
        </w:rPr>
        <w:t>Should a funded service provider wish to relinquish all</w:t>
      </w:r>
      <w:r w:rsidR="00000324">
        <w:rPr>
          <w:rFonts w:ascii="Arial" w:hAnsi="Arial" w:cs="Arial"/>
          <w:sz w:val="21"/>
          <w:szCs w:val="21"/>
        </w:rPr>
        <w:t xml:space="preserve">, </w:t>
      </w:r>
      <w:r w:rsidRPr="006B737D">
        <w:rPr>
          <w:rFonts w:ascii="Arial" w:hAnsi="Arial" w:cs="Arial"/>
          <w:sz w:val="21"/>
          <w:szCs w:val="21"/>
        </w:rPr>
        <w:t xml:space="preserve">or particular activities of Program funding must contact the department as soon as possible and well in advance of the expected date of relinquishment. </w:t>
      </w:r>
    </w:p>
    <w:p w14:paraId="5C4DE31D" w14:textId="08CA7981" w:rsidR="00746411" w:rsidRDefault="00AD081E" w:rsidP="00746411">
      <w:pPr>
        <w:ind w:left="567"/>
        <w:rPr>
          <w:rFonts w:ascii="Calibri" w:hAnsi="Calibri"/>
        </w:rPr>
      </w:pPr>
      <w:r w:rsidRPr="006B737D">
        <w:rPr>
          <w:rFonts w:ascii="Arial" w:hAnsi="Arial" w:cs="Arial"/>
          <w:sz w:val="21"/>
          <w:szCs w:val="21"/>
        </w:rPr>
        <w:t xml:space="preserve">Where organisations want to merge or one organisation wants to acquire another organisation the organisations must follow the steps provided in the </w:t>
      </w:r>
      <w:hyperlink r:id="rId32" w:history="1">
        <w:r w:rsidR="00746411" w:rsidRPr="003173B4">
          <w:rPr>
            <w:rStyle w:val="Hyperlink"/>
            <w:rFonts w:ascii="Arial" w:hAnsi="Arial" w:cs="Arial"/>
            <w:i/>
            <w:sz w:val="21"/>
            <w:szCs w:val="21"/>
          </w:rPr>
          <w:t>Guidelines for funded organisations proposing a change in control, a merger, or an acquisition</w:t>
        </w:r>
      </w:hyperlink>
      <w:r w:rsidR="00746411">
        <w:rPr>
          <w:rStyle w:val="Hyperlink"/>
          <w:rFonts w:ascii="Arial" w:hAnsi="Arial" w:cs="Arial"/>
          <w:iCs/>
          <w:sz w:val="21"/>
          <w:szCs w:val="21"/>
        </w:rPr>
        <w:t xml:space="preserve"> </w:t>
      </w:r>
      <w:r w:rsidR="00746411" w:rsidRPr="00746411">
        <w:rPr>
          <w:rStyle w:val="BodyChar"/>
        </w:rPr>
        <w:t>&lt;https://fac.dffh.vic.gov.au/guidelines-funded-organisations-proposing-change-control-merger-or-acquisition</w:t>
      </w:r>
      <w:r w:rsidR="00746411" w:rsidRPr="00746411">
        <w:rPr>
          <w:rStyle w:val="BodyChar"/>
          <w:rFonts w:eastAsia="Times New Roman" w:cs="Arial"/>
          <w:szCs w:val="21"/>
        </w:rPr>
        <w:t xml:space="preserve"> </w:t>
      </w:r>
      <w:r w:rsidR="00746411">
        <w:rPr>
          <w:rStyle w:val="BodyChar"/>
        </w:rPr>
        <w:t>&gt;</w:t>
      </w:r>
      <w:r w:rsidR="00746411">
        <w:rPr>
          <w:rFonts w:ascii="Arial" w:hAnsi="Arial" w:cs="Arial"/>
          <w:sz w:val="21"/>
          <w:szCs w:val="21"/>
        </w:rPr>
        <w:t xml:space="preserve"> and complete the </w:t>
      </w:r>
    </w:p>
    <w:p w14:paraId="330EC4A6" w14:textId="77777777" w:rsidR="00746411" w:rsidRPr="003173B4" w:rsidRDefault="004B46A4" w:rsidP="00746411">
      <w:pPr>
        <w:ind w:left="567"/>
        <w:rPr>
          <w:rFonts w:ascii="Calibri" w:hAnsi="Calibri"/>
          <w:i/>
          <w:iCs/>
        </w:rPr>
      </w:pPr>
      <w:hyperlink r:id="rId33" w:history="1">
        <w:r w:rsidR="00746411" w:rsidRPr="003173B4">
          <w:rPr>
            <w:rStyle w:val="Hyperlink"/>
            <w:rFonts w:ascii="Arial" w:hAnsi="Arial" w:cs="Arial"/>
            <w:i/>
            <w:iCs/>
            <w:sz w:val="21"/>
            <w:szCs w:val="21"/>
          </w:rPr>
          <w:t xml:space="preserve">Questionnaire for funded organisations proposing a change in control, a merger, or an acquisition </w:t>
        </w:r>
      </w:hyperlink>
    </w:p>
    <w:p w14:paraId="589AEA79" w14:textId="77777777" w:rsidR="00746411" w:rsidRPr="00A31972" w:rsidRDefault="00746411" w:rsidP="00746411">
      <w:pPr>
        <w:pStyle w:val="Body"/>
        <w:ind w:left="567"/>
      </w:pPr>
      <w:r>
        <w:t>&lt;</w:t>
      </w:r>
      <w:r w:rsidRPr="003173B4">
        <w:t>https://fac.dffh.vic.gov.au/questionnaire-funded-organisations-proposing-change-control-merger-or-acquisition</w:t>
      </w:r>
      <w:r>
        <w:t>&gt;</w:t>
      </w:r>
    </w:p>
    <w:p w14:paraId="7C943AA2" w14:textId="04A822D3" w:rsidR="005E49C0"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Should a funded </w:t>
      </w:r>
      <w:r w:rsidR="00E62C5D" w:rsidRPr="006B737D">
        <w:rPr>
          <w:rFonts w:ascii="Arial" w:hAnsi="Arial" w:cs="Arial"/>
          <w:sz w:val="21"/>
          <w:szCs w:val="21"/>
        </w:rPr>
        <w:t xml:space="preserve">service provider </w:t>
      </w:r>
      <w:r w:rsidRPr="006B737D">
        <w:rPr>
          <w:rFonts w:ascii="Arial" w:hAnsi="Arial" w:cs="Arial"/>
          <w:sz w:val="21"/>
          <w:szCs w:val="21"/>
        </w:rPr>
        <w:t>wish to relinquish all</w:t>
      </w:r>
      <w:r w:rsidR="00AD081E">
        <w:rPr>
          <w:rFonts w:ascii="Arial" w:hAnsi="Arial" w:cs="Arial"/>
          <w:sz w:val="21"/>
          <w:szCs w:val="21"/>
        </w:rPr>
        <w:t>,</w:t>
      </w:r>
      <w:r w:rsidRPr="006B737D">
        <w:rPr>
          <w:rFonts w:ascii="Arial" w:hAnsi="Arial" w:cs="Arial"/>
          <w:sz w:val="21"/>
          <w:szCs w:val="21"/>
        </w:rPr>
        <w:t xml:space="preserve"> or particular activities of P</w:t>
      </w:r>
      <w:r w:rsidR="00E62C5D" w:rsidRPr="006B737D">
        <w:rPr>
          <w:rFonts w:ascii="Arial" w:hAnsi="Arial" w:cs="Arial"/>
          <w:sz w:val="21"/>
          <w:szCs w:val="21"/>
        </w:rPr>
        <w:t>rogram funding</w:t>
      </w:r>
      <w:r w:rsidRPr="006B737D">
        <w:rPr>
          <w:rFonts w:ascii="Arial" w:hAnsi="Arial" w:cs="Arial"/>
          <w:sz w:val="21"/>
          <w:szCs w:val="21"/>
        </w:rPr>
        <w:t xml:space="preserve"> </w:t>
      </w:r>
      <w:r w:rsidR="00AD081E">
        <w:rPr>
          <w:rFonts w:ascii="Arial" w:hAnsi="Arial" w:cs="Arial"/>
          <w:sz w:val="21"/>
          <w:szCs w:val="21"/>
        </w:rPr>
        <w:t xml:space="preserve">the organisation </w:t>
      </w:r>
      <w:r w:rsidR="005E49C0" w:rsidRPr="006B737D">
        <w:rPr>
          <w:rFonts w:ascii="Arial" w:hAnsi="Arial" w:cs="Arial"/>
          <w:sz w:val="21"/>
          <w:szCs w:val="21"/>
        </w:rPr>
        <w:t xml:space="preserve">must </w:t>
      </w:r>
      <w:r w:rsidRPr="006B737D">
        <w:rPr>
          <w:rFonts w:ascii="Arial" w:hAnsi="Arial" w:cs="Arial"/>
          <w:sz w:val="21"/>
          <w:szCs w:val="21"/>
        </w:rPr>
        <w:t>contact the department as soon as possible and well in advance of the expected date of relinquishment</w:t>
      </w:r>
      <w:r w:rsidR="00A30410">
        <w:rPr>
          <w:rFonts w:ascii="Arial" w:hAnsi="Arial" w:cs="Arial"/>
          <w:sz w:val="21"/>
          <w:szCs w:val="21"/>
        </w:rPr>
        <w:t xml:space="preserve">, refer to the organisation’s Service Agreement and the Service agreement </w:t>
      </w:r>
      <w:r w:rsidR="000A1F1E">
        <w:rPr>
          <w:rFonts w:ascii="Arial" w:hAnsi="Arial" w:cs="Arial"/>
          <w:sz w:val="21"/>
          <w:szCs w:val="21"/>
        </w:rPr>
        <w:t>r</w:t>
      </w:r>
      <w:r w:rsidR="00A30410">
        <w:rPr>
          <w:rFonts w:ascii="Arial" w:hAnsi="Arial" w:cs="Arial"/>
          <w:sz w:val="21"/>
          <w:szCs w:val="21"/>
        </w:rPr>
        <w:t xml:space="preserve">equirements </w:t>
      </w:r>
      <w:r w:rsidRPr="006B737D">
        <w:rPr>
          <w:rFonts w:ascii="Arial" w:hAnsi="Arial" w:cs="Arial"/>
          <w:sz w:val="21"/>
          <w:szCs w:val="21"/>
        </w:rPr>
        <w:t xml:space="preserve"> </w:t>
      </w:r>
      <w:r w:rsidR="00144F67" w:rsidRPr="006B737D">
        <w:rPr>
          <w:rFonts w:ascii="Arial" w:hAnsi="Arial" w:cs="Arial"/>
          <w:sz w:val="21"/>
          <w:szCs w:val="21"/>
        </w:rPr>
        <w:t>Approval for</w:t>
      </w:r>
      <w:r w:rsidRPr="006B737D">
        <w:rPr>
          <w:rFonts w:ascii="Arial" w:hAnsi="Arial" w:cs="Arial"/>
          <w:sz w:val="21"/>
          <w:szCs w:val="21"/>
        </w:rPr>
        <w:t xml:space="preserve"> funding a new </w:t>
      </w:r>
      <w:r w:rsidR="00144F67" w:rsidRPr="006B737D">
        <w:rPr>
          <w:rFonts w:ascii="Arial" w:hAnsi="Arial" w:cs="Arial"/>
          <w:sz w:val="21"/>
          <w:szCs w:val="21"/>
        </w:rPr>
        <w:t>service provider/</w:t>
      </w:r>
      <w:r w:rsidRPr="006B737D">
        <w:rPr>
          <w:rFonts w:ascii="Arial" w:hAnsi="Arial" w:cs="Arial"/>
          <w:sz w:val="21"/>
          <w:szCs w:val="21"/>
        </w:rPr>
        <w:t xml:space="preserve">auspice is the responsibility of the delegated officer as specified in the </w:t>
      </w:r>
      <w:r w:rsidRPr="006B737D">
        <w:rPr>
          <w:rFonts w:ascii="Arial" w:hAnsi="Arial" w:cs="Arial"/>
          <w:i/>
          <w:sz w:val="21"/>
          <w:szCs w:val="21"/>
        </w:rPr>
        <w:t>Housing Act instrument of delegation</w:t>
      </w:r>
      <w:r w:rsidRPr="006B737D">
        <w:rPr>
          <w:rFonts w:ascii="Arial" w:hAnsi="Arial" w:cs="Arial"/>
          <w:sz w:val="21"/>
          <w:szCs w:val="21"/>
        </w:rPr>
        <w:t>.</w:t>
      </w:r>
      <w:r w:rsidR="00144F67" w:rsidRPr="006B737D">
        <w:rPr>
          <w:rFonts w:ascii="Arial" w:hAnsi="Arial" w:cs="Arial"/>
          <w:sz w:val="21"/>
          <w:szCs w:val="21"/>
        </w:rPr>
        <w:t xml:space="preserve"> </w:t>
      </w:r>
    </w:p>
    <w:p w14:paraId="02496303" w14:textId="77777777"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rPr>
        <w:t xml:space="preserve">Should a funded </w:t>
      </w:r>
      <w:r w:rsidR="00E62C5D" w:rsidRPr="006B737D">
        <w:rPr>
          <w:rFonts w:ascii="Arial" w:hAnsi="Arial" w:cs="Arial"/>
          <w:sz w:val="21"/>
          <w:szCs w:val="21"/>
        </w:rPr>
        <w:t xml:space="preserve">service provider </w:t>
      </w:r>
      <w:r w:rsidRPr="006B737D">
        <w:rPr>
          <w:rFonts w:ascii="Arial" w:hAnsi="Arial" w:cs="Arial"/>
          <w:sz w:val="21"/>
          <w:szCs w:val="21"/>
        </w:rPr>
        <w:t>decide to relinquish all, or particular activities, of P</w:t>
      </w:r>
      <w:r w:rsidR="00E62C5D" w:rsidRPr="006B737D">
        <w:rPr>
          <w:rFonts w:ascii="Arial" w:hAnsi="Arial" w:cs="Arial"/>
          <w:sz w:val="21"/>
          <w:szCs w:val="21"/>
        </w:rPr>
        <w:t xml:space="preserve">rogram </w:t>
      </w:r>
      <w:r w:rsidRPr="006B737D">
        <w:rPr>
          <w:rFonts w:ascii="Arial" w:hAnsi="Arial" w:cs="Arial"/>
          <w:sz w:val="21"/>
          <w:szCs w:val="21"/>
        </w:rPr>
        <w:t xml:space="preserve">funds, the funded </w:t>
      </w:r>
      <w:r w:rsidR="00E62C5D" w:rsidRPr="006B737D">
        <w:rPr>
          <w:rFonts w:ascii="Arial" w:hAnsi="Arial" w:cs="Arial"/>
          <w:sz w:val="21"/>
          <w:szCs w:val="21"/>
        </w:rPr>
        <w:t xml:space="preserve">service provider </w:t>
      </w:r>
      <w:r w:rsidRPr="006B737D">
        <w:rPr>
          <w:rFonts w:ascii="Arial" w:hAnsi="Arial" w:cs="Arial"/>
          <w:sz w:val="21"/>
          <w:szCs w:val="21"/>
        </w:rPr>
        <w:t xml:space="preserve">is required to co-operate with the department and any organisation to which the funds are being transferred so that the transfer can proceed as smoothly as possible with minimal disruption to service users. The funded </w:t>
      </w:r>
      <w:r w:rsidR="00E62C5D" w:rsidRPr="006B737D">
        <w:rPr>
          <w:rFonts w:ascii="Arial" w:hAnsi="Arial" w:cs="Arial"/>
          <w:sz w:val="21"/>
          <w:szCs w:val="21"/>
        </w:rPr>
        <w:t xml:space="preserve">service provider </w:t>
      </w:r>
      <w:r w:rsidRPr="006B737D">
        <w:rPr>
          <w:rFonts w:ascii="Arial" w:hAnsi="Arial" w:cs="Arial"/>
          <w:sz w:val="21"/>
          <w:szCs w:val="21"/>
        </w:rPr>
        <w:t>is required to transfer funds and all assets purchased with the P</w:t>
      </w:r>
      <w:r w:rsidR="00E62C5D" w:rsidRPr="006B737D">
        <w:rPr>
          <w:rFonts w:ascii="Arial" w:hAnsi="Arial" w:cs="Arial"/>
          <w:sz w:val="21"/>
          <w:szCs w:val="21"/>
        </w:rPr>
        <w:t xml:space="preserve">rogram </w:t>
      </w:r>
      <w:r w:rsidRPr="006B737D">
        <w:rPr>
          <w:rFonts w:ascii="Arial" w:hAnsi="Arial" w:cs="Arial"/>
          <w:sz w:val="21"/>
          <w:szCs w:val="21"/>
        </w:rPr>
        <w:t>funds along with uncommitted funds for all the P</w:t>
      </w:r>
      <w:r w:rsidR="00E62C5D" w:rsidRPr="006B737D">
        <w:rPr>
          <w:rFonts w:ascii="Arial" w:hAnsi="Arial" w:cs="Arial"/>
          <w:sz w:val="21"/>
          <w:szCs w:val="21"/>
        </w:rPr>
        <w:t>rogram</w:t>
      </w:r>
      <w:r w:rsidRPr="006B737D">
        <w:rPr>
          <w:rFonts w:ascii="Arial" w:hAnsi="Arial" w:cs="Arial"/>
          <w:sz w:val="21"/>
          <w:szCs w:val="21"/>
        </w:rPr>
        <w:t xml:space="preserve"> activities involved</w:t>
      </w:r>
      <w:r w:rsidR="005E49C0" w:rsidRPr="006B737D">
        <w:rPr>
          <w:rFonts w:ascii="Arial" w:hAnsi="Arial" w:cs="Arial"/>
          <w:sz w:val="21"/>
          <w:szCs w:val="21"/>
        </w:rPr>
        <w:t xml:space="preserve"> and </w:t>
      </w:r>
      <w:r w:rsidRPr="006B737D">
        <w:rPr>
          <w:rFonts w:ascii="Arial" w:hAnsi="Arial" w:cs="Arial"/>
          <w:sz w:val="21"/>
          <w:szCs w:val="21"/>
        </w:rPr>
        <w:t>an audited statement of uncommitted funds and its assets register to the department prior to the transfer.</w:t>
      </w:r>
    </w:p>
    <w:p w14:paraId="54682C7A" w14:textId="2BA0B9C4" w:rsidR="006C5ED3" w:rsidRPr="00610E3E" w:rsidRDefault="006C5ED3" w:rsidP="00610E3E">
      <w:pPr>
        <w:pStyle w:val="Heading2"/>
        <w:ind w:left="709" w:hanging="709"/>
        <w:rPr>
          <w:color w:val="201547"/>
          <w:sz w:val="32"/>
        </w:rPr>
      </w:pPr>
      <w:bookmarkStart w:id="219" w:name="_Toc261504901"/>
      <w:bookmarkStart w:id="220" w:name="_Toc266783339"/>
      <w:bookmarkStart w:id="221" w:name="_Toc360451384"/>
      <w:bookmarkStart w:id="222" w:name="_Toc412720504"/>
      <w:bookmarkStart w:id="223" w:name="_Toc412801026"/>
      <w:bookmarkStart w:id="224" w:name="_Toc73529086"/>
      <w:bookmarkStart w:id="225" w:name="_Toc94785392"/>
      <w:r w:rsidRPr="00610E3E">
        <w:rPr>
          <w:color w:val="201547"/>
          <w:sz w:val="32"/>
        </w:rPr>
        <w:t>5.1</w:t>
      </w:r>
      <w:r w:rsidR="003B541C">
        <w:rPr>
          <w:color w:val="201547"/>
          <w:sz w:val="32"/>
        </w:rPr>
        <w:t>3</w:t>
      </w:r>
      <w:r w:rsidRPr="00610E3E">
        <w:rPr>
          <w:color w:val="201547"/>
          <w:sz w:val="32"/>
        </w:rPr>
        <w:t xml:space="preserve"> Service amalgamation</w:t>
      </w:r>
      <w:bookmarkEnd w:id="219"/>
      <w:bookmarkEnd w:id="220"/>
      <w:bookmarkEnd w:id="221"/>
      <w:bookmarkEnd w:id="222"/>
      <w:bookmarkEnd w:id="223"/>
      <w:bookmarkEnd w:id="224"/>
      <w:bookmarkEnd w:id="225"/>
    </w:p>
    <w:p w14:paraId="28BECAA8" w14:textId="167F03DD" w:rsidR="00A31972" w:rsidRDefault="006C5ED3" w:rsidP="00AD081E">
      <w:pPr>
        <w:ind w:left="567"/>
        <w:rPr>
          <w:rFonts w:ascii="Calibri" w:hAnsi="Calibri"/>
        </w:rPr>
      </w:pPr>
      <w:r w:rsidRPr="006B737D">
        <w:rPr>
          <w:rFonts w:ascii="Arial" w:hAnsi="Arial" w:cs="Arial"/>
          <w:sz w:val="21"/>
          <w:szCs w:val="21"/>
        </w:rPr>
        <w:t xml:space="preserve">Where two or more </w:t>
      </w:r>
      <w:r w:rsidR="00E62C5D" w:rsidRPr="006B737D">
        <w:rPr>
          <w:rFonts w:ascii="Arial" w:hAnsi="Arial" w:cs="Arial"/>
          <w:sz w:val="21"/>
          <w:szCs w:val="21"/>
        </w:rPr>
        <w:t xml:space="preserve">funded service providers </w:t>
      </w:r>
      <w:r w:rsidRPr="006B737D">
        <w:rPr>
          <w:rFonts w:ascii="Arial" w:hAnsi="Arial" w:cs="Arial"/>
          <w:sz w:val="21"/>
          <w:szCs w:val="21"/>
        </w:rPr>
        <w:t xml:space="preserve">wish to consolidate their funded service </w:t>
      </w:r>
      <w:r w:rsidR="00E62C5D" w:rsidRPr="006B737D">
        <w:rPr>
          <w:rFonts w:ascii="Arial" w:hAnsi="Arial" w:cs="Arial"/>
          <w:sz w:val="21"/>
          <w:szCs w:val="21"/>
        </w:rPr>
        <w:t xml:space="preserve">activities under one current service provider </w:t>
      </w:r>
      <w:r w:rsidRPr="006B737D">
        <w:rPr>
          <w:rFonts w:ascii="Arial" w:hAnsi="Arial" w:cs="Arial"/>
          <w:sz w:val="21"/>
          <w:szCs w:val="21"/>
        </w:rPr>
        <w:t xml:space="preserve">or by forming a new </w:t>
      </w:r>
      <w:r w:rsidR="00E62C5D" w:rsidRPr="006B737D">
        <w:rPr>
          <w:rFonts w:ascii="Arial" w:hAnsi="Arial" w:cs="Arial"/>
          <w:sz w:val="21"/>
          <w:szCs w:val="21"/>
        </w:rPr>
        <w:t xml:space="preserve">organisation </w:t>
      </w:r>
      <w:r w:rsidRPr="006B737D">
        <w:rPr>
          <w:rFonts w:ascii="Arial" w:hAnsi="Arial" w:cs="Arial"/>
          <w:sz w:val="21"/>
          <w:szCs w:val="21"/>
        </w:rPr>
        <w:t xml:space="preserve">they should contact their </w:t>
      </w:r>
      <w:r w:rsidR="00E62C5D" w:rsidRPr="006B737D">
        <w:rPr>
          <w:rFonts w:ascii="Arial" w:hAnsi="Arial" w:cs="Arial"/>
          <w:sz w:val="21"/>
          <w:szCs w:val="21"/>
        </w:rPr>
        <w:t xml:space="preserve">service agreement manager </w:t>
      </w:r>
      <w:r w:rsidR="0019161F" w:rsidRPr="00314B4A">
        <w:rPr>
          <w:rStyle w:val="BodyChar"/>
        </w:rPr>
        <w:t>the  funded organisations must notify the department’s service agreement manager, refer to the organisation’s department service agreement and the department’s Service agreement requirements</w:t>
      </w:r>
      <w:r w:rsidR="00A31972" w:rsidRPr="00314B4A">
        <w:rPr>
          <w:rStyle w:val="BodyChar"/>
        </w:rPr>
        <w:t xml:space="preserve">, the </w:t>
      </w:r>
      <w:hyperlink r:id="rId34" w:history="1">
        <w:r w:rsidR="00A31972" w:rsidRPr="003173B4">
          <w:rPr>
            <w:rStyle w:val="Hyperlink"/>
            <w:rFonts w:ascii="Arial" w:hAnsi="Arial" w:cs="Arial"/>
            <w:i/>
            <w:sz w:val="21"/>
            <w:szCs w:val="21"/>
          </w:rPr>
          <w:t xml:space="preserve">Guidelines for funded organisations </w:t>
        </w:r>
        <w:r w:rsidR="00A31972" w:rsidRPr="003173B4">
          <w:rPr>
            <w:rStyle w:val="Hyperlink"/>
            <w:rFonts w:ascii="Arial" w:hAnsi="Arial" w:cs="Arial"/>
            <w:i/>
            <w:sz w:val="21"/>
            <w:szCs w:val="21"/>
          </w:rPr>
          <w:lastRenderedPageBreak/>
          <w:t>proposing a change in control, a merger, or an acquisition</w:t>
        </w:r>
      </w:hyperlink>
      <w:r w:rsidR="0019161F">
        <w:rPr>
          <w:rStyle w:val="Hyperlink"/>
          <w:rFonts w:ascii="Arial" w:hAnsi="Arial" w:cs="Arial"/>
          <w:iCs/>
          <w:sz w:val="21"/>
          <w:szCs w:val="21"/>
        </w:rPr>
        <w:t xml:space="preserve"> </w:t>
      </w:r>
      <w:r w:rsidR="00A31972" w:rsidRPr="00314B4A">
        <w:rPr>
          <w:rStyle w:val="BodyChar"/>
        </w:rPr>
        <w:t>&lt;</w:t>
      </w:r>
      <w:r w:rsidR="003173B4" w:rsidRPr="003173B4">
        <w:rPr>
          <w:rStyle w:val="BodyChar"/>
        </w:rPr>
        <w:t>https://fac.dffh.vic.gov.au/guidelines-funded-organisations-proposing-change-control-merger-or-acquisition</w:t>
      </w:r>
      <w:r w:rsidR="003173B4" w:rsidRPr="00A31972">
        <w:rPr>
          <w:rFonts w:ascii="Arial" w:hAnsi="Arial" w:cs="Arial"/>
          <w:sz w:val="21"/>
          <w:szCs w:val="21"/>
        </w:rPr>
        <w:t xml:space="preserve"> </w:t>
      </w:r>
      <w:r w:rsidR="00A31972" w:rsidRPr="00A31972">
        <w:rPr>
          <w:rFonts w:ascii="Arial" w:hAnsi="Arial" w:cs="Arial"/>
          <w:sz w:val="21"/>
          <w:szCs w:val="21"/>
        </w:rPr>
        <w:t xml:space="preserve">&gt; </w:t>
      </w:r>
      <w:r w:rsidR="00A31972">
        <w:rPr>
          <w:rFonts w:ascii="Arial" w:hAnsi="Arial" w:cs="Arial"/>
          <w:sz w:val="21"/>
          <w:szCs w:val="21"/>
        </w:rPr>
        <w:t>and</w:t>
      </w:r>
      <w:r w:rsidR="00D52A7B">
        <w:rPr>
          <w:rFonts w:ascii="Arial" w:hAnsi="Arial" w:cs="Arial"/>
          <w:sz w:val="21"/>
          <w:szCs w:val="21"/>
        </w:rPr>
        <w:t xml:space="preserve"> complete </w:t>
      </w:r>
      <w:r w:rsidR="00A31972">
        <w:rPr>
          <w:rFonts w:ascii="Arial" w:hAnsi="Arial" w:cs="Arial"/>
          <w:sz w:val="21"/>
          <w:szCs w:val="21"/>
        </w:rPr>
        <w:t xml:space="preserve">the </w:t>
      </w:r>
    </w:p>
    <w:p w14:paraId="4791AC02" w14:textId="3A26B6A2" w:rsidR="00A31972" w:rsidRPr="003173B4" w:rsidRDefault="004B46A4" w:rsidP="00AD081E">
      <w:pPr>
        <w:ind w:left="567"/>
        <w:rPr>
          <w:rFonts w:ascii="Calibri" w:hAnsi="Calibri"/>
          <w:i/>
          <w:iCs/>
        </w:rPr>
      </w:pPr>
      <w:hyperlink r:id="rId35" w:history="1">
        <w:r w:rsidR="00A31972" w:rsidRPr="003173B4">
          <w:rPr>
            <w:rStyle w:val="Hyperlink"/>
            <w:rFonts w:ascii="Arial" w:hAnsi="Arial" w:cs="Arial"/>
            <w:i/>
            <w:iCs/>
            <w:sz w:val="21"/>
            <w:szCs w:val="21"/>
          </w:rPr>
          <w:t xml:space="preserve">Questionnaire for funded organisations proposing a change in control, a merger, or an acquisition </w:t>
        </w:r>
      </w:hyperlink>
    </w:p>
    <w:p w14:paraId="3A80A7F6" w14:textId="43CB14C6" w:rsidR="00A31972" w:rsidRPr="00A31972" w:rsidRDefault="00314B4A" w:rsidP="00314B4A">
      <w:pPr>
        <w:pStyle w:val="Body"/>
        <w:ind w:left="567"/>
      </w:pPr>
      <w:r>
        <w:t>&lt;</w:t>
      </w:r>
      <w:r w:rsidR="003173B4" w:rsidRPr="003173B4">
        <w:t>https://fac.dffh.vic.gov.au/questionnaire-funded-organisations-proposing-change-control-merger-or-acquisition</w:t>
      </w:r>
      <w:r w:rsidR="00A31972">
        <w:t>&gt;</w:t>
      </w:r>
    </w:p>
    <w:p w14:paraId="3A714475" w14:textId="74B85D09" w:rsidR="00A31972" w:rsidRPr="00A31972" w:rsidRDefault="00A31972" w:rsidP="00AD081E">
      <w:pPr>
        <w:ind w:left="567"/>
        <w:rPr>
          <w:rFonts w:ascii="Arial" w:hAnsi="Arial" w:cs="Arial"/>
          <w:sz w:val="21"/>
          <w:szCs w:val="21"/>
        </w:rPr>
      </w:pPr>
    </w:p>
    <w:p w14:paraId="165337F8" w14:textId="45279CCC" w:rsidR="006C5ED3" w:rsidRPr="006B737D" w:rsidRDefault="006C5ED3" w:rsidP="00AD081E">
      <w:pPr>
        <w:spacing w:after="100" w:afterAutospacing="1"/>
        <w:ind w:left="567"/>
        <w:rPr>
          <w:rFonts w:ascii="Arial" w:hAnsi="Arial" w:cs="Arial"/>
          <w:sz w:val="21"/>
          <w:szCs w:val="21"/>
        </w:rPr>
      </w:pPr>
      <w:r w:rsidRPr="006B737D">
        <w:rPr>
          <w:rFonts w:ascii="Arial" w:hAnsi="Arial" w:cs="Arial"/>
          <w:sz w:val="21"/>
          <w:szCs w:val="21"/>
        </w:rPr>
        <w:t>Approval to amalgamate, and transfer funds in accordance with the proposed amalgamation, is subject to the approval of the delegated officer as specified in the instrument of delegation.</w:t>
      </w:r>
      <w:r w:rsidR="003173B4" w:rsidRPr="003173B4">
        <w:rPr>
          <w:rFonts w:ascii="Arial" w:hAnsi="Arial" w:cs="Arial"/>
          <w:i/>
          <w:iCs/>
          <w:sz w:val="21"/>
          <w:szCs w:val="21"/>
        </w:rPr>
        <w:t xml:space="preserve"> Housing Act 1983</w:t>
      </w:r>
    </w:p>
    <w:p w14:paraId="1196E815" w14:textId="77777777" w:rsidR="006C5ED3" w:rsidRPr="00FF2CC9" w:rsidRDefault="006C5ED3" w:rsidP="00D80C8B">
      <w:pPr>
        <w:pStyle w:val="Heading1"/>
        <w:rPr>
          <w:rFonts w:eastAsia="MS Gothic" w:cs="Arial"/>
          <w:color w:val="201547"/>
          <w:kern w:val="32"/>
        </w:rPr>
      </w:pPr>
      <w:bookmarkStart w:id="226" w:name="_Toc261504902"/>
      <w:bookmarkStart w:id="227" w:name="_Toc266783340"/>
      <w:bookmarkStart w:id="228" w:name="_Toc266806020"/>
      <w:bookmarkStart w:id="229" w:name="_Toc266806402"/>
      <w:bookmarkStart w:id="230" w:name="_Toc266806447"/>
      <w:bookmarkStart w:id="231" w:name="_Toc360451385"/>
      <w:bookmarkStart w:id="232" w:name="_Toc412720505"/>
      <w:bookmarkStart w:id="233" w:name="_Toc412801027"/>
      <w:bookmarkStart w:id="234" w:name="_Toc73529087"/>
      <w:bookmarkStart w:id="235" w:name="_Toc94785393"/>
      <w:r w:rsidRPr="00FF2CC9">
        <w:rPr>
          <w:rFonts w:eastAsia="MS Gothic" w:cs="Arial"/>
          <w:color w:val="201547"/>
          <w:kern w:val="32"/>
        </w:rPr>
        <w:t>6. Program operations</w:t>
      </w:r>
      <w:bookmarkEnd w:id="226"/>
      <w:bookmarkEnd w:id="227"/>
      <w:bookmarkEnd w:id="228"/>
      <w:bookmarkEnd w:id="229"/>
      <w:bookmarkEnd w:id="230"/>
      <w:bookmarkEnd w:id="231"/>
      <w:bookmarkEnd w:id="232"/>
      <w:bookmarkEnd w:id="233"/>
      <w:bookmarkEnd w:id="234"/>
      <w:bookmarkEnd w:id="235"/>
    </w:p>
    <w:p w14:paraId="65522FF0" w14:textId="77777777" w:rsidR="006C5ED3" w:rsidRPr="00610E3E" w:rsidRDefault="006C5ED3" w:rsidP="00610E3E">
      <w:pPr>
        <w:pStyle w:val="Heading2"/>
        <w:ind w:left="709" w:hanging="709"/>
        <w:rPr>
          <w:color w:val="201547"/>
          <w:sz w:val="32"/>
        </w:rPr>
      </w:pPr>
      <w:bookmarkStart w:id="236" w:name="_Toc261504903"/>
      <w:bookmarkStart w:id="237" w:name="_Toc266783341"/>
      <w:bookmarkStart w:id="238" w:name="_Toc360451386"/>
      <w:bookmarkStart w:id="239" w:name="_Toc412720506"/>
      <w:bookmarkStart w:id="240" w:name="_Toc412801028"/>
      <w:bookmarkStart w:id="241" w:name="_Toc73529088"/>
      <w:bookmarkStart w:id="242" w:name="_Toc94785394"/>
      <w:r w:rsidRPr="00610E3E">
        <w:rPr>
          <w:color w:val="201547"/>
          <w:sz w:val="32"/>
        </w:rPr>
        <w:t>6.1</w:t>
      </w:r>
      <w:r w:rsidRPr="00610E3E">
        <w:rPr>
          <w:color w:val="201547"/>
          <w:sz w:val="32"/>
        </w:rPr>
        <w:tab/>
        <w:t>Accessibility</w:t>
      </w:r>
      <w:bookmarkEnd w:id="236"/>
      <w:bookmarkEnd w:id="237"/>
      <w:bookmarkEnd w:id="238"/>
      <w:bookmarkEnd w:id="239"/>
      <w:bookmarkEnd w:id="240"/>
      <w:bookmarkEnd w:id="241"/>
      <w:bookmarkEnd w:id="242"/>
    </w:p>
    <w:p w14:paraId="1D0600E0" w14:textId="77777777" w:rsidR="006C5ED3" w:rsidRPr="006B737D" w:rsidRDefault="006C5ED3" w:rsidP="007C6818">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P</w:t>
      </w:r>
      <w:r w:rsidR="004E1B9A" w:rsidRPr="006B737D">
        <w:rPr>
          <w:rFonts w:ascii="Arial" w:hAnsi="Arial" w:cs="Arial"/>
          <w:sz w:val="21"/>
          <w:szCs w:val="21"/>
          <w:lang w:val="en-US"/>
        </w:rPr>
        <w:t>rogram</w:t>
      </w:r>
      <w:r w:rsidRPr="006B737D">
        <w:rPr>
          <w:rFonts w:ascii="Arial" w:hAnsi="Arial" w:cs="Arial"/>
          <w:sz w:val="21"/>
          <w:szCs w:val="21"/>
          <w:lang w:val="en-US"/>
        </w:rPr>
        <w:t xml:space="preserve"> requires the development of an effective interdependent working relationships between housing offices and community providers. </w:t>
      </w:r>
    </w:p>
    <w:p w14:paraId="0A5C606E" w14:textId="6CE1E839" w:rsidR="006C5ED3" w:rsidRPr="006B737D" w:rsidRDefault="006C5ED3" w:rsidP="007C6818">
      <w:pPr>
        <w:spacing w:before="100" w:beforeAutospacing="1" w:after="100" w:afterAutospacing="1"/>
        <w:ind w:left="567"/>
        <w:rPr>
          <w:rFonts w:ascii="Arial" w:hAnsi="Arial" w:cs="Arial"/>
          <w:sz w:val="21"/>
          <w:szCs w:val="21"/>
        </w:rPr>
      </w:pPr>
      <w:r w:rsidRPr="006B737D">
        <w:rPr>
          <w:rFonts w:ascii="Arial" w:hAnsi="Arial" w:cs="Arial"/>
          <w:sz w:val="21"/>
          <w:szCs w:val="21"/>
          <w:lang w:val="en-US"/>
        </w:rPr>
        <w:t xml:space="preserve">The department operates on prescribed hours. In accordance with department operation, </w:t>
      </w:r>
      <w:r w:rsidR="004E1B9A" w:rsidRPr="006B737D">
        <w:rPr>
          <w:rFonts w:ascii="Arial" w:hAnsi="Arial" w:cs="Arial"/>
          <w:sz w:val="21"/>
          <w:szCs w:val="21"/>
        </w:rPr>
        <w:t>P</w:t>
      </w:r>
      <w:r w:rsidR="00B252E8" w:rsidRPr="006B737D">
        <w:rPr>
          <w:rFonts w:ascii="Arial" w:hAnsi="Arial" w:cs="Arial"/>
          <w:sz w:val="21"/>
          <w:szCs w:val="21"/>
        </w:rPr>
        <w:t xml:space="preserve">rogram service </w:t>
      </w:r>
      <w:r w:rsidRPr="006B737D">
        <w:rPr>
          <w:rFonts w:ascii="Arial" w:hAnsi="Arial" w:cs="Arial"/>
          <w:sz w:val="21"/>
          <w:szCs w:val="21"/>
        </w:rPr>
        <w:t>providers are expected to deliver services during a normal business day between the hours of 9 am and 5 pm, Monday to Friday, 52 weeks of the year</w:t>
      </w:r>
      <w:r w:rsidR="00B252E8" w:rsidRPr="006B737D">
        <w:rPr>
          <w:rFonts w:ascii="Arial" w:hAnsi="Arial" w:cs="Arial"/>
          <w:sz w:val="21"/>
          <w:szCs w:val="21"/>
        </w:rPr>
        <w:t xml:space="preserve"> public holidays exempted.</w:t>
      </w:r>
    </w:p>
    <w:p w14:paraId="14EC0147" w14:textId="77777777" w:rsidR="006C5ED3" w:rsidRPr="006B737D" w:rsidRDefault="006C5ED3" w:rsidP="007C6818">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 xml:space="preserve">Principal service points are to remain open to the public without periods of closure such as for lunch.  Telephone arrangements must clearly state hours of operation.  Where a service wishes to vary the hours of operation this must be agreed by the </w:t>
      </w:r>
      <w:r w:rsidR="00B252E8" w:rsidRPr="006B737D">
        <w:rPr>
          <w:rFonts w:ascii="Arial" w:hAnsi="Arial" w:cs="Arial"/>
          <w:sz w:val="21"/>
          <w:szCs w:val="21"/>
          <w:lang w:val="en-US"/>
        </w:rPr>
        <w:t xml:space="preserve">departmental </w:t>
      </w:r>
      <w:r w:rsidRPr="006B737D">
        <w:rPr>
          <w:rFonts w:ascii="Arial" w:hAnsi="Arial" w:cs="Arial"/>
          <w:sz w:val="21"/>
          <w:szCs w:val="21"/>
          <w:lang w:val="en-US"/>
        </w:rPr>
        <w:t>divisional director</w:t>
      </w:r>
      <w:r w:rsidR="00B252E8" w:rsidRPr="006B737D">
        <w:rPr>
          <w:rFonts w:ascii="Arial" w:hAnsi="Arial" w:cs="Arial"/>
          <w:sz w:val="21"/>
          <w:szCs w:val="21"/>
          <w:lang w:val="en-US"/>
        </w:rPr>
        <w:t xml:space="preserve"> where the service is located</w:t>
      </w:r>
      <w:r w:rsidRPr="006B737D">
        <w:rPr>
          <w:rFonts w:ascii="Arial" w:hAnsi="Arial" w:cs="Arial"/>
          <w:sz w:val="21"/>
          <w:szCs w:val="21"/>
          <w:lang w:val="en-US"/>
        </w:rPr>
        <w:t xml:space="preserve">. </w:t>
      </w:r>
    </w:p>
    <w:p w14:paraId="3CF9C5CD" w14:textId="77777777" w:rsidR="006C5ED3" w:rsidRPr="006B737D" w:rsidRDefault="006C5ED3" w:rsidP="007C6818">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The dep</w:t>
      </w:r>
      <w:r w:rsidR="00B252E8" w:rsidRPr="006B737D">
        <w:rPr>
          <w:rFonts w:ascii="Arial" w:hAnsi="Arial" w:cs="Arial"/>
          <w:sz w:val="21"/>
          <w:szCs w:val="21"/>
          <w:lang w:val="en-US"/>
        </w:rPr>
        <w:t>artment will inform Program service</w:t>
      </w:r>
      <w:r w:rsidRPr="006B737D">
        <w:rPr>
          <w:rFonts w:ascii="Arial" w:hAnsi="Arial" w:cs="Arial"/>
          <w:sz w:val="21"/>
          <w:szCs w:val="21"/>
          <w:lang w:val="en-US"/>
        </w:rPr>
        <w:t xml:space="preserve"> providers, as soon as practical, of any variation to its prescribed hours that could potentially impact on the delivery of P</w:t>
      </w:r>
      <w:r w:rsidR="00B252E8" w:rsidRPr="006B737D">
        <w:rPr>
          <w:rFonts w:ascii="Arial" w:hAnsi="Arial" w:cs="Arial"/>
          <w:sz w:val="21"/>
          <w:szCs w:val="21"/>
          <w:lang w:val="en-US"/>
        </w:rPr>
        <w:t>rogram</w:t>
      </w:r>
      <w:r w:rsidRPr="006B737D">
        <w:rPr>
          <w:rFonts w:ascii="Arial" w:hAnsi="Arial" w:cs="Arial"/>
          <w:sz w:val="21"/>
          <w:szCs w:val="21"/>
          <w:lang w:val="en-US"/>
        </w:rPr>
        <w:t xml:space="preserve"> services, such as a temporary closure of a local office.</w:t>
      </w:r>
    </w:p>
    <w:p w14:paraId="55262E7A" w14:textId="77777777" w:rsidR="006C5ED3" w:rsidRPr="006B737D" w:rsidRDefault="006C5ED3" w:rsidP="00144F67">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 xml:space="preserve">Where applicable </w:t>
      </w:r>
      <w:r w:rsidR="00B252E8" w:rsidRPr="006B737D">
        <w:rPr>
          <w:rFonts w:ascii="Arial" w:hAnsi="Arial" w:cs="Arial"/>
          <w:sz w:val="21"/>
          <w:szCs w:val="21"/>
          <w:lang w:val="en-US"/>
        </w:rPr>
        <w:t xml:space="preserve">service </w:t>
      </w:r>
      <w:r w:rsidRPr="006B737D">
        <w:rPr>
          <w:rFonts w:ascii="Arial" w:hAnsi="Arial" w:cs="Arial"/>
          <w:sz w:val="21"/>
          <w:szCs w:val="21"/>
          <w:lang w:val="en-US"/>
        </w:rPr>
        <w:t xml:space="preserve">providers should, in addition to principal service points, utilise outreach services for more remote and/or high need areas. </w:t>
      </w:r>
    </w:p>
    <w:p w14:paraId="34D1D277" w14:textId="77777777" w:rsidR="006C5ED3" w:rsidRPr="006B737D" w:rsidRDefault="006C5ED3" w:rsidP="00144F67">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 xml:space="preserve">The organisation will operate in a manner that is equitable, impartial and </w:t>
      </w:r>
      <w:r w:rsidR="00B252E8" w:rsidRPr="006B737D">
        <w:rPr>
          <w:rFonts w:ascii="Arial" w:hAnsi="Arial" w:cs="Arial"/>
          <w:sz w:val="21"/>
          <w:szCs w:val="21"/>
          <w:lang w:val="en-US"/>
        </w:rPr>
        <w:t>non-discriminatory</w:t>
      </w:r>
      <w:r w:rsidRPr="006B737D">
        <w:rPr>
          <w:rFonts w:ascii="Arial" w:hAnsi="Arial" w:cs="Arial"/>
          <w:sz w:val="21"/>
          <w:szCs w:val="21"/>
          <w:lang w:val="en-US"/>
        </w:rPr>
        <w:t>.</w:t>
      </w:r>
    </w:p>
    <w:p w14:paraId="7083F864" w14:textId="321A8086" w:rsidR="006C5ED3" w:rsidRPr="006B737D" w:rsidRDefault="006C5ED3" w:rsidP="00144F67">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 xml:space="preserve">The organisation will secure access to appropriate high quality language services for its clients in accordance with the departmental </w:t>
      </w:r>
      <w:hyperlink r:id="rId36" w:history="1">
        <w:r w:rsidRPr="00746411">
          <w:rPr>
            <w:rStyle w:val="Hyperlink"/>
            <w:rFonts w:ascii="Arial" w:hAnsi="Arial" w:cs="Arial"/>
            <w:sz w:val="21"/>
            <w:szCs w:val="21"/>
            <w:lang w:val="en-US"/>
          </w:rPr>
          <w:t xml:space="preserve">language services </w:t>
        </w:r>
        <w:r w:rsidR="00B252E8" w:rsidRPr="00746411">
          <w:rPr>
            <w:rStyle w:val="Hyperlink"/>
            <w:rFonts w:ascii="Arial" w:hAnsi="Arial" w:cs="Arial"/>
            <w:sz w:val="21"/>
            <w:szCs w:val="21"/>
            <w:lang w:val="en-US"/>
          </w:rPr>
          <w:t xml:space="preserve"> policy and</w:t>
        </w:r>
        <w:r w:rsidR="00746411" w:rsidRPr="00746411">
          <w:rPr>
            <w:rStyle w:val="Hyperlink"/>
            <w:rFonts w:ascii="Arial" w:hAnsi="Arial" w:cs="Arial"/>
            <w:sz w:val="21"/>
            <w:szCs w:val="21"/>
            <w:lang w:val="en-US"/>
          </w:rPr>
          <w:t xml:space="preserve"> guidelines</w:t>
        </w:r>
      </w:hyperlink>
      <w:r w:rsidR="00746411">
        <w:rPr>
          <w:rFonts w:ascii="Arial" w:hAnsi="Arial" w:cs="Arial"/>
          <w:sz w:val="21"/>
          <w:szCs w:val="21"/>
          <w:lang w:val="en-US"/>
        </w:rPr>
        <w:t xml:space="preserve"> </w:t>
      </w:r>
      <w:r w:rsidR="00CF2C77">
        <w:rPr>
          <w:rFonts w:ascii="Arial" w:hAnsi="Arial" w:cs="Arial"/>
          <w:sz w:val="21"/>
          <w:szCs w:val="21"/>
          <w:lang w:val="en-US"/>
        </w:rPr>
        <w:t>&lt;</w:t>
      </w:r>
      <w:r w:rsidR="00CF2C77" w:rsidRPr="00CF2C77">
        <w:rPr>
          <w:rFonts w:ascii="Arial" w:hAnsi="Arial" w:cs="Arial"/>
          <w:sz w:val="21"/>
          <w:szCs w:val="21"/>
          <w:lang w:val="en-US"/>
        </w:rPr>
        <w:t>https://www.dhhs.vic.gov.au/publications/language-services-policy-and-guidelines</w:t>
      </w:r>
      <w:r w:rsidR="00CF2C77">
        <w:rPr>
          <w:rFonts w:ascii="Arial" w:hAnsi="Arial" w:cs="Arial"/>
          <w:sz w:val="21"/>
          <w:szCs w:val="21"/>
          <w:lang w:val="en-US"/>
        </w:rPr>
        <w:t>&gt;  requirements</w:t>
      </w:r>
      <w:r w:rsidR="00746411">
        <w:rPr>
          <w:rFonts w:ascii="Arial" w:hAnsi="Arial" w:cs="Arial"/>
          <w:sz w:val="21"/>
          <w:szCs w:val="21"/>
          <w:lang w:val="en-US"/>
        </w:rPr>
        <w:t xml:space="preserve"> </w:t>
      </w:r>
      <w:r w:rsidR="00B252E8" w:rsidRPr="006B737D">
        <w:rPr>
          <w:rFonts w:ascii="Arial" w:hAnsi="Arial" w:cs="Arial"/>
          <w:sz w:val="21"/>
          <w:szCs w:val="21"/>
          <w:lang w:val="en-US"/>
        </w:rPr>
        <w:t>.</w:t>
      </w:r>
    </w:p>
    <w:p w14:paraId="11DD1A61" w14:textId="77777777" w:rsidR="006C5ED3" w:rsidRPr="00610E3E" w:rsidRDefault="006C5ED3" w:rsidP="00610E3E">
      <w:pPr>
        <w:pStyle w:val="Heading2"/>
        <w:ind w:left="709" w:hanging="709"/>
        <w:rPr>
          <w:color w:val="201547"/>
          <w:sz w:val="32"/>
        </w:rPr>
      </w:pPr>
      <w:bookmarkStart w:id="243" w:name="_Toc261504908"/>
      <w:bookmarkStart w:id="244" w:name="_Toc266783346"/>
      <w:bookmarkStart w:id="245" w:name="_Toc360451387"/>
      <w:bookmarkStart w:id="246" w:name="_Toc412720507"/>
      <w:bookmarkStart w:id="247" w:name="_Toc412801029"/>
      <w:bookmarkStart w:id="248" w:name="_Toc73529089"/>
      <w:bookmarkStart w:id="249" w:name="_Toc94785395"/>
      <w:r w:rsidRPr="00610E3E">
        <w:rPr>
          <w:color w:val="201547"/>
          <w:sz w:val="32"/>
        </w:rPr>
        <w:t>6.2</w:t>
      </w:r>
      <w:r w:rsidRPr="00610E3E">
        <w:rPr>
          <w:color w:val="201547"/>
          <w:sz w:val="32"/>
        </w:rPr>
        <w:tab/>
        <w:t>Tenant participation</w:t>
      </w:r>
      <w:bookmarkEnd w:id="243"/>
      <w:bookmarkEnd w:id="244"/>
      <w:bookmarkEnd w:id="245"/>
      <w:bookmarkEnd w:id="246"/>
      <w:bookmarkEnd w:id="247"/>
      <w:bookmarkEnd w:id="248"/>
      <w:bookmarkEnd w:id="249"/>
    </w:p>
    <w:p w14:paraId="6A49AD10" w14:textId="1910FB20" w:rsidR="006C5ED3" w:rsidRPr="006B737D" w:rsidRDefault="006C5ED3" w:rsidP="00144F67">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 xml:space="preserve">The aim of tenant participation is to increase opportunities for public </w:t>
      </w:r>
      <w:r w:rsidR="00E95976" w:rsidRPr="006B737D">
        <w:rPr>
          <w:rFonts w:ascii="Arial" w:hAnsi="Arial" w:cs="Arial"/>
          <w:sz w:val="21"/>
          <w:szCs w:val="21"/>
          <w:lang w:val="en-US"/>
        </w:rPr>
        <w:t>renters</w:t>
      </w:r>
      <w:r w:rsidRPr="006B737D">
        <w:rPr>
          <w:rFonts w:ascii="Arial" w:hAnsi="Arial" w:cs="Arial"/>
          <w:sz w:val="21"/>
          <w:szCs w:val="21"/>
          <w:lang w:val="en-US"/>
        </w:rPr>
        <w:t xml:space="preserve"> to contribute to decisions affecting their living environment.</w:t>
      </w:r>
      <w:r w:rsidRPr="006B737D" w:rsidDel="00554579">
        <w:rPr>
          <w:rFonts w:ascii="Arial" w:hAnsi="Arial" w:cs="Arial"/>
          <w:sz w:val="21"/>
          <w:szCs w:val="21"/>
          <w:lang w:val="en-US"/>
        </w:rPr>
        <w:t xml:space="preserve"> </w:t>
      </w:r>
      <w:r w:rsidRPr="006B737D">
        <w:rPr>
          <w:rFonts w:ascii="Arial" w:hAnsi="Arial" w:cs="Arial"/>
          <w:sz w:val="21"/>
          <w:szCs w:val="21"/>
          <w:lang w:val="en-US"/>
        </w:rPr>
        <w:t xml:space="preserve">  </w:t>
      </w:r>
    </w:p>
    <w:p w14:paraId="27813700" w14:textId="2C3752E3" w:rsidR="006C5ED3" w:rsidRPr="006B737D" w:rsidRDefault="00AB6577" w:rsidP="00144F67">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Organisations</w:t>
      </w:r>
      <w:r w:rsidR="00C33C21" w:rsidRPr="006B737D">
        <w:rPr>
          <w:rFonts w:ascii="Arial" w:hAnsi="Arial" w:cs="Arial"/>
          <w:sz w:val="21"/>
          <w:szCs w:val="21"/>
          <w:lang w:val="en-US"/>
        </w:rPr>
        <w:t xml:space="preserve"> that receive funding under th</w:t>
      </w:r>
      <w:r w:rsidR="0033466D">
        <w:rPr>
          <w:rFonts w:ascii="Arial" w:hAnsi="Arial" w:cs="Arial"/>
          <w:sz w:val="21"/>
          <w:szCs w:val="21"/>
          <w:lang w:val="en-US"/>
        </w:rPr>
        <w:t>is</w:t>
      </w:r>
      <w:r w:rsidR="00DA342C" w:rsidRPr="006B737D">
        <w:rPr>
          <w:rFonts w:ascii="Arial" w:hAnsi="Arial" w:cs="Arial"/>
          <w:sz w:val="21"/>
          <w:szCs w:val="21"/>
          <w:lang w:val="en-US"/>
        </w:rPr>
        <w:t xml:space="preserve"> activity </w:t>
      </w:r>
      <w:r w:rsidR="006C5ED3" w:rsidRPr="006B737D">
        <w:rPr>
          <w:rFonts w:ascii="Arial" w:hAnsi="Arial" w:cs="Arial"/>
          <w:sz w:val="21"/>
          <w:szCs w:val="21"/>
          <w:lang w:val="en-US"/>
        </w:rPr>
        <w:t xml:space="preserve">will involve </w:t>
      </w:r>
      <w:r w:rsidR="00E95976" w:rsidRPr="006B737D">
        <w:rPr>
          <w:rFonts w:ascii="Arial" w:hAnsi="Arial" w:cs="Arial"/>
          <w:sz w:val="21"/>
          <w:szCs w:val="21"/>
          <w:lang w:val="en-US"/>
        </w:rPr>
        <w:t>renters</w:t>
      </w:r>
      <w:r w:rsidR="006C5ED3" w:rsidRPr="006B737D">
        <w:rPr>
          <w:rFonts w:ascii="Arial" w:hAnsi="Arial" w:cs="Arial"/>
          <w:sz w:val="21"/>
          <w:szCs w:val="21"/>
          <w:lang w:val="en-US"/>
        </w:rPr>
        <w:t xml:space="preserve"> in program planning and development of all its services.</w:t>
      </w:r>
    </w:p>
    <w:p w14:paraId="5E79587B" w14:textId="77777777" w:rsidR="006C5ED3" w:rsidRPr="00610E3E" w:rsidRDefault="006C5ED3" w:rsidP="00610E3E">
      <w:pPr>
        <w:pStyle w:val="Heading2"/>
        <w:ind w:left="709" w:hanging="709"/>
        <w:rPr>
          <w:color w:val="201547"/>
          <w:sz w:val="32"/>
        </w:rPr>
      </w:pPr>
      <w:bookmarkStart w:id="250" w:name="_Toc261504911"/>
      <w:bookmarkStart w:id="251" w:name="_Toc266783349"/>
      <w:bookmarkStart w:id="252" w:name="_Toc360451388"/>
      <w:bookmarkStart w:id="253" w:name="_Toc412720508"/>
      <w:bookmarkStart w:id="254" w:name="_Toc412801030"/>
      <w:bookmarkStart w:id="255" w:name="_Toc73529090"/>
      <w:bookmarkStart w:id="256" w:name="_Toc94785396"/>
      <w:r w:rsidRPr="00610E3E">
        <w:rPr>
          <w:color w:val="201547"/>
          <w:sz w:val="32"/>
        </w:rPr>
        <w:lastRenderedPageBreak/>
        <w:t>6.3</w:t>
      </w:r>
      <w:r w:rsidRPr="00610E3E">
        <w:rPr>
          <w:color w:val="201547"/>
          <w:sz w:val="32"/>
        </w:rPr>
        <w:tab/>
        <w:t>Community Contact Service</w:t>
      </w:r>
      <w:bookmarkEnd w:id="250"/>
      <w:bookmarkEnd w:id="251"/>
      <w:bookmarkEnd w:id="252"/>
      <w:bookmarkEnd w:id="253"/>
      <w:bookmarkEnd w:id="254"/>
      <w:bookmarkEnd w:id="255"/>
      <w:bookmarkEnd w:id="256"/>
    </w:p>
    <w:p w14:paraId="704444B7" w14:textId="77777777" w:rsidR="006C5ED3" w:rsidRPr="006B737D" w:rsidRDefault="00C33C21" w:rsidP="00144F67">
      <w:pPr>
        <w:spacing w:before="100" w:beforeAutospacing="1" w:after="100" w:afterAutospacing="1"/>
        <w:ind w:left="567"/>
        <w:rPr>
          <w:rFonts w:ascii="Arial" w:hAnsi="Arial" w:cs="Arial"/>
          <w:sz w:val="21"/>
          <w:szCs w:val="21"/>
          <w:lang w:val="en-US"/>
        </w:rPr>
      </w:pPr>
      <w:r w:rsidRPr="006B737D">
        <w:rPr>
          <w:rFonts w:ascii="Arial" w:hAnsi="Arial" w:cs="Arial"/>
          <w:sz w:val="21"/>
          <w:szCs w:val="21"/>
          <w:lang w:val="en-US"/>
        </w:rPr>
        <w:t>The Program</w:t>
      </w:r>
      <w:r w:rsidR="006C5ED3" w:rsidRPr="006B737D">
        <w:rPr>
          <w:rFonts w:ascii="Arial" w:hAnsi="Arial" w:cs="Arial"/>
          <w:sz w:val="21"/>
          <w:szCs w:val="21"/>
          <w:lang w:val="en-US"/>
        </w:rPr>
        <w:t xml:space="preserve"> funds a concierge service on public housing estates in the City of Yarra to provide the following services:</w:t>
      </w:r>
    </w:p>
    <w:p w14:paraId="060D1F1D" w14:textId="2066FA38" w:rsidR="006C5ED3" w:rsidRPr="006B737D" w:rsidRDefault="006C5ED3" w:rsidP="00144F67">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 xml:space="preserve">supported employment, training opportunities and career development for public housing </w:t>
      </w:r>
      <w:r w:rsidR="00E95976" w:rsidRPr="006B737D">
        <w:rPr>
          <w:rFonts w:ascii="Arial" w:hAnsi="Arial" w:cs="Arial"/>
          <w:sz w:val="21"/>
          <w:szCs w:val="21"/>
          <w:lang w:val="en-US"/>
        </w:rPr>
        <w:t>renters</w:t>
      </w:r>
    </w:p>
    <w:p w14:paraId="406F4E1D" w14:textId="77777777" w:rsidR="006C5ED3" w:rsidRPr="006B737D" w:rsidRDefault="006C5ED3" w:rsidP="00144F67">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information and referral services</w:t>
      </w:r>
    </w:p>
    <w:p w14:paraId="09147951" w14:textId="77777777" w:rsidR="006C5ED3" w:rsidRPr="006B737D" w:rsidRDefault="006C5ED3" w:rsidP="00144F67">
      <w:pPr>
        <w:pStyle w:val="ListParagraph"/>
        <w:numPr>
          <w:ilvl w:val="0"/>
          <w:numId w:val="24"/>
        </w:numPr>
        <w:tabs>
          <w:tab w:val="num" w:pos="709"/>
        </w:tabs>
        <w:spacing w:before="100" w:beforeAutospacing="1" w:after="100" w:afterAutospacing="1"/>
        <w:rPr>
          <w:rFonts w:ascii="Arial" w:hAnsi="Arial" w:cs="Arial"/>
          <w:sz w:val="21"/>
          <w:szCs w:val="21"/>
          <w:lang w:val="en-US"/>
        </w:rPr>
      </w:pPr>
      <w:r w:rsidRPr="006B737D">
        <w:rPr>
          <w:rFonts w:ascii="Arial" w:hAnsi="Arial" w:cs="Arial"/>
          <w:sz w:val="21"/>
          <w:szCs w:val="21"/>
          <w:lang w:val="en-US"/>
        </w:rPr>
        <w:t xml:space="preserve">community development activities. </w:t>
      </w:r>
    </w:p>
    <w:p w14:paraId="717ED68A" w14:textId="77777777" w:rsidR="006C5ED3" w:rsidRPr="006B737D" w:rsidRDefault="00C33C21" w:rsidP="00144F67">
      <w:pPr>
        <w:overflowPunct w:val="0"/>
        <w:autoSpaceDE w:val="0"/>
        <w:autoSpaceDN w:val="0"/>
        <w:adjustRightInd w:val="0"/>
        <w:spacing w:before="100" w:beforeAutospacing="1" w:after="100" w:afterAutospacing="1"/>
        <w:ind w:left="567"/>
        <w:jc w:val="both"/>
        <w:textAlignment w:val="baseline"/>
        <w:rPr>
          <w:rFonts w:ascii="Arial" w:hAnsi="Arial" w:cs="Arial"/>
          <w:color w:val="000000"/>
          <w:sz w:val="21"/>
          <w:szCs w:val="21"/>
        </w:rPr>
      </w:pPr>
      <w:r w:rsidRPr="006B737D">
        <w:rPr>
          <w:rFonts w:ascii="Arial" w:hAnsi="Arial" w:cs="Arial"/>
          <w:color w:val="000000"/>
          <w:sz w:val="21"/>
          <w:szCs w:val="21"/>
        </w:rPr>
        <w:t xml:space="preserve">The Community Contact Service (contact service) </w:t>
      </w:r>
      <w:r w:rsidR="006C5ED3" w:rsidRPr="006B737D">
        <w:rPr>
          <w:rFonts w:ascii="Arial" w:hAnsi="Arial" w:cs="Arial"/>
          <w:color w:val="000000"/>
          <w:sz w:val="21"/>
          <w:szCs w:val="21"/>
        </w:rPr>
        <w:t>has replaced security guards in performing the role of concierge between 8 am to 4 pm.</w:t>
      </w:r>
    </w:p>
    <w:p w14:paraId="29F95C3A" w14:textId="2999F104" w:rsidR="006C5ED3" w:rsidRPr="006B737D" w:rsidRDefault="006C5ED3" w:rsidP="00144F67">
      <w:pPr>
        <w:overflowPunct w:val="0"/>
        <w:autoSpaceDE w:val="0"/>
        <w:autoSpaceDN w:val="0"/>
        <w:adjustRightInd w:val="0"/>
        <w:spacing w:before="100" w:beforeAutospacing="1" w:after="100" w:afterAutospacing="1"/>
        <w:ind w:left="567"/>
        <w:jc w:val="both"/>
        <w:textAlignment w:val="baseline"/>
        <w:rPr>
          <w:rFonts w:ascii="Arial" w:hAnsi="Arial" w:cs="Arial"/>
          <w:color w:val="000000"/>
          <w:sz w:val="21"/>
          <w:szCs w:val="21"/>
        </w:rPr>
      </w:pPr>
      <w:r w:rsidRPr="006B737D">
        <w:rPr>
          <w:rFonts w:ascii="Arial" w:hAnsi="Arial" w:cs="Arial"/>
          <w:color w:val="000000"/>
          <w:sz w:val="21"/>
          <w:szCs w:val="21"/>
        </w:rPr>
        <w:t>Being the first point of contact for residents, and controlling access to the estate buildings, the Community Contact Officers (</w:t>
      </w:r>
      <w:r w:rsidR="00C33C21" w:rsidRPr="006B737D">
        <w:rPr>
          <w:rFonts w:ascii="Arial" w:hAnsi="Arial" w:cs="Arial"/>
          <w:color w:val="000000"/>
          <w:sz w:val="21"/>
          <w:szCs w:val="21"/>
        </w:rPr>
        <w:t>contact officers</w:t>
      </w:r>
      <w:r w:rsidRPr="006B737D">
        <w:rPr>
          <w:rFonts w:ascii="Arial" w:hAnsi="Arial" w:cs="Arial"/>
          <w:color w:val="000000"/>
          <w:sz w:val="21"/>
          <w:szCs w:val="21"/>
        </w:rPr>
        <w:t xml:space="preserve">) perform an important customer service and security role. They provide information services, ranging from updating noticeboards to developing brochures and assisting with translations, and support </w:t>
      </w:r>
      <w:r w:rsidR="00E95976" w:rsidRPr="006B737D">
        <w:rPr>
          <w:rFonts w:ascii="Arial" w:hAnsi="Arial" w:cs="Arial"/>
          <w:color w:val="000000"/>
          <w:sz w:val="21"/>
          <w:szCs w:val="21"/>
        </w:rPr>
        <w:t>renters</w:t>
      </w:r>
      <w:r w:rsidRPr="006B737D">
        <w:rPr>
          <w:rFonts w:ascii="Arial" w:hAnsi="Arial" w:cs="Arial"/>
          <w:color w:val="000000"/>
          <w:sz w:val="21"/>
          <w:szCs w:val="21"/>
        </w:rPr>
        <w:t xml:space="preserve"> on a day to day basis through activities such as helping newcomers to settle in, providing conversation to isolated people, and making phone checks on elderly residents.</w:t>
      </w:r>
    </w:p>
    <w:p w14:paraId="5E53ECB8" w14:textId="77777777" w:rsidR="006C5ED3" w:rsidRPr="006B737D" w:rsidRDefault="006C5ED3" w:rsidP="00144F67">
      <w:pPr>
        <w:overflowPunct w:val="0"/>
        <w:autoSpaceDE w:val="0"/>
        <w:autoSpaceDN w:val="0"/>
        <w:adjustRightInd w:val="0"/>
        <w:spacing w:before="100" w:beforeAutospacing="1" w:after="100" w:afterAutospacing="1"/>
        <w:ind w:left="567"/>
        <w:jc w:val="both"/>
        <w:textAlignment w:val="baseline"/>
        <w:rPr>
          <w:rFonts w:ascii="Arial" w:hAnsi="Arial" w:cs="Arial"/>
          <w:color w:val="000000"/>
          <w:sz w:val="21"/>
          <w:szCs w:val="21"/>
        </w:rPr>
      </w:pPr>
      <w:r w:rsidRPr="006B737D">
        <w:rPr>
          <w:rFonts w:ascii="Arial" w:hAnsi="Arial" w:cs="Arial"/>
          <w:color w:val="000000"/>
          <w:sz w:val="21"/>
          <w:szCs w:val="21"/>
        </w:rPr>
        <w:t xml:space="preserve">Estate residents also benefit from the community building aspect of the service through activities that are supported by </w:t>
      </w:r>
      <w:r w:rsidR="00C33C21" w:rsidRPr="006B737D">
        <w:rPr>
          <w:rFonts w:ascii="Arial" w:hAnsi="Arial" w:cs="Arial"/>
          <w:color w:val="000000"/>
          <w:sz w:val="21"/>
          <w:szCs w:val="21"/>
        </w:rPr>
        <w:t xml:space="preserve">contact officers including but not limited to </w:t>
      </w:r>
      <w:r w:rsidRPr="006B737D">
        <w:rPr>
          <w:rFonts w:ascii="Arial" w:hAnsi="Arial" w:cs="Arial"/>
          <w:color w:val="000000"/>
          <w:sz w:val="21"/>
          <w:szCs w:val="21"/>
        </w:rPr>
        <w:t xml:space="preserve">the </w:t>
      </w:r>
      <w:r w:rsidR="00C33C21" w:rsidRPr="006B737D">
        <w:rPr>
          <w:rFonts w:ascii="Arial" w:hAnsi="Arial" w:cs="Arial"/>
          <w:color w:val="000000"/>
          <w:sz w:val="21"/>
          <w:szCs w:val="21"/>
        </w:rPr>
        <w:t>local f</w:t>
      </w:r>
      <w:r w:rsidRPr="006B737D">
        <w:rPr>
          <w:rFonts w:ascii="Arial" w:hAnsi="Arial" w:cs="Arial"/>
          <w:color w:val="000000"/>
          <w:sz w:val="21"/>
          <w:szCs w:val="21"/>
        </w:rPr>
        <w:t>estival</w:t>
      </w:r>
      <w:r w:rsidR="00C33C21" w:rsidRPr="006B737D">
        <w:rPr>
          <w:rFonts w:ascii="Arial" w:hAnsi="Arial" w:cs="Arial"/>
          <w:color w:val="000000"/>
          <w:sz w:val="21"/>
          <w:szCs w:val="21"/>
        </w:rPr>
        <w:t>s</w:t>
      </w:r>
      <w:r w:rsidRPr="006B737D">
        <w:rPr>
          <w:rFonts w:ascii="Arial" w:hAnsi="Arial" w:cs="Arial"/>
          <w:color w:val="000000"/>
          <w:sz w:val="21"/>
          <w:szCs w:val="21"/>
        </w:rPr>
        <w:t xml:space="preserve">, art competitions and exhibitions for children, monthly discussion groups and the Breakfast Club. </w:t>
      </w:r>
    </w:p>
    <w:p w14:paraId="54AD2BE7" w14:textId="77777777" w:rsidR="006C5ED3" w:rsidRPr="006B737D" w:rsidRDefault="006C5ED3" w:rsidP="00144F67">
      <w:pPr>
        <w:overflowPunct w:val="0"/>
        <w:autoSpaceDE w:val="0"/>
        <w:autoSpaceDN w:val="0"/>
        <w:adjustRightInd w:val="0"/>
        <w:spacing w:before="100" w:beforeAutospacing="1" w:after="100" w:afterAutospacing="1"/>
        <w:ind w:left="567"/>
        <w:jc w:val="both"/>
        <w:textAlignment w:val="baseline"/>
        <w:rPr>
          <w:rFonts w:ascii="Arial" w:hAnsi="Arial" w:cs="Arial"/>
          <w:color w:val="000000"/>
          <w:sz w:val="21"/>
          <w:szCs w:val="21"/>
        </w:rPr>
      </w:pPr>
      <w:r w:rsidRPr="006B737D">
        <w:rPr>
          <w:rFonts w:ascii="Arial" w:hAnsi="Arial" w:cs="Arial"/>
          <w:color w:val="000000"/>
          <w:sz w:val="21"/>
          <w:szCs w:val="21"/>
        </w:rPr>
        <w:t xml:space="preserve">The </w:t>
      </w:r>
      <w:r w:rsidR="00C33C21" w:rsidRPr="006B737D">
        <w:rPr>
          <w:rFonts w:ascii="Arial" w:hAnsi="Arial" w:cs="Arial"/>
          <w:color w:val="000000"/>
          <w:sz w:val="21"/>
          <w:szCs w:val="21"/>
        </w:rPr>
        <w:t xml:space="preserve">contact service </w:t>
      </w:r>
      <w:r w:rsidRPr="006B737D">
        <w:rPr>
          <w:rFonts w:ascii="Arial" w:hAnsi="Arial" w:cs="Arial"/>
          <w:color w:val="000000"/>
          <w:sz w:val="21"/>
          <w:szCs w:val="21"/>
        </w:rPr>
        <w:t xml:space="preserve">has been developed using the community enterprise Intermediate Labour Market model. In addition to the provision of concierge, information and community development services, the </w:t>
      </w:r>
      <w:r w:rsidR="00C33C21" w:rsidRPr="006B737D">
        <w:rPr>
          <w:rFonts w:ascii="Arial" w:hAnsi="Arial" w:cs="Arial"/>
          <w:color w:val="000000"/>
          <w:sz w:val="21"/>
          <w:szCs w:val="21"/>
        </w:rPr>
        <w:t xml:space="preserve">contact service </w:t>
      </w:r>
      <w:r w:rsidRPr="006B737D">
        <w:rPr>
          <w:rFonts w:ascii="Arial" w:hAnsi="Arial" w:cs="Arial"/>
          <w:color w:val="000000"/>
          <w:sz w:val="21"/>
          <w:szCs w:val="21"/>
        </w:rPr>
        <w:t xml:space="preserve">provides a mechanism for delivering training and employment opportunities to assist disadvantaged community members to gain access to the labour market. </w:t>
      </w:r>
    </w:p>
    <w:p w14:paraId="127A2DB0" w14:textId="77777777" w:rsidR="006C5ED3" w:rsidRPr="006B737D" w:rsidRDefault="006C5ED3" w:rsidP="00F5674F">
      <w:pPr>
        <w:spacing w:before="100" w:beforeAutospacing="1" w:after="120"/>
        <w:ind w:left="567"/>
        <w:rPr>
          <w:rFonts w:ascii="Arial" w:hAnsi="Arial" w:cs="Arial"/>
          <w:sz w:val="21"/>
          <w:szCs w:val="21"/>
        </w:rPr>
      </w:pPr>
      <w:r w:rsidRPr="006B737D">
        <w:rPr>
          <w:rFonts w:ascii="Arial" w:hAnsi="Arial" w:cs="Arial"/>
          <w:sz w:val="21"/>
          <w:szCs w:val="21"/>
        </w:rPr>
        <w:t xml:space="preserve">The </w:t>
      </w:r>
      <w:r w:rsidRPr="006B737D">
        <w:rPr>
          <w:rFonts w:ascii="Arial" w:hAnsi="Arial" w:cs="Arial"/>
          <w:b/>
          <w:sz w:val="21"/>
          <w:szCs w:val="21"/>
        </w:rPr>
        <w:t>reporting requirements</w:t>
      </w:r>
      <w:r w:rsidRPr="006B737D">
        <w:rPr>
          <w:rFonts w:ascii="Arial" w:hAnsi="Arial" w:cs="Arial"/>
          <w:sz w:val="21"/>
          <w:szCs w:val="21"/>
        </w:rPr>
        <w:t xml:space="preserve"> for this activity are referred to in the service agreement as the Public Housing Infrastructure Program Data Collection and include:</w:t>
      </w:r>
    </w:p>
    <w:p w14:paraId="74377A92" w14:textId="77777777" w:rsidR="006C5ED3" w:rsidRPr="006B737D" w:rsidRDefault="00C33C21" w:rsidP="00F5674F">
      <w:pPr>
        <w:numPr>
          <w:ilvl w:val="0"/>
          <w:numId w:val="19"/>
        </w:numPr>
        <w:spacing w:after="100" w:afterAutospacing="1"/>
        <w:ind w:left="993" w:hanging="426"/>
        <w:rPr>
          <w:rFonts w:ascii="Arial" w:hAnsi="Arial" w:cs="Arial"/>
          <w:sz w:val="21"/>
          <w:szCs w:val="21"/>
          <w:lang w:val="en-US"/>
        </w:rPr>
      </w:pPr>
      <w:r w:rsidRPr="006B737D">
        <w:rPr>
          <w:rFonts w:ascii="Arial" w:hAnsi="Arial" w:cs="Arial"/>
          <w:sz w:val="21"/>
          <w:szCs w:val="21"/>
          <w:lang w:val="en-US"/>
        </w:rPr>
        <w:t>a</w:t>
      </w:r>
      <w:r w:rsidR="006C5ED3" w:rsidRPr="006B737D">
        <w:rPr>
          <w:rFonts w:ascii="Arial" w:hAnsi="Arial" w:cs="Arial"/>
          <w:sz w:val="21"/>
          <w:szCs w:val="21"/>
          <w:lang w:val="en-US"/>
        </w:rPr>
        <w:t>n agreed annual work plan specifying approaches to service delivery</w:t>
      </w:r>
    </w:p>
    <w:p w14:paraId="0F6637BE" w14:textId="77777777" w:rsidR="00C33C21" w:rsidRPr="006B737D" w:rsidRDefault="00C33C21" w:rsidP="00F5674F">
      <w:pPr>
        <w:numPr>
          <w:ilvl w:val="0"/>
          <w:numId w:val="19"/>
        </w:numPr>
        <w:spacing w:after="100" w:afterAutospacing="1"/>
        <w:ind w:left="993" w:hanging="426"/>
        <w:rPr>
          <w:rFonts w:ascii="Arial" w:hAnsi="Arial" w:cs="Arial"/>
          <w:sz w:val="21"/>
          <w:szCs w:val="21"/>
          <w:lang w:val="en-US"/>
        </w:rPr>
      </w:pPr>
      <w:r w:rsidRPr="006B737D">
        <w:rPr>
          <w:rFonts w:ascii="Arial" w:hAnsi="Arial" w:cs="Arial"/>
          <w:sz w:val="21"/>
          <w:szCs w:val="21"/>
          <w:lang w:val="en-US"/>
        </w:rPr>
        <w:t>a</w:t>
      </w:r>
      <w:r w:rsidR="006C5ED3" w:rsidRPr="006B737D">
        <w:rPr>
          <w:rFonts w:ascii="Arial" w:hAnsi="Arial" w:cs="Arial"/>
          <w:sz w:val="21"/>
          <w:szCs w:val="21"/>
          <w:lang w:val="en-US"/>
        </w:rPr>
        <w:t xml:space="preserve"> six monthly service provision report including evidence of achievement of outcomes required in the </w:t>
      </w:r>
      <w:r w:rsidRPr="006B737D">
        <w:rPr>
          <w:rFonts w:ascii="Arial" w:hAnsi="Arial" w:cs="Arial"/>
          <w:sz w:val="21"/>
          <w:szCs w:val="21"/>
          <w:lang w:val="en-US"/>
        </w:rPr>
        <w:t xml:space="preserve">work-plan such as service training and employment outcomes. </w:t>
      </w:r>
    </w:p>
    <w:p w14:paraId="5F751B82" w14:textId="77777777" w:rsidR="006C5ED3" w:rsidRPr="006C5ED3" w:rsidRDefault="006C5ED3" w:rsidP="00C33C21">
      <w:pPr>
        <w:tabs>
          <w:tab w:val="num" w:pos="709"/>
        </w:tabs>
        <w:spacing w:before="100" w:beforeAutospacing="1" w:after="100" w:afterAutospacing="1"/>
        <w:ind w:left="709"/>
        <w:rPr>
          <w:rFonts w:ascii="Verdana" w:hAnsi="Verdana"/>
        </w:rPr>
      </w:pPr>
    </w:p>
    <w:p w14:paraId="3920E0A9" w14:textId="77777777" w:rsidR="00AC0C3B" w:rsidRPr="003072C6" w:rsidRDefault="00AC0C3B" w:rsidP="00E91933">
      <w:pPr>
        <w:pStyle w:val="DHHSbody"/>
      </w:pPr>
    </w:p>
    <w:p w14:paraId="3D577329" w14:textId="77777777" w:rsidR="006D360C" w:rsidRPr="003072C6" w:rsidRDefault="006D360C" w:rsidP="00CB5A60">
      <w:pPr>
        <w:pStyle w:val="Heading1"/>
        <w:spacing w:before="0"/>
      </w:pPr>
    </w:p>
    <w:sectPr w:rsidR="006D360C" w:rsidRPr="003072C6" w:rsidSect="00D80C8B">
      <w:headerReference w:type="even" r:id="rId37"/>
      <w:headerReference w:type="default" r:id="rId38"/>
      <w:footerReference w:type="even" r:id="rId39"/>
      <w:footerReference w:type="default" r:id="rId40"/>
      <w:pgSz w:w="11906" w:h="16838"/>
      <w:pgMar w:top="1701" w:right="1304" w:bottom="1134" w:left="1304" w:header="454"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3F588" w14:textId="77777777" w:rsidR="007E2FA0" w:rsidRDefault="007E2FA0">
      <w:r>
        <w:separator/>
      </w:r>
    </w:p>
  </w:endnote>
  <w:endnote w:type="continuationSeparator" w:id="0">
    <w:p w14:paraId="4250669D" w14:textId="77777777" w:rsidR="007E2FA0" w:rsidRDefault="007E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3EBE1" w14:textId="2779E0D6" w:rsidR="007E2FA0" w:rsidRDefault="007E2FA0" w:rsidP="004606BE">
    <w:pPr>
      <w:pStyle w:val="DHHSfooter"/>
    </w:pPr>
    <w:r>
      <w:rPr>
        <w:noProof/>
      </w:rPr>
      <mc:AlternateContent>
        <mc:Choice Requires="wps">
          <w:drawing>
            <wp:anchor distT="0" distB="0" distL="114300" distR="114300" simplePos="0" relativeHeight="251667456" behindDoc="0" locked="0" layoutInCell="0" allowOverlap="1" wp14:anchorId="09B347EA" wp14:editId="512032C9">
              <wp:simplePos x="0" y="0"/>
              <wp:positionH relativeFrom="page">
                <wp:posOffset>0</wp:posOffset>
              </wp:positionH>
              <wp:positionV relativeFrom="page">
                <wp:posOffset>10189210</wp:posOffset>
              </wp:positionV>
              <wp:extent cx="7560310" cy="311785"/>
              <wp:effectExtent l="0" t="0" r="0" b="12065"/>
              <wp:wrapNone/>
              <wp:docPr id="5" name="MSIPCM9b8249c4bcd401393e9d3ab4"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EDC393" w14:textId="6A8FB0B9" w:rsidR="007E2FA0" w:rsidRPr="003D05A1" w:rsidRDefault="007E2FA0" w:rsidP="003D05A1">
                          <w:pPr>
                            <w:jc w:val="center"/>
                            <w:rPr>
                              <w:rFonts w:ascii="Arial Black" w:hAnsi="Arial Black"/>
                              <w:color w:val="000000"/>
                            </w:rPr>
                          </w:pPr>
                          <w:r w:rsidRPr="003D05A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B347EA" id="_x0000_t202" coordsize="21600,21600" o:spt="202" path="m,l,21600r21600,l21600,xe">
              <v:stroke joinstyle="miter"/>
              <v:path gradientshapeok="t" o:connecttype="rect"/>
            </v:shapetype>
            <v:shape id="MSIPCM9b8249c4bcd401393e9d3ab4" o:spid="_x0000_s1027" type="#_x0000_t202" alt="{&quot;HashCode&quot;:904758361,&quot;Height&quot;:841.0,&quot;Width&quot;:595.0,&quot;Placement&quot;:&quot;Footer&quot;,&quot;Index&quot;:&quot;OddAndEven&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JzpeUewAgAASAUAAA4A&#10;AAAAAAAAAAAAAAAALgIAAGRycy9lMm9Eb2MueG1sUEsBAi0AFAAGAAgAAAAhAEgNXprfAAAACwEA&#10;AA8AAAAAAAAAAAAAAAAACgUAAGRycy9kb3ducmV2LnhtbFBLBQYAAAAABAAEAPMAAAAWBgAAAAA=&#10;" o:allowincell="f" filled="f" stroked="f" strokeweight=".5pt">
              <v:textbox inset=",0,,0">
                <w:txbxContent>
                  <w:p w14:paraId="3FEDC393" w14:textId="6A8FB0B9" w:rsidR="007E2FA0" w:rsidRPr="003D05A1" w:rsidRDefault="007E2FA0" w:rsidP="003D05A1">
                    <w:pPr>
                      <w:jc w:val="center"/>
                      <w:rPr>
                        <w:rFonts w:ascii="Arial Black" w:hAnsi="Arial Black"/>
                        <w:color w:val="000000"/>
                      </w:rPr>
                    </w:pPr>
                    <w:r w:rsidRPr="003D05A1">
                      <w:rPr>
                        <w:rFonts w:ascii="Arial Black" w:hAnsi="Arial Black"/>
                        <w:color w:val="000000"/>
                      </w:rPr>
                      <w:t>OFFICIAL</w:t>
                    </w:r>
                  </w:p>
                </w:txbxContent>
              </v:textbox>
              <w10:wrap anchorx="page" anchory="page"/>
            </v:shape>
          </w:pict>
        </mc:Fallback>
      </mc:AlternateContent>
    </w:r>
  </w:p>
  <w:p w14:paraId="443CD9A6" w14:textId="77777777" w:rsidR="007E2FA0" w:rsidRDefault="007E2FA0" w:rsidP="004606BE">
    <w:pPr>
      <w:pStyle w:val="DHHSfooter"/>
    </w:pPr>
  </w:p>
  <w:p w14:paraId="5400368F" w14:textId="2A4942D7" w:rsidR="007E2FA0" w:rsidRDefault="007E2FA0" w:rsidP="00123745">
    <w:pPr>
      <w:pStyle w:val="Footer"/>
      <w:jc w:val="right"/>
    </w:pPr>
  </w:p>
  <w:p w14:paraId="2739FDFE" w14:textId="2EA70E5D" w:rsidR="007E2FA0" w:rsidRPr="0031753A" w:rsidRDefault="007E2FA0" w:rsidP="00123745">
    <w:pPr>
      <w:pStyle w:val="DHHSfooter"/>
    </w:pPr>
    <w:r>
      <w:t xml:space="preserve">        </w:t>
    </w:r>
  </w:p>
  <w:p w14:paraId="798C2288" w14:textId="77777777" w:rsidR="007E2FA0" w:rsidRDefault="007E2FA0">
    <w:pPr>
      <w:pStyle w:val="Footer"/>
    </w:pPr>
  </w:p>
  <w:p w14:paraId="1015B086" w14:textId="77777777" w:rsidR="007E2FA0" w:rsidRPr="008114D1" w:rsidRDefault="007E2FA0" w:rsidP="00ED4482">
    <w:pPr>
      <w:pStyle w:val="DHHS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E4FF5" w14:textId="61AB86AE" w:rsidR="007E2FA0" w:rsidRDefault="007E2FA0" w:rsidP="004606BE">
    <w:pPr>
      <w:pStyle w:val="DHHSfooter"/>
    </w:pPr>
    <w:r>
      <w:rPr>
        <w:noProof/>
      </w:rPr>
      <mc:AlternateContent>
        <mc:Choice Requires="wps">
          <w:drawing>
            <wp:anchor distT="0" distB="0" distL="114300" distR="114300" simplePos="0" relativeHeight="251657216" behindDoc="0" locked="0" layoutInCell="0" allowOverlap="1" wp14:anchorId="0C5AB31B" wp14:editId="5B4939EF">
              <wp:simplePos x="0" y="0"/>
              <wp:positionH relativeFrom="page">
                <wp:posOffset>0</wp:posOffset>
              </wp:positionH>
              <wp:positionV relativeFrom="page">
                <wp:posOffset>10189210</wp:posOffset>
              </wp:positionV>
              <wp:extent cx="7560310" cy="311785"/>
              <wp:effectExtent l="0" t="0" r="0" b="12065"/>
              <wp:wrapNone/>
              <wp:docPr id="4" name="MSIPCMcc014ec380d4ec902afeb9d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D2CC3" w14:textId="47419A13" w:rsidR="007E2FA0" w:rsidRPr="003D05A1" w:rsidRDefault="007E2FA0" w:rsidP="003D05A1">
                          <w:pPr>
                            <w:jc w:val="center"/>
                            <w:rPr>
                              <w:rFonts w:ascii="Arial Black" w:hAnsi="Arial Black"/>
                              <w:color w:val="000000"/>
                            </w:rPr>
                          </w:pPr>
                          <w:r w:rsidRPr="003D05A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5AB31B" id="_x0000_t202" coordsize="21600,21600" o:spt="202" path="m,l,21600r21600,l21600,xe">
              <v:stroke joinstyle="miter"/>
              <v:path gradientshapeok="t" o:connecttype="rect"/>
            </v:shapetype>
            <v:shape id="MSIPCMcc014ec380d4ec902afeb9d0"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NxIewmtAgAATAUAAA4AAAAA&#10;AAAAAAAAAAAALgIAAGRycy9lMm9Eb2MueG1sUEsBAi0AFAAGAAgAAAAhAEgNXprfAAAACwEAAA8A&#10;AAAAAAAAAAAAAAAABwUAAGRycy9kb3ducmV2LnhtbFBLBQYAAAAABAAEAPMAAAATBgAAAAA=&#10;" o:allowincell="f" filled="f" stroked="f" strokeweight=".5pt">
              <v:textbox inset=",0,,0">
                <w:txbxContent>
                  <w:p w14:paraId="1A7D2CC3" w14:textId="47419A13" w:rsidR="007E2FA0" w:rsidRPr="003D05A1" w:rsidRDefault="007E2FA0" w:rsidP="003D05A1">
                    <w:pPr>
                      <w:jc w:val="center"/>
                      <w:rPr>
                        <w:rFonts w:ascii="Arial Black" w:hAnsi="Arial Black"/>
                        <w:color w:val="000000"/>
                      </w:rPr>
                    </w:pPr>
                    <w:r w:rsidRPr="003D05A1">
                      <w:rPr>
                        <w:rFonts w:ascii="Arial Black" w:hAnsi="Arial Black"/>
                        <w:color w:val="000000"/>
                      </w:rPr>
                      <w:t>OFFICIAL</w:t>
                    </w:r>
                  </w:p>
                </w:txbxContent>
              </v:textbox>
              <w10:wrap anchorx="page" anchory="page"/>
            </v:shape>
          </w:pict>
        </mc:Fallback>
      </mc:AlternateContent>
    </w:r>
  </w:p>
  <w:p w14:paraId="39F21628" w14:textId="77777777" w:rsidR="007E2FA0" w:rsidRDefault="007E2FA0" w:rsidP="004606BE">
    <w:pPr>
      <w:pStyle w:val="DHHSfooter"/>
    </w:pPr>
  </w:p>
  <w:p w14:paraId="18E7D188" w14:textId="77777777" w:rsidR="007E2FA0" w:rsidRPr="0031753A" w:rsidRDefault="007E2FA0" w:rsidP="00E969B1">
    <w:pPr>
      <w:pStyle w:val="DHHSfooter"/>
    </w:pPr>
    <w:r w:rsidRPr="0031753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2C325" w14:textId="77777777" w:rsidR="004B46A4" w:rsidRDefault="004B46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DF58" w14:textId="15EFD817" w:rsidR="007E2FA0" w:rsidRDefault="007E2FA0" w:rsidP="004606BE">
    <w:pPr>
      <w:pStyle w:val="DHHSfooter"/>
    </w:pPr>
    <w:r>
      <w:rPr>
        <w:noProof/>
      </w:rPr>
      <mc:AlternateContent>
        <mc:Choice Requires="wps">
          <w:drawing>
            <wp:anchor distT="0" distB="0" distL="114300" distR="114300" simplePos="0" relativeHeight="251659264" behindDoc="0" locked="0" layoutInCell="0" allowOverlap="1" wp14:anchorId="2D419D62" wp14:editId="5C5B2261">
              <wp:simplePos x="0" y="0"/>
              <wp:positionH relativeFrom="page">
                <wp:posOffset>0</wp:posOffset>
              </wp:positionH>
              <wp:positionV relativeFrom="page">
                <wp:posOffset>10189210</wp:posOffset>
              </wp:positionV>
              <wp:extent cx="7560310" cy="311785"/>
              <wp:effectExtent l="0" t="0" r="0" b="12065"/>
              <wp:wrapNone/>
              <wp:docPr id="7" name="MSIPCMc2514997b9b520bfae1732fb"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8D78A" w14:textId="12A93A71" w:rsidR="007E2FA0" w:rsidRPr="003D05A1" w:rsidRDefault="007E2FA0" w:rsidP="003D05A1">
                          <w:pPr>
                            <w:jc w:val="center"/>
                            <w:rPr>
                              <w:rFonts w:ascii="Arial Black" w:hAnsi="Arial Black"/>
                              <w:color w:val="000000"/>
                            </w:rPr>
                          </w:pPr>
                          <w:r w:rsidRPr="003D05A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419D62" id="_x0000_t202" coordsize="21600,21600" o:spt="202" path="m,l,21600r21600,l21600,xe">
              <v:stroke joinstyle="miter"/>
              <v:path gradientshapeok="t" o:connecttype="rect"/>
            </v:shapetype>
            <v:shape id="MSIPCMc2514997b9b520bfae1732fb"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" o:allowincell="f" filled="f" stroked="f" strokeweight=".5pt">
              <v:textbox inset=",0,,0">
                <w:txbxContent>
                  <w:p w14:paraId="7A88D78A" w14:textId="12A93A71" w:rsidR="007E2FA0" w:rsidRPr="003D05A1" w:rsidRDefault="007E2FA0" w:rsidP="003D05A1">
                    <w:pPr>
                      <w:jc w:val="center"/>
                      <w:rPr>
                        <w:rFonts w:ascii="Arial Black" w:hAnsi="Arial Black"/>
                        <w:color w:val="000000"/>
                      </w:rPr>
                    </w:pPr>
                    <w:r w:rsidRPr="003D05A1">
                      <w:rPr>
                        <w:rFonts w:ascii="Arial Black" w:hAnsi="Arial Black"/>
                        <w:color w:val="000000"/>
                      </w:rPr>
                      <w:t>OFFICIAL</w:t>
                    </w:r>
                  </w:p>
                </w:txbxContent>
              </v:textbox>
              <w10:wrap anchorx="page" anchory="page"/>
            </v:shape>
          </w:pict>
        </mc:Fallback>
      </mc:AlternateContent>
    </w:r>
  </w:p>
  <w:p w14:paraId="6374D738" w14:textId="77777777" w:rsidR="007E2FA0" w:rsidRDefault="007E2FA0">
    <w:pPr>
      <w:pStyle w:val="Footer"/>
    </w:pPr>
  </w:p>
  <w:p w14:paraId="147158BC" w14:textId="77777777" w:rsidR="007E2FA0" w:rsidRPr="008114D1" w:rsidRDefault="007E2FA0" w:rsidP="00ED4482">
    <w:pPr>
      <w:pStyle w:val="DHHS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0B795" w14:textId="77AC6B6E" w:rsidR="007E2FA0" w:rsidRDefault="007E2FA0" w:rsidP="0032154A">
    <w:pPr>
      <w:pStyle w:val="Footer"/>
      <w:ind w:left="-993"/>
      <w:jc w:val="center"/>
    </w:pPr>
    <w:r>
      <w:rPr>
        <w:noProof/>
      </w:rPr>
      <mc:AlternateContent>
        <mc:Choice Requires="wps">
          <w:drawing>
            <wp:anchor distT="0" distB="0" distL="114300" distR="114300" simplePos="0" relativeHeight="251658240" behindDoc="0" locked="0" layoutInCell="0" allowOverlap="1" wp14:anchorId="2CA246EF" wp14:editId="2F42CE63">
              <wp:simplePos x="0" y="0"/>
              <wp:positionH relativeFrom="page">
                <wp:posOffset>0</wp:posOffset>
              </wp:positionH>
              <wp:positionV relativeFrom="page">
                <wp:posOffset>10189210</wp:posOffset>
              </wp:positionV>
              <wp:extent cx="7560310" cy="311785"/>
              <wp:effectExtent l="0" t="0" r="0" b="12065"/>
              <wp:wrapNone/>
              <wp:docPr id="6" name="MSIPCM24254414b4df06f437dc17df"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F9A691" w14:textId="3A6779E2" w:rsidR="007E2FA0" w:rsidRPr="003D05A1" w:rsidRDefault="007E2FA0" w:rsidP="003D05A1">
                          <w:pPr>
                            <w:jc w:val="center"/>
                            <w:rPr>
                              <w:rFonts w:ascii="Arial Black" w:hAnsi="Arial Black"/>
                              <w:color w:val="000000"/>
                            </w:rPr>
                          </w:pPr>
                          <w:r w:rsidRPr="003D05A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A246EF" id="_x0000_t202" coordsize="21600,21600" o:spt="202" path="m,l,21600r21600,l21600,xe">
              <v:stroke joinstyle="miter"/>
              <v:path gradientshapeok="t" o:connecttype="rect"/>
            </v:shapetype>
            <v:shape id="MSIPCM24254414b4df06f437dc17df"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BT/8Ga8CAABMBQAADgAA&#10;AAAAAAAAAAAAAAAuAgAAZHJzL2Uyb0RvYy54bWxQSwECLQAUAAYACAAAACEASA1emt8AAAALAQAA&#10;DwAAAAAAAAAAAAAAAAAJBQAAZHJzL2Rvd25yZXYueG1sUEsFBgAAAAAEAAQA8wAAABUGAAAAAA==&#10;" o:allowincell="f" filled="f" stroked="f" strokeweight=".5pt">
              <v:textbox inset=",0,,0">
                <w:txbxContent>
                  <w:p w14:paraId="1BF9A691" w14:textId="3A6779E2" w:rsidR="007E2FA0" w:rsidRPr="003D05A1" w:rsidRDefault="007E2FA0" w:rsidP="003D05A1">
                    <w:pPr>
                      <w:jc w:val="center"/>
                      <w:rPr>
                        <w:rFonts w:ascii="Arial Black" w:hAnsi="Arial Black"/>
                        <w:color w:val="000000"/>
                      </w:rPr>
                    </w:pPr>
                    <w:r w:rsidRPr="003D05A1">
                      <w:rPr>
                        <w:rFonts w:ascii="Arial Black" w:hAnsi="Arial Black"/>
                        <w:color w:val="000000"/>
                      </w:rPr>
                      <w:t>OFFICIAL</w:t>
                    </w:r>
                  </w:p>
                </w:txbxContent>
              </v:textbox>
              <w10:wrap anchorx="page" anchory="page"/>
            </v:shape>
          </w:pict>
        </mc:Fallback>
      </mc:AlternateContent>
    </w:r>
    <w:sdt>
      <w:sdtPr>
        <w:id w:val="1309826751"/>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6D21C" w14:textId="77777777" w:rsidR="007E2FA0" w:rsidRDefault="007E2FA0">
      <w:r>
        <w:separator/>
      </w:r>
    </w:p>
  </w:footnote>
  <w:footnote w:type="continuationSeparator" w:id="0">
    <w:p w14:paraId="17653617" w14:textId="77777777" w:rsidR="007E2FA0" w:rsidRDefault="007E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1F1F2" w14:textId="507E0717" w:rsidR="007E2FA0" w:rsidRDefault="007E2FA0">
    <w:pPr>
      <w:pStyle w:val="Header"/>
    </w:pPr>
  </w:p>
  <w:p w14:paraId="2B66FE8D" w14:textId="77777777" w:rsidR="007E2FA0" w:rsidRDefault="007E2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7A8FB" w14:textId="77777777" w:rsidR="004B46A4" w:rsidRDefault="004B4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41D2D" w14:textId="77777777" w:rsidR="004B46A4" w:rsidRDefault="004B46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5B179" w14:textId="3ECB3B6B" w:rsidR="007E2FA0" w:rsidRDefault="007E2FA0" w:rsidP="009F58C2">
    <w:pPr>
      <w:pStyle w:val="Header"/>
      <w:jc w:val="center"/>
    </w:pPr>
    <w:r w:rsidRPr="0032154A">
      <w:rPr>
        <w:noProof/>
        <w:color w:val="201547"/>
      </w:rPr>
      <w:drawing>
        <wp:anchor distT="0" distB="0" distL="114300" distR="114300" simplePos="0" relativeHeight="251647488" behindDoc="1" locked="1" layoutInCell="1" allowOverlap="1" wp14:anchorId="15B35F46" wp14:editId="20254446">
          <wp:simplePos x="0" y="0"/>
          <wp:positionH relativeFrom="page">
            <wp:posOffset>-635</wp:posOffset>
          </wp:positionH>
          <wp:positionV relativeFrom="page">
            <wp:posOffset>17780</wp:posOffset>
          </wp:positionV>
          <wp:extent cx="7559675" cy="269875"/>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r>
      <w:rPr>
        <w:color w:val="201547"/>
      </w:rPr>
      <w:t>Public Housing Infrastructure Program Framework and Funding Guidelines</w:t>
    </w:r>
  </w:p>
  <w:p w14:paraId="40A27CBE" w14:textId="77777777" w:rsidR="007E2FA0" w:rsidRDefault="007E2FA0"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710765"/>
      <w:docPartObj>
        <w:docPartGallery w:val="Page Numbers (Top of Page)"/>
        <w:docPartUnique/>
      </w:docPartObj>
    </w:sdtPr>
    <w:sdtEndPr>
      <w:rPr>
        <w:noProof/>
      </w:rPr>
    </w:sdtEndPr>
    <w:sdtContent>
      <w:p w14:paraId="6F789B4A" w14:textId="428EE4B6" w:rsidR="007E2FA0" w:rsidRDefault="007E2FA0" w:rsidP="009F58C2">
        <w:pPr>
          <w:pStyle w:val="Header"/>
          <w:tabs>
            <w:tab w:val="left" w:pos="0"/>
          </w:tabs>
        </w:pPr>
        <w:r>
          <w:fldChar w:fldCharType="begin"/>
        </w:r>
        <w:r>
          <w:instrText xml:space="preserve"> PAGE   \* MERGEFORMAT </w:instrText>
        </w:r>
        <w:r>
          <w:fldChar w:fldCharType="separate"/>
        </w:r>
        <w:r>
          <w:rPr>
            <w:noProof/>
          </w:rPr>
          <w:t>2</w:t>
        </w:r>
        <w:r>
          <w:rPr>
            <w:noProof/>
          </w:rPr>
          <w:fldChar w:fldCharType="end"/>
        </w:r>
        <w:r w:rsidRPr="0032154A">
          <w:rPr>
            <w:noProof/>
            <w:color w:val="201547"/>
          </w:rPr>
          <w:drawing>
            <wp:anchor distT="0" distB="0" distL="114300" distR="114300" simplePos="0" relativeHeight="251660288" behindDoc="1" locked="1" layoutInCell="1" allowOverlap="1" wp14:anchorId="545A9455" wp14:editId="50B8FBE8">
              <wp:simplePos x="0" y="0"/>
              <wp:positionH relativeFrom="page">
                <wp:posOffset>-635</wp:posOffset>
              </wp:positionH>
              <wp:positionV relativeFrom="page">
                <wp:posOffset>1905</wp:posOffset>
              </wp:positionV>
              <wp:extent cx="7559675" cy="269875"/>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Pr>
            <w:color w:val="201547"/>
          </w:rPr>
          <w:t>Public Housing Infrastructure Program Framework and Funding Guidelines</w:t>
        </w:r>
      </w:p>
    </w:sdtContent>
  </w:sdt>
  <w:p w14:paraId="00EA626B" w14:textId="48B6CED4" w:rsidR="007E2FA0" w:rsidRDefault="007E2FA0">
    <w:pPr>
      <w:pStyle w:val="Header"/>
    </w:pPr>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83071"/>
      <w:docPartObj>
        <w:docPartGallery w:val="Page Numbers (Top of Page)"/>
        <w:docPartUnique/>
      </w:docPartObj>
    </w:sdtPr>
    <w:sdtEndPr>
      <w:rPr>
        <w:noProof/>
      </w:rPr>
    </w:sdtEndPr>
    <w:sdtContent>
      <w:p w14:paraId="0A872D4E" w14:textId="4022363E" w:rsidR="007E2FA0" w:rsidRDefault="007E2FA0">
        <w:pPr>
          <w:pStyle w:val="Header"/>
        </w:pPr>
        <w:r w:rsidRPr="0032154A">
          <w:rPr>
            <w:noProof/>
            <w:color w:val="201547"/>
          </w:rPr>
          <w:drawing>
            <wp:anchor distT="0" distB="0" distL="114300" distR="114300" simplePos="0" relativeHeight="251655168" behindDoc="1" locked="1" layoutInCell="1" allowOverlap="1" wp14:anchorId="7B87D000" wp14:editId="63A4E240">
              <wp:simplePos x="0" y="0"/>
              <wp:positionH relativeFrom="page">
                <wp:posOffset>-635</wp:posOffset>
              </wp:positionH>
              <wp:positionV relativeFrom="page">
                <wp:posOffset>1905</wp:posOffset>
              </wp:positionV>
              <wp:extent cx="7559675" cy="269875"/>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p w14:paraId="55D1DF4D" w14:textId="42CC4F83" w:rsidR="007E2FA0" w:rsidRPr="0032154A" w:rsidRDefault="007E2FA0" w:rsidP="00811A36">
        <w:pPr>
          <w:spacing w:after="300"/>
          <w:rPr>
            <w:rFonts w:ascii="Arial" w:hAnsi="Arial" w:cs="Arial"/>
            <w:color w:val="201547"/>
            <w:sz w:val="18"/>
            <w:szCs w:val="18"/>
          </w:rPr>
        </w:pPr>
        <w:r>
          <w:rPr>
            <w:noProof/>
          </w:rPr>
          <w:t xml:space="preserve">                          </w:t>
        </w:r>
        <w:r>
          <w:rPr>
            <w:rFonts w:ascii="Arial" w:hAnsi="Arial" w:cs="Arial"/>
            <w:color w:val="201547"/>
            <w:sz w:val="18"/>
            <w:szCs w:val="18"/>
          </w:rPr>
          <w:t>Public Housing Infrastructure Program Framework and Funding Guidelines</w:t>
        </w:r>
        <w:r w:rsidRPr="0032154A">
          <w:rPr>
            <w:rFonts w:ascii="Arial" w:hAnsi="Arial" w:cs="Arial"/>
            <w:noProof/>
            <w:color w:val="201547"/>
            <w:sz w:val="18"/>
            <w:szCs w:val="18"/>
          </w:rPr>
          <w:drawing>
            <wp:anchor distT="0" distB="0" distL="114300" distR="114300" simplePos="0" relativeHeight="251657216" behindDoc="1" locked="1" layoutInCell="1" allowOverlap="1" wp14:anchorId="481C149A" wp14:editId="47888B77">
              <wp:simplePos x="828040" y="560705"/>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32154A">
          <w:rPr>
            <w:rFonts w:ascii="Arial" w:hAnsi="Arial" w:cs="Arial"/>
            <w:color w:val="201547"/>
            <w:sz w:val="18"/>
            <w:szCs w:val="18"/>
          </w:rPr>
          <w:ptab w:relativeTo="margin" w:alignment="right" w:leader="none"/>
        </w:r>
        <w:r>
          <w:fldChar w:fldCharType="begin"/>
        </w:r>
        <w:r>
          <w:instrText xml:space="preserve"> PAGE   \* MERGEFORMAT </w:instrText>
        </w:r>
        <w:r>
          <w:fldChar w:fldCharType="separate"/>
        </w:r>
        <w:r>
          <w:t>1</w:t>
        </w:r>
        <w:r>
          <w:rPr>
            <w:noProof/>
          </w:rPr>
          <w:fldChar w:fldCharType="end"/>
        </w:r>
        <w:r>
          <w:rPr>
            <w:noProof/>
          </w:rPr>
          <w:t xml:space="preserve">   </w:t>
        </w:r>
      </w:p>
      <w:p w14:paraId="40033AEB" w14:textId="6F7073EC" w:rsidR="007E2FA0" w:rsidRDefault="007E2FA0">
        <w:pPr>
          <w:pStyle w:val="Header"/>
        </w:pPr>
        <w:r>
          <w:rPr>
            <w:noProof/>
          </w:rPr>
          <w:t xml:space="preserve">   </w:t>
        </w:r>
      </w:p>
    </w:sdtContent>
  </w:sdt>
  <w:p w14:paraId="56F83258" w14:textId="77777777" w:rsidR="007E2FA0" w:rsidRDefault="007E2FA0"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C10FA"/>
    <w:multiLevelType w:val="hybridMultilevel"/>
    <w:tmpl w:val="11FE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257F7"/>
    <w:multiLevelType w:val="hybridMultilevel"/>
    <w:tmpl w:val="ADF4F26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5053FF1"/>
    <w:multiLevelType w:val="hybridMultilevel"/>
    <w:tmpl w:val="94C27F22"/>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8932B5F"/>
    <w:multiLevelType w:val="hybridMultilevel"/>
    <w:tmpl w:val="2F3806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B6C665D"/>
    <w:multiLevelType w:val="hybridMultilevel"/>
    <w:tmpl w:val="81785C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D43DB"/>
    <w:multiLevelType w:val="multilevel"/>
    <w:tmpl w:val="B33A2DBC"/>
    <w:numStyleLink w:val="ZZNumbersdigit"/>
  </w:abstractNum>
  <w:abstractNum w:abstractNumId="6" w15:restartNumberingAfterBreak="0">
    <w:nsid w:val="1F73411B"/>
    <w:multiLevelType w:val="hybridMultilevel"/>
    <w:tmpl w:val="F47E31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8D51B47"/>
    <w:multiLevelType w:val="multilevel"/>
    <w:tmpl w:val="4B4E7622"/>
    <w:numStyleLink w:val="ZZNumbers"/>
  </w:abstractNum>
  <w:abstractNum w:abstractNumId="8" w15:restartNumberingAfterBreak="0">
    <w:nsid w:val="2E0B128E"/>
    <w:multiLevelType w:val="hybridMultilevel"/>
    <w:tmpl w:val="F172673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40F116CF"/>
    <w:multiLevelType w:val="hybridMultilevel"/>
    <w:tmpl w:val="7A6E6B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7932AD"/>
    <w:multiLevelType w:val="hybridMultilevel"/>
    <w:tmpl w:val="C8C6D9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A063A4"/>
    <w:multiLevelType w:val="hybridMultilevel"/>
    <w:tmpl w:val="9ED49B6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4"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A5C49F3"/>
    <w:multiLevelType w:val="hybridMultilevel"/>
    <w:tmpl w:val="779ACFE6"/>
    <w:lvl w:ilvl="0" w:tplc="A1B4219A">
      <w:start w:val="3"/>
      <w:numFmt w:val="bullet"/>
      <w:lvlText w:val="-"/>
      <w:lvlJc w:val="left"/>
      <w:pPr>
        <w:ind w:left="1364" w:hanging="360"/>
      </w:pPr>
      <w:rPr>
        <w:rFonts w:ascii="Arial" w:eastAsia="Times New Roman" w:hAnsi="Arial" w:cs="Aria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6" w15:restartNumberingAfterBreak="0">
    <w:nsid w:val="602D706E"/>
    <w:multiLevelType w:val="hybridMultilevel"/>
    <w:tmpl w:val="E0560484"/>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17" w15:restartNumberingAfterBreak="0">
    <w:nsid w:val="647652B7"/>
    <w:multiLevelType w:val="hybridMultilevel"/>
    <w:tmpl w:val="DC924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CD1497"/>
    <w:multiLevelType w:val="hybridMultilevel"/>
    <w:tmpl w:val="A7F85A3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6C3C0FF9"/>
    <w:multiLevelType w:val="hybridMultilevel"/>
    <w:tmpl w:val="CA52306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73140A00"/>
    <w:multiLevelType w:val="hybridMultilevel"/>
    <w:tmpl w:val="BD702CA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778331C5"/>
    <w:multiLevelType w:val="hybridMultilevel"/>
    <w:tmpl w:val="24202DA6"/>
    <w:lvl w:ilvl="0" w:tplc="0C090001">
      <w:start w:val="1"/>
      <w:numFmt w:val="bullet"/>
      <w:lvlText w:val=""/>
      <w:lvlJc w:val="left"/>
      <w:pPr>
        <w:tabs>
          <w:tab w:val="num" w:pos="928"/>
        </w:tabs>
        <w:ind w:left="928"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2"/>
  </w:num>
  <w:num w:numId="18">
    <w:abstractNumId w:val="21"/>
  </w:num>
  <w:num w:numId="19">
    <w:abstractNumId w:val="8"/>
  </w:num>
  <w:num w:numId="20">
    <w:abstractNumId w:val="18"/>
  </w:num>
  <w:num w:numId="21">
    <w:abstractNumId w:val="1"/>
  </w:num>
  <w:num w:numId="22">
    <w:abstractNumId w:val="3"/>
  </w:num>
  <w:num w:numId="23">
    <w:abstractNumId w:val="20"/>
  </w:num>
  <w:num w:numId="24">
    <w:abstractNumId w:val="19"/>
  </w:num>
  <w:num w:numId="25">
    <w:abstractNumId w:val="2"/>
  </w:num>
  <w:num w:numId="26">
    <w:abstractNumId w:val="17"/>
  </w:num>
  <w:num w:numId="27">
    <w:abstractNumId w:val="6"/>
  </w:num>
  <w:num w:numId="28">
    <w:abstractNumId w:val="16"/>
  </w:num>
  <w:num w:numId="29">
    <w:abstractNumId w:val="0"/>
  </w:num>
  <w:num w:numId="30">
    <w:abstractNumId w:val="15"/>
  </w:num>
  <w:num w:numId="31">
    <w:abstractNumId w:val="13"/>
  </w:num>
  <w:num w:numId="32">
    <w:abstractNumId w:val="1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n-AU" w:vendorID="64" w:dllVersion="6" w:nlCheck="1" w:checkStyle="0"/>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ED3"/>
    <w:rsid w:val="00000324"/>
    <w:rsid w:val="00002990"/>
    <w:rsid w:val="000048AC"/>
    <w:rsid w:val="00014FC4"/>
    <w:rsid w:val="00020AAB"/>
    <w:rsid w:val="000223A4"/>
    <w:rsid w:val="00022E60"/>
    <w:rsid w:val="00026C19"/>
    <w:rsid w:val="00031263"/>
    <w:rsid w:val="00060E93"/>
    <w:rsid w:val="00064936"/>
    <w:rsid w:val="000734F8"/>
    <w:rsid w:val="000736B8"/>
    <w:rsid w:val="0007410E"/>
    <w:rsid w:val="0008122F"/>
    <w:rsid w:val="000817CB"/>
    <w:rsid w:val="00082868"/>
    <w:rsid w:val="000873EF"/>
    <w:rsid w:val="00090AFB"/>
    <w:rsid w:val="00091725"/>
    <w:rsid w:val="000A1F1E"/>
    <w:rsid w:val="000B3792"/>
    <w:rsid w:val="000C6242"/>
    <w:rsid w:val="000C68DB"/>
    <w:rsid w:val="000C6ADF"/>
    <w:rsid w:val="000D2C32"/>
    <w:rsid w:val="000E6F72"/>
    <w:rsid w:val="000F0478"/>
    <w:rsid w:val="000F0A50"/>
    <w:rsid w:val="00103D5E"/>
    <w:rsid w:val="00104EA7"/>
    <w:rsid w:val="00105FAD"/>
    <w:rsid w:val="0011155B"/>
    <w:rsid w:val="00111A6A"/>
    <w:rsid w:val="00121BF1"/>
    <w:rsid w:val="00123745"/>
    <w:rsid w:val="00127A8B"/>
    <w:rsid w:val="00134BE5"/>
    <w:rsid w:val="001412D1"/>
    <w:rsid w:val="001423E3"/>
    <w:rsid w:val="001427E0"/>
    <w:rsid w:val="00144F67"/>
    <w:rsid w:val="00145CC5"/>
    <w:rsid w:val="001475EA"/>
    <w:rsid w:val="001504F5"/>
    <w:rsid w:val="001517BD"/>
    <w:rsid w:val="00161242"/>
    <w:rsid w:val="0017248D"/>
    <w:rsid w:val="00173626"/>
    <w:rsid w:val="0017614A"/>
    <w:rsid w:val="001817CD"/>
    <w:rsid w:val="0018235E"/>
    <w:rsid w:val="0018640E"/>
    <w:rsid w:val="0018768C"/>
    <w:rsid w:val="0019161F"/>
    <w:rsid w:val="00192BA0"/>
    <w:rsid w:val="00197303"/>
    <w:rsid w:val="001A17EA"/>
    <w:rsid w:val="001A1D17"/>
    <w:rsid w:val="001A22AA"/>
    <w:rsid w:val="001A63FC"/>
    <w:rsid w:val="001A7A18"/>
    <w:rsid w:val="001B1565"/>
    <w:rsid w:val="001B166D"/>
    <w:rsid w:val="001B28B5"/>
    <w:rsid w:val="001B2975"/>
    <w:rsid w:val="001C122D"/>
    <w:rsid w:val="001D2A82"/>
    <w:rsid w:val="001D569B"/>
    <w:rsid w:val="001D5FF3"/>
    <w:rsid w:val="001E0EA3"/>
    <w:rsid w:val="001E4995"/>
    <w:rsid w:val="001E7A42"/>
    <w:rsid w:val="001F09DC"/>
    <w:rsid w:val="001F43E6"/>
    <w:rsid w:val="0020373C"/>
    <w:rsid w:val="00213772"/>
    <w:rsid w:val="00220749"/>
    <w:rsid w:val="0022422C"/>
    <w:rsid w:val="00224ECE"/>
    <w:rsid w:val="0022724E"/>
    <w:rsid w:val="00230666"/>
    <w:rsid w:val="00231153"/>
    <w:rsid w:val="0023252E"/>
    <w:rsid w:val="00241C31"/>
    <w:rsid w:val="0024775A"/>
    <w:rsid w:val="00256C86"/>
    <w:rsid w:val="002679D5"/>
    <w:rsid w:val="002714FD"/>
    <w:rsid w:val="00275F94"/>
    <w:rsid w:val="00281B9C"/>
    <w:rsid w:val="00284C9B"/>
    <w:rsid w:val="00292AEB"/>
    <w:rsid w:val="002A141B"/>
    <w:rsid w:val="002A26B6"/>
    <w:rsid w:val="002A6A4E"/>
    <w:rsid w:val="002B5A85"/>
    <w:rsid w:val="002B63A7"/>
    <w:rsid w:val="002C5543"/>
    <w:rsid w:val="002D0F7F"/>
    <w:rsid w:val="002D3CFD"/>
    <w:rsid w:val="002E0198"/>
    <w:rsid w:val="002E1D7C"/>
    <w:rsid w:val="002F449B"/>
    <w:rsid w:val="002F4D86"/>
    <w:rsid w:val="002F5D69"/>
    <w:rsid w:val="002F7C77"/>
    <w:rsid w:val="00300CB3"/>
    <w:rsid w:val="0030394B"/>
    <w:rsid w:val="003072C6"/>
    <w:rsid w:val="00307729"/>
    <w:rsid w:val="00310D8E"/>
    <w:rsid w:val="00314B4A"/>
    <w:rsid w:val="00315BBD"/>
    <w:rsid w:val="00316CFC"/>
    <w:rsid w:val="003173B4"/>
    <w:rsid w:val="0031753A"/>
    <w:rsid w:val="00320293"/>
    <w:rsid w:val="0032154A"/>
    <w:rsid w:val="00322CC2"/>
    <w:rsid w:val="003270B9"/>
    <w:rsid w:val="003271DC"/>
    <w:rsid w:val="00330375"/>
    <w:rsid w:val="0033466D"/>
    <w:rsid w:val="00334B54"/>
    <w:rsid w:val="0033739E"/>
    <w:rsid w:val="00343733"/>
    <w:rsid w:val="00355886"/>
    <w:rsid w:val="00356814"/>
    <w:rsid w:val="00357673"/>
    <w:rsid w:val="0038019F"/>
    <w:rsid w:val="00382071"/>
    <w:rsid w:val="003A0A4E"/>
    <w:rsid w:val="003A18B7"/>
    <w:rsid w:val="003A2F25"/>
    <w:rsid w:val="003B2807"/>
    <w:rsid w:val="003B541C"/>
    <w:rsid w:val="003C56EB"/>
    <w:rsid w:val="003C68F2"/>
    <w:rsid w:val="003D05A1"/>
    <w:rsid w:val="003D58B8"/>
    <w:rsid w:val="003D5CFB"/>
    <w:rsid w:val="003E2636"/>
    <w:rsid w:val="003E2E12"/>
    <w:rsid w:val="003F39CE"/>
    <w:rsid w:val="00401108"/>
    <w:rsid w:val="00402927"/>
    <w:rsid w:val="00407993"/>
    <w:rsid w:val="00411833"/>
    <w:rsid w:val="00412F64"/>
    <w:rsid w:val="00417BEB"/>
    <w:rsid w:val="0042114F"/>
    <w:rsid w:val="00426C47"/>
    <w:rsid w:val="004324FF"/>
    <w:rsid w:val="00432A55"/>
    <w:rsid w:val="00435619"/>
    <w:rsid w:val="0044260A"/>
    <w:rsid w:val="00444D82"/>
    <w:rsid w:val="004564C6"/>
    <w:rsid w:val="004606BE"/>
    <w:rsid w:val="004610CC"/>
    <w:rsid w:val="00465464"/>
    <w:rsid w:val="00465E87"/>
    <w:rsid w:val="0047786A"/>
    <w:rsid w:val="00477A65"/>
    <w:rsid w:val="00482DB3"/>
    <w:rsid w:val="004A0236"/>
    <w:rsid w:val="004A369A"/>
    <w:rsid w:val="004A3B3E"/>
    <w:rsid w:val="004A6AEA"/>
    <w:rsid w:val="004B46A4"/>
    <w:rsid w:val="004C1E23"/>
    <w:rsid w:val="004C5777"/>
    <w:rsid w:val="004D0173"/>
    <w:rsid w:val="004D0F77"/>
    <w:rsid w:val="004D1056"/>
    <w:rsid w:val="004E1B9A"/>
    <w:rsid w:val="004E1EDE"/>
    <w:rsid w:val="004E21E2"/>
    <w:rsid w:val="004E293F"/>
    <w:rsid w:val="004E380D"/>
    <w:rsid w:val="004E5773"/>
    <w:rsid w:val="004E7922"/>
    <w:rsid w:val="004F0DFC"/>
    <w:rsid w:val="004F3441"/>
    <w:rsid w:val="004F41B2"/>
    <w:rsid w:val="004F4AFC"/>
    <w:rsid w:val="004F4E36"/>
    <w:rsid w:val="004F52A5"/>
    <w:rsid w:val="00500C8C"/>
    <w:rsid w:val="00501375"/>
    <w:rsid w:val="00501D3B"/>
    <w:rsid w:val="005022C9"/>
    <w:rsid w:val="0050779D"/>
    <w:rsid w:val="005139EA"/>
    <w:rsid w:val="0051506D"/>
    <w:rsid w:val="00520BBB"/>
    <w:rsid w:val="00525456"/>
    <w:rsid w:val="00532236"/>
    <w:rsid w:val="00533B10"/>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949D0"/>
    <w:rsid w:val="005A3051"/>
    <w:rsid w:val="005A4434"/>
    <w:rsid w:val="005A53FE"/>
    <w:rsid w:val="005B7D22"/>
    <w:rsid w:val="005C029E"/>
    <w:rsid w:val="005E085D"/>
    <w:rsid w:val="005E34FD"/>
    <w:rsid w:val="005E3FA7"/>
    <w:rsid w:val="005E49C0"/>
    <w:rsid w:val="005E7963"/>
    <w:rsid w:val="005F218C"/>
    <w:rsid w:val="005F4523"/>
    <w:rsid w:val="00601D4D"/>
    <w:rsid w:val="006021B4"/>
    <w:rsid w:val="00605B5B"/>
    <w:rsid w:val="006062D8"/>
    <w:rsid w:val="00606827"/>
    <w:rsid w:val="00610E3E"/>
    <w:rsid w:val="00612C61"/>
    <w:rsid w:val="00620262"/>
    <w:rsid w:val="00621B4C"/>
    <w:rsid w:val="0062664B"/>
    <w:rsid w:val="00627C52"/>
    <w:rsid w:val="00630937"/>
    <w:rsid w:val="00636934"/>
    <w:rsid w:val="00647A83"/>
    <w:rsid w:val="00653B84"/>
    <w:rsid w:val="00653E0D"/>
    <w:rsid w:val="006865C8"/>
    <w:rsid w:val="00686B48"/>
    <w:rsid w:val="00687038"/>
    <w:rsid w:val="0068714E"/>
    <w:rsid w:val="006929F7"/>
    <w:rsid w:val="0069374A"/>
    <w:rsid w:val="00694AB8"/>
    <w:rsid w:val="00695EF7"/>
    <w:rsid w:val="0069699D"/>
    <w:rsid w:val="006B2C51"/>
    <w:rsid w:val="006B6361"/>
    <w:rsid w:val="006B737D"/>
    <w:rsid w:val="006C3FDD"/>
    <w:rsid w:val="006C5ED3"/>
    <w:rsid w:val="006C7BB2"/>
    <w:rsid w:val="006D360C"/>
    <w:rsid w:val="006D5AC9"/>
    <w:rsid w:val="006D66ED"/>
    <w:rsid w:val="006E143C"/>
    <w:rsid w:val="006E786B"/>
    <w:rsid w:val="006F425B"/>
    <w:rsid w:val="006F4AC4"/>
    <w:rsid w:val="007002B1"/>
    <w:rsid w:val="00704EB7"/>
    <w:rsid w:val="00705742"/>
    <w:rsid w:val="007104FE"/>
    <w:rsid w:val="00711B0C"/>
    <w:rsid w:val="007121A2"/>
    <w:rsid w:val="00713981"/>
    <w:rsid w:val="007176D6"/>
    <w:rsid w:val="00720B55"/>
    <w:rsid w:val="00727D54"/>
    <w:rsid w:val="007344C5"/>
    <w:rsid w:val="00734959"/>
    <w:rsid w:val="00735137"/>
    <w:rsid w:val="0073520D"/>
    <w:rsid w:val="00746411"/>
    <w:rsid w:val="007601C5"/>
    <w:rsid w:val="00780226"/>
    <w:rsid w:val="00781AB4"/>
    <w:rsid w:val="007923B7"/>
    <w:rsid w:val="00792616"/>
    <w:rsid w:val="007926BB"/>
    <w:rsid w:val="0079344C"/>
    <w:rsid w:val="007968AE"/>
    <w:rsid w:val="00797E25"/>
    <w:rsid w:val="007A0283"/>
    <w:rsid w:val="007B12EC"/>
    <w:rsid w:val="007B5D56"/>
    <w:rsid w:val="007C02C7"/>
    <w:rsid w:val="007C21EE"/>
    <w:rsid w:val="007C6818"/>
    <w:rsid w:val="007D3A2E"/>
    <w:rsid w:val="007D6652"/>
    <w:rsid w:val="007D754C"/>
    <w:rsid w:val="007D78BF"/>
    <w:rsid w:val="007E2FA0"/>
    <w:rsid w:val="007E343D"/>
    <w:rsid w:val="007E48D2"/>
    <w:rsid w:val="007F4383"/>
    <w:rsid w:val="00801601"/>
    <w:rsid w:val="00810991"/>
    <w:rsid w:val="00811A36"/>
    <w:rsid w:val="00814A9B"/>
    <w:rsid w:val="00814F66"/>
    <w:rsid w:val="00817C9E"/>
    <w:rsid w:val="008205AF"/>
    <w:rsid w:val="008225E5"/>
    <w:rsid w:val="00831053"/>
    <w:rsid w:val="008314D2"/>
    <w:rsid w:val="0083254D"/>
    <w:rsid w:val="00836249"/>
    <w:rsid w:val="00836F00"/>
    <w:rsid w:val="008437D4"/>
    <w:rsid w:val="00846192"/>
    <w:rsid w:val="00850806"/>
    <w:rsid w:val="00856A1B"/>
    <w:rsid w:val="00856DC8"/>
    <w:rsid w:val="008621C3"/>
    <w:rsid w:val="00865486"/>
    <w:rsid w:val="008671AB"/>
    <w:rsid w:val="00874BA2"/>
    <w:rsid w:val="00876275"/>
    <w:rsid w:val="00882B99"/>
    <w:rsid w:val="00886121"/>
    <w:rsid w:val="008A2865"/>
    <w:rsid w:val="008A295B"/>
    <w:rsid w:val="008A5CF8"/>
    <w:rsid w:val="008A6604"/>
    <w:rsid w:val="008B5482"/>
    <w:rsid w:val="008C11F4"/>
    <w:rsid w:val="008C2BEC"/>
    <w:rsid w:val="008C6523"/>
    <w:rsid w:val="008C6D0E"/>
    <w:rsid w:val="008D09D2"/>
    <w:rsid w:val="008D39C5"/>
    <w:rsid w:val="008E1D89"/>
    <w:rsid w:val="008E26D4"/>
    <w:rsid w:val="008E3E3E"/>
    <w:rsid w:val="008F5F87"/>
    <w:rsid w:val="00900A34"/>
    <w:rsid w:val="00907073"/>
    <w:rsid w:val="009208F5"/>
    <w:rsid w:val="00927D51"/>
    <w:rsid w:val="00932272"/>
    <w:rsid w:val="00932862"/>
    <w:rsid w:val="0093420C"/>
    <w:rsid w:val="00934758"/>
    <w:rsid w:val="00935D60"/>
    <w:rsid w:val="009447BB"/>
    <w:rsid w:val="00944C48"/>
    <w:rsid w:val="00945988"/>
    <w:rsid w:val="00946335"/>
    <w:rsid w:val="009513C4"/>
    <w:rsid w:val="009529C8"/>
    <w:rsid w:val="00955E55"/>
    <w:rsid w:val="00962200"/>
    <w:rsid w:val="00966F54"/>
    <w:rsid w:val="00975E61"/>
    <w:rsid w:val="00976E31"/>
    <w:rsid w:val="00977C63"/>
    <w:rsid w:val="00980087"/>
    <w:rsid w:val="00980C0B"/>
    <w:rsid w:val="0098524F"/>
    <w:rsid w:val="00986C1A"/>
    <w:rsid w:val="00987ABE"/>
    <w:rsid w:val="009906C7"/>
    <w:rsid w:val="00992B1F"/>
    <w:rsid w:val="009963CD"/>
    <w:rsid w:val="009B266D"/>
    <w:rsid w:val="009B5CBF"/>
    <w:rsid w:val="009C184A"/>
    <w:rsid w:val="009C2CA5"/>
    <w:rsid w:val="009D3E45"/>
    <w:rsid w:val="009D5B2B"/>
    <w:rsid w:val="009F351F"/>
    <w:rsid w:val="009F3F89"/>
    <w:rsid w:val="009F480E"/>
    <w:rsid w:val="009F58C2"/>
    <w:rsid w:val="00A022A2"/>
    <w:rsid w:val="00A02D15"/>
    <w:rsid w:val="00A11403"/>
    <w:rsid w:val="00A26B0D"/>
    <w:rsid w:val="00A30410"/>
    <w:rsid w:val="00A31972"/>
    <w:rsid w:val="00A325D6"/>
    <w:rsid w:val="00A3735A"/>
    <w:rsid w:val="00A42F1B"/>
    <w:rsid w:val="00A433BF"/>
    <w:rsid w:val="00A546BC"/>
    <w:rsid w:val="00A55989"/>
    <w:rsid w:val="00A5694A"/>
    <w:rsid w:val="00A63DA4"/>
    <w:rsid w:val="00A75CD5"/>
    <w:rsid w:val="00A82ECA"/>
    <w:rsid w:val="00A83975"/>
    <w:rsid w:val="00A83DF3"/>
    <w:rsid w:val="00A85915"/>
    <w:rsid w:val="00A952AB"/>
    <w:rsid w:val="00A9663D"/>
    <w:rsid w:val="00A9783D"/>
    <w:rsid w:val="00AA45E6"/>
    <w:rsid w:val="00AA5A37"/>
    <w:rsid w:val="00AB40B5"/>
    <w:rsid w:val="00AB489C"/>
    <w:rsid w:val="00AB50C1"/>
    <w:rsid w:val="00AB6577"/>
    <w:rsid w:val="00AB6936"/>
    <w:rsid w:val="00AC0C3B"/>
    <w:rsid w:val="00AC2D63"/>
    <w:rsid w:val="00AC7727"/>
    <w:rsid w:val="00AD03D8"/>
    <w:rsid w:val="00AD0711"/>
    <w:rsid w:val="00AD081E"/>
    <w:rsid w:val="00AD1FAF"/>
    <w:rsid w:val="00AD704E"/>
    <w:rsid w:val="00AE2DEB"/>
    <w:rsid w:val="00AE5FE0"/>
    <w:rsid w:val="00AE60B7"/>
    <w:rsid w:val="00AE6166"/>
    <w:rsid w:val="00AE6D30"/>
    <w:rsid w:val="00AF2AB7"/>
    <w:rsid w:val="00AF2B1C"/>
    <w:rsid w:val="00AF4D3F"/>
    <w:rsid w:val="00B0300B"/>
    <w:rsid w:val="00B04DA1"/>
    <w:rsid w:val="00B05457"/>
    <w:rsid w:val="00B128A0"/>
    <w:rsid w:val="00B13241"/>
    <w:rsid w:val="00B20240"/>
    <w:rsid w:val="00B23281"/>
    <w:rsid w:val="00B252E8"/>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0C0"/>
    <w:rsid w:val="00BB47D7"/>
    <w:rsid w:val="00BB4A62"/>
    <w:rsid w:val="00BC01C1"/>
    <w:rsid w:val="00BC5A34"/>
    <w:rsid w:val="00BD17F5"/>
    <w:rsid w:val="00BD6E05"/>
    <w:rsid w:val="00BE0FC3"/>
    <w:rsid w:val="00BE54D0"/>
    <w:rsid w:val="00BF6B6C"/>
    <w:rsid w:val="00BF7251"/>
    <w:rsid w:val="00BF7F28"/>
    <w:rsid w:val="00C01909"/>
    <w:rsid w:val="00C05787"/>
    <w:rsid w:val="00C13059"/>
    <w:rsid w:val="00C156D4"/>
    <w:rsid w:val="00C157AC"/>
    <w:rsid w:val="00C167A3"/>
    <w:rsid w:val="00C2181C"/>
    <w:rsid w:val="00C2657D"/>
    <w:rsid w:val="00C33C21"/>
    <w:rsid w:val="00C3447A"/>
    <w:rsid w:val="00C416E1"/>
    <w:rsid w:val="00C47BF8"/>
    <w:rsid w:val="00C517B5"/>
    <w:rsid w:val="00C51B1C"/>
    <w:rsid w:val="00C53DCE"/>
    <w:rsid w:val="00C655F2"/>
    <w:rsid w:val="00C65B4C"/>
    <w:rsid w:val="00C65B61"/>
    <w:rsid w:val="00C70E53"/>
    <w:rsid w:val="00C72979"/>
    <w:rsid w:val="00C75604"/>
    <w:rsid w:val="00C77E1C"/>
    <w:rsid w:val="00C81529"/>
    <w:rsid w:val="00C81BA6"/>
    <w:rsid w:val="00C8377C"/>
    <w:rsid w:val="00C877CD"/>
    <w:rsid w:val="00C902E9"/>
    <w:rsid w:val="00C90514"/>
    <w:rsid w:val="00C908B7"/>
    <w:rsid w:val="00C91D81"/>
    <w:rsid w:val="00C92A42"/>
    <w:rsid w:val="00CA18F2"/>
    <w:rsid w:val="00CA4871"/>
    <w:rsid w:val="00CA6722"/>
    <w:rsid w:val="00CA6D4E"/>
    <w:rsid w:val="00CA7B4B"/>
    <w:rsid w:val="00CB36A8"/>
    <w:rsid w:val="00CB5A60"/>
    <w:rsid w:val="00CB6CCA"/>
    <w:rsid w:val="00CC139A"/>
    <w:rsid w:val="00CC1A29"/>
    <w:rsid w:val="00CC1E7A"/>
    <w:rsid w:val="00CC4F64"/>
    <w:rsid w:val="00CC50FC"/>
    <w:rsid w:val="00CD058C"/>
    <w:rsid w:val="00CD3B98"/>
    <w:rsid w:val="00CD4216"/>
    <w:rsid w:val="00CD518C"/>
    <w:rsid w:val="00CD733F"/>
    <w:rsid w:val="00CE0942"/>
    <w:rsid w:val="00CE7CA5"/>
    <w:rsid w:val="00CF1D81"/>
    <w:rsid w:val="00CF2C77"/>
    <w:rsid w:val="00CF2DC9"/>
    <w:rsid w:val="00CF7CB6"/>
    <w:rsid w:val="00CF7FB5"/>
    <w:rsid w:val="00D311AB"/>
    <w:rsid w:val="00D3134D"/>
    <w:rsid w:val="00D325A8"/>
    <w:rsid w:val="00D442AD"/>
    <w:rsid w:val="00D45833"/>
    <w:rsid w:val="00D4697F"/>
    <w:rsid w:val="00D52A7B"/>
    <w:rsid w:val="00D5618A"/>
    <w:rsid w:val="00D5784B"/>
    <w:rsid w:val="00D63EFB"/>
    <w:rsid w:val="00D658AF"/>
    <w:rsid w:val="00D76EF4"/>
    <w:rsid w:val="00D7781C"/>
    <w:rsid w:val="00D80C8B"/>
    <w:rsid w:val="00D8198F"/>
    <w:rsid w:val="00D83DE9"/>
    <w:rsid w:val="00D8450D"/>
    <w:rsid w:val="00D95AF9"/>
    <w:rsid w:val="00DA09C9"/>
    <w:rsid w:val="00DA1822"/>
    <w:rsid w:val="00DA1C5F"/>
    <w:rsid w:val="00DA342C"/>
    <w:rsid w:val="00DB5E1F"/>
    <w:rsid w:val="00DC19D8"/>
    <w:rsid w:val="00DC2613"/>
    <w:rsid w:val="00DC4512"/>
    <w:rsid w:val="00DD3691"/>
    <w:rsid w:val="00DD4B55"/>
    <w:rsid w:val="00DE1E90"/>
    <w:rsid w:val="00DE24E6"/>
    <w:rsid w:val="00DE7F8A"/>
    <w:rsid w:val="00DF07AD"/>
    <w:rsid w:val="00DF3364"/>
    <w:rsid w:val="00DF743D"/>
    <w:rsid w:val="00E055BB"/>
    <w:rsid w:val="00E11988"/>
    <w:rsid w:val="00E15DA9"/>
    <w:rsid w:val="00E2095D"/>
    <w:rsid w:val="00E30414"/>
    <w:rsid w:val="00E40769"/>
    <w:rsid w:val="00E42E8B"/>
    <w:rsid w:val="00E539B0"/>
    <w:rsid w:val="00E60F12"/>
    <w:rsid w:val="00E62C5D"/>
    <w:rsid w:val="00E652FB"/>
    <w:rsid w:val="00E66C20"/>
    <w:rsid w:val="00E71C46"/>
    <w:rsid w:val="00E75ED2"/>
    <w:rsid w:val="00E80F3B"/>
    <w:rsid w:val="00E8280C"/>
    <w:rsid w:val="00E83E4C"/>
    <w:rsid w:val="00E91933"/>
    <w:rsid w:val="00E92A81"/>
    <w:rsid w:val="00E95976"/>
    <w:rsid w:val="00E969B1"/>
    <w:rsid w:val="00EA0CC7"/>
    <w:rsid w:val="00EB6552"/>
    <w:rsid w:val="00EC18E6"/>
    <w:rsid w:val="00EC1984"/>
    <w:rsid w:val="00EC234C"/>
    <w:rsid w:val="00ED3529"/>
    <w:rsid w:val="00ED4482"/>
    <w:rsid w:val="00ED4D17"/>
    <w:rsid w:val="00EE1087"/>
    <w:rsid w:val="00EE6CD3"/>
    <w:rsid w:val="00EF20D7"/>
    <w:rsid w:val="00EF3419"/>
    <w:rsid w:val="00F0119C"/>
    <w:rsid w:val="00F02BDB"/>
    <w:rsid w:val="00F0441B"/>
    <w:rsid w:val="00F07623"/>
    <w:rsid w:val="00F275AA"/>
    <w:rsid w:val="00F3136B"/>
    <w:rsid w:val="00F314F1"/>
    <w:rsid w:val="00F327EA"/>
    <w:rsid w:val="00F33641"/>
    <w:rsid w:val="00F42842"/>
    <w:rsid w:val="00F46E40"/>
    <w:rsid w:val="00F4760A"/>
    <w:rsid w:val="00F52B8E"/>
    <w:rsid w:val="00F53CFD"/>
    <w:rsid w:val="00F54AF5"/>
    <w:rsid w:val="00F557E3"/>
    <w:rsid w:val="00F5674F"/>
    <w:rsid w:val="00F61E78"/>
    <w:rsid w:val="00F635C5"/>
    <w:rsid w:val="00F736E3"/>
    <w:rsid w:val="00F767E8"/>
    <w:rsid w:val="00F86A3F"/>
    <w:rsid w:val="00F91297"/>
    <w:rsid w:val="00F9133B"/>
    <w:rsid w:val="00F97730"/>
    <w:rsid w:val="00FB13D9"/>
    <w:rsid w:val="00FB32A4"/>
    <w:rsid w:val="00FB594D"/>
    <w:rsid w:val="00FC49BB"/>
    <w:rsid w:val="00FD428D"/>
    <w:rsid w:val="00FD616B"/>
    <w:rsid w:val="00FD61CC"/>
    <w:rsid w:val="00FE21EA"/>
    <w:rsid w:val="00FE367F"/>
    <w:rsid w:val="00FF29DC"/>
    <w:rsid w:val="00FF2CC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7DB32FA"/>
  <w15:docId w15:val="{6F224478-35EF-4C87-9136-21EC0531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SHeadingA">
    <w:name w:val="DHS Heading A"/>
    <w:qFormat/>
    <w:rsid w:val="006C5ED3"/>
    <w:pPr>
      <w:spacing w:after="560" w:line="520" w:lineRule="exact"/>
    </w:pPr>
    <w:rPr>
      <w:rFonts w:ascii="Tahoma" w:hAnsi="Tahoma"/>
      <w:bCs/>
      <w:color w:val="A70240"/>
      <w:sz w:val="44"/>
      <w:szCs w:val="24"/>
      <w:lang w:eastAsia="en-US"/>
    </w:rPr>
  </w:style>
  <w:style w:type="paragraph" w:styleId="BodyTextIndent">
    <w:name w:val="Body Text Indent"/>
    <w:basedOn w:val="Normal"/>
    <w:link w:val="BodyTextIndentChar"/>
    <w:rsid w:val="00FE21EA"/>
    <w:pPr>
      <w:spacing w:before="120"/>
      <w:ind w:left="1134"/>
      <w:jc w:val="both"/>
    </w:pPr>
    <w:rPr>
      <w:rFonts w:ascii="Verdana" w:hAnsi="Verdana"/>
      <w:sz w:val="18"/>
    </w:rPr>
  </w:style>
  <w:style w:type="character" w:customStyle="1" w:styleId="BodyTextIndentChar">
    <w:name w:val="Body Text Indent Char"/>
    <w:basedOn w:val="DefaultParagraphFont"/>
    <w:link w:val="BodyTextIndent"/>
    <w:rsid w:val="00FE21EA"/>
    <w:rPr>
      <w:rFonts w:ascii="Verdana" w:hAnsi="Verdana"/>
      <w:sz w:val="18"/>
      <w:lang w:eastAsia="en-US"/>
    </w:rPr>
  </w:style>
  <w:style w:type="paragraph" w:styleId="ListParagraph">
    <w:name w:val="List Paragraph"/>
    <w:basedOn w:val="Normal"/>
    <w:uiPriority w:val="72"/>
    <w:semiHidden/>
    <w:qFormat/>
    <w:rsid w:val="00D4697F"/>
    <w:pPr>
      <w:ind w:left="720"/>
      <w:contextualSpacing/>
    </w:pPr>
  </w:style>
  <w:style w:type="paragraph" w:styleId="BalloonText">
    <w:name w:val="Balloon Text"/>
    <w:basedOn w:val="Normal"/>
    <w:link w:val="BalloonTextChar"/>
    <w:uiPriority w:val="99"/>
    <w:semiHidden/>
    <w:unhideWhenUsed/>
    <w:rsid w:val="00B252E8"/>
    <w:rPr>
      <w:rFonts w:ascii="Tahoma" w:hAnsi="Tahoma" w:cs="Tahoma"/>
      <w:sz w:val="16"/>
      <w:szCs w:val="16"/>
    </w:rPr>
  </w:style>
  <w:style w:type="character" w:customStyle="1" w:styleId="BalloonTextChar">
    <w:name w:val="Balloon Text Char"/>
    <w:basedOn w:val="DefaultParagraphFont"/>
    <w:link w:val="BalloonText"/>
    <w:uiPriority w:val="99"/>
    <w:semiHidden/>
    <w:rsid w:val="00B252E8"/>
    <w:rPr>
      <w:rFonts w:ascii="Tahoma" w:hAnsi="Tahoma" w:cs="Tahoma"/>
      <w:sz w:val="16"/>
      <w:szCs w:val="16"/>
      <w:lang w:eastAsia="en-US"/>
    </w:rPr>
  </w:style>
  <w:style w:type="character" w:customStyle="1" w:styleId="FooterChar">
    <w:name w:val="Footer Char"/>
    <w:basedOn w:val="DefaultParagraphFont"/>
    <w:link w:val="Footer"/>
    <w:uiPriority w:val="99"/>
    <w:rsid w:val="005E49C0"/>
    <w:rPr>
      <w:rFonts w:ascii="Arial" w:hAnsi="Arial" w:cs="Arial"/>
      <w:sz w:val="18"/>
      <w:szCs w:val="18"/>
      <w:lang w:eastAsia="en-US"/>
    </w:rPr>
  </w:style>
  <w:style w:type="paragraph" w:styleId="TOCHeading">
    <w:name w:val="TOC Heading"/>
    <w:basedOn w:val="Heading1"/>
    <w:next w:val="Normal"/>
    <w:uiPriority w:val="39"/>
    <w:unhideWhenUsed/>
    <w:qFormat/>
    <w:rsid w:val="00D80C8B"/>
    <w:pPr>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character" w:customStyle="1" w:styleId="DHHSbodyChar">
    <w:name w:val="DHHS body Char"/>
    <w:link w:val="DHHSbody"/>
    <w:uiPriority w:val="99"/>
    <w:locked/>
    <w:rsid w:val="00AC7727"/>
    <w:rPr>
      <w:rFonts w:ascii="Arial" w:eastAsia="Times" w:hAnsi="Arial"/>
      <w:lang w:eastAsia="en-US"/>
    </w:rPr>
  </w:style>
  <w:style w:type="character" w:customStyle="1" w:styleId="HeaderChar">
    <w:name w:val="Header Char"/>
    <w:basedOn w:val="DefaultParagraphFont"/>
    <w:link w:val="Header"/>
    <w:uiPriority w:val="99"/>
    <w:rsid w:val="00811A36"/>
    <w:rPr>
      <w:rFonts w:ascii="Arial" w:hAnsi="Arial" w:cs="Arial"/>
      <w:sz w:val="18"/>
      <w:szCs w:val="18"/>
      <w:lang w:eastAsia="en-US"/>
    </w:rPr>
  </w:style>
  <w:style w:type="character" w:styleId="UnresolvedMention">
    <w:name w:val="Unresolved Mention"/>
    <w:basedOn w:val="DefaultParagraphFont"/>
    <w:uiPriority w:val="99"/>
    <w:semiHidden/>
    <w:unhideWhenUsed/>
    <w:rsid w:val="00811A36"/>
    <w:rPr>
      <w:color w:val="605E5C"/>
      <w:shd w:val="clear" w:color="auto" w:fill="E1DFDD"/>
    </w:rPr>
  </w:style>
  <w:style w:type="paragraph" w:customStyle="1" w:styleId="TOCheadingreport">
    <w:name w:val="TOC heading report"/>
    <w:basedOn w:val="Heading1"/>
    <w:next w:val="Normal"/>
    <w:link w:val="TOCheadingreportChar"/>
    <w:uiPriority w:val="4"/>
    <w:rsid w:val="00091725"/>
    <w:pPr>
      <w:pageBreakBefore/>
      <w:spacing w:before="0" w:after="240" w:line="480" w:lineRule="atLeast"/>
      <w:outlineLvl w:val="9"/>
    </w:pPr>
    <w:rPr>
      <w:rFonts w:eastAsia="MS Gothic" w:cs="Arial"/>
      <w:color w:val="201547"/>
      <w:kern w:val="32"/>
    </w:rPr>
  </w:style>
  <w:style w:type="character" w:customStyle="1" w:styleId="TOCheadingreportChar">
    <w:name w:val="TOC heading report Char"/>
    <w:link w:val="TOCheadingreport"/>
    <w:uiPriority w:val="4"/>
    <w:rsid w:val="00091725"/>
    <w:rPr>
      <w:rFonts w:ascii="Arial" w:eastAsia="MS Gothic" w:hAnsi="Arial" w:cs="Arial"/>
      <w:bCs/>
      <w:color w:val="201547"/>
      <w:kern w:val="32"/>
      <w:sz w:val="44"/>
      <w:szCs w:val="44"/>
      <w:lang w:eastAsia="en-US"/>
    </w:rPr>
  </w:style>
  <w:style w:type="table" w:customStyle="1" w:styleId="TableGrid1">
    <w:name w:val="Table Grid1"/>
    <w:basedOn w:val="TableNormal"/>
    <w:next w:val="TableGrid"/>
    <w:rsid w:val="006E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fternumbers1">
    <w:name w:val="Bullet after numbers 1"/>
    <w:basedOn w:val="Normal"/>
    <w:uiPriority w:val="4"/>
    <w:rsid w:val="006E143C"/>
    <w:pPr>
      <w:numPr>
        <w:ilvl w:val="2"/>
        <w:numId w:val="32"/>
      </w:numPr>
      <w:spacing w:after="120" w:line="280" w:lineRule="atLeast"/>
    </w:pPr>
    <w:rPr>
      <w:rFonts w:ascii="Arial" w:eastAsia="Times" w:hAnsi="Arial"/>
      <w:sz w:val="21"/>
    </w:rPr>
  </w:style>
  <w:style w:type="numbering" w:customStyle="1" w:styleId="ZZNumbersdigit">
    <w:name w:val="ZZ Numbers digit"/>
    <w:rsid w:val="006E143C"/>
    <w:pPr>
      <w:numPr>
        <w:numId w:val="32"/>
      </w:numPr>
    </w:pPr>
  </w:style>
  <w:style w:type="paragraph" w:customStyle="1" w:styleId="Numberdigit">
    <w:name w:val="Number digit"/>
    <w:basedOn w:val="Normal"/>
    <w:uiPriority w:val="2"/>
    <w:rsid w:val="006E143C"/>
    <w:pPr>
      <w:numPr>
        <w:numId w:val="32"/>
      </w:numPr>
      <w:spacing w:after="120" w:line="280" w:lineRule="atLeast"/>
    </w:pPr>
    <w:rPr>
      <w:rFonts w:ascii="Arial" w:eastAsia="Times" w:hAnsi="Arial"/>
      <w:sz w:val="21"/>
    </w:rPr>
  </w:style>
  <w:style w:type="paragraph" w:customStyle="1" w:styleId="Numberdigitindent">
    <w:name w:val="Number digit indent"/>
    <w:basedOn w:val="Normal"/>
    <w:uiPriority w:val="3"/>
    <w:rsid w:val="006E143C"/>
    <w:pPr>
      <w:numPr>
        <w:ilvl w:val="1"/>
        <w:numId w:val="32"/>
      </w:numPr>
      <w:spacing w:after="120" w:line="280" w:lineRule="atLeast"/>
    </w:pPr>
    <w:rPr>
      <w:rFonts w:ascii="Arial" w:eastAsia="Times" w:hAnsi="Arial"/>
      <w:sz w:val="21"/>
    </w:rPr>
  </w:style>
  <w:style w:type="paragraph" w:customStyle="1" w:styleId="Bulletafternumbers2">
    <w:name w:val="Bullet after numbers 2"/>
    <w:basedOn w:val="Normal"/>
    <w:rsid w:val="006E143C"/>
    <w:pPr>
      <w:numPr>
        <w:ilvl w:val="3"/>
        <w:numId w:val="32"/>
      </w:numPr>
      <w:spacing w:after="120" w:line="280" w:lineRule="atLeast"/>
    </w:pPr>
    <w:rPr>
      <w:rFonts w:ascii="Arial" w:eastAsia="Times" w:hAnsi="Arial"/>
      <w:sz w:val="21"/>
    </w:rPr>
  </w:style>
  <w:style w:type="paragraph" w:customStyle="1" w:styleId="Body">
    <w:name w:val="Body"/>
    <w:link w:val="BodyChar"/>
    <w:qFormat/>
    <w:rsid w:val="007B12EC"/>
    <w:pPr>
      <w:spacing w:after="120" w:line="280" w:lineRule="atLeast"/>
    </w:pPr>
    <w:rPr>
      <w:rFonts w:ascii="Arial" w:eastAsia="Times" w:hAnsi="Arial"/>
      <w:sz w:val="21"/>
      <w:lang w:eastAsia="en-US"/>
    </w:rPr>
  </w:style>
  <w:style w:type="character" w:customStyle="1" w:styleId="BodyChar">
    <w:name w:val="Body Char"/>
    <w:basedOn w:val="DefaultParagraphFont"/>
    <w:link w:val="Body"/>
    <w:rsid w:val="007B12EC"/>
    <w:rPr>
      <w:rFonts w:ascii="Arial" w:eastAsia="Times" w:hAnsi="Arial"/>
      <w:sz w:val="21"/>
      <w:lang w:eastAsia="en-US"/>
    </w:rPr>
  </w:style>
  <w:style w:type="character" w:styleId="Emphasis">
    <w:name w:val="Emphasis"/>
    <w:basedOn w:val="DefaultParagraphFont"/>
    <w:uiPriority w:val="20"/>
    <w:qFormat/>
    <w:rsid w:val="00C77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4414">
      <w:bodyDiv w:val="1"/>
      <w:marLeft w:val="0"/>
      <w:marRight w:val="0"/>
      <w:marTop w:val="0"/>
      <w:marBottom w:val="0"/>
      <w:divBdr>
        <w:top w:val="none" w:sz="0" w:space="0" w:color="auto"/>
        <w:left w:val="none" w:sz="0" w:space="0" w:color="auto"/>
        <w:bottom w:val="none" w:sz="0" w:space="0" w:color="auto"/>
        <w:right w:val="none" w:sz="0" w:space="0" w:color="auto"/>
      </w:divBdr>
    </w:div>
    <w:div w:id="273706789">
      <w:bodyDiv w:val="1"/>
      <w:marLeft w:val="0"/>
      <w:marRight w:val="0"/>
      <w:marTop w:val="0"/>
      <w:marBottom w:val="0"/>
      <w:divBdr>
        <w:top w:val="none" w:sz="0" w:space="0" w:color="auto"/>
        <w:left w:val="none" w:sz="0" w:space="0" w:color="auto"/>
        <w:bottom w:val="none" w:sz="0" w:space="0" w:color="auto"/>
        <w:right w:val="none" w:sz="0" w:space="0" w:color="auto"/>
      </w:divBdr>
    </w:div>
    <w:div w:id="593515378">
      <w:bodyDiv w:val="1"/>
      <w:marLeft w:val="0"/>
      <w:marRight w:val="0"/>
      <w:marTop w:val="0"/>
      <w:marBottom w:val="0"/>
      <w:divBdr>
        <w:top w:val="none" w:sz="0" w:space="0" w:color="auto"/>
        <w:left w:val="none" w:sz="0" w:space="0" w:color="auto"/>
        <w:bottom w:val="none" w:sz="0" w:space="0" w:color="auto"/>
        <w:right w:val="none" w:sz="0" w:space="0" w:color="auto"/>
      </w:divBdr>
    </w:div>
    <w:div w:id="650327442">
      <w:bodyDiv w:val="1"/>
      <w:marLeft w:val="0"/>
      <w:marRight w:val="0"/>
      <w:marTop w:val="0"/>
      <w:marBottom w:val="0"/>
      <w:divBdr>
        <w:top w:val="none" w:sz="0" w:space="0" w:color="auto"/>
        <w:left w:val="none" w:sz="0" w:space="0" w:color="auto"/>
        <w:bottom w:val="none" w:sz="0" w:space="0" w:color="auto"/>
        <w:right w:val="none" w:sz="0" w:space="0" w:color="auto"/>
      </w:divBdr>
    </w:div>
    <w:div w:id="1067219276">
      <w:bodyDiv w:val="1"/>
      <w:marLeft w:val="0"/>
      <w:marRight w:val="0"/>
      <w:marTop w:val="0"/>
      <w:marBottom w:val="0"/>
      <w:divBdr>
        <w:top w:val="none" w:sz="0" w:space="0" w:color="auto"/>
        <w:left w:val="none" w:sz="0" w:space="0" w:color="auto"/>
        <w:bottom w:val="none" w:sz="0" w:space="0" w:color="auto"/>
        <w:right w:val="none" w:sz="0" w:space="0" w:color="auto"/>
      </w:divBdr>
    </w:div>
    <w:div w:id="1093862336">
      <w:bodyDiv w:val="1"/>
      <w:marLeft w:val="0"/>
      <w:marRight w:val="0"/>
      <w:marTop w:val="0"/>
      <w:marBottom w:val="0"/>
      <w:divBdr>
        <w:top w:val="none" w:sz="0" w:space="0" w:color="auto"/>
        <w:left w:val="none" w:sz="0" w:space="0" w:color="auto"/>
        <w:bottom w:val="none" w:sz="0" w:space="0" w:color="auto"/>
        <w:right w:val="none" w:sz="0" w:space="0" w:color="auto"/>
      </w:divBdr>
    </w:div>
    <w:div w:id="1225218693">
      <w:bodyDiv w:val="1"/>
      <w:marLeft w:val="0"/>
      <w:marRight w:val="0"/>
      <w:marTop w:val="0"/>
      <w:marBottom w:val="0"/>
      <w:divBdr>
        <w:top w:val="none" w:sz="0" w:space="0" w:color="auto"/>
        <w:left w:val="none" w:sz="0" w:space="0" w:color="auto"/>
        <w:bottom w:val="none" w:sz="0" w:space="0" w:color="auto"/>
        <w:right w:val="none" w:sz="0" w:space="0" w:color="auto"/>
      </w:divBdr>
    </w:div>
    <w:div w:id="1538543846">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0717851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fac.dhhs.vic.gov.au/tools-and-resources" TargetMode="External"/><Relationship Id="rId26" Type="http://schemas.openxmlformats.org/officeDocument/2006/relationships/hyperlink" Target="https://www.legislation.vic.gov.au/in-force/acts/health-records-act-2001/046" TargetMode="External"/><Relationship Id="rId39" Type="http://schemas.openxmlformats.org/officeDocument/2006/relationships/footer" Target="footer4.xml"/><Relationship Id="rId21" Type="http://schemas.openxmlformats.org/officeDocument/2006/relationships/hyperlink" Target="https://www.dhhs.vic.gov.au/publications/client-services-charter" TargetMode="External"/><Relationship Id="rId34" Type="http://schemas.openxmlformats.org/officeDocument/2006/relationships/hyperlink" Target="https://fac.dffh.vic.gov.au/guidelines-funded-organisations-proposing-change-control-merger-or-acquisitio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viders.dffh.vic.gov.au/public-housing-infrastructure-program-framework-and-funding-guidelines-2017-word" TargetMode="External"/><Relationship Id="rId29" Type="http://schemas.openxmlformats.org/officeDocument/2006/relationships/hyperlink" Target="https://www.vic.gov.au/maram-practice-guides-and-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lation.vic.gov.au/in-force/acts/housing-act-1983/077" TargetMode="External"/><Relationship Id="rId32" Type="http://schemas.openxmlformats.org/officeDocument/2006/relationships/hyperlink" Target="https://fac.dffh.vic.gov.au/guidelines-funded-organisations-proposing-change-control-merger-or-acquisition" TargetMode="Externa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phip@dffh.vic.gov.au" TargetMode="External"/><Relationship Id="rId23" Type="http://schemas.openxmlformats.org/officeDocument/2006/relationships/hyperlink" Target="https://www.legislation.vic.gov.au/in-force/acts/residential-tenancies-act-1997/100" TargetMode="External"/><Relationship Id="rId28" Type="http://schemas.openxmlformats.org/officeDocument/2006/relationships/hyperlink" Target="https://providers.dffh.vic.gov.au/tenancy-plus-tenancy-support-program-operational-guidelines" TargetMode="External"/><Relationship Id="rId36" Type="http://schemas.openxmlformats.org/officeDocument/2006/relationships/hyperlink" Target="https://www.dhhs.vic.gov.au/publications/language-services-policy-and-guidelines" TargetMode="External"/><Relationship Id="rId10" Type="http://schemas.openxmlformats.org/officeDocument/2006/relationships/header" Target="header2.xml"/><Relationship Id="rId19" Type="http://schemas.openxmlformats.org/officeDocument/2006/relationships/hyperlink" Target="https://www.housing.vic.gov.au/public-housing" TargetMode="External"/><Relationship Id="rId31" Type="http://schemas.openxmlformats.org/officeDocument/2006/relationships/hyperlink" Target="https://fac.dhhs.vic.gov.au/acknowledgement-and-publicity-guidelines-victorian-government-funding-support"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hhs.vic.gov.au/publications/client-services-charter" TargetMode="External"/><Relationship Id="rId27" Type="http://schemas.openxmlformats.org/officeDocument/2006/relationships/hyperlink" Target="https://www.legislation.vic.gov.au/in-force/acts/privacy-and-data-protection-act-2014/027" TargetMode="External"/><Relationship Id="rId30" Type="http://schemas.openxmlformats.org/officeDocument/2006/relationships/hyperlink" Target="https://fac.dffh.vic.gov.au/service-delivery-tracking" TargetMode="External"/><Relationship Id="rId35" Type="http://schemas.openxmlformats.org/officeDocument/2006/relationships/hyperlink" Target="https://fac.dffh.vic.gov.au/questionnaire-funded-organisations-proposing-change-control-merger-or-acquisition" TargetMode="External"/><Relationship Id="rId43"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fac.dffh.vic.gov.au/service-delivery-tracking" TargetMode="External"/><Relationship Id="rId33" Type="http://schemas.openxmlformats.org/officeDocument/2006/relationships/hyperlink" Target="https://fac.dffh.vic.gov.au/questionnaire-funded-organisations-proposing-change-control-merger-or-acquisition" TargetMode="External"/><Relationship Id="rId38" Type="http://schemas.openxmlformats.org/officeDocument/2006/relationships/header" Target="header6.xml"/><Relationship Id="rId20" Type="http://schemas.openxmlformats.org/officeDocument/2006/relationships/hyperlink" Target="https://www.housing.vic.gov.au/community-housing" TargetMode="External"/><Relationship Id="rId41"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7C30128-A8B8-48F2-966A-68A77336B7C4}">
  <ds:schemaRefs>
    <ds:schemaRef ds:uri="http://schemas.openxmlformats.org/officeDocument/2006/bibliography"/>
  </ds:schemaRefs>
</ds:datastoreItem>
</file>

<file path=customXml/itemProps2.xml><?xml version="1.0" encoding="utf-8"?>
<ds:datastoreItem xmlns:ds="http://schemas.openxmlformats.org/officeDocument/2006/customXml" ds:itemID="{67381BEC-B4C1-46E6-A5D4-184D3881B241}"/>
</file>

<file path=customXml/itemProps3.xml><?xml version="1.0" encoding="utf-8"?>
<ds:datastoreItem xmlns:ds="http://schemas.openxmlformats.org/officeDocument/2006/customXml" ds:itemID="{90FACE20-D341-46F4-B0F2-25FF56466977}"/>
</file>

<file path=customXml/itemProps4.xml><?xml version="1.0" encoding="utf-8"?>
<ds:datastoreItem xmlns:ds="http://schemas.openxmlformats.org/officeDocument/2006/customXml" ds:itemID="{A4FDE8F3-5C9F-4E20-9171-0A873D8B0D53}"/>
</file>

<file path=docProps/app.xml><?xml version="1.0" encoding="utf-8"?>
<Properties xmlns="http://schemas.openxmlformats.org/officeDocument/2006/extended-properties" xmlns:vt="http://schemas.openxmlformats.org/officeDocument/2006/docPropsVTypes">
  <Template>Normal.dotm</Template>
  <TotalTime>83</TotalTime>
  <Pages>19</Pages>
  <Words>6247</Words>
  <Characters>35609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41773</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Smith</dc:creator>
  <cp:lastModifiedBy>Justine Smith (DFFH)</cp:lastModifiedBy>
  <cp:revision>6</cp:revision>
  <cp:lastPrinted>2019-08-01T04:46:00Z</cp:lastPrinted>
  <dcterms:created xsi:type="dcterms:W3CDTF">2022-01-27T04:26:00Z</dcterms:created>
  <dcterms:modified xsi:type="dcterms:W3CDTF">2022-02-03T04:12:00Z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2022-02-03T04:12:42Z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9b2033e3-ea10-4787-9f27-2117f1022028</vt:lpwstr>
  </property>
  <property fmtid="{D5CDD505-2E9C-101B-9397-08002B2CF9AE}" pid="9" name="MSIP_Label_43e64453-338c-4f93-8a4d-0039a0a41f2a_ContentBits">
    <vt:lpwstr>2</vt:lpwstr>
  </property>
  <property fmtid="{D5CDD505-2E9C-101B-9397-08002B2CF9AE}" pid="10" name="ContentTypeId">
    <vt:lpwstr>0x0101009F0C4347C5C6D34BA8C9FCC4F57D19B6</vt:lpwstr>
  </property>
</Properties>
</file>