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16388" w14:textId="77777777" w:rsidR="0074696E" w:rsidRPr="004C6EEE" w:rsidRDefault="00235B53" w:rsidP="00AD784C">
      <w:pPr>
        <w:pStyle w:val="Spacerparatopoffirstpage"/>
      </w:pPr>
      <w:r>
        <w:rPr>
          <w:lang w:eastAsia="en-AU"/>
        </w:rPr>
        <w:drawing>
          <wp:anchor distT="0" distB="0" distL="114300" distR="114300" simplePos="0" relativeHeight="251658240" behindDoc="1" locked="0" layoutInCell="1" allowOverlap="1" wp14:anchorId="50A2BC88" wp14:editId="0E27812E">
            <wp:simplePos x="0" y="0"/>
            <wp:positionH relativeFrom="column">
              <wp:posOffset>-551180</wp:posOffset>
            </wp:positionH>
            <wp:positionV relativeFrom="paragraph">
              <wp:posOffset>-454498</wp:posOffset>
            </wp:positionV>
            <wp:extent cx="7607577" cy="2077525"/>
            <wp:effectExtent l="0" t="0" r="0" b="0"/>
            <wp:wrapNone/>
            <wp:docPr id="31" name="Picture 31" descr="D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HHS bann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07577" cy="2077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417D5" w14:textId="77777777" w:rsidR="00A62D44" w:rsidRPr="004C6EEE" w:rsidRDefault="00A62D44" w:rsidP="004C6EEE">
      <w:pPr>
        <w:pStyle w:val="Sectionbreakfirstpage"/>
        <w:sectPr w:rsidR="00A62D44" w:rsidRPr="004C6EEE" w:rsidSect="00AD784C">
          <w:footerReference w:type="default" r:id="rId12"/>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14:paraId="35CDF11B" w14:textId="77777777" w:rsidTr="001C277E">
        <w:trPr>
          <w:trHeight w:val="1247"/>
        </w:trPr>
        <w:tc>
          <w:tcPr>
            <w:tcW w:w="8046" w:type="dxa"/>
            <w:shd w:val="clear" w:color="auto" w:fill="auto"/>
            <w:vAlign w:val="bottom"/>
          </w:tcPr>
          <w:p w14:paraId="642335A5" w14:textId="08E7C792" w:rsidR="00AD784C" w:rsidRPr="00161AA0" w:rsidRDefault="00112A7F" w:rsidP="00A91406">
            <w:pPr>
              <w:pStyle w:val="DHHSmainheading"/>
              <w:rPr>
                <w:lang w:bidi="x-none"/>
              </w:rPr>
            </w:pPr>
            <w:r>
              <w:rPr>
                <w:lang w:bidi="x-none"/>
              </w:rPr>
              <w:t xml:space="preserve">Child and family services </w:t>
            </w:r>
            <w:r w:rsidR="0078327A">
              <w:rPr>
                <w:lang w:bidi="x-none"/>
              </w:rPr>
              <w:t xml:space="preserve">new </w:t>
            </w:r>
            <w:r>
              <w:rPr>
                <w:lang w:bidi="x-none"/>
              </w:rPr>
              <w:t xml:space="preserve">funding </w:t>
            </w:r>
            <w:r w:rsidR="0078327A">
              <w:rPr>
                <w:lang w:bidi="x-none"/>
              </w:rPr>
              <w:t>model</w:t>
            </w:r>
            <w:r w:rsidR="00851BFE">
              <w:rPr>
                <w:lang w:bidi="x-none"/>
              </w:rPr>
              <w:t xml:space="preserve"> – Better</w:t>
            </w:r>
            <w:bookmarkStart w:id="0" w:name="_GoBack"/>
            <w:bookmarkEnd w:id="0"/>
            <w:r w:rsidR="00851BFE">
              <w:rPr>
                <w:lang w:bidi="x-none"/>
              </w:rPr>
              <w:t xml:space="preserve"> Futures</w:t>
            </w:r>
          </w:p>
        </w:tc>
      </w:tr>
      <w:tr w:rsidR="00AD784C" w14:paraId="07B8A094" w14:textId="77777777" w:rsidTr="00357B4E">
        <w:trPr>
          <w:trHeight w:hRule="exact" w:val="1162"/>
        </w:trPr>
        <w:tc>
          <w:tcPr>
            <w:tcW w:w="8046" w:type="dxa"/>
            <w:shd w:val="clear" w:color="auto" w:fill="auto"/>
            <w:tcMar>
              <w:top w:w="170" w:type="dxa"/>
              <w:bottom w:w="510" w:type="dxa"/>
            </w:tcMar>
          </w:tcPr>
          <w:p w14:paraId="38A75D72" w14:textId="1FF0C685" w:rsidR="00357B4E" w:rsidRPr="00AD784C" w:rsidRDefault="005B5F14" w:rsidP="00E9163F">
            <w:pPr>
              <w:pStyle w:val="DHHSmainsubheading"/>
              <w:rPr>
                <w:szCs w:val="28"/>
              </w:rPr>
            </w:pPr>
            <w:r>
              <w:rPr>
                <w:szCs w:val="28"/>
                <w:lang w:bidi="x-none"/>
              </w:rPr>
              <w:t>Better Futures funding</w:t>
            </w:r>
            <w:r w:rsidR="003358E0">
              <w:rPr>
                <w:szCs w:val="28"/>
                <w:lang w:bidi="x-none"/>
              </w:rPr>
              <w:t xml:space="preserve"> – Guide for service providers</w:t>
            </w:r>
            <w:r w:rsidR="00433365">
              <w:rPr>
                <w:szCs w:val="28"/>
                <w:lang w:bidi="x-none"/>
              </w:rPr>
              <w:t xml:space="preserve"> – </w:t>
            </w:r>
            <w:r w:rsidR="00772427">
              <w:rPr>
                <w:szCs w:val="28"/>
                <w:lang w:bidi="x-none"/>
              </w:rPr>
              <w:t>Novem</w:t>
            </w:r>
            <w:r w:rsidR="00380120">
              <w:rPr>
                <w:szCs w:val="28"/>
                <w:lang w:bidi="x-none"/>
              </w:rPr>
              <w:t>ber 2019</w:t>
            </w:r>
          </w:p>
        </w:tc>
      </w:tr>
    </w:tbl>
    <w:tbl>
      <w:tblPr>
        <w:tblStyle w:val="TableGrid"/>
        <w:tblW w:w="0" w:type="auto"/>
        <w:tblLook w:val="04A0" w:firstRow="1" w:lastRow="0" w:firstColumn="1" w:lastColumn="0" w:noHBand="0" w:noVBand="1"/>
      </w:tblPr>
      <w:tblGrid>
        <w:gridCol w:w="10086"/>
      </w:tblGrid>
      <w:tr w:rsidR="00333F8D" w14:paraId="64797F75" w14:textId="77777777" w:rsidTr="00333F8D">
        <w:tc>
          <w:tcPr>
            <w:tcW w:w="10312" w:type="dxa"/>
          </w:tcPr>
          <w:p w14:paraId="3512C763" w14:textId="2A7697ED" w:rsidR="008B74D2" w:rsidRPr="000B63DF" w:rsidRDefault="00CC3FA8" w:rsidP="00333F8D">
            <w:pPr>
              <w:pStyle w:val="DHHStabletext"/>
            </w:pPr>
            <w:bookmarkStart w:id="1" w:name="_Toc522286946"/>
            <w:bookmarkStart w:id="2" w:name="_Toc522535645"/>
            <w:bookmarkStart w:id="3" w:name="_Toc522535701"/>
            <w:bookmarkStart w:id="4" w:name="_Toc522542650"/>
            <w:bookmarkStart w:id="5" w:name="_Toc522544724"/>
            <w:bookmarkStart w:id="6" w:name="_Toc517943924"/>
            <w:bookmarkStart w:id="7" w:name="_Toc517943926"/>
            <w:r w:rsidRPr="000B63DF">
              <w:t>T</w:t>
            </w:r>
            <w:r w:rsidR="00333F8D" w:rsidRPr="000B63DF">
              <w:t xml:space="preserve">he way the Department of Health and Human Services funds child and family services </w:t>
            </w:r>
            <w:r w:rsidR="00CD4D21" w:rsidRPr="000B63DF">
              <w:t>is</w:t>
            </w:r>
            <w:r w:rsidR="00333F8D" w:rsidRPr="000B63DF">
              <w:t xml:space="preserve"> chang</w:t>
            </w:r>
            <w:r w:rsidR="00CD4D21" w:rsidRPr="000B63DF">
              <w:t>ing</w:t>
            </w:r>
            <w:r w:rsidR="00333F8D" w:rsidRPr="000B63DF">
              <w:t>. These changes are part of broader reforms underway to redesign the child and family system.</w:t>
            </w:r>
          </w:p>
          <w:p w14:paraId="787D6B99" w14:textId="1DCA84A9" w:rsidR="00462207" w:rsidRDefault="008B74D2" w:rsidP="00333F8D">
            <w:pPr>
              <w:pStyle w:val="DHHStabletext"/>
              <w:rPr>
                <w:b/>
              </w:rPr>
            </w:pPr>
            <w:r w:rsidRPr="000B63DF">
              <w:t xml:space="preserve">This document provides information on the new funding model, specifically in relation to </w:t>
            </w:r>
            <w:r w:rsidRPr="000B63DF">
              <w:rPr>
                <w:b/>
                <w:i/>
              </w:rPr>
              <w:t xml:space="preserve">Leaving Care </w:t>
            </w:r>
            <w:r w:rsidR="00E35A88">
              <w:rPr>
                <w:b/>
                <w:i/>
              </w:rPr>
              <w:t>funding</w:t>
            </w:r>
            <w:r w:rsidR="00CC67EB">
              <w:rPr>
                <w:b/>
                <w:i/>
              </w:rPr>
              <w:t xml:space="preserve"> (specifically Leaving Care Support Services 31414 and Springboard 31421)</w:t>
            </w:r>
            <w:r w:rsidRPr="000B63DF">
              <w:rPr>
                <w:b/>
              </w:rPr>
              <w:t>.</w:t>
            </w:r>
          </w:p>
          <w:p w14:paraId="7D4FF7A5" w14:textId="687B9E35" w:rsidR="00433365" w:rsidRPr="000B63DF" w:rsidRDefault="00433365" w:rsidP="00333F8D">
            <w:pPr>
              <w:pStyle w:val="DHHStabletext"/>
            </w:pPr>
            <w:r>
              <w:t xml:space="preserve">For </w:t>
            </w:r>
            <w:r w:rsidR="00CF14B5" w:rsidRPr="00851BFE">
              <w:rPr>
                <w:b/>
                <w:bCs/>
              </w:rPr>
              <w:t>further</w:t>
            </w:r>
            <w:r w:rsidR="00CF14B5">
              <w:t xml:space="preserve"> </w:t>
            </w:r>
            <w:r>
              <w:t xml:space="preserve">detailed information regarding the new funding model, please refer to supporting documents available </w:t>
            </w:r>
            <w:r w:rsidR="001544E4">
              <w:t>from</w:t>
            </w:r>
            <w:r>
              <w:t xml:space="preserve"> </w:t>
            </w:r>
            <w:hyperlink r:id="rId13" w:history="1">
              <w:r>
                <w:rPr>
                  <w:rStyle w:val="Hyperlink"/>
                </w:rPr>
                <w:t>Child and Family Funding Reform</w:t>
              </w:r>
            </w:hyperlink>
            <w:r>
              <w:t xml:space="preserve"> &lt;</w:t>
            </w:r>
            <w:r w:rsidRPr="00433365">
              <w:t>https://providers.dhhs.vic.gov.au/child-and-family-funding-reform</w:t>
            </w:r>
            <w:r>
              <w:t>&gt;.</w:t>
            </w:r>
          </w:p>
          <w:p w14:paraId="50F51027" w14:textId="48096C0E" w:rsidR="00333F8D" w:rsidRPr="000B63DF" w:rsidRDefault="00333F8D" w:rsidP="00333F8D">
            <w:pPr>
              <w:pStyle w:val="DHHStabletext"/>
            </w:pPr>
          </w:p>
        </w:tc>
      </w:tr>
    </w:tbl>
    <w:p w14:paraId="241B9CCC" w14:textId="77777777" w:rsidR="00DB120A" w:rsidRPr="001E7BBF" w:rsidRDefault="00E7312B" w:rsidP="00E7312B">
      <w:pPr>
        <w:pStyle w:val="Heading1"/>
        <w:rPr>
          <w:b/>
        </w:rPr>
      </w:pPr>
      <w:bookmarkStart w:id="8" w:name="_Toc10450931"/>
      <w:bookmarkStart w:id="9" w:name="_Toc10454439"/>
      <w:bookmarkStart w:id="10" w:name="_Toc10454490"/>
      <w:bookmarkStart w:id="11" w:name="_Toc22029632"/>
      <w:r w:rsidRPr="001E7BBF">
        <w:rPr>
          <w:b/>
        </w:rPr>
        <w:t>Contents</w:t>
      </w:r>
      <w:bookmarkEnd w:id="1"/>
      <w:bookmarkEnd w:id="2"/>
      <w:bookmarkEnd w:id="3"/>
      <w:bookmarkEnd w:id="4"/>
      <w:bookmarkEnd w:id="5"/>
      <w:bookmarkEnd w:id="8"/>
      <w:bookmarkEnd w:id="9"/>
      <w:bookmarkEnd w:id="10"/>
      <w:bookmarkEnd w:id="11"/>
    </w:p>
    <w:p w14:paraId="5CF81EBF" w14:textId="6AFFBEEC" w:rsidR="005953CD" w:rsidRDefault="00E7312B">
      <w:pPr>
        <w:pStyle w:val="TOC1"/>
        <w:rPr>
          <w:rFonts w:asciiTheme="minorHAnsi" w:eastAsiaTheme="minorEastAsia" w:hAnsiTheme="minorHAnsi" w:cstheme="minorBidi"/>
          <w:b w:val="0"/>
          <w:sz w:val="22"/>
          <w:szCs w:val="22"/>
          <w:lang w:eastAsia="en-AU"/>
        </w:rPr>
      </w:pPr>
      <w:r>
        <w:fldChar w:fldCharType="begin"/>
      </w:r>
      <w:r>
        <w:instrText xml:space="preserve"> TOC \o "1-2" \h \z \u </w:instrText>
      </w:r>
      <w:r>
        <w:fldChar w:fldCharType="separate"/>
      </w:r>
      <w:hyperlink w:anchor="_Toc22029632" w:history="1">
        <w:r w:rsidR="005953CD" w:rsidRPr="004E7298">
          <w:rPr>
            <w:rStyle w:val="Hyperlink"/>
          </w:rPr>
          <w:t>Contents</w:t>
        </w:r>
        <w:r w:rsidR="005953CD">
          <w:rPr>
            <w:webHidden/>
          </w:rPr>
          <w:tab/>
        </w:r>
        <w:r w:rsidR="005953CD">
          <w:rPr>
            <w:webHidden/>
          </w:rPr>
          <w:fldChar w:fldCharType="begin"/>
        </w:r>
        <w:r w:rsidR="005953CD">
          <w:rPr>
            <w:webHidden/>
          </w:rPr>
          <w:instrText xml:space="preserve"> PAGEREF _Toc22029632 \h </w:instrText>
        </w:r>
        <w:r w:rsidR="005953CD">
          <w:rPr>
            <w:webHidden/>
          </w:rPr>
        </w:r>
        <w:r w:rsidR="005953CD">
          <w:rPr>
            <w:webHidden/>
          </w:rPr>
          <w:fldChar w:fldCharType="separate"/>
        </w:r>
        <w:r w:rsidR="005953CD">
          <w:rPr>
            <w:webHidden/>
          </w:rPr>
          <w:t>1</w:t>
        </w:r>
        <w:r w:rsidR="005953CD">
          <w:rPr>
            <w:webHidden/>
          </w:rPr>
          <w:fldChar w:fldCharType="end"/>
        </w:r>
      </w:hyperlink>
    </w:p>
    <w:p w14:paraId="35C078C7" w14:textId="288B62D9" w:rsidR="005953CD" w:rsidRDefault="003E0101">
      <w:pPr>
        <w:pStyle w:val="TOC1"/>
        <w:rPr>
          <w:rFonts w:asciiTheme="minorHAnsi" w:eastAsiaTheme="minorEastAsia" w:hAnsiTheme="minorHAnsi" w:cstheme="minorBidi"/>
          <w:b w:val="0"/>
          <w:sz w:val="22"/>
          <w:szCs w:val="22"/>
          <w:lang w:eastAsia="en-AU"/>
        </w:rPr>
      </w:pPr>
      <w:hyperlink w:anchor="_Toc22029633" w:history="1">
        <w:r w:rsidR="005953CD" w:rsidRPr="004E7298">
          <w:rPr>
            <w:rStyle w:val="Hyperlink"/>
          </w:rPr>
          <w:t>Background</w:t>
        </w:r>
        <w:r w:rsidR="005953CD">
          <w:rPr>
            <w:webHidden/>
          </w:rPr>
          <w:tab/>
        </w:r>
        <w:r w:rsidR="005953CD">
          <w:rPr>
            <w:webHidden/>
          </w:rPr>
          <w:fldChar w:fldCharType="begin"/>
        </w:r>
        <w:r w:rsidR="005953CD">
          <w:rPr>
            <w:webHidden/>
          </w:rPr>
          <w:instrText xml:space="preserve"> PAGEREF _Toc22029633 \h </w:instrText>
        </w:r>
        <w:r w:rsidR="005953CD">
          <w:rPr>
            <w:webHidden/>
          </w:rPr>
        </w:r>
        <w:r w:rsidR="005953CD">
          <w:rPr>
            <w:webHidden/>
          </w:rPr>
          <w:fldChar w:fldCharType="separate"/>
        </w:r>
        <w:r w:rsidR="005953CD">
          <w:rPr>
            <w:webHidden/>
          </w:rPr>
          <w:t>2</w:t>
        </w:r>
        <w:r w:rsidR="005953CD">
          <w:rPr>
            <w:webHidden/>
          </w:rPr>
          <w:fldChar w:fldCharType="end"/>
        </w:r>
      </w:hyperlink>
    </w:p>
    <w:p w14:paraId="33E639A5" w14:textId="5F25F461" w:rsidR="005953CD" w:rsidRDefault="003E0101">
      <w:pPr>
        <w:pStyle w:val="TOC1"/>
        <w:rPr>
          <w:rFonts w:asciiTheme="minorHAnsi" w:eastAsiaTheme="minorEastAsia" w:hAnsiTheme="minorHAnsi" w:cstheme="minorBidi"/>
          <w:b w:val="0"/>
          <w:sz w:val="22"/>
          <w:szCs w:val="22"/>
          <w:lang w:eastAsia="en-AU"/>
        </w:rPr>
      </w:pPr>
      <w:hyperlink w:anchor="_Toc22029634" w:history="1">
        <w:r w:rsidR="005953CD" w:rsidRPr="004E7298">
          <w:rPr>
            <w:rStyle w:val="Hyperlink"/>
          </w:rPr>
          <w:t>The new funding model for Better Futures</w:t>
        </w:r>
        <w:r w:rsidR="005953CD">
          <w:rPr>
            <w:webHidden/>
          </w:rPr>
          <w:tab/>
        </w:r>
        <w:r w:rsidR="005953CD">
          <w:rPr>
            <w:webHidden/>
          </w:rPr>
          <w:fldChar w:fldCharType="begin"/>
        </w:r>
        <w:r w:rsidR="005953CD">
          <w:rPr>
            <w:webHidden/>
          </w:rPr>
          <w:instrText xml:space="preserve"> PAGEREF _Toc22029634 \h </w:instrText>
        </w:r>
        <w:r w:rsidR="005953CD">
          <w:rPr>
            <w:webHidden/>
          </w:rPr>
        </w:r>
        <w:r w:rsidR="005953CD">
          <w:rPr>
            <w:webHidden/>
          </w:rPr>
          <w:fldChar w:fldCharType="separate"/>
        </w:r>
        <w:r w:rsidR="005953CD">
          <w:rPr>
            <w:webHidden/>
          </w:rPr>
          <w:t>2</w:t>
        </w:r>
        <w:r w:rsidR="005953CD">
          <w:rPr>
            <w:webHidden/>
          </w:rPr>
          <w:fldChar w:fldCharType="end"/>
        </w:r>
      </w:hyperlink>
    </w:p>
    <w:p w14:paraId="223E3022" w14:textId="408E4F63" w:rsidR="005953CD" w:rsidRDefault="003E0101">
      <w:pPr>
        <w:pStyle w:val="TOC1"/>
        <w:rPr>
          <w:rFonts w:asciiTheme="minorHAnsi" w:eastAsiaTheme="minorEastAsia" w:hAnsiTheme="minorHAnsi" w:cstheme="minorBidi"/>
          <w:b w:val="0"/>
          <w:sz w:val="22"/>
          <w:szCs w:val="22"/>
          <w:lang w:eastAsia="en-AU"/>
        </w:rPr>
      </w:pPr>
      <w:hyperlink w:anchor="_Toc22029635" w:history="1">
        <w:r w:rsidR="005953CD" w:rsidRPr="004E7298">
          <w:rPr>
            <w:rStyle w:val="Hyperlink"/>
          </w:rPr>
          <w:t>Implementation of the new funding model</w:t>
        </w:r>
        <w:r w:rsidR="005953CD">
          <w:rPr>
            <w:webHidden/>
          </w:rPr>
          <w:tab/>
        </w:r>
        <w:r w:rsidR="005953CD">
          <w:rPr>
            <w:webHidden/>
          </w:rPr>
          <w:fldChar w:fldCharType="begin"/>
        </w:r>
        <w:r w:rsidR="005953CD">
          <w:rPr>
            <w:webHidden/>
          </w:rPr>
          <w:instrText xml:space="preserve"> PAGEREF _Toc22029635 \h </w:instrText>
        </w:r>
        <w:r w:rsidR="005953CD">
          <w:rPr>
            <w:webHidden/>
          </w:rPr>
        </w:r>
        <w:r w:rsidR="005953CD">
          <w:rPr>
            <w:webHidden/>
          </w:rPr>
          <w:fldChar w:fldCharType="separate"/>
        </w:r>
        <w:r w:rsidR="005953CD">
          <w:rPr>
            <w:webHidden/>
          </w:rPr>
          <w:t>2</w:t>
        </w:r>
        <w:r w:rsidR="005953CD">
          <w:rPr>
            <w:webHidden/>
          </w:rPr>
          <w:fldChar w:fldCharType="end"/>
        </w:r>
      </w:hyperlink>
    </w:p>
    <w:p w14:paraId="46C93CE0" w14:textId="4B74A5CA" w:rsidR="005953CD" w:rsidRDefault="003E0101">
      <w:pPr>
        <w:pStyle w:val="TOC2"/>
        <w:rPr>
          <w:rFonts w:asciiTheme="minorHAnsi" w:eastAsiaTheme="minorEastAsia" w:hAnsiTheme="minorHAnsi" w:cstheme="minorBidi"/>
          <w:sz w:val="22"/>
          <w:szCs w:val="22"/>
          <w:lang w:eastAsia="en-AU"/>
        </w:rPr>
      </w:pPr>
      <w:hyperlink w:anchor="_Toc22029636" w:history="1">
        <w:r w:rsidR="005953CD" w:rsidRPr="004E7298">
          <w:rPr>
            <w:rStyle w:val="Hyperlink"/>
          </w:rPr>
          <w:t>Stage 1 – Family Services</w:t>
        </w:r>
        <w:r w:rsidR="005953CD">
          <w:rPr>
            <w:webHidden/>
          </w:rPr>
          <w:tab/>
        </w:r>
        <w:r w:rsidR="005953CD">
          <w:rPr>
            <w:webHidden/>
          </w:rPr>
          <w:fldChar w:fldCharType="begin"/>
        </w:r>
        <w:r w:rsidR="005953CD">
          <w:rPr>
            <w:webHidden/>
          </w:rPr>
          <w:instrText xml:space="preserve"> PAGEREF _Toc22029636 \h </w:instrText>
        </w:r>
        <w:r w:rsidR="005953CD">
          <w:rPr>
            <w:webHidden/>
          </w:rPr>
        </w:r>
        <w:r w:rsidR="005953CD">
          <w:rPr>
            <w:webHidden/>
          </w:rPr>
          <w:fldChar w:fldCharType="separate"/>
        </w:r>
        <w:r w:rsidR="005953CD">
          <w:rPr>
            <w:webHidden/>
          </w:rPr>
          <w:t>2</w:t>
        </w:r>
        <w:r w:rsidR="005953CD">
          <w:rPr>
            <w:webHidden/>
          </w:rPr>
          <w:fldChar w:fldCharType="end"/>
        </w:r>
      </w:hyperlink>
    </w:p>
    <w:p w14:paraId="313143E1" w14:textId="332A2038" w:rsidR="005953CD" w:rsidRDefault="003E0101">
      <w:pPr>
        <w:pStyle w:val="TOC2"/>
        <w:rPr>
          <w:rFonts w:asciiTheme="minorHAnsi" w:eastAsiaTheme="minorEastAsia" w:hAnsiTheme="minorHAnsi" w:cstheme="minorBidi"/>
          <w:sz w:val="22"/>
          <w:szCs w:val="22"/>
          <w:lang w:eastAsia="en-AU"/>
        </w:rPr>
      </w:pPr>
      <w:hyperlink w:anchor="_Toc22029637" w:history="1">
        <w:r w:rsidR="005953CD" w:rsidRPr="004E7298">
          <w:rPr>
            <w:rStyle w:val="Hyperlink"/>
          </w:rPr>
          <w:t>Stage 2 – Transitioning from Care</w:t>
        </w:r>
        <w:r w:rsidR="005953CD">
          <w:rPr>
            <w:webHidden/>
          </w:rPr>
          <w:tab/>
        </w:r>
        <w:r w:rsidR="005953CD">
          <w:rPr>
            <w:webHidden/>
          </w:rPr>
          <w:fldChar w:fldCharType="begin"/>
        </w:r>
        <w:r w:rsidR="005953CD">
          <w:rPr>
            <w:webHidden/>
          </w:rPr>
          <w:instrText xml:space="preserve"> PAGEREF _Toc22029637 \h </w:instrText>
        </w:r>
        <w:r w:rsidR="005953CD">
          <w:rPr>
            <w:webHidden/>
          </w:rPr>
        </w:r>
        <w:r w:rsidR="005953CD">
          <w:rPr>
            <w:webHidden/>
          </w:rPr>
          <w:fldChar w:fldCharType="separate"/>
        </w:r>
        <w:r w:rsidR="005953CD">
          <w:rPr>
            <w:webHidden/>
          </w:rPr>
          <w:t>3</w:t>
        </w:r>
        <w:r w:rsidR="005953CD">
          <w:rPr>
            <w:webHidden/>
          </w:rPr>
          <w:fldChar w:fldCharType="end"/>
        </w:r>
      </w:hyperlink>
    </w:p>
    <w:p w14:paraId="4A05D4CC" w14:textId="1D48C0AB" w:rsidR="005953CD" w:rsidRDefault="003E0101">
      <w:pPr>
        <w:pStyle w:val="TOC1"/>
        <w:rPr>
          <w:rFonts w:asciiTheme="minorHAnsi" w:eastAsiaTheme="minorEastAsia" w:hAnsiTheme="minorHAnsi" w:cstheme="minorBidi"/>
          <w:b w:val="0"/>
          <w:sz w:val="22"/>
          <w:szCs w:val="22"/>
          <w:lang w:eastAsia="en-AU"/>
        </w:rPr>
      </w:pPr>
      <w:hyperlink w:anchor="_Toc22029638" w:history="1">
        <w:r w:rsidR="005953CD" w:rsidRPr="004E7298">
          <w:rPr>
            <w:rStyle w:val="Hyperlink"/>
          </w:rPr>
          <w:t>Supporting documents</w:t>
        </w:r>
        <w:r w:rsidR="005953CD">
          <w:rPr>
            <w:webHidden/>
          </w:rPr>
          <w:tab/>
        </w:r>
        <w:r w:rsidR="005953CD">
          <w:rPr>
            <w:webHidden/>
          </w:rPr>
          <w:fldChar w:fldCharType="begin"/>
        </w:r>
        <w:r w:rsidR="005953CD">
          <w:rPr>
            <w:webHidden/>
          </w:rPr>
          <w:instrText xml:space="preserve"> PAGEREF _Toc22029638 \h </w:instrText>
        </w:r>
        <w:r w:rsidR="005953CD">
          <w:rPr>
            <w:webHidden/>
          </w:rPr>
        </w:r>
        <w:r w:rsidR="005953CD">
          <w:rPr>
            <w:webHidden/>
          </w:rPr>
          <w:fldChar w:fldCharType="separate"/>
        </w:r>
        <w:r w:rsidR="005953CD">
          <w:rPr>
            <w:webHidden/>
          </w:rPr>
          <w:t>3</w:t>
        </w:r>
        <w:r w:rsidR="005953CD">
          <w:rPr>
            <w:webHidden/>
          </w:rPr>
          <w:fldChar w:fldCharType="end"/>
        </w:r>
      </w:hyperlink>
    </w:p>
    <w:p w14:paraId="5CC16994" w14:textId="60CD4FC5" w:rsidR="005953CD" w:rsidRDefault="003E0101">
      <w:pPr>
        <w:pStyle w:val="TOC1"/>
        <w:rPr>
          <w:rFonts w:asciiTheme="minorHAnsi" w:eastAsiaTheme="minorEastAsia" w:hAnsiTheme="minorHAnsi" w:cstheme="minorBidi"/>
          <w:b w:val="0"/>
          <w:sz w:val="22"/>
          <w:szCs w:val="22"/>
          <w:lang w:eastAsia="en-AU"/>
        </w:rPr>
      </w:pPr>
      <w:hyperlink w:anchor="_Toc22029639" w:history="1">
        <w:r w:rsidR="005953CD" w:rsidRPr="004E7298">
          <w:rPr>
            <w:rStyle w:val="Hyperlink"/>
          </w:rPr>
          <w:t>Transition process</w:t>
        </w:r>
        <w:r w:rsidR="005953CD">
          <w:rPr>
            <w:webHidden/>
          </w:rPr>
          <w:tab/>
        </w:r>
        <w:r w:rsidR="005953CD">
          <w:rPr>
            <w:webHidden/>
          </w:rPr>
          <w:fldChar w:fldCharType="begin"/>
        </w:r>
        <w:r w:rsidR="005953CD">
          <w:rPr>
            <w:webHidden/>
          </w:rPr>
          <w:instrText xml:space="preserve"> PAGEREF _Toc22029639 \h </w:instrText>
        </w:r>
        <w:r w:rsidR="005953CD">
          <w:rPr>
            <w:webHidden/>
          </w:rPr>
        </w:r>
        <w:r w:rsidR="005953CD">
          <w:rPr>
            <w:webHidden/>
          </w:rPr>
          <w:fldChar w:fldCharType="separate"/>
        </w:r>
        <w:r w:rsidR="005953CD">
          <w:rPr>
            <w:webHidden/>
          </w:rPr>
          <w:t>3</w:t>
        </w:r>
        <w:r w:rsidR="005953CD">
          <w:rPr>
            <w:webHidden/>
          </w:rPr>
          <w:fldChar w:fldCharType="end"/>
        </w:r>
      </w:hyperlink>
    </w:p>
    <w:p w14:paraId="02FC39F2" w14:textId="5806050C" w:rsidR="005953CD" w:rsidRDefault="003E0101">
      <w:pPr>
        <w:pStyle w:val="TOC2"/>
        <w:rPr>
          <w:rFonts w:asciiTheme="minorHAnsi" w:eastAsiaTheme="minorEastAsia" w:hAnsiTheme="minorHAnsi" w:cstheme="minorBidi"/>
          <w:sz w:val="22"/>
          <w:szCs w:val="22"/>
          <w:lang w:eastAsia="en-AU"/>
        </w:rPr>
      </w:pPr>
      <w:hyperlink w:anchor="_Toc22029640" w:history="1">
        <w:r w:rsidR="005953CD" w:rsidRPr="004E7298">
          <w:rPr>
            <w:rStyle w:val="Hyperlink"/>
          </w:rPr>
          <w:t>Organisations affected by the changes</w:t>
        </w:r>
        <w:r w:rsidR="005953CD">
          <w:rPr>
            <w:webHidden/>
          </w:rPr>
          <w:tab/>
        </w:r>
        <w:r w:rsidR="005953CD">
          <w:rPr>
            <w:webHidden/>
          </w:rPr>
          <w:fldChar w:fldCharType="begin"/>
        </w:r>
        <w:r w:rsidR="005953CD">
          <w:rPr>
            <w:webHidden/>
          </w:rPr>
          <w:instrText xml:space="preserve"> PAGEREF _Toc22029640 \h </w:instrText>
        </w:r>
        <w:r w:rsidR="005953CD">
          <w:rPr>
            <w:webHidden/>
          </w:rPr>
        </w:r>
        <w:r w:rsidR="005953CD">
          <w:rPr>
            <w:webHidden/>
          </w:rPr>
          <w:fldChar w:fldCharType="separate"/>
        </w:r>
        <w:r w:rsidR="005953CD">
          <w:rPr>
            <w:webHidden/>
          </w:rPr>
          <w:t>4</w:t>
        </w:r>
        <w:r w:rsidR="005953CD">
          <w:rPr>
            <w:webHidden/>
          </w:rPr>
          <w:fldChar w:fldCharType="end"/>
        </w:r>
      </w:hyperlink>
    </w:p>
    <w:p w14:paraId="2147B0F6" w14:textId="4CFD0FDD" w:rsidR="005953CD" w:rsidRDefault="003E0101">
      <w:pPr>
        <w:pStyle w:val="TOC1"/>
        <w:rPr>
          <w:rFonts w:asciiTheme="minorHAnsi" w:eastAsiaTheme="minorEastAsia" w:hAnsiTheme="minorHAnsi" w:cstheme="minorBidi"/>
          <w:b w:val="0"/>
          <w:sz w:val="22"/>
          <w:szCs w:val="22"/>
          <w:lang w:eastAsia="en-AU"/>
        </w:rPr>
      </w:pPr>
      <w:hyperlink w:anchor="_Toc22029641" w:history="1">
        <w:r w:rsidR="005953CD" w:rsidRPr="004E7298">
          <w:rPr>
            <w:rStyle w:val="Hyperlink"/>
          </w:rPr>
          <w:t>Funding and targets – Information for funded organisations’ Finance Managers</w:t>
        </w:r>
        <w:r w:rsidR="005953CD">
          <w:rPr>
            <w:webHidden/>
          </w:rPr>
          <w:tab/>
        </w:r>
        <w:r w:rsidR="005953CD">
          <w:rPr>
            <w:webHidden/>
          </w:rPr>
          <w:fldChar w:fldCharType="begin"/>
        </w:r>
        <w:r w:rsidR="005953CD">
          <w:rPr>
            <w:webHidden/>
          </w:rPr>
          <w:instrText xml:space="preserve"> PAGEREF _Toc22029641 \h </w:instrText>
        </w:r>
        <w:r w:rsidR="005953CD">
          <w:rPr>
            <w:webHidden/>
          </w:rPr>
        </w:r>
        <w:r w:rsidR="005953CD">
          <w:rPr>
            <w:webHidden/>
          </w:rPr>
          <w:fldChar w:fldCharType="separate"/>
        </w:r>
        <w:r w:rsidR="005953CD">
          <w:rPr>
            <w:webHidden/>
          </w:rPr>
          <w:t>4</w:t>
        </w:r>
        <w:r w:rsidR="005953CD">
          <w:rPr>
            <w:webHidden/>
          </w:rPr>
          <w:fldChar w:fldCharType="end"/>
        </w:r>
      </w:hyperlink>
    </w:p>
    <w:p w14:paraId="565CA21D" w14:textId="649FF894" w:rsidR="005953CD" w:rsidRDefault="003E0101">
      <w:pPr>
        <w:pStyle w:val="TOC2"/>
        <w:rPr>
          <w:rFonts w:asciiTheme="minorHAnsi" w:eastAsiaTheme="minorEastAsia" w:hAnsiTheme="minorHAnsi" w:cstheme="minorBidi"/>
          <w:sz w:val="22"/>
          <w:szCs w:val="22"/>
          <w:lang w:eastAsia="en-AU"/>
        </w:rPr>
      </w:pPr>
      <w:hyperlink w:anchor="_Toc22029642" w:history="1">
        <w:r w:rsidR="005953CD" w:rsidRPr="004E7298">
          <w:rPr>
            <w:rStyle w:val="Hyperlink"/>
            <w:rFonts w:eastAsia="Times"/>
          </w:rPr>
          <w:t>Intake and Access – Better Futures (31289</w:t>
        </w:r>
        <w:r w:rsidR="005953CD">
          <w:rPr>
            <w:webHidden/>
          </w:rPr>
          <w:tab/>
        </w:r>
        <w:r w:rsidR="005953CD">
          <w:rPr>
            <w:webHidden/>
          </w:rPr>
          <w:fldChar w:fldCharType="begin"/>
        </w:r>
        <w:r w:rsidR="005953CD">
          <w:rPr>
            <w:webHidden/>
          </w:rPr>
          <w:instrText xml:space="preserve"> PAGEREF _Toc22029642 \h </w:instrText>
        </w:r>
        <w:r w:rsidR="005953CD">
          <w:rPr>
            <w:webHidden/>
          </w:rPr>
        </w:r>
        <w:r w:rsidR="005953CD">
          <w:rPr>
            <w:webHidden/>
          </w:rPr>
          <w:fldChar w:fldCharType="separate"/>
        </w:r>
        <w:r w:rsidR="005953CD">
          <w:rPr>
            <w:webHidden/>
          </w:rPr>
          <w:t>4</w:t>
        </w:r>
        <w:r w:rsidR="005953CD">
          <w:rPr>
            <w:webHidden/>
          </w:rPr>
          <w:fldChar w:fldCharType="end"/>
        </w:r>
      </w:hyperlink>
    </w:p>
    <w:p w14:paraId="3AC40DB9" w14:textId="3A15396B" w:rsidR="005953CD" w:rsidRDefault="003E0101">
      <w:pPr>
        <w:pStyle w:val="TOC2"/>
        <w:rPr>
          <w:rFonts w:asciiTheme="minorHAnsi" w:eastAsiaTheme="minorEastAsia" w:hAnsiTheme="minorHAnsi" w:cstheme="minorBidi"/>
          <w:sz w:val="22"/>
          <w:szCs w:val="22"/>
          <w:lang w:eastAsia="en-AU"/>
        </w:rPr>
      </w:pPr>
      <w:hyperlink w:anchor="_Toc22029643" w:history="1">
        <w:r w:rsidR="005953CD" w:rsidRPr="004E7298">
          <w:rPr>
            <w:rStyle w:val="Hyperlink"/>
          </w:rPr>
          <w:t>Individual, Child and Family Support – Better Futures (31290)</w:t>
        </w:r>
        <w:r w:rsidR="005953CD">
          <w:rPr>
            <w:webHidden/>
          </w:rPr>
          <w:tab/>
        </w:r>
        <w:r w:rsidR="005953CD">
          <w:rPr>
            <w:webHidden/>
          </w:rPr>
          <w:fldChar w:fldCharType="begin"/>
        </w:r>
        <w:r w:rsidR="005953CD">
          <w:rPr>
            <w:webHidden/>
          </w:rPr>
          <w:instrText xml:space="preserve"> PAGEREF _Toc22029643 \h </w:instrText>
        </w:r>
        <w:r w:rsidR="005953CD">
          <w:rPr>
            <w:webHidden/>
          </w:rPr>
        </w:r>
        <w:r w:rsidR="005953CD">
          <w:rPr>
            <w:webHidden/>
          </w:rPr>
          <w:fldChar w:fldCharType="separate"/>
        </w:r>
        <w:r w:rsidR="005953CD">
          <w:rPr>
            <w:webHidden/>
          </w:rPr>
          <w:t>4</w:t>
        </w:r>
        <w:r w:rsidR="005953CD">
          <w:rPr>
            <w:webHidden/>
          </w:rPr>
          <w:fldChar w:fldCharType="end"/>
        </w:r>
      </w:hyperlink>
    </w:p>
    <w:p w14:paraId="0E4F4E39" w14:textId="707896EC" w:rsidR="005953CD" w:rsidRDefault="003E0101">
      <w:pPr>
        <w:pStyle w:val="TOC2"/>
        <w:rPr>
          <w:rFonts w:asciiTheme="minorHAnsi" w:eastAsiaTheme="minorEastAsia" w:hAnsiTheme="minorHAnsi" w:cstheme="minorBidi"/>
          <w:sz w:val="22"/>
          <w:szCs w:val="22"/>
          <w:lang w:eastAsia="en-AU"/>
        </w:rPr>
      </w:pPr>
      <w:hyperlink w:anchor="_Toc22029644" w:history="1">
        <w:r w:rsidR="005953CD" w:rsidRPr="004E7298">
          <w:rPr>
            <w:rStyle w:val="Hyperlink"/>
          </w:rPr>
          <w:t>Flexible Funding – Better Futures (31292)</w:t>
        </w:r>
        <w:r w:rsidR="005953CD">
          <w:rPr>
            <w:webHidden/>
          </w:rPr>
          <w:tab/>
        </w:r>
        <w:r w:rsidR="005953CD">
          <w:rPr>
            <w:webHidden/>
          </w:rPr>
          <w:fldChar w:fldCharType="begin"/>
        </w:r>
        <w:r w:rsidR="005953CD">
          <w:rPr>
            <w:webHidden/>
          </w:rPr>
          <w:instrText xml:space="preserve"> PAGEREF _Toc22029644 \h </w:instrText>
        </w:r>
        <w:r w:rsidR="005953CD">
          <w:rPr>
            <w:webHidden/>
          </w:rPr>
        </w:r>
        <w:r w:rsidR="005953CD">
          <w:rPr>
            <w:webHidden/>
          </w:rPr>
          <w:fldChar w:fldCharType="separate"/>
        </w:r>
        <w:r w:rsidR="005953CD">
          <w:rPr>
            <w:webHidden/>
          </w:rPr>
          <w:t>4</w:t>
        </w:r>
        <w:r w:rsidR="005953CD">
          <w:rPr>
            <w:webHidden/>
          </w:rPr>
          <w:fldChar w:fldCharType="end"/>
        </w:r>
      </w:hyperlink>
    </w:p>
    <w:p w14:paraId="13789649" w14:textId="4C995836" w:rsidR="005953CD" w:rsidRDefault="003E0101">
      <w:pPr>
        <w:pStyle w:val="TOC2"/>
        <w:rPr>
          <w:rFonts w:asciiTheme="minorHAnsi" w:eastAsiaTheme="minorEastAsia" w:hAnsiTheme="minorHAnsi" w:cstheme="minorBidi"/>
          <w:sz w:val="22"/>
          <w:szCs w:val="22"/>
          <w:lang w:eastAsia="en-AU"/>
        </w:rPr>
      </w:pPr>
      <w:hyperlink w:anchor="_Toc22029645" w:history="1">
        <w:r w:rsidR="005953CD" w:rsidRPr="004E7298">
          <w:rPr>
            <w:rStyle w:val="Hyperlink"/>
          </w:rPr>
          <w:t>Specialised Interventions – Better Futures (31293)</w:t>
        </w:r>
        <w:r w:rsidR="005953CD">
          <w:rPr>
            <w:webHidden/>
          </w:rPr>
          <w:tab/>
        </w:r>
        <w:r w:rsidR="005953CD">
          <w:rPr>
            <w:webHidden/>
          </w:rPr>
          <w:fldChar w:fldCharType="begin"/>
        </w:r>
        <w:r w:rsidR="005953CD">
          <w:rPr>
            <w:webHidden/>
          </w:rPr>
          <w:instrText xml:space="preserve"> PAGEREF _Toc22029645 \h </w:instrText>
        </w:r>
        <w:r w:rsidR="005953CD">
          <w:rPr>
            <w:webHidden/>
          </w:rPr>
        </w:r>
        <w:r w:rsidR="005953CD">
          <w:rPr>
            <w:webHidden/>
          </w:rPr>
          <w:fldChar w:fldCharType="separate"/>
        </w:r>
        <w:r w:rsidR="005953CD">
          <w:rPr>
            <w:webHidden/>
          </w:rPr>
          <w:t>5</w:t>
        </w:r>
        <w:r w:rsidR="005953CD">
          <w:rPr>
            <w:webHidden/>
          </w:rPr>
          <w:fldChar w:fldCharType="end"/>
        </w:r>
      </w:hyperlink>
    </w:p>
    <w:p w14:paraId="142A1D21" w14:textId="1DAF2E53" w:rsidR="005953CD" w:rsidRDefault="003E0101">
      <w:pPr>
        <w:pStyle w:val="TOC2"/>
        <w:rPr>
          <w:rFonts w:asciiTheme="minorHAnsi" w:eastAsiaTheme="minorEastAsia" w:hAnsiTheme="minorHAnsi" w:cstheme="minorBidi"/>
          <w:sz w:val="22"/>
          <w:szCs w:val="22"/>
          <w:lang w:eastAsia="en-AU"/>
        </w:rPr>
      </w:pPr>
      <w:hyperlink w:anchor="_Toc22029646" w:history="1">
        <w:r w:rsidR="005953CD" w:rsidRPr="004E7298">
          <w:rPr>
            <w:rStyle w:val="Hyperlink"/>
          </w:rPr>
          <w:t>System enablers – Better Futures (31291)</w:t>
        </w:r>
        <w:r w:rsidR="005953CD">
          <w:rPr>
            <w:webHidden/>
          </w:rPr>
          <w:tab/>
        </w:r>
        <w:r w:rsidR="005953CD">
          <w:rPr>
            <w:webHidden/>
          </w:rPr>
          <w:fldChar w:fldCharType="begin"/>
        </w:r>
        <w:r w:rsidR="005953CD">
          <w:rPr>
            <w:webHidden/>
          </w:rPr>
          <w:instrText xml:space="preserve"> PAGEREF _Toc22029646 \h </w:instrText>
        </w:r>
        <w:r w:rsidR="005953CD">
          <w:rPr>
            <w:webHidden/>
          </w:rPr>
        </w:r>
        <w:r w:rsidR="005953CD">
          <w:rPr>
            <w:webHidden/>
          </w:rPr>
          <w:fldChar w:fldCharType="separate"/>
        </w:r>
        <w:r w:rsidR="005953CD">
          <w:rPr>
            <w:webHidden/>
          </w:rPr>
          <w:t>5</w:t>
        </w:r>
        <w:r w:rsidR="005953CD">
          <w:rPr>
            <w:webHidden/>
          </w:rPr>
          <w:fldChar w:fldCharType="end"/>
        </w:r>
      </w:hyperlink>
    </w:p>
    <w:p w14:paraId="2EAC2DB7" w14:textId="4EEED354" w:rsidR="005953CD" w:rsidRDefault="003E0101">
      <w:pPr>
        <w:pStyle w:val="TOC1"/>
        <w:rPr>
          <w:rFonts w:asciiTheme="minorHAnsi" w:eastAsiaTheme="minorEastAsia" w:hAnsiTheme="minorHAnsi" w:cstheme="minorBidi"/>
          <w:b w:val="0"/>
          <w:sz w:val="22"/>
          <w:szCs w:val="22"/>
          <w:lang w:eastAsia="en-AU"/>
        </w:rPr>
      </w:pPr>
      <w:hyperlink w:anchor="_Toc22029647" w:history="1">
        <w:r w:rsidR="005953CD" w:rsidRPr="004E7298">
          <w:rPr>
            <w:rStyle w:val="Hyperlink"/>
          </w:rPr>
          <w:t>Service Agreement changes</w:t>
        </w:r>
        <w:r w:rsidR="005953CD">
          <w:rPr>
            <w:webHidden/>
          </w:rPr>
          <w:tab/>
        </w:r>
        <w:r w:rsidR="005953CD">
          <w:rPr>
            <w:webHidden/>
          </w:rPr>
          <w:fldChar w:fldCharType="begin"/>
        </w:r>
        <w:r w:rsidR="005953CD">
          <w:rPr>
            <w:webHidden/>
          </w:rPr>
          <w:instrText xml:space="preserve"> PAGEREF _Toc22029647 \h </w:instrText>
        </w:r>
        <w:r w:rsidR="005953CD">
          <w:rPr>
            <w:webHidden/>
          </w:rPr>
        </w:r>
        <w:r w:rsidR="005953CD">
          <w:rPr>
            <w:webHidden/>
          </w:rPr>
          <w:fldChar w:fldCharType="separate"/>
        </w:r>
        <w:r w:rsidR="005953CD">
          <w:rPr>
            <w:webHidden/>
          </w:rPr>
          <w:t>5</w:t>
        </w:r>
        <w:r w:rsidR="005953CD">
          <w:rPr>
            <w:webHidden/>
          </w:rPr>
          <w:fldChar w:fldCharType="end"/>
        </w:r>
      </w:hyperlink>
    </w:p>
    <w:p w14:paraId="1E629E33" w14:textId="3D33A485" w:rsidR="005953CD" w:rsidRDefault="003E0101">
      <w:pPr>
        <w:pStyle w:val="TOC1"/>
        <w:rPr>
          <w:rFonts w:asciiTheme="minorHAnsi" w:eastAsiaTheme="minorEastAsia" w:hAnsiTheme="minorHAnsi" w:cstheme="minorBidi"/>
          <w:b w:val="0"/>
          <w:sz w:val="22"/>
          <w:szCs w:val="22"/>
          <w:lang w:eastAsia="en-AU"/>
        </w:rPr>
      </w:pPr>
      <w:hyperlink w:anchor="_Toc22029648" w:history="1">
        <w:r w:rsidR="005953CD" w:rsidRPr="004E7298">
          <w:rPr>
            <w:rStyle w:val="Hyperlink"/>
          </w:rPr>
          <w:t>Reporting</w:t>
        </w:r>
        <w:r w:rsidR="005953CD">
          <w:rPr>
            <w:webHidden/>
          </w:rPr>
          <w:tab/>
        </w:r>
        <w:r w:rsidR="005953CD">
          <w:rPr>
            <w:webHidden/>
          </w:rPr>
          <w:fldChar w:fldCharType="begin"/>
        </w:r>
        <w:r w:rsidR="005953CD">
          <w:rPr>
            <w:webHidden/>
          </w:rPr>
          <w:instrText xml:space="preserve"> PAGEREF _Toc22029648 \h </w:instrText>
        </w:r>
        <w:r w:rsidR="005953CD">
          <w:rPr>
            <w:webHidden/>
          </w:rPr>
        </w:r>
        <w:r w:rsidR="005953CD">
          <w:rPr>
            <w:webHidden/>
          </w:rPr>
          <w:fldChar w:fldCharType="separate"/>
        </w:r>
        <w:r w:rsidR="005953CD">
          <w:rPr>
            <w:webHidden/>
          </w:rPr>
          <w:t>5</w:t>
        </w:r>
        <w:r w:rsidR="005953CD">
          <w:rPr>
            <w:webHidden/>
          </w:rPr>
          <w:fldChar w:fldCharType="end"/>
        </w:r>
      </w:hyperlink>
    </w:p>
    <w:p w14:paraId="485BC067" w14:textId="52A72309" w:rsidR="005953CD" w:rsidRDefault="003E0101">
      <w:pPr>
        <w:pStyle w:val="TOC2"/>
        <w:rPr>
          <w:rFonts w:asciiTheme="minorHAnsi" w:eastAsiaTheme="minorEastAsia" w:hAnsiTheme="minorHAnsi" w:cstheme="minorBidi"/>
          <w:sz w:val="22"/>
          <w:szCs w:val="22"/>
          <w:lang w:eastAsia="en-AU"/>
        </w:rPr>
      </w:pPr>
      <w:hyperlink w:anchor="_Toc22029649" w:history="1">
        <w:r w:rsidR="005953CD" w:rsidRPr="004E7298">
          <w:rPr>
            <w:rStyle w:val="Hyperlink"/>
          </w:rPr>
          <w:t>Service Delivery Tracking</w:t>
        </w:r>
        <w:r w:rsidR="005953CD">
          <w:rPr>
            <w:webHidden/>
          </w:rPr>
          <w:tab/>
        </w:r>
        <w:r w:rsidR="005953CD">
          <w:rPr>
            <w:webHidden/>
          </w:rPr>
          <w:fldChar w:fldCharType="begin"/>
        </w:r>
        <w:r w:rsidR="005953CD">
          <w:rPr>
            <w:webHidden/>
          </w:rPr>
          <w:instrText xml:space="preserve"> PAGEREF _Toc22029649 \h </w:instrText>
        </w:r>
        <w:r w:rsidR="005953CD">
          <w:rPr>
            <w:webHidden/>
          </w:rPr>
        </w:r>
        <w:r w:rsidR="005953CD">
          <w:rPr>
            <w:webHidden/>
          </w:rPr>
          <w:fldChar w:fldCharType="separate"/>
        </w:r>
        <w:r w:rsidR="005953CD">
          <w:rPr>
            <w:webHidden/>
          </w:rPr>
          <w:t>5</w:t>
        </w:r>
        <w:r w:rsidR="005953CD">
          <w:rPr>
            <w:webHidden/>
          </w:rPr>
          <w:fldChar w:fldCharType="end"/>
        </w:r>
      </w:hyperlink>
    </w:p>
    <w:p w14:paraId="02F0F9E7" w14:textId="062E0144" w:rsidR="005953CD" w:rsidRDefault="003E0101">
      <w:pPr>
        <w:pStyle w:val="TOC2"/>
        <w:rPr>
          <w:rFonts w:asciiTheme="minorHAnsi" w:eastAsiaTheme="minorEastAsia" w:hAnsiTheme="minorHAnsi" w:cstheme="minorBidi"/>
          <w:sz w:val="22"/>
          <w:szCs w:val="22"/>
          <w:lang w:eastAsia="en-AU"/>
        </w:rPr>
      </w:pPr>
      <w:hyperlink w:anchor="_Toc22029650" w:history="1">
        <w:r w:rsidR="005953CD" w:rsidRPr="004E7298">
          <w:rPr>
            <w:rStyle w:val="Hyperlink"/>
          </w:rPr>
          <w:t>New reporting requirements for Flexible Funding</w:t>
        </w:r>
        <w:r w:rsidR="005953CD">
          <w:rPr>
            <w:webHidden/>
          </w:rPr>
          <w:tab/>
        </w:r>
        <w:r w:rsidR="005953CD">
          <w:rPr>
            <w:webHidden/>
          </w:rPr>
          <w:fldChar w:fldCharType="begin"/>
        </w:r>
        <w:r w:rsidR="005953CD">
          <w:rPr>
            <w:webHidden/>
          </w:rPr>
          <w:instrText xml:space="preserve"> PAGEREF _Toc22029650 \h </w:instrText>
        </w:r>
        <w:r w:rsidR="005953CD">
          <w:rPr>
            <w:webHidden/>
          </w:rPr>
        </w:r>
        <w:r w:rsidR="005953CD">
          <w:rPr>
            <w:webHidden/>
          </w:rPr>
          <w:fldChar w:fldCharType="separate"/>
        </w:r>
        <w:r w:rsidR="005953CD">
          <w:rPr>
            <w:webHidden/>
          </w:rPr>
          <w:t>6</w:t>
        </w:r>
        <w:r w:rsidR="005953CD">
          <w:rPr>
            <w:webHidden/>
          </w:rPr>
          <w:fldChar w:fldCharType="end"/>
        </w:r>
      </w:hyperlink>
    </w:p>
    <w:p w14:paraId="71AFB528" w14:textId="1896E29D" w:rsidR="005953CD" w:rsidRDefault="003E0101">
      <w:pPr>
        <w:pStyle w:val="TOC1"/>
        <w:rPr>
          <w:rFonts w:asciiTheme="minorHAnsi" w:eastAsiaTheme="minorEastAsia" w:hAnsiTheme="minorHAnsi" w:cstheme="minorBidi"/>
          <w:b w:val="0"/>
          <w:sz w:val="22"/>
          <w:szCs w:val="22"/>
          <w:lang w:eastAsia="en-AU"/>
        </w:rPr>
      </w:pPr>
      <w:hyperlink w:anchor="_Toc22029651" w:history="1">
        <w:r w:rsidR="005953CD" w:rsidRPr="004E7298">
          <w:rPr>
            <w:rStyle w:val="Hyperlink"/>
          </w:rPr>
          <w:t>Consultation, information and support</w:t>
        </w:r>
        <w:r w:rsidR="005953CD">
          <w:rPr>
            <w:webHidden/>
          </w:rPr>
          <w:tab/>
        </w:r>
        <w:r w:rsidR="005953CD">
          <w:rPr>
            <w:webHidden/>
          </w:rPr>
          <w:fldChar w:fldCharType="begin"/>
        </w:r>
        <w:r w:rsidR="005953CD">
          <w:rPr>
            <w:webHidden/>
          </w:rPr>
          <w:instrText xml:space="preserve"> PAGEREF _Toc22029651 \h </w:instrText>
        </w:r>
        <w:r w:rsidR="005953CD">
          <w:rPr>
            <w:webHidden/>
          </w:rPr>
        </w:r>
        <w:r w:rsidR="005953CD">
          <w:rPr>
            <w:webHidden/>
          </w:rPr>
          <w:fldChar w:fldCharType="separate"/>
        </w:r>
        <w:r w:rsidR="005953CD">
          <w:rPr>
            <w:webHidden/>
          </w:rPr>
          <w:t>6</w:t>
        </w:r>
        <w:r w:rsidR="005953CD">
          <w:rPr>
            <w:webHidden/>
          </w:rPr>
          <w:fldChar w:fldCharType="end"/>
        </w:r>
      </w:hyperlink>
    </w:p>
    <w:p w14:paraId="7CC5C01B" w14:textId="7B3EEEF2" w:rsidR="005953CD" w:rsidRDefault="003E0101">
      <w:pPr>
        <w:pStyle w:val="TOC2"/>
        <w:rPr>
          <w:rFonts w:asciiTheme="minorHAnsi" w:eastAsiaTheme="minorEastAsia" w:hAnsiTheme="minorHAnsi" w:cstheme="minorBidi"/>
          <w:sz w:val="22"/>
          <w:szCs w:val="22"/>
          <w:lang w:eastAsia="en-AU"/>
        </w:rPr>
      </w:pPr>
      <w:hyperlink w:anchor="_Toc22029652" w:history="1">
        <w:r w:rsidR="005953CD" w:rsidRPr="004E7298">
          <w:rPr>
            <w:rStyle w:val="Hyperlink"/>
          </w:rPr>
          <w:t>Sector consultation</w:t>
        </w:r>
        <w:r w:rsidR="005953CD">
          <w:rPr>
            <w:webHidden/>
          </w:rPr>
          <w:tab/>
        </w:r>
        <w:r w:rsidR="005953CD">
          <w:rPr>
            <w:webHidden/>
          </w:rPr>
          <w:fldChar w:fldCharType="begin"/>
        </w:r>
        <w:r w:rsidR="005953CD">
          <w:rPr>
            <w:webHidden/>
          </w:rPr>
          <w:instrText xml:space="preserve"> PAGEREF _Toc22029652 \h </w:instrText>
        </w:r>
        <w:r w:rsidR="005953CD">
          <w:rPr>
            <w:webHidden/>
          </w:rPr>
        </w:r>
        <w:r w:rsidR="005953CD">
          <w:rPr>
            <w:webHidden/>
          </w:rPr>
          <w:fldChar w:fldCharType="separate"/>
        </w:r>
        <w:r w:rsidR="005953CD">
          <w:rPr>
            <w:webHidden/>
          </w:rPr>
          <w:t>6</w:t>
        </w:r>
        <w:r w:rsidR="005953CD">
          <w:rPr>
            <w:webHidden/>
          </w:rPr>
          <w:fldChar w:fldCharType="end"/>
        </w:r>
      </w:hyperlink>
    </w:p>
    <w:p w14:paraId="4967D766" w14:textId="227E93C2" w:rsidR="005953CD" w:rsidRDefault="003E0101">
      <w:pPr>
        <w:pStyle w:val="TOC2"/>
        <w:rPr>
          <w:rFonts w:asciiTheme="minorHAnsi" w:eastAsiaTheme="minorEastAsia" w:hAnsiTheme="minorHAnsi" w:cstheme="minorBidi"/>
          <w:sz w:val="22"/>
          <w:szCs w:val="22"/>
          <w:lang w:eastAsia="en-AU"/>
        </w:rPr>
      </w:pPr>
      <w:hyperlink w:anchor="_Toc22029653" w:history="1">
        <w:r w:rsidR="005953CD" w:rsidRPr="004E7298">
          <w:rPr>
            <w:rStyle w:val="Hyperlink"/>
          </w:rPr>
          <w:t>Support for service providers</w:t>
        </w:r>
        <w:r w:rsidR="005953CD">
          <w:rPr>
            <w:webHidden/>
          </w:rPr>
          <w:tab/>
        </w:r>
        <w:r w:rsidR="005953CD">
          <w:rPr>
            <w:webHidden/>
          </w:rPr>
          <w:fldChar w:fldCharType="begin"/>
        </w:r>
        <w:r w:rsidR="005953CD">
          <w:rPr>
            <w:webHidden/>
          </w:rPr>
          <w:instrText xml:space="preserve"> PAGEREF _Toc22029653 \h </w:instrText>
        </w:r>
        <w:r w:rsidR="005953CD">
          <w:rPr>
            <w:webHidden/>
          </w:rPr>
        </w:r>
        <w:r w:rsidR="005953CD">
          <w:rPr>
            <w:webHidden/>
          </w:rPr>
          <w:fldChar w:fldCharType="separate"/>
        </w:r>
        <w:r w:rsidR="005953CD">
          <w:rPr>
            <w:webHidden/>
          </w:rPr>
          <w:t>6</w:t>
        </w:r>
        <w:r w:rsidR="005953CD">
          <w:rPr>
            <w:webHidden/>
          </w:rPr>
          <w:fldChar w:fldCharType="end"/>
        </w:r>
      </w:hyperlink>
    </w:p>
    <w:p w14:paraId="2FBF4D2E" w14:textId="40F1FE6F" w:rsidR="005953CD" w:rsidRDefault="003E0101">
      <w:pPr>
        <w:pStyle w:val="TOC2"/>
        <w:rPr>
          <w:rFonts w:asciiTheme="minorHAnsi" w:eastAsiaTheme="minorEastAsia" w:hAnsiTheme="minorHAnsi" w:cstheme="minorBidi"/>
          <w:sz w:val="22"/>
          <w:szCs w:val="22"/>
          <w:lang w:eastAsia="en-AU"/>
        </w:rPr>
      </w:pPr>
      <w:hyperlink w:anchor="_Toc22029654" w:history="1">
        <w:r w:rsidR="005953CD" w:rsidRPr="004E7298">
          <w:rPr>
            <w:rStyle w:val="Hyperlink"/>
          </w:rPr>
          <w:t>Support for transition</w:t>
        </w:r>
        <w:r w:rsidR="005953CD">
          <w:rPr>
            <w:webHidden/>
          </w:rPr>
          <w:tab/>
        </w:r>
        <w:r w:rsidR="005953CD">
          <w:rPr>
            <w:webHidden/>
          </w:rPr>
          <w:fldChar w:fldCharType="begin"/>
        </w:r>
        <w:r w:rsidR="005953CD">
          <w:rPr>
            <w:webHidden/>
          </w:rPr>
          <w:instrText xml:space="preserve"> PAGEREF _Toc22029654 \h </w:instrText>
        </w:r>
        <w:r w:rsidR="005953CD">
          <w:rPr>
            <w:webHidden/>
          </w:rPr>
        </w:r>
        <w:r w:rsidR="005953CD">
          <w:rPr>
            <w:webHidden/>
          </w:rPr>
          <w:fldChar w:fldCharType="separate"/>
        </w:r>
        <w:r w:rsidR="005953CD">
          <w:rPr>
            <w:webHidden/>
          </w:rPr>
          <w:t>6</w:t>
        </w:r>
        <w:r w:rsidR="005953CD">
          <w:rPr>
            <w:webHidden/>
          </w:rPr>
          <w:fldChar w:fldCharType="end"/>
        </w:r>
      </w:hyperlink>
    </w:p>
    <w:p w14:paraId="1687004B" w14:textId="4846BE1C" w:rsidR="005D2B8E" w:rsidRDefault="00E7312B" w:rsidP="00E53ADA">
      <w:pPr>
        <w:pStyle w:val="DHHSbody"/>
        <w:rPr>
          <w:rFonts w:eastAsia="MS Gothic" w:cs="Arial"/>
          <w:color w:val="AF272F"/>
          <w:kern w:val="32"/>
          <w:sz w:val="36"/>
          <w:szCs w:val="40"/>
        </w:rPr>
      </w:pPr>
      <w:r>
        <w:fldChar w:fldCharType="end"/>
      </w:r>
      <w:bookmarkStart w:id="12" w:name="_Toc521331197"/>
      <w:bookmarkStart w:id="13" w:name="_Toc521759704"/>
      <w:bookmarkStart w:id="14" w:name="_Toc517943927"/>
      <w:bookmarkEnd w:id="6"/>
      <w:bookmarkEnd w:id="7"/>
      <w:r w:rsidR="005D2B8E">
        <w:br w:type="page"/>
      </w:r>
    </w:p>
    <w:p w14:paraId="1A756AA6" w14:textId="103D1AED" w:rsidR="00CD4D21" w:rsidRPr="001E7BBF" w:rsidRDefault="005E74CB" w:rsidP="00CD4D21">
      <w:pPr>
        <w:pStyle w:val="Heading1"/>
        <w:spacing w:before="0"/>
        <w:rPr>
          <w:b/>
        </w:rPr>
      </w:pPr>
      <w:bookmarkStart w:id="15" w:name="_Toc10450932"/>
      <w:bookmarkStart w:id="16" w:name="_Toc10454440"/>
      <w:bookmarkStart w:id="17" w:name="_Toc10454491"/>
      <w:bookmarkStart w:id="18" w:name="_Toc22029633"/>
      <w:r w:rsidRPr="001E7BBF">
        <w:rPr>
          <w:b/>
        </w:rPr>
        <w:lastRenderedPageBreak/>
        <w:t>Background</w:t>
      </w:r>
      <w:bookmarkEnd w:id="12"/>
      <w:bookmarkEnd w:id="15"/>
      <w:bookmarkEnd w:id="16"/>
      <w:bookmarkEnd w:id="17"/>
      <w:bookmarkEnd w:id="18"/>
    </w:p>
    <w:p w14:paraId="45AD2FE6" w14:textId="77777777" w:rsidR="00751231" w:rsidRDefault="00751231" w:rsidP="00751231">
      <w:pPr>
        <w:pStyle w:val="DHHSbody"/>
      </w:pPr>
      <w:bookmarkStart w:id="19" w:name="_Toc521331199"/>
      <w:bookmarkStart w:id="20" w:name="_Toc10450933"/>
      <w:bookmarkStart w:id="21" w:name="_Toc10454441"/>
      <w:bookmarkStart w:id="22" w:name="_Toc10454492"/>
      <w:r>
        <w:t xml:space="preserve">The department, in consultation with the sector, has designed a new funding model for child and family services. </w:t>
      </w:r>
    </w:p>
    <w:p w14:paraId="201363CC" w14:textId="77777777" w:rsidR="00751231" w:rsidRDefault="00751231" w:rsidP="00751231">
      <w:pPr>
        <w:pStyle w:val="DHHSbody"/>
      </w:pPr>
      <w:r>
        <w:t xml:space="preserve">The new funding model is a shift </w:t>
      </w:r>
      <w:r w:rsidRPr="007C5E9B">
        <w:t>from</w:t>
      </w:r>
      <w:r>
        <w:t xml:space="preserve"> activity structures</w:t>
      </w:r>
      <w:r w:rsidRPr="007C5E9B">
        <w:t xml:space="preserve"> </w:t>
      </w:r>
      <w:r>
        <w:t xml:space="preserve">based on </w:t>
      </w:r>
      <w:r w:rsidRPr="007C5E9B">
        <w:t>program</w:t>
      </w:r>
      <w:r>
        <w:t>s,</w:t>
      </w:r>
      <w:r w:rsidRPr="007C5E9B">
        <w:t xml:space="preserve"> </w:t>
      </w:r>
      <w:r>
        <w:t>to activity structures based on service delivery functions that providers</w:t>
      </w:r>
      <w:r w:rsidRPr="003E61F3">
        <w:t xml:space="preserve"> already undertake to support vulnerable children and families</w:t>
      </w:r>
      <w:r>
        <w:t>.</w:t>
      </w:r>
    </w:p>
    <w:p w14:paraId="22E84966" w14:textId="77777777" w:rsidR="00751231" w:rsidRDefault="00751231" w:rsidP="00751231">
      <w:pPr>
        <w:pStyle w:val="DHHSbody"/>
      </w:pPr>
      <w:r>
        <w:t>Funding reform is an important step in creating a more seamless and outcomes-focused service system over the longer term. This increased flexibility will also help to advance Aboriginal self-determination and self-management to meet the needs of Aboriginal children, young people and families.</w:t>
      </w:r>
    </w:p>
    <w:p w14:paraId="4454A20D" w14:textId="77777777" w:rsidR="00751231" w:rsidRDefault="00751231" w:rsidP="00751231">
      <w:pPr>
        <w:pStyle w:val="DHHSbody"/>
      </w:pPr>
      <w:r>
        <w:t xml:space="preserve">Stage 1 funding reform occurred in 2018 for a number of child and family service activities. Stage 2 funding reform is now underway for </w:t>
      </w:r>
      <w:r>
        <w:rPr>
          <w:rFonts w:cs="Arial"/>
        </w:rPr>
        <w:t>services supporting young people to transition from care. Stage 2 will bring ‘leaving care’ activities under the new Better Futures service model. This Guide provides information about the implementation of the new funding model for Better Futures.</w:t>
      </w:r>
    </w:p>
    <w:p w14:paraId="0586CAC2" w14:textId="59F2D964" w:rsidR="005E74CB" w:rsidRPr="001E7BBF" w:rsidRDefault="005E74CB" w:rsidP="005E74CB">
      <w:pPr>
        <w:pStyle w:val="Heading1"/>
        <w:rPr>
          <w:b/>
        </w:rPr>
      </w:pPr>
      <w:bookmarkStart w:id="23" w:name="_Toc22029634"/>
      <w:r w:rsidRPr="001E7BBF">
        <w:rPr>
          <w:b/>
        </w:rPr>
        <w:t>The new funding model</w:t>
      </w:r>
      <w:bookmarkEnd w:id="19"/>
      <w:r w:rsidR="00CD4D21" w:rsidRPr="001E7BBF">
        <w:rPr>
          <w:b/>
        </w:rPr>
        <w:t xml:space="preserve"> for </w:t>
      </w:r>
      <w:bookmarkEnd w:id="20"/>
      <w:bookmarkEnd w:id="21"/>
      <w:bookmarkEnd w:id="22"/>
      <w:r w:rsidR="00766778" w:rsidRPr="001E7BBF">
        <w:rPr>
          <w:b/>
        </w:rPr>
        <w:t>Better Futures</w:t>
      </w:r>
      <w:bookmarkEnd w:id="23"/>
    </w:p>
    <w:p w14:paraId="15779277" w14:textId="77777777" w:rsidR="000F3ED4" w:rsidRDefault="000F3ED4" w:rsidP="000F3ED4">
      <w:pPr>
        <w:pStyle w:val="DHHSbody"/>
      </w:pPr>
      <w:r>
        <w:t xml:space="preserve">The new funding model for Better Futures comprises five new activities (see Table 1). Several sub-activities will sit within each of these new functional activities to further define service delivery requirements. </w:t>
      </w:r>
      <w:r w:rsidRPr="008A22F7">
        <w:t xml:space="preserve">There will be </w:t>
      </w:r>
      <w:r>
        <w:t>no</w:t>
      </w:r>
      <w:r w:rsidRPr="008A22F7">
        <w:t xml:space="preserve"> change </w:t>
      </w:r>
      <w:r>
        <w:t>to</w:t>
      </w:r>
      <w:r w:rsidRPr="008A22F7">
        <w:t xml:space="preserve"> the level of funding currently received by </w:t>
      </w:r>
      <w:r>
        <w:t>service providers.</w:t>
      </w:r>
    </w:p>
    <w:p w14:paraId="616F2EE6" w14:textId="74E8E2DD" w:rsidR="00DB633C" w:rsidRDefault="00DB633C" w:rsidP="004F7C47">
      <w:pPr>
        <w:pStyle w:val="DHHStablecaption"/>
      </w:pPr>
      <w:r>
        <w:t>Table 1: The new funding model for child and family services</w:t>
      </w:r>
      <w:r w:rsidR="00CA2140">
        <w:t xml:space="preserve"> – Better Futures</w:t>
      </w:r>
    </w:p>
    <w:tbl>
      <w:tblPr>
        <w:tblStyle w:val="TableGrid"/>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AF272F"/>
        <w:tblLook w:val="04A0" w:firstRow="1" w:lastRow="0" w:firstColumn="1" w:lastColumn="0" w:noHBand="0" w:noVBand="1"/>
      </w:tblPr>
      <w:tblGrid>
        <w:gridCol w:w="2078"/>
        <w:gridCol w:w="2385"/>
        <w:gridCol w:w="5578"/>
      </w:tblGrid>
      <w:tr w:rsidR="00462207" w14:paraId="64172F0A" w14:textId="77777777" w:rsidTr="00CA2140">
        <w:trPr>
          <w:trHeight w:val="440"/>
        </w:trPr>
        <w:tc>
          <w:tcPr>
            <w:tcW w:w="20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F81BD" w:themeFill="accent1"/>
          </w:tcPr>
          <w:p w14:paraId="27201488" w14:textId="727911CB" w:rsidR="00462207" w:rsidRPr="001A35AC" w:rsidRDefault="00462207" w:rsidP="009B1248">
            <w:pPr>
              <w:pStyle w:val="DHHStabletext"/>
              <w:rPr>
                <w:b/>
                <w:color w:val="FFFFFF" w:themeColor="background1"/>
              </w:rPr>
            </w:pPr>
            <w:r w:rsidRPr="001A35AC">
              <w:rPr>
                <w:b/>
                <w:color w:val="FFFFFF" w:themeColor="background1"/>
              </w:rPr>
              <w:t>Activity Number</w:t>
            </w:r>
          </w:p>
        </w:tc>
        <w:tc>
          <w:tcPr>
            <w:tcW w:w="23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F81BD" w:themeFill="accent1"/>
          </w:tcPr>
          <w:p w14:paraId="14C07C07" w14:textId="43F1DAC8" w:rsidR="00462207" w:rsidRPr="001A35AC" w:rsidRDefault="00462207" w:rsidP="009B1248">
            <w:pPr>
              <w:pStyle w:val="DHHStabletext"/>
              <w:rPr>
                <w:b/>
                <w:color w:val="FFFFFF" w:themeColor="background1"/>
              </w:rPr>
            </w:pPr>
            <w:r w:rsidRPr="001A35AC">
              <w:rPr>
                <w:b/>
                <w:color w:val="FFFFFF" w:themeColor="background1"/>
              </w:rPr>
              <w:t>Activity Name</w:t>
            </w:r>
          </w:p>
        </w:tc>
        <w:tc>
          <w:tcPr>
            <w:tcW w:w="5578" w:type="dxa"/>
            <w:tcBorders>
              <w:top w:val="single" w:sz="8" w:space="0" w:color="53565A"/>
              <w:left w:val="single" w:sz="8" w:space="0" w:color="FFFFFF" w:themeColor="background1"/>
              <w:bottom w:val="single" w:sz="8" w:space="0" w:color="53565A"/>
            </w:tcBorders>
            <w:shd w:val="clear" w:color="auto" w:fill="FFFFFF" w:themeFill="background1"/>
          </w:tcPr>
          <w:p w14:paraId="3762CB1F" w14:textId="1D432344" w:rsidR="00462207" w:rsidRPr="00F97F1C" w:rsidRDefault="00462207" w:rsidP="009B1248">
            <w:pPr>
              <w:pStyle w:val="DHHStabletext"/>
              <w:rPr>
                <w:b/>
              </w:rPr>
            </w:pPr>
            <w:r w:rsidRPr="00F97F1C">
              <w:rPr>
                <w:b/>
              </w:rPr>
              <w:t>Description</w:t>
            </w:r>
          </w:p>
        </w:tc>
      </w:tr>
      <w:tr w:rsidR="00462207" w14:paraId="6766FC67" w14:textId="77777777" w:rsidTr="00CA2140">
        <w:trPr>
          <w:trHeight w:val="964"/>
        </w:trPr>
        <w:tc>
          <w:tcPr>
            <w:tcW w:w="20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F81BD" w:themeFill="accent1"/>
          </w:tcPr>
          <w:p w14:paraId="429B4D3D" w14:textId="299A93F5" w:rsidR="00462207" w:rsidRPr="00F660E7" w:rsidRDefault="00060163" w:rsidP="009B1248">
            <w:pPr>
              <w:pStyle w:val="DHHStabletext"/>
              <w:rPr>
                <w:b/>
                <w:color w:val="FFFFFF" w:themeColor="background1"/>
              </w:rPr>
            </w:pPr>
            <w:r>
              <w:rPr>
                <w:b/>
                <w:color w:val="FFFFFF" w:themeColor="background1"/>
              </w:rPr>
              <w:t>31289</w:t>
            </w:r>
          </w:p>
        </w:tc>
        <w:tc>
          <w:tcPr>
            <w:tcW w:w="23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F81BD" w:themeFill="accent1"/>
          </w:tcPr>
          <w:p w14:paraId="01671A6E" w14:textId="0BC50930" w:rsidR="00462207" w:rsidRPr="00F660E7" w:rsidRDefault="00462207" w:rsidP="009B1248">
            <w:pPr>
              <w:pStyle w:val="DHHStabletext"/>
              <w:rPr>
                <w:b/>
                <w:color w:val="FFFFFF" w:themeColor="background1"/>
              </w:rPr>
            </w:pPr>
            <w:r w:rsidRPr="00F660E7">
              <w:rPr>
                <w:b/>
                <w:color w:val="FFFFFF" w:themeColor="background1"/>
              </w:rPr>
              <w:t>Intake and Access</w:t>
            </w:r>
            <w:r w:rsidR="00E16847">
              <w:rPr>
                <w:b/>
                <w:color w:val="FFFFFF" w:themeColor="background1"/>
              </w:rPr>
              <w:t xml:space="preserve"> – Better Futures</w:t>
            </w:r>
          </w:p>
        </w:tc>
        <w:tc>
          <w:tcPr>
            <w:tcW w:w="5578" w:type="dxa"/>
            <w:tcBorders>
              <w:top w:val="single" w:sz="8" w:space="0" w:color="53565A"/>
              <w:left w:val="single" w:sz="8" w:space="0" w:color="FFFFFF" w:themeColor="background1"/>
              <w:bottom w:val="single" w:sz="8" w:space="0" w:color="53565A"/>
            </w:tcBorders>
            <w:shd w:val="clear" w:color="auto" w:fill="FFFFFF" w:themeFill="background1"/>
          </w:tcPr>
          <w:p w14:paraId="6B6D9E83" w14:textId="4A4E2BB9" w:rsidR="00462207" w:rsidRDefault="00946D91" w:rsidP="009B1248">
            <w:pPr>
              <w:pStyle w:val="DHHStabletext"/>
            </w:pPr>
            <w:r>
              <w:t>Referral and allocation processes to determine contact response to individuals, children and families</w:t>
            </w:r>
            <w:r w:rsidR="00215AC7">
              <w:t>.</w:t>
            </w:r>
          </w:p>
        </w:tc>
      </w:tr>
      <w:tr w:rsidR="00462207" w14:paraId="18EA78CD" w14:textId="77777777" w:rsidTr="00CA2140">
        <w:trPr>
          <w:trHeight w:val="964"/>
        </w:trPr>
        <w:tc>
          <w:tcPr>
            <w:tcW w:w="20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8064A2" w:themeFill="accent4"/>
          </w:tcPr>
          <w:p w14:paraId="199E0E2B" w14:textId="17458229" w:rsidR="00462207" w:rsidRPr="00F660E7" w:rsidRDefault="00E16847" w:rsidP="009B1248">
            <w:pPr>
              <w:pStyle w:val="DHHStabletext"/>
              <w:rPr>
                <w:b/>
                <w:color w:val="FFFFFF" w:themeColor="background1"/>
              </w:rPr>
            </w:pPr>
            <w:r>
              <w:rPr>
                <w:b/>
                <w:color w:val="FFFFFF" w:themeColor="background1"/>
              </w:rPr>
              <w:t>31290</w:t>
            </w:r>
          </w:p>
        </w:tc>
        <w:tc>
          <w:tcPr>
            <w:tcW w:w="23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8064A2" w:themeFill="accent4"/>
          </w:tcPr>
          <w:p w14:paraId="74EDE7B0" w14:textId="583BE12F" w:rsidR="00462207" w:rsidRPr="00F660E7" w:rsidRDefault="00462207" w:rsidP="009B1248">
            <w:pPr>
              <w:pStyle w:val="DHHStabletext"/>
              <w:rPr>
                <w:b/>
                <w:color w:val="FFFFFF" w:themeColor="background1"/>
              </w:rPr>
            </w:pPr>
            <w:r w:rsidRPr="00F660E7">
              <w:rPr>
                <w:b/>
                <w:color w:val="FFFFFF" w:themeColor="background1"/>
              </w:rPr>
              <w:t>Individual, Child and Family Support</w:t>
            </w:r>
            <w:r w:rsidR="00E16847">
              <w:rPr>
                <w:b/>
                <w:color w:val="FFFFFF" w:themeColor="background1"/>
              </w:rPr>
              <w:t xml:space="preserve"> </w:t>
            </w:r>
            <w:r w:rsidR="00D57359">
              <w:rPr>
                <w:b/>
                <w:color w:val="FFFFFF" w:themeColor="background1"/>
              </w:rPr>
              <w:t>–</w:t>
            </w:r>
            <w:r w:rsidR="00E16847">
              <w:rPr>
                <w:b/>
                <w:color w:val="FFFFFF" w:themeColor="background1"/>
              </w:rPr>
              <w:t xml:space="preserve"> B</w:t>
            </w:r>
            <w:r w:rsidR="00D57359">
              <w:rPr>
                <w:b/>
                <w:color w:val="FFFFFF" w:themeColor="background1"/>
              </w:rPr>
              <w:t>etter Futures</w:t>
            </w:r>
          </w:p>
        </w:tc>
        <w:tc>
          <w:tcPr>
            <w:tcW w:w="5578" w:type="dxa"/>
            <w:tcBorders>
              <w:top w:val="single" w:sz="8" w:space="0" w:color="53565A"/>
              <w:left w:val="single" w:sz="8" w:space="0" w:color="FFFFFF" w:themeColor="background1"/>
              <w:bottom w:val="single" w:sz="8" w:space="0" w:color="53565A"/>
            </w:tcBorders>
            <w:shd w:val="clear" w:color="auto" w:fill="FFFFFF" w:themeFill="background1"/>
          </w:tcPr>
          <w:p w14:paraId="65DE36D5" w14:textId="33A943E1" w:rsidR="00462207" w:rsidRDefault="00462207" w:rsidP="009B1248">
            <w:pPr>
              <w:pStyle w:val="DHHStabletext"/>
            </w:pPr>
            <w:r>
              <w:t>Individual, Child and Family Support includes case management functions such as assessment and review of the needs of</w:t>
            </w:r>
            <w:r w:rsidR="0063270C">
              <w:t xml:space="preserve"> young </w:t>
            </w:r>
            <w:r w:rsidR="00AD6EE0">
              <w:t>people</w:t>
            </w:r>
            <w:r>
              <w:t>, as well as planning, facilitation and advocacy for services and supports.</w:t>
            </w:r>
          </w:p>
        </w:tc>
      </w:tr>
      <w:tr w:rsidR="00462207" w14:paraId="3210B57A" w14:textId="77777777" w:rsidTr="00CA2140">
        <w:trPr>
          <w:trHeight w:val="964"/>
        </w:trPr>
        <w:tc>
          <w:tcPr>
            <w:tcW w:w="20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BACC6" w:themeFill="accent5"/>
          </w:tcPr>
          <w:p w14:paraId="2C84EF3D" w14:textId="5F6FBAF2" w:rsidR="00462207" w:rsidRPr="00F660E7" w:rsidRDefault="00E16847" w:rsidP="009B1248">
            <w:pPr>
              <w:pStyle w:val="DHHStabletext"/>
              <w:rPr>
                <w:b/>
                <w:color w:val="FFFFFF" w:themeColor="background1"/>
              </w:rPr>
            </w:pPr>
            <w:r>
              <w:rPr>
                <w:b/>
                <w:color w:val="FFFFFF" w:themeColor="background1"/>
              </w:rPr>
              <w:t>3129</w:t>
            </w:r>
            <w:r w:rsidR="00371264">
              <w:rPr>
                <w:b/>
                <w:color w:val="FFFFFF" w:themeColor="background1"/>
              </w:rPr>
              <w:t>2</w:t>
            </w:r>
          </w:p>
        </w:tc>
        <w:tc>
          <w:tcPr>
            <w:tcW w:w="23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BACC6" w:themeFill="accent5"/>
          </w:tcPr>
          <w:p w14:paraId="7D90018E" w14:textId="6FD5B52F" w:rsidR="00462207" w:rsidRPr="00F660E7" w:rsidRDefault="00462207" w:rsidP="009B1248">
            <w:pPr>
              <w:pStyle w:val="DHHStabletext"/>
              <w:rPr>
                <w:b/>
                <w:color w:val="FFFFFF" w:themeColor="background1"/>
              </w:rPr>
            </w:pPr>
            <w:r w:rsidRPr="00F660E7">
              <w:rPr>
                <w:b/>
                <w:color w:val="FFFFFF" w:themeColor="background1"/>
              </w:rPr>
              <w:t>Flexible Funding</w:t>
            </w:r>
            <w:r w:rsidR="00E16847">
              <w:rPr>
                <w:b/>
                <w:color w:val="FFFFFF" w:themeColor="background1"/>
              </w:rPr>
              <w:t xml:space="preserve"> – Better Futures</w:t>
            </w:r>
          </w:p>
        </w:tc>
        <w:tc>
          <w:tcPr>
            <w:tcW w:w="5578" w:type="dxa"/>
            <w:tcBorders>
              <w:top w:val="single" w:sz="8" w:space="0" w:color="53565A"/>
              <w:left w:val="single" w:sz="8" w:space="0" w:color="FFFFFF" w:themeColor="background1"/>
              <w:bottom w:val="single" w:sz="8" w:space="0" w:color="53565A"/>
            </w:tcBorders>
            <w:shd w:val="clear" w:color="auto" w:fill="FFFFFF" w:themeFill="background1"/>
          </w:tcPr>
          <w:p w14:paraId="18989ECC" w14:textId="28A377EE" w:rsidR="00462207" w:rsidRDefault="00462207">
            <w:pPr>
              <w:pStyle w:val="DHHStabletext"/>
            </w:pPr>
            <w:r>
              <w:t xml:space="preserve">Brokerage available </w:t>
            </w:r>
            <w:r w:rsidR="00F50986">
              <w:t>to</w:t>
            </w:r>
            <w:r w:rsidR="00472D15">
              <w:t xml:space="preserve"> </w:t>
            </w:r>
            <w:r w:rsidR="00834FE1">
              <w:t>young people</w:t>
            </w:r>
            <w:r>
              <w:t xml:space="preserve"> to purchase items to address the holistic needs, outcomes and objectives identified in their case or care plans.</w:t>
            </w:r>
          </w:p>
        </w:tc>
      </w:tr>
      <w:tr w:rsidR="00462207" w14:paraId="7E89204B" w14:textId="77777777" w:rsidTr="00CA2140">
        <w:trPr>
          <w:trHeight w:val="964"/>
        </w:trPr>
        <w:tc>
          <w:tcPr>
            <w:tcW w:w="20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79646" w:themeFill="accent6"/>
          </w:tcPr>
          <w:p w14:paraId="1CE77D53" w14:textId="553B0945" w:rsidR="00462207" w:rsidRPr="00F660E7" w:rsidRDefault="00E16847" w:rsidP="009B1248">
            <w:pPr>
              <w:pStyle w:val="DHHStabletext"/>
              <w:rPr>
                <w:b/>
                <w:color w:val="FFFFFF" w:themeColor="background1"/>
              </w:rPr>
            </w:pPr>
            <w:r>
              <w:rPr>
                <w:b/>
                <w:color w:val="FFFFFF" w:themeColor="background1"/>
              </w:rPr>
              <w:t>31293</w:t>
            </w:r>
          </w:p>
        </w:tc>
        <w:tc>
          <w:tcPr>
            <w:tcW w:w="23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79646" w:themeFill="accent6"/>
          </w:tcPr>
          <w:p w14:paraId="460EDA18" w14:textId="65BA394B" w:rsidR="00462207" w:rsidRPr="00F660E7" w:rsidRDefault="00462207" w:rsidP="009B1248">
            <w:pPr>
              <w:pStyle w:val="DHHStabletext"/>
              <w:rPr>
                <w:b/>
                <w:color w:val="FFFFFF" w:themeColor="background1"/>
              </w:rPr>
            </w:pPr>
            <w:r w:rsidRPr="00F660E7">
              <w:rPr>
                <w:b/>
                <w:color w:val="FFFFFF" w:themeColor="background1"/>
              </w:rPr>
              <w:t>Specialised Interventions</w:t>
            </w:r>
            <w:r w:rsidR="00E16847">
              <w:rPr>
                <w:b/>
                <w:color w:val="FFFFFF" w:themeColor="background1"/>
              </w:rPr>
              <w:t xml:space="preserve"> – Better Futures</w:t>
            </w:r>
          </w:p>
        </w:tc>
        <w:tc>
          <w:tcPr>
            <w:tcW w:w="5578" w:type="dxa"/>
            <w:tcBorders>
              <w:top w:val="single" w:sz="8" w:space="0" w:color="53565A"/>
              <w:left w:val="single" w:sz="8" w:space="0" w:color="FFFFFF" w:themeColor="background1"/>
              <w:bottom w:val="single" w:sz="8" w:space="0" w:color="53565A"/>
            </w:tcBorders>
            <w:shd w:val="clear" w:color="auto" w:fill="FFFFFF" w:themeFill="background1"/>
          </w:tcPr>
          <w:p w14:paraId="42D19D37" w14:textId="77777777" w:rsidR="00462207" w:rsidRDefault="00462207" w:rsidP="009B1248">
            <w:pPr>
              <w:pStyle w:val="DHHStabletext"/>
            </w:pPr>
            <w:r>
              <w:t>Highly specialised support or emerging interventions for individuals, children and families.</w:t>
            </w:r>
          </w:p>
        </w:tc>
      </w:tr>
      <w:tr w:rsidR="00462207" w14:paraId="719E2D22" w14:textId="77777777" w:rsidTr="00CA2140">
        <w:trPr>
          <w:trHeight w:val="964"/>
        </w:trPr>
        <w:tc>
          <w:tcPr>
            <w:tcW w:w="20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808080" w:themeFill="background1" w:themeFillShade="80"/>
          </w:tcPr>
          <w:p w14:paraId="79363D5A" w14:textId="074EDB76" w:rsidR="00462207" w:rsidRPr="00F660E7" w:rsidRDefault="00F50986" w:rsidP="009B1248">
            <w:pPr>
              <w:pStyle w:val="DHHStabletext"/>
              <w:rPr>
                <w:b/>
                <w:color w:val="FFFFFF" w:themeColor="background1"/>
              </w:rPr>
            </w:pPr>
            <w:r>
              <w:rPr>
                <w:b/>
                <w:color w:val="FFFFFF" w:themeColor="background1"/>
              </w:rPr>
              <w:t>31291</w:t>
            </w:r>
          </w:p>
        </w:tc>
        <w:tc>
          <w:tcPr>
            <w:tcW w:w="23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808080" w:themeFill="background1" w:themeFillShade="80"/>
          </w:tcPr>
          <w:p w14:paraId="0D9FFE66" w14:textId="40497FCF" w:rsidR="00462207" w:rsidRPr="00F660E7" w:rsidRDefault="00462207" w:rsidP="009B1248">
            <w:pPr>
              <w:pStyle w:val="DHHStabletext"/>
              <w:rPr>
                <w:b/>
                <w:color w:val="FFFFFF" w:themeColor="background1"/>
              </w:rPr>
            </w:pPr>
            <w:r w:rsidRPr="00F660E7">
              <w:rPr>
                <w:b/>
                <w:color w:val="FFFFFF" w:themeColor="background1"/>
              </w:rPr>
              <w:t>System Enablers</w:t>
            </w:r>
            <w:r w:rsidR="00F50986">
              <w:rPr>
                <w:b/>
                <w:color w:val="FFFFFF" w:themeColor="background1"/>
              </w:rPr>
              <w:t xml:space="preserve"> – Better Futures</w:t>
            </w:r>
          </w:p>
        </w:tc>
        <w:tc>
          <w:tcPr>
            <w:tcW w:w="5578" w:type="dxa"/>
            <w:tcBorders>
              <w:top w:val="single" w:sz="8" w:space="0" w:color="53565A"/>
              <w:left w:val="single" w:sz="8" w:space="0" w:color="FFFFFF" w:themeColor="background1"/>
              <w:bottom w:val="single" w:sz="8" w:space="0" w:color="53565A"/>
            </w:tcBorders>
            <w:shd w:val="clear" w:color="auto" w:fill="FFFFFF" w:themeFill="background1"/>
          </w:tcPr>
          <w:p w14:paraId="4DEF550A" w14:textId="223CB81C" w:rsidR="00462207" w:rsidRDefault="00462207" w:rsidP="00E80BBF">
            <w:pPr>
              <w:pStyle w:val="DHHStabletext"/>
            </w:pPr>
            <w:r>
              <w:t>System-wide or</w:t>
            </w:r>
            <w:r w:rsidR="00834FE1">
              <w:t xml:space="preserve"> </w:t>
            </w:r>
            <w:r w:rsidR="002A12B7">
              <w:t>local</w:t>
            </w:r>
            <w:r w:rsidR="00834FE1">
              <w:t xml:space="preserve"> area</w:t>
            </w:r>
            <w:r w:rsidR="007904EF">
              <w:t xml:space="preserve"> approaches and</w:t>
            </w:r>
            <w:r w:rsidR="00834FE1">
              <w:t xml:space="preserve"> </w:t>
            </w:r>
            <w:r>
              <w:t>state</w:t>
            </w:r>
            <w:r w:rsidR="0005183D">
              <w:t>-</w:t>
            </w:r>
            <w:r>
              <w:t>wide supports and initiatives that require discrete funding.</w:t>
            </w:r>
          </w:p>
        </w:tc>
      </w:tr>
    </w:tbl>
    <w:p w14:paraId="1394929C" w14:textId="595BF9ED" w:rsidR="002A3AB2" w:rsidRPr="001E7BBF" w:rsidRDefault="00ED1B50" w:rsidP="00AE141E">
      <w:pPr>
        <w:pStyle w:val="Heading1"/>
        <w:rPr>
          <w:b/>
        </w:rPr>
      </w:pPr>
      <w:bookmarkStart w:id="24" w:name="_Toc10450934"/>
      <w:bookmarkStart w:id="25" w:name="_Toc10454442"/>
      <w:bookmarkStart w:id="26" w:name="_Toc10454493"/>
      <w:bookmarkStart w:id="27" w:name="_Toc22029635"/>
      <w:r w:rsidRPr="001E7BBF">
        <w:rPr>
          <w:b/>
        </w:rPr>
        <w:t xml:space="preserve">Implementation of </w:t>
      </w:r>
      <w:r w:rsidR="003358F9" w:rsidRPr="001E7BBF">
        <w:rPr>
          <w:b/>
        </w:rPr>
        <w:t xml:space="preserve">the </w:t>
      </w:r>
      <w:r w:rsidRPr="001E7BBF">
        <w:rPr>
          <w:b/>
        </w:rPr>
        <w:t>new funding model</w:t>
      </w:r>
      <w:bookmarkEnd w:id="24"/>
      <w:bookmarkEnd w:id="25"/>
      <w:bookmarkEnd w:id="26"/>
      <w:bookmarkEnd w:id="27"/>
    </w:p>
    <w:p w14:paraId="4B0EE43B" w14:textId="043F8E3A" w:rsidR="000E49A7" w:rsidRPr="003358F9" w:rsidRDefault="000E49A7" w:rsidP="00766222">
      <w:pPr>
        <w:pStyle w:val="Heading2"/>
      </w:pPr>
      <w:bookmarkStart w:id="28" w:name="_Toc10450935"/>
      <w:bookmarkStart w:id="29" w:name="_Toc10454443"/>
      <w:bookmarkStart w:id="30" w:name="_Toc10454494"/>
      <w:bookmarkStart w:id="31" w:name="_Toc22029636"/>
      <w:r w:rsidRPr="003358F9">
        <w:t xml:space="preserve">Stage 1 – </w:t>
      </w:r>
      <w:r>
        <w:t>F</w:t>
      </w:r>
      <w:r w:rsidRPr="003358F9">
        <w:t xml:space="preserve">amily </w:t>
      </w:r>
      <w:r w:rsidR="00CC67EB">
        <w:t>S</w:t>
      </w:r>
      <w:r w:rsidRPr="003358F9">
        <w:t>ervices</w:t>
      </w:r>
      <w:bookmarkEnd w:id="28"/>
      <w:bookmarkEnd w:id="29"/>
      <w:bookmarkEnd w:id="30"/>
      <w:bookmarkEnd w:id="31"/>
    </w:p>
    <w:p w14:paraId="6B0D7EF2" w14:textId="77777777" w:rsidR="009305A2" w:rsidRDefault="009305A2" w:rsidP="009305A2">
      <w:pPr>
        <w:pStyle w:val="DHHSbody"/>
      </w:pPr>
      <w:bookmarkStart w:id="32" w:name="_Toc10450936"/>
      <w:bookmarkStart w:id="33" w:name="_Toc10454444"/>
      <w:bookmarkStart w:id="34" w:name="_Toc10454495"/>
      <w:r>
        <w:t>As part of the first stage of funding reform, funding for six child and family services activities was transitioned to a new funding model on 1 October 2018, including:</w:t>
      </w:r>
    </w:p>
    <w:p w14:paraId="7FCC0CCF" w14:textId="77777777" w:rsidR="009305A2" w:rsidRDefault="009305A2" w:rsidP="009305A2">
      <w:pPr>
        <w:pStyle w:val="DHHSbody"/>
        <w:numPr>
          <w:ilvl w:val="0"/>
          <w:numId w:val="37"/>
        </w:numPr>
      </w:pPr>
      <w:r>
        <w:t>Integrated Family Services 31245</w:t>
      </w:r>
    </w:p>
    <w:p w14:paraId="52146DFD" w14:textId="77777777" w:rsidR="009305A2" w:rsidRDefault="009305A2" w:rsidP="009305A2">
      <w:pPr>
        <w:pStyle w:val="DHHSbody"/>
        <w:numPr>
          <w:ilvl w:val="0"/>
          <w:numId w:val="37"/>
        </w:numPr>
      </w:pPr>
      <w:r>
        <w:lastRenderedPageBreak/>
        <w:t>Integrated Family Services – Indigenous 31246</w:t>
      </w:r>
    </w:p>
    <w:p w14:paraId="74CC686F" w14:textId="77777777" w:rsidR="009305A2" w:rsidRDefault="009305A2" w:rsidP="009305A2">
      <w:pPr>
        <w:pStyle w:val="DHHSbody"/>
        <w:numPr>
          <w:ilvl w:val="0"/>
          <w:numId w:val="37"/>
        </w:numPr>
      </w:pPr>
      <w:r>
        <w:t>Stronger Families 31262</w:t>
      </w:r>
    </w:p>
    <w:p w14:paraId="60CF6F3F" w14:textId="77777777" w:rsidR="009305A2" w:rsidRDefault="009305A2" w:rsidP="009305A2">
      <w:pPr>
        <w:pStyle w:val="DHHSbody"/>
        <w:numPr>
          <w:ilvl w:val="0"/>
          <w:numId w:val="37"/>
        </w:numPr>
      </w:pPr>
      <w:r>
        <w:t>Cradle to Kinder 31264;</w:t>
      </w:r>
    </w:p>
    <w:p w14:paraId="10EBA6B8" w14:textId="77777777" w:rsidR="009305A2" w:rsidRDefault="009305A2" w:rsidP="009305A2">
      <w:pPr>
        <w:pStyle w:val="DHHSbody"/>
        <w:numPr>
          <w:ilvl w:val="0"/>
          <w:numId w:val="37"/>
        </w:numPr>
      </w:pPr>
      <w:r>
        <w:t xml:space="preserve">some components of Aboriginal Community Controlled Organisations – Family and Community Services 31260, and </w:t>
      </w:r>
    </w:p>
    <w:p w14:paraId="3B67AAB9" w14:textId="77777777" w:rsidR="009305A2" w:rsidRDefault="009305A2" w:rsidP="009305A2">
      <w:pPr>
        <w:pStyle w:val="DHHSbody"/>
        <w:numPr>
          <w:ilvl w:val="0"/>
          <w:numId w:val="37"/>
        </w:numPr>
      </w:pPr>
      <w:r>
        <w:t>Placement Prevention Programs 31218.</w:t>
      </w:r>
    </w:p>
    <w:p w14:paraId="3665E528" w14:textId="77777777" w:rsidR="002456DB" w:rsidRPr="003358F9" w:rsidRDefault="002456DB" w:rsidP="002456DB">
      <w:pPr>
        <w:pStyle w:val="Heading2"/>
      </w:pPr>
      <w:bookmarkStart w:id="35" w:name="_Toc22027527"/>
      <w:bookmarkStart w:id="36" w:name="_Toc22029637"/>
      <w:bookmarkStart w:id="37" w:name="_Toc10450937"/>
      <w:bookmarkStart w:id="38" w:name="_Toc10454445"/>
      <w:bookmarkStart w:id="39" w:name="_Toc10454496"/>
      <w:bookmarkEnd w:id="32"/>
      <w:bookmarkEnd w:id="33"/>
      <w:bookmarkEnd w:id="34"/>
      <w:r w:rsidRPr="003358F9">
        <w:t xml:space="preserve">Stage 2 – </w:t>
      </w:r>
      <w:r>
        <w:t>Transitioning from Care</w:t>
      </w:r>
      <w:bookmarkEnd w:id="35"/>
      <w:bookmarkEnd w:id="36"/>
    </w:p>
    <w:p w14:paraId="7E14F775" w14:textId="77777777" w:rsidR="002456DB" w:rsidRPr="00DA7BAD" w:rsidRDefault="002456DB" w:rsidP="002456DB">
      <w:pPr>
        <w:pStyle w:val="DHHSbody"/>
      </w:pPr>
      <w:r w:rsidRPr="005168DE">
        <w:t xml:space="preserve">Services supporting young people to transition from </w:t>
      </w:r>
      <w:r w:rsidRPr="00604131">
        <w:t xml:space="preserve">care fall within the second stage of funding reform, and will </w:t>
      </w:r>
      <w:r w:rsidRPr="00DA7BAD">
        <w:t>transition to the new Better Futures funding and service model effective from 1 November 2019:</w:t>
      </w:r>
    </w:p>
    <w:p w14:paraId="05665219" w14:textId="77777777" w:rsidR="002456DB" w:rsidRPr="00B93568" w:rsidRDefault="002456DB" w:rsidP="002456DB">
      <w:pPr>
        <w:pStyle w:val="DHHSbody"/>
        <w:numPr>
          <w:ilvl w:val="0"/>
          <w:numId w:val="26"/>
        </w:numPr>
      </w:pPr>
      <w:r w:rsidRPr="00B93568">
        <w:t>31414 Leaving Care Support Services</w:t>
      </w:r>
    </w:p>
    <w:p w14:paraId="41682FAC" w14:textId="77777777" w:rsidR="002456DB" w:rsidRDefault="002456DB" w:rsidP="002456DB">
      <w:pPr>
        <w:pStyle w:val="DHHSbody"/>
        <w:numPr>
          <w:ilvl w:val="0"/>
          <w:numId w:val="26"/>
        </w:numPr>
      </w:pPr>
      <w:r w:rsidRPr="00B93568">
        <w:t>31421 Springboard (Leaving Care)</w:t>
      </w:r>
    </w:p>
    <w:p w14:paraId="54F9A1DD" w14:textId="77777777" w:rsidR="002456DB" w:rsidRDefault="002456DB" w:rsidP="002456DB">
      <w:pPr>
        <w:pStyle w:val="DHHSbody"/>
      </w:pPr>
      <w:r w:rsidRPr="005168DE">
        <w:t>Better Futures, which will roll out across the state</w:t>
      </w:r>
      <w:r w:rsidRPr="00604131">
        <w:t xml:space="preserve"> along with Home Stretch from 1 November 2019, is a new way of supporting young people to transition from care. </w:t>
      </w:r>
      <w:r w:rsidRPr="00FE0309">
        <w:t xml:space="preserve">Better Futures </w:t>
      </w:r>
      <w:r w:rsidRPr="005168DE">
        <w:t>workers engag</w:t>
      </w:r>
      <w:r w:rsidRPr="00604131">
        <w:t xml:space="preserve">e early with young people in care and their support networks, including carers, case managers and care teams, to </w:t>
      </w:r>
      <w:r w:rsidRPr="005168DE">
        <w:t xml:space="preserve">assist young people to plan for and meet their goals for </w:t>
      </w:r>
      <w:r w:rsidRPr="00604131">
        <w:t>living arrangements, education, employment, health and wellbeing and community connections as they transition from care.</w:t>
      </w:r>
    </w:p>
    <w:p w14:paraId="07C386F6" w14:textId="77777777" w:rsidR="002456DB" w:rsidRPr="00604131" w:rsidRDefault="002456DB" w:rsidP="002456DB">
      <w:pPr>
        <w:pStyle w:val="DHHSbody"/>
      </w:pPr>
      <w:r w:rsidRPr="00604131">
        <w:t xml:space="preserve">Stage 2 funding reform is designed to enable implementation of the Better Futures </w:t>
      </w:r>
      <w:r>
        <w:t xml:space="preserve">service </w:t>
      </w:r>
      <w:r w:rsidRPr="00604131">
        <w:t xml:space="preserve">model, by </w:t>
      </w:r>
      <w:r>
        <w:t xml:space="preserve">consolidating existing leaving care funding and </w:t>
      </w:r>
      <w:r w:rsidRPr="00604131">
        <w:t>allowing the required flexibility</w:t>
      </w:r>
      <w:r>
        <w:t xml:space="preserve"> to provide wraparound support for young people. The funding model also supports program evaluation by enabling providers to more accurately record how funding is being used.</w:t>
      </w:r>
    </w:p>
    <w:p w14:paraId="5FEC6DAD" w14:textId="77777777" w:rsidR="00830CD6" w:rsidRPr="001E7BBF" w:rsidRDefault="00830CD6" w:rsidP="00DE318F">
      <w:pPr>
        <w:pStyle w:val="Heading1"/>
        <w:rPr>
          <w:b/>
        </w:rPr>
      </w:pPr>
      <w:bookmarkStart w:id="40" w:name="_Toc22029638"/>
      <w:r w:rsidRPr="001E7BBF">
        <w:rPr>
          <w:b/>
        </w:rPr>
        <w:t>Supporting</w:t>
      </w:r>
      <w:r w:rsidR="00F70684" w:rsidRPr="001E7BBF">
        <w:rPr>
          <w:b/>
        </w:rPr>
        <w:t xml:space="preserve"> </w:t>
      </w:r>
      <w:r w:rsidRPr="001E7BBF">
        <w:rPr>
          <w:b/>
        </w:rPr>
        <w:t>documents</w:t>
      </w:r>
      <w:bookmarkEnd w:id="13"/>
      <w:bookmarkEnd w:id="37"/>
      <w:bookmarkEnd w:id="38"/>
      <w:bookmarkEnd w:id="39"/>
      <w:bookmarkEnd w:id="40"/>
    </w:p>
    <w:p w14:paraId="1B3A5B0C" w14:textId="77777777" w:rsidR="00205855" w:rsidRDefault="00205855" w:rsidP="00205855">
      <w:pPr>
        <w:pStyle w:val="DHHSbody"/>
      </w:pPr>
      <w:r>
        <w:t>This guidance is part of a suite of information developed to support the new Better Futures funding and service model.</w:t>
      </w:r>
    </w:p>
    <w:p w14:paraId="28C39581" w14:textId="77777777" w:rsidR="00205855" w:rsidRDefault="00205855" w:rsidP="00205855">
      <w:pPr>
        <w:pStyle w:val="DHHStabletext"/>
      </w:pPr>
      <w:r>
        <w:t xml:space="preserve">For additional information on Better Futures and </w:t>
      </w:r>
      <w:r w:rsidRPr="00FE0309">
        <w:t>Home Stretch</w:t>
      </w:r>
    </w:p>
    <w:p w14:paraId="724B4DE7" w14:textId="77777777" w:rsidR="00205855" w:rsidRDefault="00205855" w:rsidP="00205855">
      <w:pPr>
        <w:pStyle w:val="DHHSbody"/>
        <w:numPr>
          <w:ilvl w:val="0"/>
          <w:numId w:val="26"/>
        </w:numPr>
      </w:pPr>
      <w:r>
        <w:t>Search for the Better Futures</w:t>
      </w:r>
      <w:r w:rsidRPr="00F70684">
        <w:t xml:space="preserve"> </w:t>
      </w:r>
      <w:hyperlink r:id="rId14" w:history="1">
        <w:r w:rsidRPr="00E35A88">
          <w:rPr>
            <w:rStyle w:val="Hyperlink"/>
          </w:rPr>
          <w:t>activity descriptions</w:t>
        </w:r>
      </w:hyperlink>
      <w:r>
        <w:t xml:space="preserve"> &lt;</w:t>
      </w:r>
      <w:r w:rsidRPr="00E35A88">
        <w:t>https://providers.dhhs.vic.gov.au/human-services-activity-search</w:t>
      </w:r>
      <w:r>
        <w:t>&gt;</w:t>
      </w:r>
      <w:r w:rsidRPr="00F70684">
        <w:t xml:space="preserve"> for </w:t>
      </w:r>
      <w:r>
        <w:t xml:space="preserve">the </w:t>
      </w:r>
      <w:r w:rsidRPr="00F70684">
        <w:t>new activities</w:t>
      </w:r>
      <w:r>
        <w:t xml:space="preserve"> (listed above in Table 1),</w:t>
      </w:r>
    </w:p>
    <w:p w14:paraId="4DF8812A" w14:textId="77777777" w:rsidR="00205855" w:rsidRDefault="00205855" w:rsidP="00205855">
      <w:pPr>
        <w:pStyle w:val="DHHSbody"/>
        <w:numPr>
          <w:ilvl w:val="0"/>
          <w:numId w:val="26"/>
        </w:numPr>
      </w:pPr>
      <w:r>
        <w:t xml:space="preserve">See information on services to support young people transitioning from care - </w:t>
      </w:r>
      <w:hyperlink r:id="rId15" w:history="1">
        <w:r w:rsidRPr="00635D88">
          <w:rPr>
            <w:rStyle w:val="Hyperlink"/>
          </w:rPr>
          <w:t>Leaving Care -DHHS Service Providers</w:t>
        </w:r>
      </w:hyperlink>
      <w:r>
        <w:rPr>
          <w:color w:val="000000"/>
        </w:rPr>
        <w:t xml:space="preserve"> </w:t>
      </w:r>
      <w:hyperlink r:id="rId16" w:history="1">
        <w:r w:rsidRPr="00204AFE">
          <w:rPr>
            <w:rStyle w:val="Hyperlink"/>
          </w:rPr>
          <w:t>https://providers.dhhs.vic.gov.au/leaving-care</w:t>
        </w:r>
      </w:hyperlink>
      <w:r>
        <w:rPr>
          <w:color w:val="000000"/>
        </w:rPr>
        <w:t xml:space="preserve"> - particularly the </w:t>
      </w:r>
      <w:r>
        <w:t>Home Stretch fact sheets and Better Futures (Post Care Service) Fact Sheet.</w:t>
      </w:r>
    </w:p>
    <w:p w14:paraId="518017FA" w14:textId="77777777" w:rsidR="00205855" w:rsidRDefault="00205855" w:rsidP="00205855">
      <w:pPr>
        <w:pStyle w:val="DHHSbody"/>
        <w:numPr>
          <w:ilvl w:val="0"/>
          <w:numId w:val="26"/>
        </w:numPr>
      </w:pPr>
      <w:r>
        <w:t>Better Futures operational guidelines are being developed and will be available on the providers leaving care page in late 2019.</w:t>
      </w:r>
    </w:p>
    <w:p w14:paraId="3A24A4FE" w14:textId="77777777" w:rsidR="00205855" w:rsidRPr="00A5482E" w:rsidRDefault="00205855" w:rsidP="00205855">
      <w:pPr>
        <w:pStyle w:val="DHHSbody"/>
      </w:pPr>
      <w:r>
        <w:rPr>
          <w:color w:val="000000"/>
        </w:rPr>
        <w:t>For further information specifically in relation to funding reform:</w:t>
      </w:r>
    </w:p>
    <w:p w14:paraId="2ADA6F94" w14:textId="2D0A92D5" w:rsidR="00205855" w:rsidRDefault="00205855" w:rsidP="00205855">
      <w:pPr>
        <w:pStyle w:val="DHHSbody"/>
        <w:numPr>
          <w:ilvl w:val="0"/>
          <w:numId w:val="26"/>
        </w:numPr>
      </w:pPr>
      <w:r>
        <w:t xml:space="preserve">Please visit the internet </w:t>
      </w:r>
      <w:r w:rsidRPr="00E57815">
        <w:rPr>
          <w:rStyle w:val="Hyperlink"/>
        </w:rPr>
        <w:t>https://providers.dhhs.vic.gov.au/child-and-family-funding-reform</w:t>
      </w:r>
      <w:r w:rsidRPr="00B8636C">
        <w:t>&gt;</w:t>
      </w:r>
      <w:r>
        <w:t>.</w:t>
      </w:r>
    </w:p>
    <w:p w14:paraId="23B920EE" w14:textId="7C9D39DD" w:rsidR="00112A7F" w:rsidRPr="001E7BBF" w:rsidRDefault="001B25AE" w:rsidP="00DB120A">
      <w:pPr>
        <w:pStyle w:val="Heading1"/>
        <w:rPr>
          <w:b/>
        </w:rPr>
      </w:pPr>
      <w:bookmarkStart w:id="41" w:name="_Toc10450938"/>
      <w:bookmarkStart w:id="42" w:name="_Toc10454446"/>
      <w:bookmarkStart w:id="43" w:name="_Toc10454497"/>
      <w:bookmarkStart w:id="44" w:name="_Toc22029639"/>
      <w:r>
        <w:rPr>
          <w:b/>
        </w:rPr>
        <w:t>Transition process</w:t>
      </w:r>
      <w:bookmarkEnd w:id="14"/>
      <w:bookmarkEnd w:id="41"/>
      <w:bookmarkEnd w:id="42"/>
      <w:bookmarkEnd w:id="43"/>
      <w:bookmarkEnd w:id="44"/>
    </w:p>
    <w:p w14:paraId="53FEFFA7" w14:textId="77777777" w:rsidR="004967E1" w:rsidRPr="006861CD" w:rsidRDefault="004967E1" w:rsidP="004967E1">
      <w:pPr>
        <w:pStyle w:val="DHHSbody"/>
      </w:pPr>
      <w:bookmarkStart w:id="45" w:name="_Toc10450939"/>
      <w:bookmarkStart w:id="46" w:name="_Toc10454447"/>
      <w:bookmarkStart w:id="47" w:name="_Toc10454498"/>
      <w:r>
        <w:t>As part of Stage 2 funding reform, for the following activities a</w:t>
      </w:r>
      <w:r w:rsidRPr="00F4249F">
        <w:t xml:space="preserve">ll funding </w:t>
      </w:r>
      <w:r>
        <w:t>will be transitioned to the new funding model,</w:t>
      </w:r>
      <w:r w:rsidRPr="005E74CB">
        <w:t xml:space="preserve"> </w:t>
      </w:r>
      <w:r>
        <w:t xml:space="preserve">and </w:t>
      </w:r>
      <w:r w:rsidRPr="008A22F7">
        <w:t xml:space="preserve">no further funding will be allocated </w:t>
      </w:r>
      <w:r>
        <w:t xml:space="preserve">from 1 November 2019: </w:t>
      </w:r>
    </w:p>
    <w:p w14:paraId="78A288E6" w14:textId="77777777" w:rsidR="004967E1" w:rsidRDefault="004967E1" w:rsidP="004967E1">
      <w:pPr>
        <w:pStyle w:val="DHHSbullet1"/>
      </w:pPr>
      <w:r>
        <w:t>31414 Leaving Care Support Services</w:t>
      </w:r>
    </w:p>
    <w:p w14:paraId="0E6ADA97" w14:textId="77777777" w:rsidR="004967E1" w:rsidRDefault="004967E1" w:rsidP="004967E1">
      <w:pPr>
        <w:pStyle w:val="DHHSbullet1"/>
      </w:pPr>
      <w:r>
        <w:t>31421 Springboard (Leaving Care)</w:t>
      </w:r>
    </w:p>
    <w:p w14:paraId="34509039" w14:textId="77777777" w:rsidR="004967E1" w:rsidRDefault="004967E1" w:rsidP="004967E1">
      <w:pPr>
        <w:pStyle w:val="DHHSbullet1"/>
        <w:numPr>
          <w:ilvl w:val="0"/>
          <w:numId w:val="0"/>
        </w:numPr>
      </w:pPr>
    </w:p>
    <w:p w14:paraId="1AF4602F" w14:textId="32FE885D" w:rsidR="004967E1" w:rsidRDefault="004967E1" w:rsidP="004967E1">
      <w:pPr>
        <w:pStyle w:val="DHHSbullet1"/>
        <w:numPr>
          <w:ilvl w:val="0"/>
          <w:numId w:val="0"/>
        </w:numPr>
      </w:pPr>
      <w:r>
        <w:lastRenderedPageBreak/>
        <w:t>Service agreements will display funding and targets for these two activities up to the transition date, meaning that funding for activities 31414 and 31421 will remain in agreements for the time period from 1 July 2019 to 31 October 2019.</w:t>
      </w:r>
    </w:p>
    <w:p w14:paraId="2C1A9E07" w14:textId="77777777" w:rsidR="004967E1" w:rsidRDefault="004967E1" w:rsidP="004967E1">
      <w:pPr>
        <w:pStyle w:val="DHHSbullet1"/>
        <w:numPr>
          <w:ilvl w:val="0"/>
          <w:numId w:val="0"/>
        </w:numPr>
      </w:pPr>
      <w:r>
        <w:t>Funding against activities 31414 and 31421 will be reconfigured and mapped to the new model during November 2019, with changes effective from 1 November 2019.</w:t>
      </w:r>
    </w:p>
    <w:p w14:paraId="04F7F9D4" w14:textId="77777777" w:rsidR="00884F05" w:rsidRDefault="00884F05" w:rsidP="00884F05">
      <w:pPr>
        <w:pStyle w:val="Heading2"/>
      </w:pPr>
      <w:bookmarkStart w:id="48" w:name="_Toc22027530"/>
      <w:bookmarkStart w:id="49" w:name="_Toc22029640"/>
      <w:bookmarkStart w:id="50" w:name="_Toc10450941"/>
      <w:bookmarkStart w:id="51" w:name="_Toc10454449"/>
      <w:bookmarkStart w:id="52" w:name="_Toc10454500"/>
      <w:bookmarkEnd w:id="45"/>
      <w:bookmarkEnd w:id="46"/>
      <w:bookmarkEnd w:id="47"/>
      <w:r>
        <w:t>Organisations affected by the changes</w:t>
      </w:r>
      <w:bookmarkEnd w:id="48"/>
      <w:bookmarkEnd w:id="49"/>
    </w:p>
    <w:p w14:paraId="3837FF2D" w14:textId="77777777" w:rsidR="00884F05" w:rsidRDefault="00884F05" w:rsidP="00884F05">
      <w:pPr>
        <w:pStyle w:val="DHHSbullet1lastline"/>
        <w:numPr>
          <w:ilvl w:val="0"/>
          <w:numId w:val="0"/>
        </w:numPr>
      </w:pPr>
      <w:r>
        <w:t>All organisations funded under activities 31414 and 31421 as at 31 October 2019 will move to the new funding model effective from 1 November 2019.</w:t>
      </w:r>
    </w:p>
    <w:p w14:paraId="286215DB" w14:textId="77777777" w:rsidR="00636BCA" w:rsidRPr="001E7BBF" w:rsidRDefault="00636BCA" w:rsidP="00636BCA">
      <w:pPr>
        <w:pStyle w:val="Heading1"/>
        <w:rPr>
          <w:b/>
        </w:rPr>
      </w:pPr>
      <w:bookmarkStart w:id="53" w:name="_Toc22027531"/>
      <w:bookmarkStart w:id="54" w:name="_Toc22029641"/>
      <w:bookmarkEnd w:id="50"/>
      <w:bookmarkEnd w:id="51"/>
      <w:bookmarkEnd w:id="52"/>
      <w:r w:rsidRPr="001E7BBF">
        <w:rPr>
          <w:b/>
        </w:rPr>
        <w:t xml:space="preserve">Funding and targets – Information for </w:t>
      </w:r>
      <w:r>
        <w:rPr>
          <w:b/>
        </w:rPr>
        <w:t xml:space="preserve">funded </w:t>
      </w:r>
      <w:r w:rsidRPr="001E7BBF">
        <w:rPr>
          <w:b/>
        </w:rPr>
        <w:t>organisations</w:t>
      </w:r>
      <w:r>
        <w:rPr>
          <w:b/>
        </w:rPr>
        <w:t>’</w:t>
      </w:r>
      <w:r w:rsidRPr="001E7BBF">
        <w:rPr>
          <w:b/>
        </w:rPr>
        <w:t xml:space="preserve"> Finance Manager</w:t>
      </w:r>
      <w:r>
        <w:rPr>
          <w:b/>
        </w:rPr>
        <w:t>s</w:t>
      </w:r>
      <w:bookmarkEnd w:id="53"/>
      <w:bookmarkEnd w:id="54"/>
    </w:p>
    <w:p w14:paraId="55ED4308" w14:textId="77777777" w:rsidR="00636BCA" w:rsidRDefault="00636BCA" w:rsidP="00636BCA">
      <w:pPr>
        <w:pStyle w:val="DHHSbody"/>
      </w:pPr>
      <w:r w:rsidRPr="008A22F7">
        <w:t xml:space="preserve">There will be </w:t>
      </w:r>
      <w:r>
        <w:t>no</w:t>
      </w:r>
      <w:r w:rsidRPr="008A22F7">
        <w:t xml:space="preserve"> change </w:t>
      </w:r>
      <w:r>
        <w:t>to</w:t>
      </w:r>
      <w:r w:rsidRPr="008A22F7">
        <w:t xml:space="preserve"> the level of funding currently received by </w:t>
      </w:r>
      <w:r>
        <w:t>service providers</w:t>
      </w:r>
      <w:r w:rsidRPr="008A22F7">
        <w:t xml:space="preserve"> as a result of </w:t>
      </w:r>
      <w:r>
        <w:t xml:space="preserve">the state-wide roll out of Better Futures, Home Stretch and associated </w:t>
      </w:r>
      <w:r w:rsidRPr="008A22F7">
        <w:t>funding reform.</w:t>
      </w:r>
    </w:p>
    <w:p w14:paraId="10CA8988" w14:textId="3E8EBB29" w:rsidR="00E74CD4" w:rsidRDefault="00E74CD4" w:rsidP="007A4995">
      <w:pPr>
        <w:pStyle w:val="DHHSbody"/>
      </w:pPr>
      <w:bookmarkStart w:id="55" w:name="_Toc22029642"/>
      <w:r w:rsidRPr="00E74CD4">
        <w:rPr>
          <w:rStyle w:val="Heading2Char"/>
        </w:rPr>
        <w:t>Intake and Access – Better Futures (31289</w:t>
      </w:r>
      <w:bookmarkEnd w:id="55"/>
      <w:r>
        <w:t>)</w:t>
      </w:r>
    </w:p>
    <w:p w14:paraId="482F6D03" w14:textId="2AD248E4" w:rsidR="00CC42B7" w:rsidRDefault="00EB2459" w:rsidP="007A4995">
      <w:pPr>
        <w:pStyle w:val="DHHSbody"/>
      </w:pPr>
      <w:r>
        <w:t xml:space="preserve">Funding for the Leaving Care </w:t>
      </w:r>
      <w:r w:rsidR="003C0743">
        <w:t xml:space="preserve">Information </w:t>
      </w:r>
      <w:r>
        <w:t>H</w:t>
      </w:r>
      <w:r w:rsidR="003C0743">
        <w:t>otline</w:t>
      </w:r>
      <w:r>
        <w:t xml:space="preserve"> </w:t>
      </w:r>
      <w:r w:rsidR="004345A1">
        <w:t xml:space="preserve">has been mapped to </w:t>
      </w:r>
      <w:r w:rsidR="004362FA">
        <w:t>the new activity: Intake and Access – Better Futures (31289).</w:t>
      </w:r>
    </w:p>
    <w:p w14:paraId="32D6D590" w14:textId="44BCD0F5" w:rsidR="00C91C4D" w:rsidRPr="001E7BBF" w:rsidRDefault="00C91C4D" w:rsidP="009F3228">
      <w:pPr>
        <w:pStyle w:val="Heading2"/>
      </w:pPr>
      <w:bookmarkStart w:id="56" w:name="_Toc10454450"/>
      <w:bookmarkStart w:id="57" w:name="_Toc10454501"/>
      <w:bookmarkStart w:id="58" w:name="_Toc22029643"/>
      <w:bookmarkStart w:id="59" w:name="_Toc522270978"/>
      <w:bookmarkStart w:id="60" w:name="_Toc10450942"/>
      <w:r w:rsidRPr="001E7BBF">
        <w:t xml:space="preserve">Individual, Child and Family Support </w:t>
      </w:r>
      <w:r w:rsidR="00B9627E" w:rsidRPr="001E7BBF">
        <w:t>– B</w:t>
      </w:r>
      <w:r w:rsidR="008E1481" w:rsidRPr="001E7BBF">
        <w:t>etter Futures</w:t>
      </w:r>
      <w:r w:rsidR="00B9627E" w:rsidRPr="001E7BBF">
        <w:t xml:space="preserve"> </w:t>
      </w:r>
      <w:r w:rsidRPr="001E7BBF">
        <w:t>(</w:t>
      </w:r>
      <w:r w:rsidR="00B9627E" w:rsidRPr="001E7BBF">
        <w:t>31290</w:t>
      </w:r>
      <w:r w:rsidRPr="001E7BBF">
        <w:t>)</w:t>
      </w:r>
      <w:bookmarkEnd w:id="56"/>
      <w:bookmarkEnd w:id="57"/>
      <w:bookmarkEnd w:id="58"/>
    </w:p>
    <w:p w14:paraId="36609E27" w14:textId="77777777" w:rsidR="00BF2FFB" w:rsidRDefault="00BF2FFB" w:rsidP="00BF2FFB">
      <w:pPr>
        <w:pStyle w:val="DHHSbody"/>
      </w:pPr>
      <w:bookmarkStart w:id="61" w:name="_Toc10454451"/>
      <w:bookmarkStart w:id="62" w:name="_Toc10454502"/>
      <w:bookmarkStart w:id="63" w:name="_Toc522270979"/>
      <w:bookmarkStart w:id="64" w:name="_Toc10454452"/>
      <w:bookmarkStart w:id="65" w:name="_Toc10454503"/>
      <w:bookmarkEnd w:id="59"/>
      <w:r w:rsidRPr="00101197">
        <w:t xml:space="preserve">Case </w:t>
      </w:r>
      <w:r>
        <w:t>work</w:t>
      </w:r>
      <w:r w:rsidRPr="00101197">
        <w:t xml:space="preserve"> from Leaving Care Support Services (31414) and Springboard (Leaving Care) (31421) ha</w:t>
      </w:r>
      <w:r>
        <w:t>s</w:t>
      </w:r>
      <w:r w:rsidRPr="00101197">
        <w:t xml:space="preserve"> been consolidated </w:t>
      </w:r>
      <w:r>
        <w:t xml:space="preserve">as Better Futures and mapped to the new activity: </w:t>
      </w:r>
      <w:r w:rsidRPr="00133643">
        <w:t>Individual, Child and Family Support – B</w:t>
      </w:r>
      <w:r>
        <w:t xml:space="preserve">etter </w:t>
      </w:r>
      <w:r w:rsidRPr="00133643">
        <w:t>F</w:t>
      </w:r>
      <w:r>
        <w:t>utures</w:t>
      </w:r>
      <w:r w:rsidRPr="00133643">
        <w:t xml:space="preserve"> (31290).</w:t>
      </w:r>
    </w:p>
    <w:p w14:paraId="33A006ED" w14:textId="77777777" w:rsidR="00BF2FFB" w:rsidRDefault="00BF2FFB" w:rsidP="00BF2FFB">
      <w:pPr>
        <w:pStyle w:val="DHHSbody"/>
      </w:pPr>
      <w:r>
        <w:t xml:space="preserve">It is consolidated </w:t>
      </w:r>
      <w:r w:rsidRPr="00101197">
        <w:t xml:space="preserve">under </w:t>
      </w:r>
      <w:r>
        <w:t>the new funded activity via three levels of service intensity:</w:t>
      </w:r>
    </w:p>
    <w:p w14:paraId="1D3673E3" w14:textId="77777777" w:rsidR="00BF2FFB" w:rsidRPr="007978AC" w:rsidRDefault="00BF2FFB" w:rsidP="00BF2FFB">
      <w:pPr>
        <w:pStyle w:val="DHHSbody"/>
        <w:numPr>
          <w:ilvl w:val="0"/>
          <w:numId w:val="34"/>
        </w:numPr>
        <w:ind w:left="360"/>
      </w:pPr>
      <w:r w:rsidRPr="007978AC">
        <w:t>Brief Intervention (10 hours) – Better Futures</w:t>
      </w:r>
    </w:p>
    <w:p w14:paraId="4D08915F" w14:textId="77777777" w:rsidR="00BF2FFB" w:rsidRPr="007978AC" w:rsidRDefault="00BF2FFB" w:rsidP="00BF2FFB">
      <w:pPr>
        <w:pStyle w:val="DHHSbody"/>
        <w:numPr>
          <w:ilvl w:val="0"/>
          <w:numId w:val="33"/>
        </w:numPr>
        <w:ind w:left="360"/>
      </w:pPr>
      <w:r w:rsidRPr="007978AC">
        <w:t>Foundation (40 hours) – Better Futures</w:t>
      </w:r>
    </w:p>
    <w:p w14:paraId="5CBDD568" w14:textId="77777777" w:rsidR="00BF2FFB" w:rsidRDefault="00BF2FFB" w:rsidP="00BF2FFB">
      <w:pPr>
        <w:pStyle w:val="DHHSbody"/>
        <w:numPr>
          <w:ilvl w:val="0"/>
          <w:numId w:val="32"/>
        </w:numPr>
        <w:ind w:left="360"/>
      </w:pPr>
      <w:r w:rsidRPr="007978AC">
        <w:t>Sustained (110 hours) – Better Futures</w:t>
      </w:r>
    </w:p>
    <w:p w14:paraId="79B0E632" w14:textId="77777777" w:rsidR="00BF2FFB" w:rsidRDefault="00BF2FFB" w:rsidP="00BF2FFB">
      <w:pPr>
        <w:pStyle w:val="DHHSbody"/>
      </w:pPr>
      <w:r>
        <w:t>Better Futures will be rolled out along with Home Stretch, which will be provided as a ‘service offer’ under the Better Futures model. Case work for Home Stretch also maps to three levels of service intensity:</w:t>
      </w:r>
    </w:p>
    <w:p w14:paraId="127C1031" w14:textId="77777777" w:rsidR="00BF2FFB" w:rsidRDefault="00BF2FFB" w:rsidP="00BF2FFB">
      <w:pPr>
        <w:pStyle w:val="DHHSbody"/>
        <w:numPr>
          <w:ilvl w:val="0"/>
          <w:numId w:val="32"/>
        </w:numPr>
        <w:ind w:left="360"/>
      </w:pPr>
      <w:r w:rsidRPr="00C601D8">
        <w:t xml:space="preserve">Brief intervention (10 hours) </w:t>
      </w:r>
      <w:r>
        <w:t>– Home Stretch</w:t>
      </w:r>
    </w:p>
    <w:p w14:paraId="3C85DD60" w14:textId="77777777" w:rsidR="00BF2FFB" w:rsidRDefault="00BF2FFB" w:rsidP="00BF2FFB">
      <w:pPr>
        <w:pStyle w:val="DHHSbody"/>
        <w:numPr>
          <w:ilvl w:val="0"/>
          <w:numId w:val="32"/>
        </w:numPr>
        <w:ind w:left="360"/>
      </w:pPr>
      <w:r w:rsidRPr="00C601D8">
        <w:t>Foundation (40 hours) –</w:t>
      </w:r>
      <w:r>
        <w:t xml:space="preserve"> Home Stretch</w:t>
      </w:r>
    </w:p>
    <w:p w14:paraId="768A80D7" w14:textId="77777777" w:rsidR="00BF2FFB" w:rsidRDefault="00BF2FFB" w:rsidP="00BF2FFB">
      <w:pPr>
        <w:pStyle w:val="DHHSbody"/>
        <w:numPr>
          <w:ilvl w:val="0"/>
          <w:numId w:val="32"/>
        </w:numPr>
        <w:ind w:left="360"/>
      </w:pPr>
      <w:r w:rsidRPr="00C601D8">
        <w:t xml:space="preserve">Sustained (110 hours) – </w:t>
      </w:r>
      <w:r>
        <w:t>Home Stretch</w:t>
      </w:r>
    </w:p>
    <w:p w14:paraId="3A7DB78F" w14:textId="77777777" w:rsidR="00BF2FFB" w:rsidRPr="00101197" w:rsidRDefault="00BF2FFB" w:rsidP="00BF2FFB">
      <w:pPr>
        <w:pStyle w:val="DHHSbody"/>
      </w:pPr>
      <w:r>
        <w:t>Targets will change to support the new service delivery model but there is no change to the total amount of funding.</w:t>
      </w:r>
      <w:bookmarkEnd w:id="61"/>
      <w:bookmarkEnd w:id="62"/>
    </w:p>
    <w:p w14:paraId="0365D8B4" w14:textId="5C915937" w:rsidR="009F3228" w:rsidRPr="001E7BBF" w:rsidRDefault="009F3228" w:rsidP="009F3228">
      <w:pPr>
        <w:pStyle w:val="Heading2"/>
      </w:pPr>
      <w:bookmarkStart w:id="66" w:name="_Toc22029644"/>
      <w:r w:rsidRPr="001E7BBF">
        <w:t xml:space="preserve">Flexible Funding </w:t>
      </w:r>
      <w:r w:rsidR="005C0CDA" w:rsidRPr="001E7BBF">
        <w:t xml:space="preserve">– Better Futures </w:t>
      </w:r>
      <w:r w:rsidRPr="001E7BBF">
        <w:t>(</w:t>
      </w:r>
      <w:r w:rsidR="005C0CDA" w:rsidRPr="001E7BBF">
        <w:t>31292</w:t>
      </w:r>
      <w:r w:rsidRPr="001E7BBF">
        <w:t>)</w:t>
      </w:r>
      <w:bookmarkEnd w:id="60"/>
      <w:bookmarkEnd w:id="63"/>
      <w:bookmarkEnd w:id="64"/>
      <w:bookmarkEnd w:id="65"/>
      <w:bookmarkEnd w:id="66"/>
    </w:p>
    <w:p w14:paraId="4571CA47" w14:textId="53B4B384" w:rsidR="00263FA2" w:rsidRDefault="00033DA1" w:rsidP="00263FA2">
      <w:pPr>
        <w:pStyle w:val="DHHSbody"/>
      </w:pPr>
      <w:r>
        <w:t>B</w:t>
      </w:r>
      <w:r w:rsidR="0012349A">
        <w:t>rokerage from</w:t>
      </w:r>
      <w:r>
        <w:t xml:space="preserve"> </w:t>
      </w:r>
      <w:bookmarkStart w:id="67" w:name="_Hlk14686274"/>
      <w:r>
        <w:t xml:space="preserve">Leaving Care Support Services (31414) </w:t>
      </w:r>
      <w:bookmarkEnd w:id="67"/>
      <w:r>
        <w:t>and Springboard (Leaving Care) (31421)</w:t>
      </w:r>
      <w:bookmarkStart w:id="68" w:name="_Hlk10452698"/>
      <w:r w:rsidR="0012349A">
        <w:t xml:space="preserve"> </w:t>
      </w:r>
      <w:r w:rsidR="00C91C4D">
        <w:t xml:space="preserve">has </w:t>
      </w:r>
      <w:r w:rsidR="0012349A">
        <w:t>been</w:t>
      </w:r>
      <w:r w:rsidR="000E273F">
        <w:t xml:space="preserve"> </w:t>
      </w:r>
      <w:r w:rsidR="009F3228">
        <w:t>consolidated under</w:t>
      </w:r>
      <w:r>
        <w:t xml:space="preserve"> a Better Futures </w:t>
      </w:r>
      <w:r w:rsidR="007354B6">
        <w:t>flexible funding</w:t>
      </w:r>
      <w:r>
        <w:t xml:space="preserve"> sub-activity in</w:t>
      </w:r>
      <w:r w:rsidR="009F3228">
        <w:t xml:space="preserve"> </w:t>
      </w:r>
      <w:r w:rsidR="0012349A">
        <w:t xml:space="preserve">the new </w:t>
      </w:r>
      <w:bookmarkEnd w:id="68"/>
      <w:r w:rsidR="004A4091">
        <w:t xml:space="preserve">activity: </w:t>
      </w:r>
      <w:r w:rsidR="009F3228" w:rsidRPr="009F3ECA">
        <w:t>F</w:t>
      </w:r>
      <w:r w:rsidR="0012349A" w:rsidRPr="009F3ECA">
        <w:t xml:space="preserve">lexible </w:t>
      </w:r>
      <w:r w:rsidR="009F3228" w:rsidRPr="009F3ECA">
        <w:t>F</w:t>
      </w:r>
      <w:r w:rsidR="0012349A" w:rsidRPr="009F3ECA">
        <w:t xml:space="preserve">unding </w:t>
      </w:r>
      <w:r w:rsidR="005C0CDA" w:rsidRPr="009F3ECA">
        <w:t xml:space="preserve">– Better Futures </w:t>
      </w:r>
      <w:r w:rsidR="009F3228" w:rsidRPr="009F3ECA">
        <w:t>(</w:t>
      </w:r>
      <w:r w:rsidR="009F3ECA" w:rsidRPr="009F3ECA">
        <w:t>31292</w:t>
      </w:r>
      <w:r w:rsidR="009F3228" w:rsidRPr="009F3ECA">
        <w:t>)</w:t>
      </w:r>
      <w:r w:rsidR="0012349A" w:rsidRPr="009F3ECA">
        <w:t>.</w:t>
      </w:r>
      <w:r w:rsidR="00263FA2">
        <w:t xml:space="preserve"> </w:t>
      </w:r>
    </w:p>
    <w:p w14:paraId="155A1B97" w14:textId="14A1BA9E" w:rsidR="004A4091" w:rsidRPr="003C6E14" w:rsidRDefault="0012349A" w:rsidP="004A4091">
      <w:pPr>
        <w:pStyle w:val="DHHSbody"/>
      </w:pPr>
      <w:r>
        <w:t>There is no change</w:t>
      </w:r>
      <w:r w:rsidR="00634B08">
        <w:t xml:space="preserve"> to an organisation’s</w:t>
      </w:r>
      <w:r>
        <w:t xml:space="preserve"> total amount of</w:t>
      </w:r>
      <w:r w:rsidR="007354B6">
        <w:t xml:space="preserve"> Flexible Funding.</w:t>
      </w:r>
      <w:r>
        <w:t xml:space="preserve"> </w:t>
      </w:r>
      <w:r w:rsidR="004A4091" w:rsidRPr="00FB1B0A">
        <w:t xml:space="preserve">The amount of flexible funding a </w:t>
      </w:r>
      <w:r w:rsidR="004A4091">
        <w:t>young person</w:t>
      </w:r>
      <w:r w:rsidR="007354B6">
        <w:t xml:space="preserve"> can access</w:t>
      </w:r>
      <w:r w:rsidR="004A4091" w:rsidRPr="00FB1B0A">
        <w:t xml:space="preserve"> </w:t>
      </w:r>
      <w:r w:rsidR="009009E9">
        <w:t xml:space="preserve">is based on the young </w:t>
      </w:r>
      <w:r w:rsidR="007354B6">
        <w:t>person’s</w:t>
      </w:r>
      <w:r w:rsidR="009009E9">
        <w:t xml:space="preserve"> support needs.</w:t>
      </w:r>
    </w:p>
    <w:p w14:paraId="160C3C26" w14:textId="5FAD13F2" w:rsidR="00F264E6" w:rsidRPr="001E7BBF" w:rsidRDefault="00F264E6" w:rsidP="00F264E6">
      <w:pPr>
        <w:pStyle w:val="Heading2"/>
      </w:pPr>
      <w:bookmarkStart w:id="69" w:name="_Toc22029645"/>
      <w:bookmarkStart w:id="70" w:name="_Toc10454453"/>
      <w:bookmarkStart w:id="71" w:name="_Toc10454504"/>
      <w:bookmarkStart w:id="72" w:name="_Toc522270980"/>
      <w:bookmarkStart w:id="73" w:name="_Toc10450943"/>
      <w:r w:rsidRPr="001E7BBF">
        <w:lastRenderedPageBreak/>
        <w:t xml:space="preserve">Specialised Interventions </w:t>
      </w:r>
      <w:r w:rsidR="009F3ECA" w:rsidRPr="001E7BBF">
        <w:t xml:space="preserve">– Better Futures </w:t>
      </w:r>
      <w:r w:rsidRPr="001E7BBF">
        <w:t>(</w:t>
      </w:r>
      <w:r w:rsidR="009F3ECA" w:rsidRPr="001E7BBF">
        <w:t>31293</w:t>
      </w:r>
      <w:r w:rsidRPr="001E7BBF">
        <w:t>)</w:t>
      </w:r>
      <w:bookmarkEnd w:id="69"/>
    </w:p>
    <w:p w14:paraId="6868C2F6" w14:textId="0235E71F" w:rsidR="00F264E6" w:rsidRPr="00F264E6" w:rsidRDefault="00AE60E9" w:rsidP="00F264E6">
      <w:pPr>
        <w:pStyle w:val="DHHSbody"/>
      </w:pPr>
      <w:r>
        <w:t xml:space="preserve">Planning to Succeed, a </w:t>
      </w:r>
      <w:r w:rsidR="00C06557">
        <w:t xml:space="preserve">specialised </w:t>
      </w:r>
      <w:r>
        <w:t xml:space="preserve">program in South Division, </w:t>
      </w:r>
      <w:r w:rsidR="004A4091">
        <w:t xml:space="preserve">previously </w:t>
      </w:r>
      <w:r>
        <w:t xml:space="preserve">funded through Leaving Care Support Services (31414) has been mapped to a program specific sub-activity in the new </w:t>
      </w:r>
      <w:r w:rsidR="004A4091">
        <w:t xml:space="preserve">activity: </w:t>
      </w:r>
      <w:r w:rsidRPr="00C06557">
        <w:t xml:space="preserve">Specialised Interventions </w:t>
      </w:r>
      <w:r w:rsidR="00C06557">
        <w:t xml:space="preserve">– Better Futures </w:t>
      </w:r>
      <w:r w:rsidR="004A4091" w:rsidRPr="00C06557">
        <w:t>(</w:t>
      </w:r>
      <w:r w:rsidR="00C06557">
        <w:t>31293</w:t>
      </w:r>
      <w:r w:rsidR="004A4091" w:rsidRPr="00C06557">
        <w:t>)</w:t>
      </w:r>
      <w:r w:rsidRPr="00C06557">
        <w:t>.</w:t>
      </w:r>
    </w:p>
    <w:p w14:paraId="21EAEDC8" w14:textId="4B62F903" w:rsidR="00C91C4D" w:rsidRPr="001E7BBF" w:rsidRDefault="00C91C4D" w:rsidP="00C91C4D">
      <w:pPr>
        <w:pStyle w:val="Heading2"/>
      </w:pPr>
      <w:bookmarkStart w:id="74" w:name="_Toc22029646"/>
      <w:r w:rsidRPr="001E7BBF">
        <w:t xml:space="preserve">System enablers </w:t>
      </w:r>
      <w:r w:rsidR="00C06557" w:rsidRPr="001E7BBF">
        <w:t xml:space="preserve">– Better Futures </w:t>
      </w:r>
      <w:r w:rsidRPr="001E7BBF">
        <w:t>(</w:t>
      </w:r>
      <w:r w:rsidR="00C06557" w:rsidRPr="001E7BBF">
        <w:t>31291</w:t>
      </w:r>
      <w:r w:rsidRPr="001E7BBF">
        <w:t>)</w:t>
      </w:r>
      <w:bookmarkEnd w:id="70"/>
      <w:bookmarkEnd w:id="71"/>
      <w:bookmarkEnd w:id="74"/>
    </w:p>
    <w:p w14:paraId="10BB5A50" w14:textId="73DE1AE3" w:rsidR="00E02383" w:rsidRDefault="00E02383" w:rsidP="000E273F">
      <w:pPr>
        <w:pStyle w:val="DHHSbody"/>
      </w:pPr>
      <w:bookmarkStart w:id="75" w:name="_Toc10454454"/>
      <w:bookmarkStart w:id="76" w:name="_Toc10454505"/>
      <w:r>
        <w:t>A new</w:t>
      </w:r>
      <w:r w:rsidR="007A4995">
        <w:t xml:space="preserve"> Community Connections </w:t>
      </w:r>
      <w:r>
        <w:t xml:space="preserve">function has been developed as a part of </w:t>
      </w:r>
      <w:r w:rsidR="007A4995">
        <w:t xml:space="preserve">the Better Futures model. </w:t>
      </w:r>
      <w:r w:rsidR="00AE60E9" w:rsidRPr="001B44A8">
        <w:t xml:space="preserve">The Mentoring sub-activity from </w:t>
      </w:r>
      <w:r w:rsidR="00C91C4D" w:rsidRPr="001B44A8">
        <w:t>Leaving Care Support Services (31414)</w:t>
      </w:r>
      <w:r w:rsidR="003F752E">
        <w:t xml:space="preserve"> </w:t>
      </w:r>
      <w:r w:rsidR="0095436D">
        <w:t xml:space="preserve">will </w:t>
      </w:r>
      <w:r w:rsidR="0010625A">
        <w:t>be mapped</w:t>
      </w:r>
      <w:r w:rsidR="00006858">
        <w:t xml:space="preserve"> to </w:t>
      </w:r>
      <w:r w:rsidR="0095436D">
        <w:t>the</w:t>
      </w:r>
      <w:r w:rsidR="00C91C4D" w:rsidRPr="001B44A8">
        <w:t xml:space="preserve"> new Community Connector </w:t>
      </w:r>
      <w:r w:rsidR="00005343">
        <w:t>function</w:t>
      </w:r>
      <w:r w:rsidR="00C91C4D" w:rsidRPr="001B44A8">
        <w:t xml:space="preserve"> </w:t>
      </w:r>
      <w:r w:rsidRPr="001B44A8">
        <w:t xml:space="preserve">and the funding will be included under the </w:t>
      </w:r>
      <w:r w:rsidR="004A4091">
        <w:t>new</w:t>
      </w:r>
      <w:r w:rsidR="0014590D">
        <w:t xml:space="preserve"> activity</w:t>
      </w:r>
      <w:r w:rsidR="0014590D" w:rsidRPr="00C06557">
        <w:t>:</w:t>
      </w:r>
      <w:r w:rsidR="004A4091" w:rsidRPr="00C06557">
        <w:t xml:space="preserve"> </w:t>
      </w:r>
      <w:r w:rsidR="00C91C4D" w:rsidRPr="00C06557">
        <w:t xml:space="preserve">System </w:t>
      </w:r>
      <w:r w:rsidRPr="00C06557">
        <w:t>E</w:t>
      </w:r>
      <w:r w:rsidR="00C91C4D" w:rsidRPr="00C06557">
        <w:t xml:space="preserve">nablers </w:t>
      </w:r>
      <w:r w:rsidR="00C06557" w:rsidRPr="00C06557">
        <w:t xml:space="preserve">– Better Futures </w:t>
      </w:r>
      <w:r w:rsidR="00C91C4D" w:rsidRPr="00C06557">
        <w:t>(</w:t>
      </w:r>
      <w:r w:rsidR="00C06557" w:rsidRPr="00C06557">
        <w:t>31291</w:t>
      </w:r>
      <w:r w:rsidRPr="00C06557">
        <w:t>)</w:t>
      </w:r>
      <w:r w:rsidR="00C91C4D" w:rsidRPr="00C06557">
        <w:t>.</w:t>
      </w:r>
    </w:p>
    <w:p w14:paraId="3C543C82" w14:textId="7A431001" w:rsidR="00112A7F" w:rsidRPr="001E7BBF" w:rsidRDefault="00F70684" w:rsidP="001407ED">
      <w:pPr>
        <w:pStyle w:val="Heading1"/>
        <w:rPr>
          <w:b/>
        </w:rPr>
      </w:pPr>
      <w:bookmarkStart w:id="77" w:name="_Toc517943928"/>
      <w:bookmarkStart w:id="78" w:name="_Toc10450944"/>
      <w:bookmarkStart w:id="79" w:name="_Toc10454455"/>
      <w:bookmarkStart w:id="80" w:name="_Toc10454506"/>
      <w:bookmarkStart w:id="81" w:name="_Toc22029647"/>
      <w:bookmarkEnd w:id="72"/>
      <w:bookmarkEnd w:id="73"/>
      <w:bookmarkEnd w:id="75"/>
      <w:bookmarkEnd w:id="76"/>
      <w:r w:rsidRPr="001E7BBF">
        <w:rPr>
          <w:b/>
        </w:rPr>
        <w:t>S</w:t>
      </w:r>
      <w:r w:rsidR="00112A7F" w:rsidRPr="001E7BBF">
        <w:rPr>
          <w:b/>
        </w:rPr>
        <w:t xml:space="preserve">ervice </w:t>
      </w:r>
      <w:r w:rsidR="008E46AB" w:rsidRPr="001E7BBF">
        <w:rPr>
          <w:b/>
        </w:rPr>
        <w:t>A</w:t>
      </w:r>
      <w:r w:rsidR="00112A7F" w:rsidRPr="001E7BBF">
        <w:rPr>
          <w:b/>
        </w:rPr>
        <w:t>greement</w:t>
      </w:r>
      <w:r w:rsidRPr="001E7BBF">
        <w:rPr>
          <w:b/>
        </w:rPr>
        <w:t xml:space="preserve"> changes</w:t>
      </w:r>
      <w:bookmarkEnd w:id="77"/>
      <w:bookmarkEnd w:id="78"/>
      <w:bookmarkEnd w:id="79"/>
      <w:bookmarkEnd w:id="80"/>
      <w:bookmarkEnd w:id="81"/>
    </w:p>
    <w:p w14:paraId="5A8100B4" w14:textId="5494E09A" w:rsidR="001E60CB" w:rsidRDefault="001E60CB" w:rsidP="001E60CB">
      <w:pPr>
        <w:pStyle w:val="DHHSbody"/>
      </w:pPr>
      <w:r w:rsidRPr="00E40809">
        <w:t xml:space="preserve">The </w:t>
      </w:r>
      <w:r>
        <w:t xml:space="preserve">Funding Reform </w:t>
      </w:r>
      <w:r w:rsidRPr="00E40809">
        <w:t xml:space="preserve">team in central office will complete a bulk upload during </w:t>
      </w:r>
      <w:r>
        <w:t>November</w:t>
      </w:r>
      <w:r w:rsidRPr="00E40809">
        <w:t xml:space="preserve"> 201</w:t>
      </w:r>
      <w:r>
        <w:t>9</w:t>
      </w:r>
      <w:r w:rsidRPr="00E40809">
        <w:t xml:space="preserve"> to process the funding changes to service agreements </w:t>
      </w:r>
      <w:r>
        <w:t>to effect these changes</w:t>
      </w:r>
      <w:r w:rsidRPr="00E40809">
        <w:t>.</w:t>
      </w:r>
    </w:p>
    <w:p w14:paraId="2204DFF8" w14:textId="7BAC94AB" w:rsidR="001E60CB" w:rsidRDefault="001E60CB" w:rsidP="001E60CB">
      <w:pPr>
        <w:pStyle w:val="DHHSbody"/>
      </w:pPr>
      <w:r>
        <w:t xml:space="preserve">Funding will be mapped to the new activities with an effective date from 1 November 2019. </w:t>
      </w:r>
      <w:r w:rsidR="005F1392">
        <w:t>Funding will appear under the new activity headings from 1 November 2019. Old funded activities will still be visible for the remainder of the 2019-20 financial year, but funding will no longer be allocated against old funded activities.</w:t>
      </w:r>
    </w:p>
    <w:p w14:paraId="5EEA058A" w14:textId="77777777" w:rsidR="00CF03DA" w:rsidRPr="001E7BBF" w:rsidRDefault="00CF03DA" w:rsidP="00CF03DA">
      <w:pPr>
        <w:pStyle w:val="Heading1"/>
        <w:rPr>
          <w:b/>
        </w:rPr>
      </w:pPr>
      <w:bookmarkStart w:id="82" w:name="_Toc524068680"/>
      <w:bookmarkStart w:id="83" w:name="_Toc22029648"/>
      <w:r w:rsidRPr="001E7BBF">
        <w:rPr>
          <w:b/>
        </w:rPr>
        <w:t>Reporting</w:t>
      </w:r>
      <w:bookmarkEnd w:id="82"/>
      <w:bookmarkEnd w:id="83"/>
    </w:p>
    <w:p w14:paraId="52E3663C" w14:textId="77777777" w:rsidR="00CF03DA" w:rsidRPr="001E7BBF" w:rsidRDefault="00CF03DA" w:rsidP="00CF03DA">
      <w:pPr>
        <w:pStyle w:val="Heading2"/>
      </w:pPr>
      <w:bookmarkStart w:id="84" w:name="_Toc524068681"/>
      <w:bookmarkStart w:id="85" w:name="_Toc22029649"/>
      <w:r w:rsidRPr="001E7BBF">
        <w:t>Service Delivery Tracking</w:t>
      </w:r>
      <w:bookmarkEnd w:id="84"/>
      <w:bookmarkEnd w:id="85"/>
    </w:p>
    <w:p w14:paraId="6EEAC16E" w14:textId="77777777" w:rsidR="00D116F7" w:rsidRDefault="00D116F7" w:rsidP="00D116F7">
      <w:pPr>
        <w:pStyle w:val="DHHSbody"/>
      </w:pPr>
      <w:bookmarkStart w:id="86" w:name="_Toc524068682"/>
      <w:r>
        <w:t>A</w:t>
      </w:r>
      <w:r w:rsidRPr="00DA3E68">
        <w:t>ll new</w:t>
      </w:r>
      <w:r w:rsidRPr="00830CD6">
        <w:t xml:space="preserve"> activities will be monitored </w:t>
      </w:r>
      <w:r>
        <w:t>through</w:t>
      </w:r>
      <w:r w:rsidRPr="00830CD6">
        <w:t xml:space="preserve"> Service Delivery Tracking</w:t>
      </w:r>
      <w:r>
        <w:t xml:space="preserve"> (SDT)</w:t>
      </w:r>
      <w:r w:rsidRPr="00830CD6">
        <w:t xml:space="preserve"> </w:t>
      </w:r>
      <w:r>
        <w:t>except for</w:t>
      </w:r>
      <w:r w:rsidRPr="00830CD6">
        <w:t xml:space="preserve"> </w:t>
      </w:r>
      <w:r>
        <w:t xml:space="preserve">Specialised Interventions – Better Futures (31293); and </w:t>
      </w:r>
      <w:r w:rsidRPr="00DA3E68">
        <w:t>System Enablers – Better Futures (31291)</w:t>
      </w:r>
      <w:r>
        <w:t xml:space="preserve">. </w:t>
      </w:r>
      <w:r w:rsidRPr="00DA3E68">
        <w:t xml:space="preserve"> </w:t>
      </w:r>
      <w:r>
        <w:t>Service providers</w:t>
      </w:r>
      <w:r w:rsidRPr="00830CD6">
        <w:t xml:space="preserve"> will be required to submit performance data each month </w:t>
      </w:r>
      <w:r>
        <w:t>through</w:t>
      </w:r>
      <w:r w:rsidRPr="00830CD6">
        <w:t xml:space="preserve"> </w:t>
      </w:r>
      <w:r>
        <w:t xml:space="preserve">My Agency, the secure section of </w:t>
      </w:r>
      <w:r w:rsidRPr="00830CD6">
        <w:t xml:space="preserve">the Funded Agency Channel. Further information about SDT can be found </w:t>
      </w:r>
      <w:r>
        <w:t>on the</w:t>
      </w:r>
      <w:r w:rsidRPr="0041338C">
        <w:t xml:space="preserve"> </w:t>
      </w:r>
      <w:hyperlink r:id="rId17" w:history="1">
        <w:r w:rsidRPr="00E44E7A">
          <w:rPr>
            <w:rStyle w:val="Hyperlink"/>
          </w:rPr>
          <w:t>Funded Agency Channel</w:t>
        </w:r>
      </w:hyperlink>
      <w:r>
        <w:t xml:space="preserve"> &lt;</w:t>
      </w:r>
      <w:r w:rsidRPr="00B033D8">
        <w:t>https://fac.dhhs.vic.go</w:t>
      </w:r>
      <w:r>
        <w:t>v.au/service-delivery-tracking&gt;.</w:t>
      </w:r>
    </w:p>
    <w:p w14:paraId="3F0B9ABD" w14:textId="77777777" w:rsidR="00D116F7" w:rsidRDefault="00D116F7" w:rsidP="00D116F7">
      <w:pPr>
        <w:pStyle w:val="DHHSbody"/>
        <w:rPr>
          <w:rFonts w:ascii="Helv" w:hAnsi="Helv" w:cs="Helv"/>
          <w:color w:val="000000"/>
        </w:rPr>
      </w:pPr>
      <w:r w:rsidRPr="00315A86">
        <w:t>Specialised Interventions – Better Futures (31293) and System Enablers – Better Futures (31291)</w:t>
      </w:r>
      <w:r>
        <w:t xml:space="preserve"> will be monitored via performance measures as detailed in the new activity descriptions. </w:t>
      </w:r>
      <w:r w:rsidRPr="00830CD6">
        <w:t>The new activity descriptions include details of data collection, counting rules and other performance reporting requirements</w:t>
      </w:r>
      <w:r>
        <w:t>.</w:t>
      </w:r>
    </w:p>
    <w:p w14:paraId="3B3C0F37" w14:textId="77777777" w:rsidR="00D116F7" w:rsidRDefault="00D116F7" w:rsidP="00D116F7">
      <w:pPr>
        <w:pStyle w:val="DHHSbody"/>
      </w:pPr>
      <w:r>
        <w:rPr>
          <w:rFonts w:ascii="Helv" w:hAnsi="Helv" w:cs="Helv"/>
          <w:color w:val="000000"/>
        </w:rPr>
        <w:t>Some new a</w:t>
      </w:r>
      <w:r>
        <w:t>ctivities – for example, Flexible Funding – have changed SDT reporting responsibilities. Where SDT has been introduced or significantly changed, the first three months following 1 November 2019 will be an agreed adjustment period</w:t>
      </w:r>
      <w:r w:rsidRPr="007756FD">
        <w:t xml:space="preserve"> </w:t>
      </w:r>
      <w:r>
        <w:t xml:space="preserve">during which </w:t>
      </w:r>
      <w:r w:rsidRPr="007756FD">
        <w:t xml:space="preserve">the department </w:t>
      </w:r>
      <w:r>
        <w:t xml:space="preserve">will </w:t>
      </w:r>
      <w:r w:rsidRPr="007756FD">
        <w:t xml:space="preserve">work </w:t>
      </w:r>
      <w:r>
        <w:t>with service providers to achieve</w:t>
      </w:r>
      <w:r w:rsidRPr="007756FD">
        <w:t xml:space="preserve"> </w:t>
      </w:r>
      <w:r>
        <w:t xml:space="preserve">accurate SDT </w:t>
      </w:r>
      <w:r w:rsidRPr="007756FD">
        <w:t>reporting.</w:t>
      </w:r>
    </w:p>
    <w:p w14:paraId="0A20808F" w14:textId="77777777" w:rsidR="00D116F7" w:rsidRDefault="00D116F7" w:rsidP="00D116F7">
      <w:pPr>
        <w:pStyle w:val="CommentText"/>
        <w:rPr>
          <w:rFonts w:ascii="Arial" w:hAnsi="Arial" w:cs="Arial"/>
        </w:rPr>
      </w:pPr>
      <w:r>
        <w:rPr>
          <w:rFonts w:ascii="Arial" w:hAnsi="Arial" w:cs="Arial"/>
        </w:rPr>
        <w:t xml:space="preserve">A new feature in SDT will enable </w:t>
      </w:r>
      <w:r w:rsidRPr="00675F84">
        <w:rPr>
          <w:rFonts w:ascii="Arial" w:hAnsi="Arial" w:cs="Arial"/>
        </w:rPr>
        <w:t xml:space="preserve">multiple </w:t>
      </w:r>
      <w:r>
        <w:rPr>
          <w:rFonts w:ascii="Arial" w:hAnsi="Arial" w:cs="Arial"/>
        </w:rPr>
        <w:t>Key Performance Output Measures (</w:t>
      </w:r>
      <w:r w:rsidRPr="00675F84">
        <w:rPr>
          <w:rFonts w:ascii="Arial" w:hAnsi="Arial" w:cs="Arial"/>
        </w:rPr>
        <w:t>KPOMs</w:t>
      </w:r>
      <w:r>
        <w:rPr>
          <w:rFonts w:ascii="Arial" w:hAnsi="Arial" w:cs="Arial"/>
        </w:rPr>
        <w:t>)</w:t>
      </w:r>
      <w:r w:rsidRPr="00675F84">
        <w:rPr>
          <w:rFonts w:ascii="Arial" w:hAnsi="Arial" w:cs="Arial"/>
        </w:rPr>
        <w:t xml:space="preserve"> for SDT</w:t>
      </w:r>
      <w:r>
        <w:rPr>
          <w:rFonts w:ascii="Arial" w:hAnsi="Arial" w:cs="Arial"/>
        </w:rPr>
        <w:t xml:space="preserve"> reporting</w:t>
      </w:r>
      <w:r w:rsidRPr="00675F84">
        <w:rPr>
          <w:rFonts w:ascii="Arial" w:hAnsi="Arial" w:cs="Arial"/>
        </w:rPr>
        <w:t xml:space="preserve"> in </w:t>
      </w:r>
      <w:r>
        <w:rPr>
          <w:rFonts w:ascii="Arial" w:hAnsi="Arial" w:cs="Arial"/>
        </w:rPr>
        <w:t xml:space="preserve">the </w:t>
      </w:r>
      <w:r w:rsidRPr="00C9304B">
        <w:rPr>
          <w:rFonts w:ascii="Arial" w:hAnsi="Arial" w:cs="Arial"/>
        </w:rPr>
        <w:t>Individual, Child and Family Support – Better Futures (31290) and Flexible Funding – Better Futures (31292)</w:t>
      </w:r>
      <w:r>
        <w:rPr>
          <w:rFonts w:ascii="Arial" w:hAnsi="Arial" w:cs="Arial"/>
        </w:rPr>
        <w:t xml:space="preserve"> </w:t>
      </w:r>
      <w:r w:rsidRPr="00675F84">
        <w:rPr>
          <w:rFonts w:ascii="Arial" w:hAnsi="Arial" w:cs="Arial"/>
        </w:rPr>
        <w:t>activities</w:t>
      </w:r>
      <w:r>
        <w:rPr>
          <w:rFonts w:ascii="Arial" w:hAnsi="Arial" w:cs="Arial"/>
        </w:rPr>
        <w:t>.</w:t>
      </w:r>
    </w:p>
    <w:p w14:paraId="1BF09DAE" w14:textId="77777777" w:rsidR="00D116F7" w:rsidRDefault="00D116F7" w:rsidP="00D116F7">
      <w:pPr>
        <w:pStyle w:val="CommentText"/>
        <w:rPr>
          <w:rFonts w:ascii="Arial" w:hAnsi="Arial" w:cs="Arial"/>
        </w:rPr>
      </w:pPr>
    </w:p>
    <w:p w14:paraId="78DDEABC" w14:textId="77777777" w:rsidR="00D116F7" w:rsidRPr="00675F84" w:rsidRDefault="00D116F7" w:rsidP="00D116F7">
      <w:pPr>
        <w:pStyle w:val="CommentText"/>
        <w:rPr>
          <w:rFonts w:ascii="Arial" w:hAnsi="Arial" w:cs="Arial"/>
        </w:rPr>
      </w:pPr>
      <w:r>
        <w:rPr>
          <w:rFonts w:ascii="Arial" w:hAnsi="Arial" w:cs="Arial"/>
        </w:rPr>
        <w:t>This means that SDT templates will enable reporting against the following KPOMs:</w:t>
      </w:r>
    </w:p>
    <w:p w14:paraId="748315EB" w14:textId="77777777" w:rsidR="00D116F7" w:rsidRDefault="00D116F7" w:rsidP="00D116F7">
      <w:pPr>
        <w:pStyle w:val="CommentText"/>
        <w:rPr>
          <w:rFonts w:ascii="Arial" w:hAnsi="Arial" w:cs="Arial"/>
        </w:rPr>
      </w:pPr>
    </w:p>
    <w:p w14:paraId="63ECE0AA" w14:textId="77777777" w:rsidR="00D116F7" w:rsidRDefault="00D116F7" w:rsidP="00D116F7">
      <w:pPr>
        <w:pStyle w:val="CommentText"/>
        <w:rPr>
          <w:rFonts w:ascii="Arial" w:hAnsi="Arial" w:cs="Arial"/>
        </w:rPr>
      </w:pPr>
      <w:r>
        <w:rPr>
          <w:rFonts w:ascii="Arial" w:hAnsi="Arial" w:cs="Arial"/>
        </w:rPr>
        <w:t>Individual, Child and Family Support – Better Futures (31290)</w:t>
      </w:r>
    </w:p>
    <w:p w14:paraId="1173C32F" w14:textId="77777777" w:rsidR="00D116F7" w:rsidRPr="00675F84" w:rsidRDefault="00D116F7" w:rsidP="00D116F7">
      <w:pPr>
        <w:pStyle w:val="CommentText"/>
        <w:numPr>
          <w:ilvl w:val="0"/>
          <w:numId w:val="32"/>
        </w:numPr>
        <w:ind w:left="426" w:hanging="426"/>
        <w:rPr>
          <w:rFonts w:ascii="Arial" w:hAnsi="Arial" w:cs="Arial"/>
        </w:rPr>
      </w:pPr>
      <w:r w:rsidRPr="00675F84">
        <w:rPr>
          <w:rFonts w:ascii="Arial" w:hAnsi="Arial" w:cs="Arial"/>
        </w:rPr>
        <w:t>Number of Service hours – Better Futures</w:t>
      </w:r>
    </w:p>
    <w:p w14:paraId="2113AB5B" w14:textId="77777777" w:rsidR="00D116F7" w:rsidRPr="00675F84" w:rsidRDefault="00D116F7" w:rsidP="00D116F7">
      <w:pPr>
        <w:pStyle w:val="CommentText"/>
        <w:numPr>
          <w:ilvl w:val="0"/>
          <w:numId w:val="32"/>
        </w:numPr>
        <w:ind w:left="426" w:hanging="426"/>
        <w:rPr>
          <w:rFonts w:ascii="Arial" w:hAnsi="Arial" w:cs="Arial"/>
        </w:rPr>
      </w:pPr>
      <w:r w:rsidRPr="00675F84">
        <w:rPr>
          <w:rFonts w:ascii="Arial" w:hAnsi="Arial" w:cs="Arial"/>
        </w:rPr>
        <w:t>Number of Service hours - Home Stretch</w:t>
      </w:r>
    </w:p>
    <w:p w14:paraId="0AA18E44" w14:textId="77777777" w:rsidR="00D116F7" w:rsidRDefault="00D116F7" w:rsidP="00D116F7">
      <w:pPr>
        <w:pStyle w:val="CommentText"/>
        <w:rPr>
          <w:rFonts w:ascii="Arial" w:hAnsi="Arial" w:cs="Arial"/>
        </w:rPr>
      </w:pPr>
    </w:p>
    <w:p w14:paraId="72DB6FC3" w14:textId="77777777" w:rsidR="00D116F7" w:rsidRPr="00675F84" w:rsidRDefault="00D116F7" w:rsidP="00D116F7">
      <w:pPr>
        <w:pStyle w:val="CommentText"/>
        <w:rPr>
          <w:rFonts w:ascii="Arial" w:hAnsi="Arial" w:cs="Arial"/>
        </w:rPr>
      </w:pPr>
      <w:r>
        <w:rPr>
          <w:rFonts w:ascii="Arial" w:hAnsi="Arial" w:cs="Arial"/>
        </w:rPr>
        <w:t>Flexible Funding – Better Futures (31292)</w:t>
      </w:r>
    </w:p>
    <w:p w14:paraId="675B7A5B" w14:textId="77777777" w:rsidR="00D116F7" w:rsidRPr="00675F84" w:rsidRDefault="00D116F7" w:rsidP="00D116F7">
      <w:pPr>
        <w:pStyle w:val="CommentText"/>
        <w:numPr>
          <w:ilvl w:val="0"/>
          <w:numId w:val="36"/>
        </w:numPr>
        <w:rPr>
          <w:rFonts w:ascii="Arial" w:hAnsi="Arial" w:cs="Arial"/>
        </w:rPr>
      </w:pPr>
      <w:r w:rsidRPr="00675F84">
        <w:rPr>
          <w:rFonts w:ascii="Arial" w:hAnsi="Arial" w:cs="Arial"/>
        </w:rPr>
        <w:t>Expenditure – Better Futures</w:t>
      </w:r>
    </w:p>
    <w:p w14:paraId="3B71F244" w14:textId="77777777" w:rsidR="00D116F7" w:rsidRPr="00675F84" w:rsidRDefault="00D116F7" w:rsidP="00D116F7">
      <w:pPr>
        <w:pStyle w:val="CommentText"/>
        <w:numPr>
          <w:ilvl w:val="0"/>
          <w:numId w:val="36"/>
        </w:numPr>
        <w:rPr>
          <w:rFonts w:ascii="Arial" w:hAnsi="Arial" w:cs="Arial"/>
        </w:rPr>
      </w:pPr>
      <w:r w:rsidRPr="00675F84">
        <w:rPr>
          <w:rFonts w:ascii="Arial" w:hAnsi="Arial" w:cs="Arial"/>
        </w:rPr>
        <w:t xml:space="preserve">Expenditure </w:t>
      </w:r>
      <w:r>
        <w:rPr>
          <w:rFonts w:ascii="Arial" w:hAnsi="Arial" w:cs="Arial"/>
        </w:rPr>
        <w:t xml:space="preserve">- </w:t>
      </w:r>
      <w:r w:rsidRPr="00675F84">
        <w:rPr>
          <w:rFonts w:ascii="Arial" w:hAnsi="Arial" w:cs="Arial"/>
        </w:rPr>
        <w:t>Home Stretch</w:t>
      </w:r>
    </w:p>
    <w:p w14:paraId="1D67E230" w14:textId="77777777" w:rsidR="00D116F7" w:rsidRPr="00675F84" w:rsidRDefault="00D116F7" w:rsidP="00D116F7">
      <w:pPr>
        <w:pStyle w:val="DHHSbody"/>
        <w:numPr>
          <w:ilvl w:val="0"/>
          <w:numId w:val="36"/>
        </w:numPr>
        <w:rPr>
          <w:rFonts w:cs="Arial"/>
        </w:rPr>
      </w:pPr>
      <w:r w:rsidRPr="00675F84">
        <w:rPr>
          <w:rFonts w:cs="Arial"/>
        </w:rPr>
        <w:t xml:space="preserve">Expenditure </w:t>
      </w:r>
      <w:r>
        <w:rPr>
          <w:rFonts w:cs="Arial"/>
        </w:rPr>
        <w:t xml:space="preserve">- </w:t>
      </w:r>
      <w:r w:rsidRPr="00675F84">
        <w:rPr>
          <w:rFonts w:cs="Arial"/>
        </w:rPr>
        <w:t>Home Stretch accommodation</w:t>
      </w:r>
    </w:p>
    <w:p w14:paraId="3135EA29" w14:textId="77777777" w:rsidR="004026DF" w:rsidRPr="001E7BBF" w:rsidRDefault="004026DF" w:rsidP="004026DF">
      <w:pPr>
        <w:pStyle w:val="Heading2"/>
      </w:pPr>
      <w:bookmarkStart w:id="87" w:name="_Toc22029650"/>
      <w:r w:rsidRPr="001E7BBF">
        <w:lastRenderedPageBreak/>
        <w:t>New reporting requirements for Flexible Funding</w:t>
      </w:r>
      <w:bookmarkEnd w:id="86"/>
      <w:bookmarkEnd w:id="87"/>
    </w:p>
    <w:p w14:paraId="4FF6FA12" w14:textId="77777777" w:rsidR="00E24DE2" w:rsidRDefault="00E24DE2" w:rsidP="00E24DE2">
      <w:pPr>
        <w:pStyle w:val="DHHSbody"/>
      </w:pPr>
      <w:r w:rsidRPr="00194498">
        <w:t>Flexible Funding – Better Futures (31292) has a monthly</w:t>
      </w:r>
      <w:r>
        <w:t xml:space="preserve"> reporting requirement via SDT, which is new for this type of funding. Providers will need to report on </w:t>
      </w:r>
      <w:r w:rsidRPr="00393617">
        <w:t xml:space="preserve">the </w:t>
      </w:r>
      <w:r>
        <w:t>expenditure of all Flexible F</w:t>
      </w:r>
      <w:r w:rsidRPr="00393617">
        <w:t>und</w:t>
      </w:r>
      <w:r>
        <w:t>ing</w:t>
      </w:r>
      <w:r w:rsidRPr="00393617">
        <w:t xml:space="preserve"> </w:t>
      </w:r>
      <w:r>
        <w:t>(aggregated under the new activity).</w:t>
      </w:r>
    </w:p>
    <w:p w14:paraId="48FF87CC" w14:textId="50E45F94" w:rsidR="004026DF" w:rsidRDefault="00E24DE2" w:rsidP="00E24DE2">
      <w:pPr>
        <w:pStyle w:val="DHHSbody"/>
      </w:pPr>
      <w:r>
        <w:t xml:space="preserve">Providers will also need to </w:t>
      </w:r>
      <w:r w:rsidRPr="00286332">
        <w:t xml:space="preserve">complete a Better Futures Flexible Funding </w:t>
      </w:r>
      <w:r>
        <w:t xml:space="preserve">reporting </w:t>
      </w:r>
      <w:r w:rsidRPr="00286332">
        <w:t>template. This process</w:t>
      </w:r>
      <w:r>
        <w:t xml:space="preserve"> ensures there is </w:t>
      </w:r>
      <w:r w:rsidRPr="00662C43">
        <w:t>transparency</w:t>
      </w:r>
      <w:r>
        <w:t xml:space="preserve"> and accountability for how F</w:t>
      </w:r>
      <w:r w:rsidRPr="00662C43">
        <w:t xml:space="preserve">lexible </w:t>
      </w:r>
      <w:r>
        <w:t>F</w:t>
      </w:r>
      <w:r w:rsidRPr="00662C43">
        <w:t xml:space="preserve">unding </w:t>
      </w:r>
      <w:r>
        <w:t xml:space="preserve">is used </w:t>
      </w:r>
      <w:r w:rsidRPr="00662C43">
        <w:t xml:space="preserve">to support </w:t>
      </w:r>
      <w:r>
        <w:t>young people and provides an evidence base to inform evaluation and future improvements to this activity</w:t>
      </w:r>
      <w:r w:rsidR="004026DF">
        <w:t>.</w:t>
      </w:r>
    </w:p>
    <w:p w14:paraId="40D8C4D0" w14:textId="77777777" w:rsidR="00F94FF0" w:rsidRPr="001E7BBF" w:rsidRDefault="00F94FF0" w:rsidP="005F1CDA">
      <w:pPr>
        <w:pStyle w:val="Heading1"/>
        <w:rPr>
          <w:b/>
        </w:rPr>
      </w:pPr>
      <w:bookmarkStart w:id="88" w:name="_Toc10450948"/>
      <w:bookmarkStart w:id="89" w:name="_Toc10454459"/>
      <w:bookmarkStart w:id="90" w:name="_Toc10454510"/>
      <w:bookmarkStart w:id="91" w:name="_Toc22029651"/>
      <w:bookmarkStart w:id="92" w:name="_Toc517943930"/>
      <w:r w:rsidRPr="001E7BBF">
        <w:rPr>
          <w:b/>
        </w:rPr>
        <w:t xml:space="preserve">Consultation, </w:t>
      </w:r>
      <w:r w:rsidR="002F66A6" w:rsidRPr="001E7BBF">
        <w:rPr>
          <w:b/>
        </w:rPr>
        <w:t>i</w:t>
      </w:r>
      <w:r w:rsidRPr="001E7BBF">
        <w:rPr>
          <w:b/>
        </w:rPr>
        <w:t>nformation and support</w:t>
      </w:r>
      <w:bookmarkEnd w:id="88"/>
      <w:bookmarkEnd w:id="89"/>
      <w:bookmarkEnd w:id="90"/>
      <w:bookmarkEnd w:id="91"/>
    </w:p>
    <w:p w14:paraId="570324DF" w14:textId="77777777" w:rsidR="00112A7F" w:rsidRPr="001E7BBF" w:rsidRDefault="00F94FF0" w:rsidP="00841D8D">
      <w:pPr>
        <w:pStyle w:val="Heading2"/>
      </w:pPr>
      <w:bookmarkStart w:id="93" w:name="_Toc10450949"/>
      <w:bookmarkStart w:id="94" w:name="_Toc10454460"/>
      <w:bookmarkStart w:id="95" w:name="_Toc10454511"/>
      <w:bookmarkStart w:id="96" w:name="_Toc22029652"/>
      <w:r w:rsidRPr="001E7BBF">
        <w:t>Sector consultation</w:t>
      </w:r>
      <w:bookmarkEnd w:id="93"/>
      <w:bookmarkEnd w:id="94"/>
      <w:bookmarkEnd w:id="95"/>
      <w:bookmarkEnd w:id="96"/>
    </w:p>
    <w:p w14:paraId="669E3757" w14:textId="77777777" w:rsidR="0064458F" w:rsidRDefault="0064458F" w:rsidP="0064458F">
      <w:pPr>
        <w:pStyle w:val="DHHSbody"/>
      </w:pPr>
      <w:bookmarkStart w:id="97" w:name="_Toc10450950"/>
      <w:bookmarkStart w:id="98" w:name="_Toc10454461"/>
      <w:bookmarkStart w:id="99" w:name="_Toc10454512"/>
      <w:bookmarkEnd w:id="92"/>
      <w:r>
        <w:t xml:space="preserve">Stage 2 funding reform aims to address the specific issues raised by service providers during consultation that </w:t>
      </w:r>
      <w:r w:rsidRPr="00211760">
        <w:t xml:space="preserve">the </w:t>
      </w:r>
      <w:r>
        <w:t>old funding approach</w:t>
      </w:r>
      <w:r w:rsidRPr="00211760">
        <w:t xml:space="preserve"> </w:t>
      </w:r>
      <w:r>
        <w:t xml:space="preserve">(Leaving Care and Springboard activities) </w:t>
      </w:r>
      <w:r w:rsidRPr="00211760">
        <w:t>limit</w:t>
      </w:r>
      <w:r>
        <w:t>ed</w:t>
      </w:r>
      <w:r w:rsidRPr="00211760">
        <w:t xml:space="preserve"> the</w:t>
      </w:r>
      <w:r>
        <w:t>ir</w:t>
      </w:r>
      <w:r w:rsidRPr="00211760">
        <w:t xml:space="preserve"> capacity to deliver flexible and tailored wraparound sup</w:t>
      </w:r>
      <w:r>
        <w:t>ports for young people.</w:t>
      </w:r>
    </w:p>
    <w:p w14:paraId="5EBDF885" w14:textId="77777777" w:rsidR="0064458F" w:rsidRDefault="0064458F" w:rsidP="0064458F">
      <w:pPr>
        <w:pStyle w:val="DHHSbody"/>
      </w:pPr>
      <w:r>
        <w:t>T</w:t>
      </w:r>
      <w:r w:rsidRPr="008C3E3D">
        <w:t xml:space="preserve">he new funding model </w:t>
      </w:r>
      <w:r>
        <w:t>was</w:t>
      </w:r>
      <w:r w:rsidRPr="008C3E3D">
        <w:t xml:space="preserve"> developed in partnership with the Roadmap Implementation </w:t>
      </w:r>
      <w:r>
        <w:t>Ministerial Advisor</w:t>
      </w:r>
      <w:r w:rsidRPr="008C3E3D">
        <w:t xml:space="preserve">y Group </w:t>
      </w:r>
      <w:r>
        <w:t xml:space="preserve">(RIMAG) </w:t>
      </w:r>
      <w:r w:rsidRPr="008C3E3D">
        <w:t xml:space="preserve">and </w:t>
      </w:r>
      <w:r>
        <w:t>the</w:t>
      </w:r>
      <w:r w:rsidRPr="008C3E3D">
        <w:t xml:space="preserve"> dedicated </w:t>
      </w:r>
      <w:r>
        <w:t xml:space="preserve">RIMAG </w:t>
      </w:r>
      <w:r w:rsidRPr="008C3E3D">
        <w:t>Pricing and Funding Reference Group.</w:t>
      </w:r>
      <w:r>
        <w:t xml:space="preserve"> This Group provided advice on the design of the new funding model for child and family services and the format of individual service provider reports.</w:t>
      </w:r>
    </w:p>
    <w:p w14:paraId="38F3E015" w14:textId="10FD8FFD" w:rsidR="0064458F" w:rsidRDefault="0064458F" w:rsidP="0064458F">
      <w:pPr>
        <w:pStyle w:val="DHHSbody"/>
      </w:pPr>
      <w:r>
        <w:t>The Better Futures model has been tested in a number of pilot sites including South Division, Barwon and Goulburn areas. The department has consulted with Leaving Care and Springboard service providers about the changes and will continue to provide opportunities for the sector to share information through Better Futures governance groups and Community of Practice Forums.</w:t>
      </w:r>
    </w:p>
    <w:p w14:paraId="2A4CFB0E" w14:textId="2AEA1C28" w:rsidR="00112A7F" w:rsidRPr="001E7BBF" w:rsidRDefault="00530D0B" w:rsidP="00841D8D">
      <w:pPr>
        <w:pStyle w:val="Heading2"/>
      </w:pPr>
      <w:bookmarkStart w:id="100" w:name="_Toc22029653"/>
      <w:r w:rsidRPr="001E7BBF">
        <w:t>Support</w:t>
      </w:r>
      <w:r w:rsidR="00F94FF0" w:rsidRPr="001E7BBF">
        <w:t xml:space="preserve"> for service providers</w:t>
      </w:r>
      <w:bookmarkEnd w:id="97"/>
      <w:bookmarkEnd w:id="98"/>
      <w:bookmarkEnd w:id="99"/>
      <w:bookmarkEnd w:id="100"/>
    </w:p>
    <w:p w14:paraId="39E4B18B" w14:textId="77777777" w:rsidR="00B57EA9" w:rsidRPr="00DA2C8C" w:rsidRDefault="00B57EA9" w:rsidP="00B57EA9">
      <w:pPr>
        <w:pStyle w:val="Heading3"/>
      </w:pPr>
      <w:r w:rsidRPr="00DA2C8C">
        <w:t>Supporting documentation</w:t>
      </w:r>
    </w:p>
    <w:p w14:paraId="157BF378" w14:textId="3849824A" w:rsidR="00B57EA9" w:rsidRDefault="004F7C47" w:rsidP="00B57EA9">
      <w:pPr>
        <w:pStyle w:val="DHHSbody"/>
      </w:pPr>
      <w:r>
        <w:t xml:space="preserve">The following documentation </w:t>
      </w:r>
      <w:r w:rsidR="00CC3889">
        <w:t xml:space="preserve">will </w:t>
      </w:r>
      <w:r>
        <w:t xml:space="preserve">be </w:t>
      </w:r>
      <w:r w:rsidR="00B57EA9">
        <w:t>distributed to all affected service providers</w:t>
      </w:r>
      <w:r w:rsidR="00BD0C59">
        <w:t xml:space="preserve"> prior to </w:t>
      </w:r>
      <w:r w:rsidR="001727AF">
        <w:t>transition to the new model</w:t>
      </w:r>
      <w:r w:rsidR="00B57EA9">
        <w:t>:</w:t>
      </w:r>
    </w:p>
    <w:p w14:paraId="4F38117E" w14:textId="72653B10" w:rsidR="00B57EA9" w:rsidRPr="00391183" w:rsidRDefault="00E9163F" w:rsidP="007112B9">
      <w:pPr>
        <w:pStyle w:val="DHHSbullet1"/>
      </w:pPr>
      <w:r>
        <w:t>a</w:t>
      </w:r>
      <w:r w:rsidR="00B57EA9">
        <w:t>n email</w:t>
      </w:r>
      <w:r w:rsidR="00B57EA9" w:rsidRPr="00391183">
        <w:t xml:space="preserve"> </w:t>
      </w:r>
      <w:r w:rsidR="00B57EA9">
        <w:t>confirming</w:t>
      </w:r>
      <w:r w:rsidR="00B57EA9" w:rsidRPr="00391183">
        <w:t xml:space="preserve"> </w:t>
      </w:r>
      <w:r w:rsidR="001727AF">
        <w:t>the date that</w:t>
      </w:r>
      <w:r w:rsidR="00B57EA9" w:rsidRPr="00391183">
        <w:t xml:space="preserve"> funding will change to the new </w:t>
      </w:r>
      <w:r w:rsidR="001727AF">
        <w:t>model</w:t>
      </w:r>
    </w:p>
    <w:p w14:paraId="3503F2E1" w14:textId="1060E49F" w:rsidR="00B57EA9" w:rsidRDefault="00E9163F" w:rsidP="007112B9">
      <w:pPr>
        <w:pStyle w:val="DHHSbullet1"/>
      </w:pPr>
      <w:r>
        <w:t>n</w:t>
      </w:r>
      <w:r w:rsidR="00B57EA9">
        <w:t>ew activity descriptions for the new activities</w:t>
      </w:r>
    </w:p>
    <w:p w14:paraId="7A73C429" w14:textId="22A3566F" w:rsidR="00B57EA9" w:rsidRDefault="00CC3889" w:rsidP="007112B9">
      <w:pPr>
        <w:pStyle w:val="DHHSbullet1"/>
      </w:pPr>
      <w:r>
        <w:t xml:space="preserve">leaving care </w:t>
      </w:r>
      <w:r w:rsidR="00B57EA9">
        <w:t>funding reform summary</w:t>
      </w:r>
    </w:p>
    <w:p w14:paraId="46395A98" w14:textId="77777777" w:rsidR="00B57EA9" w:rsidRDefault="00E9163F" w:rsidP="00B57EA9">
      <w:pPr>
        <w:pStyle w:val="DHHSbullet1lastline"/>
      </w:pPr>
      <w:r>
        <w:t>i</w:t>
      </w:r>
      <w:r w:rsidR="00B57EA9">
        <w:t>ndividual service provider reports demonstrating how existing funding will translate to the new activity structure.</w:t>
      </w:r>
    </w:p>
    <w:p w14:paraId="2155633F" w14:textId="77777777" w:rsidR="00603E9C" w:rsidRPr="00DA2C8C" w:rsidRDefault="00603E9C" w:rsidP="00DA2C8C">
      <w:pPr>
        <w:pStyle w:val="Heading3"/>
      </w:pPr>
      <w:r w:rsidRPr="00DA2C8C">
        <w:t xml:space="preserve">Individual </w:t>
      </w:r>
      <w:r w:rsidR="009E1F83">
        <w:t>service provider</w:t>
      </w:r>
      <w:r w:rsidRPr="00DA2C8C">
        <w:t xml:space="preserve"> reports</w:t>
      </w:r>
    </w:p>
    <w:p w14:paraId="1663952D" w14:textId="77777777" w:rsidR="00850909" w:rsidRDefault="00850909" w:rsidP="00850909">
      <w:pPr>
        <w:pStyle w:val="DHHSbody"/>
      </w:pPr>
      <w:r>
        <w:t xml:space="preserve">The </w:t>
      </w:r>
      <w:r w:rsidRPr="005F1CDA">
        <w:t xml:space="preserve">individual </w:t>
      </w:r>
      <w:r>
        <w:t>service provider</w:t>
      </w:r>
      <w:r w:rsidRPr="005F1CDA">
        <w:t xml:space="preserve"> report</w:t>
      </w:r>
      <w:r>
        <w:t>s will help each service provider to understand how their current leaving care funding (activities 31414 and 31421) translates to the new funding model for child and family services.</w:t>
      </w:r>
    </w:p>
    <w:p w14:paraId="055E99F2" w14:textId="77777777" w:rsidR="00850909" w:rsidRDefault="00850909" w:rsidP="00850909">
      <w:pPr>
        <w:pStyle w:val="DHHSbody"/>
      </w:pPr>
      <w:r>
        <w:t>The level of detail included means that the reports are best viewed electronically (rather than in hard copy). The information is provided in an individualised Excel workbook that can be sorted and filtered.</w:t>
      </w:r>
    </w:p>
    <w:p w14:paraId="19448E0A" w14:textId="77777777" w:rsidR="00850909" w:rsidRDefault="00850909" w:rsidP="00850909">
      <w:pPr>
        <w:pStyle w:val="DHHSbody"/>
      </w:pPr>
      <w:r>
        <w:t xml:space="preserve">Each agency will be provided with the individual provider report via their lead Agency Performance and System Support Adviser in the department’s operations divisions. The individual service provider reports will also be attached to Service Agreements at the organisational level. Service providers will be able to access their report through the Service Agreement Module in the My Agency portal via the </w:t>
      </w:r>
      <w:hyperlink r:id="rId18" w:history="1">
        <w:r w:rsidRPr="00E376DE">
          <w:rPr>
            <w:rStyle w:val="Hyperlink"/>
          </w:rPr>
          <w:t>Funded Agency Channel</w:t>
        </w:r>
      </w:hyperlink>
      <w:r>
        <w:t xml:space="preserve"> &lt;</w:t>
      </w:r>
      <w:r w:rsidRPr="00E376DE">
        <w:t>https://fac.dhhs.vic.gov.au</w:t>
      </w:r>
      <w:r>
        <w:t>&gt;</w:t>
      </w:r>
      <w:r w:rsidRPr="00BC59AF">
        <w:t>.</w:t>
      </w:r>
    </w:p>
    <w:p w14:paraId="147DDEA6" w14:textId="77777777" w:rsidR="00F70684" w:rsidRPr="00DB120A" w:rsidRDefault="00F70684" w:rsidP="00446959">
      <w:pPr>
        <w:pStyle w:val="Heading2"/>
      </w:pPr>
      <w:bookmarkStart w:id="101" w:name="_Toc10450951"/>
      <w:bookmarkStart w:id="102" w:name="_Toc10454462"/>
      <w:bookmarkStart w:id="103" w:name="_Toc10454513"/>
      <w:bookmarkStart w:id="104" w:name="_Toc22029654"/>
      <w:r w:rsidRPr="00DB120A">
        <w:t>Support for transition</w:t>
      </w:r>
      <w:bookmarkEnd w:id="101"/>
      <w:bookmarkEnd w:id="102"/>
      <w:bookmarkEnd w:id="103"/>
      <w:bookmarkEnd w:id="104"/>
    </w:p>
    <w:p w14:paraId="50F8F0E0" w14:textId="6DC36668" w:rsidR="00BC4297" w:rsidRDefault="00BC4297" w:rsidP="00BC4297">
      <w:pPr>
        <w:pStyle w:val="DHHSbody"/>
      </w:pPr>
      <w:r w:rsidRPr="00A035C8">
        <w:t xml:space="preserve">Your </w:t>
      </w:r>
      <w:r w:rsidR="00676AF3">
        <w:t xml:space="preserve">Agency Performance and System Support (APSS) </w:t>
      </w:r>
      <w:r>
        <w:t>Adviser</w:t>
      </w:r>
      <w:r w:rsidRPr="00BC59AF">
        <w:t xml:space="preserve"> will be able to provide up-to-date information throughout transition. If you have any queries, please contact your </w:t>
      </w:r>
      <w:r>
        <w:t>Adviser</w:t>
      </w:r>
      <w:r w:rsidRPr="00BC59AF">
        <w:t>.</w:t>
      </w:r>
    </w:p>
    <w:tbl>
      <w:tblPr>
        <w:tblpPr w:leftFromText="180" w:rightFromText="180" w:vertAnchor="text" w:horzAnchor="margin" w:tblpY="333"/>
        <w:tblW w:w="4800" w:type="pct"/>
        <w:tblCellMar>
          <w:top w:w="113" w:type="dxa"/>
          <w:bottom w:w="57" w:type="dxa"/>
        </w:tblCellMar>
        <w:tblLook w:val="00A0" w:firstRow="1" w:lastRow="0" w:firstColumn="1" w:lastColumn="0" w:noHBand="0" w:noVBand="0"/>
      </w:tblPr>
      <w:tblGrid>
        <w:gridCol w:w="9786"/>
      </w:tblGrid>
      <w:tr w:rsidR="00B27232" w:rsidRPr="00A035C8" w14:paraId="5560A7C0" w14:textId="77777777" w:rsidTr="00DB120A">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635EA88A" w14:textId="77777777" w:rsidR="00B27232" w:rsidRPr="00A035C8" w:rsidRDefault="00B27232" w:rsidP="00DB120A">
            <w:pPr>
              <w:pStyle w:val="DHHSaccessibilitypara"/>
            </w:pPr>
            <w:r w:rsidRPr="00A035C8">
              <w:lastRenderedPageBreak/>
              <w:t xml:space="preserve">To receive this publication in an accessible format phone </w:t>
            </w:r>
            <w:r w:rsidR="00E9163F">
              <w:t>(</w:t>
            </w:r>
            <w:r w:rsidRPr="004052CC">
              <w:t>03</w:t>
            </w:r>
            <w:r w:rsidR="00E9163F">
              <w:t>)</w:t>
            </w:r>
            <w:r w:rsidRPr="004052CC">
              <w:t xml:space="preserve"> 9096 1683</w:t>
            </w:r>
            <w:r w:rsidRPr="00A035C8">
              <w:t xml:space="preserve">, using the National Relay Service 13 36 77 if required, or </w:t>
            </w:r>
            <w:hyperlink r:id="rId19" w:history="1">
              <w:r w:rsidRPr="004052CC">
                <w:rPr>
                  <w:rStyle w:val="Hyperlink"/>
                </w:rPr>
                <w:t>email Funding Reform</w:t>
              </w:r>
            </w:hyperlink>
            <w:r>
              <w:t xml:space="preserve"> &lt;</w:t>
            </w:r>
            <w:r w:rsidRPr="004052CC">
              <w:t>funding.reform@dhhs.vic.gov.au</w:t>
            </w:r>
            <w:r>
              <w:t>&gt;</w:t>
            </w:r>
            <w:r w:rsidR="00F64433">
              <w:t>.</w:t>
            </w:r>
          </w:p>
          <w:p w14:paraId="4174A8B3" w14:textId="77777777" w:rsidR="00B27232" w:rsidRPr="00A035C8" w:rsidRDefault="00B27232" w:rsidP="00DB120A">
            <w:pPr>
              <w:pStyle w:val="DHHSbody"/>
            </w:pPr>
            <w:r w:rsidRPr="00A035C8">
              <w:t>Authorised and published by the Victorian Government, 1 Treasury Place, Melbourne.</w:t>
            </w:r>
          </w:p>
          <w:p w14:paraId="3378AA74" w14:textId="29363D72" w:rsidR="00B27232" w:rsidRPr="00A035C8" w:rsidRDefault="00B27232" w:rsidP="00DB120A">
            <w:pPr>
              <w:pStyle w:val="DHHSbody"/>
            </w:pPr>
            <w:r w:rsidRPr="00A035C8">
              <w:t>© State of Victoria, Department of Health and Human Services</w:t>
            </w:r>
            <w:r w:rsidR="00F64433">
              <w:t>,</w:t>
            </w:r>
            <w:r w:rsidRPr="00A035C8">
              <w:t xml:space="preserve"> </w:t>
            </w:r>
            <w:r w:rsidR="00850909">
              <w:t>Novem</w:t>
            </w:r>
            <w:r w:rsidR="007025AD">
              <w:t>ber</w:t>
            </w:r>
            <w:r w:rsidR="00BD0C59">
              <w:t xml:space="preserve"> 2019</w:t>
            </w:r>
            <w:r w:rsidRPr="00A035C8">
              <w:t>.</w:t>
            </w:r>
          </w:p>
          <w:p w14:paraId="372FEC4C" w14:textId="77777777" w:rsidR="00B27232" w:rsidRDefault="00B27232" w:rsidP="00DB120A">
            <w:pPr>
              <w:pStyle w:val="DHHSbody"/>
            </w:pPr>
            <w:r w:rsidRPr="00A035C8">
              <w:t>Where the term ‘Aboriginal’ is used it refers to both Aboriginal and Torres Strait Islander people. Indigenous is retained when it is part of the title of a report, program or quotation.</w:t>
            </w:r>
          </w:p>
          <w:p w14:paraId="4488F660" w14:textId="6AF01D32" w:rsidR="00B27232" w:rsidRPr="00A035C8" w:rsidRDefault="00B27232" w:rsidP="00FD3714">
            <w:pPr>
              <w:pStyle w:val="DHHSbody"/>
            </w:pPr>
            <w:r>
              <w:t xml:space="preserve">Available at </w:t>
            </w:r>
            <w:hyperlink r:id="rId20" w:history="1">
              <w:r w:rsidR="00FD3714">
                <w:rPr>
                  <w:rStyle w:val="Hyperlink"/>
                </w:rPr>
                <w:t>Child and Family Funding Reform</w:t>
              </w:r>
            </w:hyperlink>
            <w:r>
              <w:t xml:space="preserve"> &lt;</w:t>
            </w:r>
            <w:r w:rsidR="00FD3714">
              <w:rPr>
                <w:rFonts w:ascii="Helv" w:hAnsi="Helv" w:cs="Helv"/>
                <w:color w:val="000000"/>
              </w:rPr>
              <w:t>https://providers.dhhs.vic.gov.au/child-and-family-funding-reform</w:t>
            </w:r>
            <w:r w:rsidR="00FD3714" w:rsidRPr="007969C6">
              <w:t>&gt;</w:t>
            </w:r>
            <w:r w:rsidR="00FD3714">
              <w:t>.</w:t>
            </w:r>
            <w:r w:rsidR="00FD3714">
              <w:rPr>
                <w:rFonts w:ascii="Helv" w:hAnsi="Helv" w:cs="Helv"/>
                <w:color w:val="000000"/>
              </w:rPr>
              <w:t xml:space="preserve"> </w:t>
            </w:r>
          </w:p>
        </w:tc>
      </w:tr>
    </w:tbl>
    <w:p w14:paraId="264C1A89" w14:textId="77777777" w:rsidR="00B27232" w:rsidRPr="00B27232" w:rsidRDefault="00B27232" w:rsidP="00B27232">
      <w:pPr>
        <w:pStyle w:val="DHHSbody"/>
      </w:pPr>
    </w:p>
    <w:sectPr w:rsidR="00B27232" w:rsidRPr="00B27232" w:rsidSect="00A5482E">
      <w:headerReference w:type="default" r:id="rId21"/>
      <w:footerReference w:type="default" r:id="rId22"/>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32AC1" w14:textId="77777777" w:rsidR="004C39EE" w:rsidRDefault="004C39EE">
      <w:r>
        <w:separator/>
      </w:r>
    </w:p>
  </w:endnote>
  <w:endnote w:type="continuationSeparator" w:id="0">
    <w:p w14:paraId="4D0AE012" w14:textId="77777777" w:rsidR="004C39EE" w:rsidRDefault="004C39EE">
      <w:r>
        <w:continuationSeparator/>
      </w:r>
    </w:p>
  </w:endnote>
  <w:endnote w:type="continuationNotice" w:id="1">
    <w:p w14:paraId="616ACE51" w14:textId="77777777" w:rsidR="004C39EE" w:rsidRDefault="004C39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99EFF" w14:textId="77777777" w:rsidR="007D7265" w:rsidRPr="00F65AA9" w:rsidRDefault="007D7265" w:rsidP="0051568D">
    <w:pPr>
      <w:pStyle w:val="DHHSfooter"/>
    </w:pPr>
    <w:r>
      <w:rPr>
        <w:noProof/>
        <w:lang w:eastAsia="en-AU"/>
      </w:rPr>
      <w:drawing>
        <wp:anchor distT="0" distB="0" distL="114300" distR="114300" simplePos="0" relativeHeight="251657216" behindDoc="0" locked="1" layoutInCell="0" allowOverlap="1" wp14:anchorId="7EEC6E92" wp14:editId="4F5AE22E">
          <wp:simplePos x="0" y="0"/>
          <wp:positionH relativeFrom="page">
            <wp:posOffset>0</wp:posOffset>
          </wp:positionH>
          <wp:positionV relativeFrom="page">
            <wp:posOffset>9901555</wp:posOffset>
          </wp:positionV>
          <wp:extent cx="7561580" cy="791210"/>
          <wp:effectExtent l="0" t="0" r="7620" b="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A5CC7" w14:textId="0D924C77" w:rsidR="007D7265" w:rsidRPr="00A11421" w:rsidRDefault="007D7265" w:rsidP="0051568D">
    <w:pPr>
      <w:pStyle w:val="DHHSfooter"/>
    </w:pPr>
    <w:r>
      <w:t xml:space="preserve">Better Futures funding guide </w:t>
    </w:r>
    <w:r w:rsidRPr="00A11421">
      <w:tab/>
    </w:r>
    <w:r w:rsidRPr="00A11421">
      <w:fldChar w:fldCharType="begin"/>
    </w:r>
    <w:r w:rsidRPr="00A11421">
      <w:instrText xml:space="preserve"> PAGE </w:instrText>
    </w:r>
    <w:r w:rsidRPr="00A11421">
      <w:fldChar w:fldCharType="separate"/>
    </w:r>
    <w:r>
      <w:rPr>
        <w:noProof/>
      </w:rPr>
      <w:t>10</w:t>
    </w:r>
    <w:r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253D8" w14:textId="77777777" w:rsidR="004C39EE" w:rsidRDefault="004C39EE" w:rsidP="002862F1">
      <w:pPr>
        <w:spacing w:before="120"/>
      </w:pPr>
      <w:r>
        <w:separator/>
      </w:r>
    </w:p>
  </w:footnote>
  <w:footnote w:type="continuationSeparator" w:id="0">
    <w:p w14:paraId="1363E4CB" w14:textId="77777777" w:rsidR="004C39EE" w:rsidRDefault="004C39EE">
      <w:r>
        <w:continuationSeparator/>
      </w:r>
    </w:p>
  </w:footnote>
  <w:footnote w:type="continuationNotice" w:id="1">
    <w:p w14:paraId="7909B61D" w14:textId="77777777" w:rsidR="004C39EE" w:rsidRDefault="004C39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761B1" w14:textId="5C6B63E1" w:rsidR="007D7265" w:rsidRPr="0051568D" w:rsidRDefault="007D7265"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D5E3184"/>
    <w:lvl w:ilvl="0">
      <w:numFmt w:val="bullet"/>
      <w:lvlText w:val="*"/>
      <w:lvlJc w:val="left"/>
    </w:lvl>
  </w:abstractNum>
  <w:abstractNum w:abstractNumId="1" w15:restartNumberingAfterBreak="0">
    <w:nsid w:val="0082315D"/>
    <w:multiLevelType w:val="hybridMultilevel"/>
    <w:tmpl w:val="D278C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050E1272"/>
    <w:multiLevelType w:val="hybridMultilevel"/>
    <w:tmpl w:val="A8266290"/>
    <w:lvl w:ilvl="0" w:tplc="8D5217A8">
      <w:start w:val="1"/>
      <w:numFmt w:val="bullet"/>
      <w:lvlText w:val="•"/>
      <w:lvlJc w:val="left"/>
      <w:pPr>
        <w:tabs>
          <w:tab w:val="num" w:pos="720"/>
        </w:tabs>
        <w:ind w:left="720" w:hanging="360"/>
      </w:pPr>
      <w:rPr>
        <w:rFonts w:ascii="Arial" w:hAnsi="Arial" w:hint="default"/>
      </w:rPr>
    </w:lvl>
    <w:lvl w:ilvl="1" w:tplc="0E44A22A" w:tentative="1">
      <w:start w:val="1"/>
      <w:numFmt w:val="bullet"/>
      <w:lvlText w:val="•"/>
      <w:lvlJc w:val="left"/>
      <w:pPr>
        <w:tabs>
          <w:tab w:val="num" w:pos="1440"/>
        </w:tabs>
        <w:ind w:left="1440" w:hanging="360"/>
      </w:pPr>
      <w:rPr>
        <w:rFonts w:ascii="Arial" w:hAnsi="Arial" w:hint="default"/>
      </w:rPr>
    </w:lvl>
    <w:lvl w:ilvl="2" w:tplc="9D985F8E" w:tentative="1">
      <w:start w:val="1"/>
      <w:numFmt w:val="bullet"/>
      <w:lvlText w:val="•"/>
      <w:lvlJc w:val="left"/>
      <w:pPr>
        <w:tabs>
          <w:tab w:val="num" w:pos="2160"/>
        </w:tabs>
        <w:ind w:left="2160" w:hanging="360"/>
      </w:pPr>
      <w:rPr>
        <w:rFonts w:ascii="Arial" w:hAnsi="Arial" w:hint="default"/>
      </w:rPr>
    </w:lvl>
    <w:lvl w:ilvl="3" w:tplc="4CCCB73A" w:tentative="1">
      <w:start w:val="1"/>
      <w:numFmt w:val="bullet"/>
      <w:lvlText w:val="•"/>
      <w:lvlJc w:val="left"/>
      <w:pPr>
        <w:tabs>
          <w:tab w:val="num" w:pos="2880"/>
        </w:tabs>
        <w:ind w:left="2880" w:hanging="360"/>
      </w:pPr>
      <w:rPr>
        <w:rFonts w:ascii="Arial" w:hAnsi="Arial" w:hint="default"/>
      </w:rPr>
    </w:lvl>
    <w:lvl w:ilvl="4" w:tplc="C010C184" w:tentative="1">
      <w:start w:val="1"/>
      <w:numFmt w:val="bullet"/>
      <w:lvlText w:val="•"/>
      <w:lvlJc w:val="left"/>
      <w:pPr>
        <w:tabs>
          <w:tab w:val="num" w:pos="3600"/>
        </w:tabs>
        <w:ind w:left="3600" w:hanging="360"/>
      </w:pPr>
      <w:rPr>
        <w:rFonts w:ascii="Arial" w:hAnsi="Arial" w:hint="default"/>
      </w:rPr>
    </w:lvl>
    <w:lvl w:ilvl="5" w:tplc="76620F98" w:tentative="1">
      <w:start w:val="1"/>
      <w:numFmt w:val="bullet"/>
      <w:lvlText w:val="•"/>
      <w:lvlJc w:val="left"/>
      <w:pPr>
        <w:tabs>
          <w:tab w:val="num" w:pos="4320"/>
        </w:tabs>
        <w:ind w:left="4320" w:hanging="360"/>
      </w:pPr>
      <w:rPr>
        <w:rFonts w:ascii="Arial" w:hAnsi="Arial" w:hint="default"/>
      </w:rPr>
    </w:lvl>
    <w:lvl w:ilvl="6" w:tplc="A1D4BF82" w:tentative="1">
      <w:start w:val="1"/>
      <w:numFmt w:val="bullet"/>
      <w:lvlText w:val="•"/>
      <w:lvlJc w:val="left"/>
      <w:pPr>
        <w:tabs>
          <w:tab w:val="num" w:pos="5040"/>
        </w:tabs>
        <w:ind w:left="5040" w:hanging="360"/>
      </w:pPr>
      <w:rPr>
        <w:rFonts w:ascii="Arial" w:hAnsi="Arial" w:hint="default"/>
      </w:rPr>
    </w:lvl>
    <w:lvl w:ilvl="7" w:tplc="4DD427D6" w:tentative="1">
      <w:start w:val="1"/>
      <w:numFmt w:val="bullet"/>
      <w:lvlText w:val="•"/>
      <w:lvlJc w:val="left"/>
      <w:pPr>
        <w:tabs>
          <w:tab w:val="num" w:pos="5760"/>
        </w:tabs>
        <w:ind w:left="5760" w:hanging="360"/>
      </w:pPr>
      <w:rPr>
        <w:rFonts w:ascii="Arial" w:hAnsi="Arial" w:hint="default"/>
      </w:rPr>
    </w:lvl>
    <w:lvl w:ilvl="8" w:tplc="85EE98B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8D43DB"/>
    <w:multiLevelType w:val="multilevel"/>
    <w:tmpl w:val="4B4E7622"/>
    <w:numStyleLink w:val="ZZNumbers"/>
  </w:abstractNum>
  <w:abstractNum w:abstractNumId="6" w15:restartNumberingAfterBreak="0">
    <w:nsid w:val="10CC1A9B"/>
    <w:multiLevelType w:val="hybridMultilevel"/>
    <w:tmpl w:val="C5A4DD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BB638E2"/>
    <w:multiLevelType w:val="hybridMultilevel"/>
    <w:tmpl w:val="DD84D3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C896895"/>
    <w:multiLevelType w:val="hybridMultilevel"/>
    <w:tmpl w:val="CA300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4F1988"/>
    <w:multiLevelType w:val="hybridMultilevel"/>
    <w:tmpl w:val="71B0C9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2875AAE"/>
    <w:multiLevelType w:val="hybridMultilevel"/>
    <w:tmpl w:val="477E0F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2176928"/>
    <w:multiLevelType w:val="hybridMultilevel"/>
    <w:tmpl w:val="C38C7B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4B67B42"/>
    <w:multiLevelType w:val="hybridMultilevel"/>
    <w:tmpl w:val="53BCDCFC"/>
    <w:lvl w:ilvl="0" w:tplc="0C090001">
      <w:start w:val="1"/>
      <w:numFmt w:val="bullet"/>
      <w:lvlText w:val=""/>
      <w:lvlJc w:val="left"/>
      <w:pPr>
        <w:ind w:left="357" w:hanging="360"/>
      </w:pPr>
      <w:rPr>
        <w:rFonts w:ascii="Symbol" w:hAnsi="Symbol" w:hint="default"/>
      </w:rPr>
    </w:lvl>
    <w:lvl w:ilvl="1" w:tplc="0C090003">
      <w:start w:val="1"/>
      <w:numFmt w:val="bullet"/>
      <w:lvlText w:val="o"/>
      <w:lvlJc w:val="left"/>
      <w:pPr>
        <w:ind w:left="1077" w:hanging="360"/>
      </w:pPr>
      <w:rPr>
        <w:rFonts w:ascii="Courier New" w:hAnsi="Courier New" w:cs="Courier New" w:hint="default"/>
      </w:rPr>
    </w:lvl>
    <w:lvl w:ilvl="2" w:tplc="0C090005">
      <w:start w:val="1"/>
      <w:numFmt w:val="bullet"/>
      <w:lvlText w:val=""/>
      <w:lvlJc w:val="left"/>
      <w:pPr>
        <w:ind w:left="1797" w:hanging="360"/>
      </w:pPr>
      <w:rPr>
        <w:rFonts w:ascii="Wingdings" w:hAnsi="Wingdings" w:hint="default"/>
      </w:rPr>
    </w:lvl>
    <w:lvl w:ilvl="3" w:tplc="0C090001">
      <w:start w:val="1"/>
      <w:numFmt w:val="bullet"/>
      <w:lvlText w:val=""/>
      <w:lvlJc w:val="left"/>
      <w:pPr>
        <w:ind w:left="2517" w:hanging="360"/>
      </w:pPr>
      <w:rPr>
        <w:rFonts w:ascii="Symbol" w:hAnsi="Symbol" w:hint="default"/>
      </w:rPr>
    </w:lvl>
    <w:lvl w:ilvl="4" w:tplc="0C090003">
      <w:start w:val="1"/>
      <w:numFmt w:val="bullet"/>
      <w:lvlText w:val="o"/>
      <w:lvlJc w:val="left"/>
      <w:pPr>
        <w:ind w:left="3237" w:hanging="360"/>
      </w:pPr>
      <w:rPr>
        <w:rFonts w:ascii="Courier New" w:hAnsi="Courier New" w:cs="Courier New" w:hint="default"/>
      </w:rPr>
    </w:lvl>
    <w:lvl w:ilvl="5" w:tplc="0C090005">
      <w:start w:val="1"/>
      <w:numFmt w:val="bullet"/>
      <w:lvlText w:val=""/>
      <w:lvlJc w:val="left"/>
      <w:pPr>
        <w:ind w:left="3957" w:hanging="360"/>
      </w:pPr>
      <w:rPr>
        <w:rFonts w:ascii="Wingdings" w:hAnsi="Wingdings" w:hint="default"/>
      </w:rPr>
    </w:lvl>
    <w:lvl w:ilvl="6" w:tplc="0C090001">
      <w:start w:val="1"/>
      <w:numFmt w:val="bullet"/>
      <w:lvlText w:val=""/>
      <w:lvlJc w:val="left"/>
      <w:pPr>
        <w:ind w:left="4677" w:hanging="360"/>
      </w:pPr>
      <w:rPr>
        <w:rFonts w:ascii="Symbol" w:hAnsi="Symbol" w:hint="default"/>
      </w:rPr>
    </w:lvl>
    <w:lvl w:ilvl="7" w:tplc="0C090003">
      <w:start w:val="1"/>
      <w:numFmt w:val="bullet"/>
      <w:lvlText w:val="o"/>
      <w:lvlJc w:val="left"/>
      <w:pPr>
        <w:ind w:left="5397" w:hanging="360"/>
      </w:pPr>
      <w:rPr>
        <w:rFonts w:ascii="Courier New" w:hAnsi="Courier New" w:cs="Courier New" w:hint="default"/>
      </w:rPr>
    </w:lvl>
    <w:lvl w:ilvl="8" w:tplc="0C090005">
      <w:start w:val="1"/>
      <w:numFmt w:val="bullet"/>
      <w:lvlText w:val=""/>
      <w:lvlJc w:val="left"/>
      <w:pPr>
        <w:ind w:left="6117" w:hanging="360"/>
      </w:pPr>
      <w:rPr>
        <w:rFonts w:ascii="Wingdings" w:hAnsi="Wingdings" w:hint="default"/>
      </w:rPr>
    </w:lvl>
  </w:abstractNum>
  <w:abstractNum w:abstractNumId="13" w15:restartNumberingAfterBreak="0">
    <w:nsid w:val="3B0D134C"/>
    <w:multiLevelType w:val="hybridMultilevel"/>
    <w:tmpl w:val="059EC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8B06AB"/>
    <w:multiLevelType w:val="hybridMultilevel"/>
    <w:tmpl w:val="03169E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6" w15:restartNumberingAfterBreak="0">
    <w:nsid w:val="3F794C89"/>
    <w:multiLevelType w:val="hybridMultilevel"/>
    <w:tmpl w:val="F50A2E2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4A270480"/>
    <w:multiLevelType w:val="hybridMultilevel"/>
    <w:tmpl w:val="BA84C8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0C440D0"/>
    <w:multiLevelType w:val="hybridMultilevel"/>
    <w:tmpl w:val="B750FBEA"/>
    <w:lvl w:ilvl="0" w:tplc="45321D48">
      <w:numFmt w:val="bullet"/>
      <w:lvlText w:val="-"/>
      <w:lvlJc w:val="left"/>
      <w:pPr>
        <w:ind w:left="720" w:hanging="360"/>
      </w:pPr>
      <w:rPr>
        <w:rFonts w:ascii="Cambria" w:eastAsia="Times New Roman"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26C4F29"/>
    <w:multiLevelType w:val="hybridMultilevel"/>
    <w:tmpl w:val="1D5CBB6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CB842FF"/>
    <w:multiLevelType w:val="hybridMultilevel"/>
    <w:tmpl w:val="C03C4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20D5C80"/>
    <w:multiLevelType w:val="hybridMultilevel"/>
    <w:tmpl w:val="E160C6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46A7A9C"/>
    <w:multiLevelType w:val="hybridMultilevel"/>
    <w:tmpl w:val="F3468C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73F3C17"/>
    <w:multiLevelType w:val="hybridMultilevel"/>
    <w:tmpl w:val="62F020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1330660"/>
    <w:multiLevelType w:val="hybridMultilevel"/>
    <w:tmpl w:val="639A6D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54A72E4"/>
    <w:multiLevelType w:val="hybridMultilevel"/>
    <w:tmpl w:val="B8868DC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5ED612E"/>
    <w:multiLevelType w:val="hybridMultilevel"/>
    <w:tmpl w:val="E94820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60D1532"/>
    <w:multiLevelType w:val="hybridMultilevel"/>
    <w:tmpl w:val="95CE8E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5"/>
  </w:num>
  <w:num w:numId="9">
    <w:abstractNumId w:val="27"/>
  </w:num>
  <w:num w:numId="10">
    <w:abstractNumId w:val="28"/>
  </w:num>
  <w:num w:numId="11">
    <w:abstractNumId w:val="8"/>
  </w:num>
  <w:num w:numId="12">
    <w:abstractNumId w:val="4"/>
  </w:num>
  <w:num w:numId="13">
    <w:abstractNumId w:val="19"/>
  </w:num>
  <w:num w:numId="14">
    <w:abstractNumId w:val="26"/>
  </w:num>
  <w:num w:numId="15">
    <w:abstractNumId w:val="20"/>
  </w:num>
  <w:num w:numId="16">
    <w:abstractNumId w:val="20"/>
  </w:num>
  <w:num w:numId="17">
    <w:abstractNumId w:val="20"/>
  </w:num>
  <w:num w:numId="18">
    <w:abstractNumId w:val="9"/>
  </w:num>
  <w:num w:numId="19">
    <w:abstractNumId w:val="6"/>
  </w:num>
  <w:num w:numId="20">
    <w:abstractNumId w:val="22"/>
  </w:num>
  <w:num w:numId="21">
    <w:abstractNumId w:val="25"/>
  </w:num>
  <w:num w:numId="22">
    <w:abstractNumId w:val="11"/>
  </w:num>
  <w:num w:numId="23">
    <w:abstractNumId w:val="10"/>
  </w:num>
  <w:num w:numId="24">
    <w:abstractNumId w:val="0"/>
    <w:lvlOverride w:ilvl="0">
      <w:lvl w:ilvl="0">
        <w:numFmt w:val="bullet"/>
        <w:lvlText w:val=""/>
        <w:legacy w:legacy="1" w:legacySpace="0" w:legacyIndent="0"/>
        <w:lvlJc w:val="left"/>
        <w:rPr>
          <w:rFonts w:ascii="Symbol" w:hAnsi="Symbol" w:hint="default"/>
          <w:sz w:val="22"/>
        </w:rPr>
      </w:lvl>
    </w:lvlOverride>
  </w:num>
  <w:num w:numId="25">
    <w:abstractNumId w:val="17"/>
  </w:num>
  <w:num w:numId="26">
    <w:abstractNumId w:val="7"/>
  </w:num>
  <w:num w:numId="27">
    <w:abstractNumId w:val="24"/>
  </w:num>
  <w:num w:numId="28">
    <w:abstractNumId w:val="20"/>
  </w:num>
  <w:num w:numId="29">
    <w:abstractNumId w:val="20"/>
  </w:num>
  <w:num w:numId="30">
    <w:abstractNumId w:val="16"/>
  </w:num>
  <w:num w:numId="31">
    <w:abstractNumId w:val="12"/>
  </w:num>
  <w:num w:numId="32">
    <w:abstractNumId w:val="13"/>
  </w:num>
  <w:num w:numId="33">
    <w:abstractNumId w:val="1"/>
  </w:num>
  <w:num w:numId="34">
    <w:abstractNumId w:val="21"/>
  </w:num>
  <w:num w:numId="35">
    <w:abstractNumId w:val="18"/>
  </w:num>
  <w:num w:numId="36">
    <w:abstractNumId w:val="14"/>
  </w:num>
  <w:num w:numId="37">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B53"/>
    <w:rsid w:val="00005343"/>
    <w:rsid w:val="00006858"/>
    <w:rsid w:val="000072B6"/>
    <w:rsid w:val="0001021B"/>
    <w:rsid w:val="000114F3"/>
    <w:rsid w:val="00011D89"/>
    <w:rsid w:val="00011E6B"/>
    <w:rsid w:val="000156D8"/>
    <w:rsid w:val="00015902"/>
    <w:rsid w:val="000207C7"/>
    <w:rsid w:val="00020C41"/>
    <w:rsid w:val="00024D89"/>
    <w:rsid w:val="000250B6"/>
    <w:rsid w:val="00026FF6"/>
    <w:rsid w:val="000323BA"/>
    <w:rsid w:val="00033D81"/>
    <w:rsid w:val="00033DA1"/>
    <w:rsid w:val="00033FA1"/>
    <w:rsid w:val="00035AF5"/>
    <w:rsid w:val="00036725"/>
    <w:rsid w:val="00036C8D"/>
    <w:rsid w:val="00041301"/>
    <w:rsid w:val="00041BF0"/>
    <w:rsid w:val="000438B1"/>
    <w:rsid w:val="00044638"/>
    <w:rsid w:val="0004536B"/>
    <w:rsid w:val="00046142"/>
    <w:rsid w:val="00046B68"/>
    <w:rsid w:val="00050623"/>
    <w:rsid w:val="0005183D"/>
    <w:rsid w:val="000527DD"/>
    <w:rsid w:val="00052B16"/>
    <w:rsid w:val="000531A2"/>
    <w:rsid w:val="00056774"/>
    <w:rsid w:val="00057006"/>
    <w:rsid w:val="000578B2"/>
    <w:rsid w:val="00060163"/>
    <w:rsid w:val="000601B0"/>
    <w:rsid w:val="00060959"/>
    <w:rsid w:val="00061974"/>
    <w:rsid w:val="000663CD"/>
    <w:rsid w:val="00067C8B"/>
    <w:rsid w:val="00072B4E"/>
    <w:rsid w:val="000733FE"/>
    <w:rsid w:val="0007371D"/>
    <w:rsid w:val="000740A6"/>
    <w:rsid w:val="00074219"/>
    <w:rsid w:val="00074ED5"/>
    <w:rsid w:val="000862DE"/>
    <w:rsid w:val="0009113B"/>
    <w:rsid w:val="00094DA3"/>
    <w:rsid w:val="00096CD1"/>
    <w:rsid w:val="000A012C"/>
    <w:rsid w:val="000A0EB9"/>
    <w:rsid w:val="000A1676"/>
    <w:rsid w:val="000A186C"/>
    <w:rsid w:val="000A27DD"/>
    <w:rsid w:val="000A4BE5"/>
    <w:rsid w:val="000A54FD"/>
    <w:rsid w:val="000A5D77"/>
    <w:rsid w:val="000A7CF6"/>
    <w:rsid w:val="000B1249"/>
    <w:rsid w:val="000B543D"/>
    <w:rsid w:val="000B5BF7"/>
    <w:rsid w:val="000B63DF"/>
    <w:rsid w:val="000B6BC8"/>
    <w:rsid w:val="000B7F65"/>
    <w:rsid w:val="000C42EA"/>
    <w:rsid w:val="000C4546"/>
    <w:rsid w:val="000C4F30"/>
    <w:rsid w:val="000C734B"/>
    <w:rsid w:val="000D065D"/>
    <w:rsid w:val="000D1242"/>
    <w:rsid w:val="000D4ED3"/>
    <w:rsid w:val="000D6C35"/>
    <w:rsid w:val="000D7445"/>
    <w:rsid w:val="000D7E87"/>
    <w:rsid w:val="000E273F"/>
    <w:rsid w:val="000E3CC7"/>
    <w:rsid w:val="000E49A7"/>
    <w:rsid w:val="000E543E"/>
    <w:rsid w:val="000E6BD4"/>
    <w:rsid w:val="000E6CA8"/>
    <w:rsid w:val="000F0E4B"/>
    <w:rsid w:val="000F1F1E"/>
    <w:rsid w:val="000F2259"/>
    <w:rsid w:val="000F3ED4"/>
    <w:rsid w:val="000F667D"/>
    <w:rsid w:val="00101197"/>
    <w:rsid w:val="0010156C"/>
    <w:rsid w:val="0010392D"/>
    <w:rsid w:val="0010447F"/>
    <w:rsid w:val="00104FE3"/>
    <w:rsid w:val="001054F5"/>
    <w:rsid w:val="0010625A"/>
    <w:rsid w:val="0011031E"/>
    <w:rsid w:val="00110996"/>
    <w:rsid w:val="00111733"/>
    <w:rsid w:val="00112A7F"/>
    <w:rsid w:val="00113779"/>
    <w:rsid w:val="00113DCF"/>
    <w:rsid w:val="00114459"/>
    <w:rsid w:val="00114708"/>
    <w:rsid w:val="00120AB2"/>
    <w:rsid w:val="00120BD3"/>
    <w:rsid w:val="00121107"/>
    <w:rsid w:val="00122E85"/>
    <w:rsid w:val="00122FEA"/>
    <w:rsid w:val="001232BD"/>
    <w:rsid w:val="001232C2"/>
    <w:rsid w:val="0012349A"/>
    <w:rsid w:val="00123C3E"/>
    <w:rsid w:val="00124ED5"/>
    <w:rsid w:val="00126491"/>
    <w:rsid w:val="00127667"/>
    <w:rsid w:val="00133643"/>
    <w:rsid w:val="001407ED"/>
    <w:rsid w:val="00143E96"/>
    <w:rsid w:val="001447B3"/>
    <w:rsid w:val="0014590D"/>
    <w:rsid w:val="001469D4"/>
    <w:rsid w:val="00147546"/>
    <w:rsid w:val="00152073"/>
    <w:rsid w:val="001544E4"/>
    <w:rsid w:val="00156686"/>
    <w:rsid w:val="00161939"/>
    <w:rsid w:val="00161AA0"/>
    <w:rsid w:val="00162093"/>
    <w:rsid w:val="00164DBA"/>
    <w:rsid w:val="00170703"/>
    <w:rsid w:val="001727AF"/>
    <w:rsid w:val="00173522"/>
    <w:rsid w:val="00176F9B"/>
    <w:rsid w:val="001771DD"/>
    <w:rsid w:val="0017798B"/>
    <w:rsid w:val="00177995"/>
    <w:rsid w:val="00177A8C"/>
    <w:rsid w:val="00180E43"/>
    <w:rsid w:val="0018365C"/>
    <w:rsid w:val="0018668C"/>
    <w:rsid w:val="00186B33"/>
    <w:rsid w:val="001922AC"/>
    <w:rsid w:val="00192F9D"/>
    <w:rsid w:val="00194498"/>
    <w:rsid w:val="001964B2"/>
    <w:rsid w:val="00196EB8"/>
    <w:rsid w:val="001979FF"/>
    <w:rsid w:val="00197A2A"/>
    <w:rsid w:val="00197B17"/>
    <w:rsid w:val="001A35AC"/>
    <w:rsid w:val="001A3ACE"/>
    <w:rsid w:val="001B01E9"/>
    <w:rsid w:val="001B025A"/>
    <w:rsid w:val="001B0BDD"/>
    <w:rsid w:val="001B1F30"/>
    <w:rsid w:val="001B235A"/>
    <w:rsid w:val="001B25AE"/>
    <w:rsid w:val="001B44A8"/>
    <w:rsid w:val="001C1EB9"/>
    <w:rsid w:val="001C277E"/>
    <w:rsid w:val="001C2A72"/>
    <w:rsid w:val="001C319A"/>
    <w:rsid w:val="001C4F73"/>
    <w:rsid w:val="001D0B75"/>
    <w:rsid w:val="001D0EBC"/>
    <w:rsid w:val="001D2AEE"/>
    <w:rsid w:val="001D3C09"/>
    <w:rsid w:val="001D4098"/>
    <w:rsid w:val="001D44E8"/>
    <w:rsid w:val="001D60EC"/>
    <w:rsid w:val="001D7F35"/>
    <w:rsid w:val="001E0E74"/>
    <w:rsid w:val="001E10AA"/>
    <w:rsid w:val="001E19D3"/>
    <w:rsid w:val="001E1E3D"/>
    <w:rsid w:val="001E3208"/>
    <w:rsid w:val="001E38BA"/>
    <w:rsid w:val="001E3C50"/>
    <w:rsid w:val="001E44DF"/>
    <w:rsid w:val="001E4882"/>
    <w:rsid w:val="001E4ACD"/>
    <w:rsid w:val="001E4C5D"/>
    <w:rsid w:val="001E532B"/>
    <w:rsid w:val="001E60CB"/>
    <w:rsid w:val="001E68A5"/>
    <w:rsid w:val="001E69FA"/>
    <w:rsid w:val="001E6BB0"/>
    <w:rsid w:val="001E7BBF"/>
    <w:rsid w:val="001F3826"/>
    <w:rsid w:val="001F47D0"/>
    <w:rsid w:val="001F6E46"/>
    <w:rsid w:val="001F7C91"/>
    <w:rsid w:val="00203801"/>
    <w:rsid w:val="00204E8E"/>
    <w:rsid w:val="00205855"/>
    <w:rsid w:val="00206463"/>
    <w:rsid w:val="00206F2F"/>
    <w:rsid w:val="0021053D"/>
    <w:rsid w:val="00210A92"/>
    <w:rsid w:val="00211760"/>
    <w:rsid w:val="00215AC7"/>
    <w:rsid w:val="00215C5F"/>
    <w:rsid w:val="00216C03"/>
    <w:rsid w:val="00217934"/>
    <w:rsid w:val="0022044B"/>
    <w:rsid w:val="00220C04"/>
    <w:rsid w:val="00220CB5"/>
    <w:rsid w:val="0022278D"/>
    <w:rsid w:val="002242AB"/>
    <w:rsid w:val="00225418"/>
    <w:rsid w:val="0022701F"/>
    <w:rsid w:val="002306AA"/>
    <w:rsid w:val="002333F5"/>
    <w:rsid w:val="00233724"/>
    <w:rsid w:val="00235B53"/>
    <w:rsid w:val="00236BD1"/>
    <w:rsid w:val="0023728B"/>
    <w:rsid w:val="00237739"/>
    <w:rsid w:val="0024023C"/>
    <w:rsid w:val="00242C17"/>
    <w:rsid w:val="002432E1"/>
    <w:rsid w:val="002435AC"/>
    <w:rsid w:val="00243CC5"/>
    <w:rsid w:val="002456DB"/>
    <w:rsid w:val="00246C5E"/>
    <w:rsid w:val="0024707D"/>
    <w:rsid w:val="0025076C"/>
    <w:rsid w:val="00251343"/>
    <w:rsid w:val="00251522"/>
    <w:rsid w:val="0025282F"/>
    <w:rsid w:val="00254C5B"/>
    <w:rsid w:val="00254F58"/>
    <w:rsid w:val="0025663F"/>
    <w:rsid w:val="002620BC"/>
    <w:rsid w:val="00262802"/>
    <w:rsid w:val="00263A90"/>
    <w:rsid w:val="00263FA2"/>
    <w:rsid w:val="0026408B"/>
    <w:rsid w:val="002669B5"/>
    <w:rsid w:val="00267C3E"/>
    <w:rsid w:val="002709BB"/>
    <w:rsid w:val="00272363"/>
    <w:rsid w:val="00275694"/>
    <w:rsid w:val="002763B3"/>
    <w:rsid w:val="002802E3"/>
    <w:rsid w:val="002808DA"/>
    <w:rsid w:val="00280B7D"/>
    <w:rsid w:val="0028213D"/>
    <w:rsid w:val="002830BC"/>
    <w:rsid w:val="00285364"/>
    <w:rsid w:val="0028561A"/>
    <w:rsid w:val="00285725"/>
    <w:rsid w:val="002862F1"/>
    <w:rsid w:val="00286332"/>
    <w:rsid w:val="002903A5"/>
    <w:rsid w:val="00291373"/>
    <w:rsid w:val="002941DA"/>
    <w:rsid w:val="0029597D"/>
    <w:rsid w:val="002962C3"/>
    <w:rsid w:val="0029752B"/>
    <w:rsid w:val="002A12B7"/>
    <w:rsid w:val="002A3AB2"/>
    <w:rsid w:val="002A483C"/>
    <w:rsid w:val="002B1729"/>
    <w:rsid w:val="002B3FDC"/>
    <w:rsid w:val="002B4DD4"/>
    <w:rsid w:val="002B5277"/>
    <w:rsid w:val="002B5375"/>
    <w:rsid w:val="002B77C1"/>
    <w:rsid w:val="002B7E9B"/>
    <w:rsid w:val="002C0C2F"/>
    <w:rsid w:val="002C2728"/>
    <w:rsid w:val="002C50C9"/>
    <w:rsid w:val="002D1648"/>
    <w:rsid w:val="002D1CE0"/>
    <w:rsid w:val="002D2B22"/>
    <w:rsid w:val="002D5006"/>
    <w:rsid w:val="002E01D0"/>
    <w:rsid w:val="002E0C6A"/>
    <w:rsid w:val="002E161D"/>
    <w:rsid w:val="002E3100"/>
    <w:rsid w:val="002E5639"/>
    <w:rsid w:val="002E5FDF"/>
    <w:rsid w:val="002E6C95"/>
    <w:rsid w:val="002E7256"/>
    <w:rsid w:val="002E7C36"/>
    <w:rsid w:val="002F0557"/>
    <w:rsid w:val="002F1249"/>
    <w:rsid w:val="002F24BC"/>
    <w:rsid w:val="002F5F31"/>
    <w:rsid w:val="002F5F46"/>
    <w:rsid w:val="002F66A6"/>
    <w:rsid w:val="002F6FBF"/>
    <w:rsid w:val="00300395"/>
    <w:rsid w:val="003003AB"/>
    <w:rsid w:val="00302216"/>
    <w:rsid w:val="0030341E"/>
    <w:rsid w:val="00303E53"/>
    <w:rsid w:val="003052AC"/>
    <w:rsid w:val="00306E5F"/>
    <w:rsid w:val="00307E14"/>
    <w:rsid w:val="0031217E"/>
    <w:rsid w:val="00314054"/>
    <w:rsid w:val="00316F27"/>
    <w:rsid w:val="00322D3C"/>
    <w:rsid w:val="00323B99"/>
    <w:rsid w:val="00324401"/>
    <w:rsid w:val="0032465C"/>
    <w:rsid w:val="00324E64"/>
    <w:rsid w:val="00327870"/>
    <w:rsid w:val="0033030C"/>
    <w:rsid w:val="0033259D"/>
    <w:rsid w:val="00333894"/>
    <w:rsid w:val="00333F8D"/>
    <w:rsid w:val="003358E0"/>
    <w:rsid w:val="003358F9"/>
    <w:rsid w:val="00340441"/>
    <w:rsid w:val="003405D6"/>
    <w:rsid w:val="003406C6"/>
    <w:rsid w:val="003418CC"/>
    <w:rsid w:val="00341B6A"/>
    <w:rsid w:val="003459BD"/>
    <w:rsid w:val="00345C01"/>
    <w:rsid w:val="00347F6E"/>
    <w:rsid w:val="00350125"/>
    <w:rsid w:val="00350D38"/>
    <w:rsid w:val="00351B36"/>
    <w:rsid w:val="00351F9E"/>
    <w:rsid w:val="003532C3"/>
    <w:rsid w:val="00355A31"/>
    <w:rsid w:val="00356970"/>
    <w:rsid w:val="00357B4E"/>
    <w:rsid w:val="00371264"/>
    <w:rsid w:val="003744CF"/>
    <w:rsid w:val="00374717"/>
    <w:rsid w:val="0037676C"/>
    <w:rsid w:val="00380120"/>
    <w:rsid w:val="00380821"/>
    <w:rsid w:val="00380979"/>
    <w:rsid w:val="0038132C"/>
    <w:rsid w:val="003829E5"/>
    <w:rsid w:val="003956CC"/>
    <w:rsid w:val="00395C9A"/>
    <w:rsid w:val="003A20F8"/>
    <w:rsid w:val="003A2439"/>
    <w:rsid w:val="003A4798"/>
    <w:rsid w:val="003A6B67"/>
    <w:rsid w:val="003B15E6"/>
    <w:rsid w:val="003B1B55"/>
    <w:rsid w:val="003B7B13"/>
    <w:rsid w:val="003C0743"/>
    <w:rsid w:val="003C2045"/>
    <w:rsid w:val="003C3033"/>
    <w:rsid w:val="003C3E21"/>
    <w:rsid w:val="003C43A1"/>
    <w:rsid w:val="003C4FC0"/>
    <w:rsid w:val="003C55F4"/>
    <w:rsid w:val="003C7A3F"/>
    <w:rsid w:val="003D0FD8"/>
    <w:rsid w:val="003D199D"/>
    <w:rsid w:val="003D1CB2"/>
    <w:rsid w:val="003D243A"/>
    <w:rsid w:val="003D2766"/>
    <w:rsid w:val="003D3E8F"/>
    <w:rsid w:val="003D4A36"/>
    <w:rsid w:val="003D6475"/>
    <w:rsid w:val="003E0101"/>
    <w:rsid w:val="003E386B"/>
    <w:rsid w:val="003E40E9"/>
    <w:rsid w:val="003F0445"/>
    <w:rsid w:val="003F0CF0"/>
    <w:rsid w:val="003F14B1"/>
    <w:rsid w:val="003F2A53"/>
    <w:rsid w:val="003F3289"/>
    <w:rsid w:val="003F4517"/>
    <w:rsid w:val="003F5401"/>
    <w:rsid w:val="003F752E"/>
    <w:rsid w:val="003F7B0E"/>
    <w:rsid w:val="00401BD9"/>
    <w:rsid w:val="00401FCF"/>
    <w:rsid w:val="00401FF8"/>
    <w:rsid w:val="004026DF"/>
    <w:rsid w:val="00403CDA"/>
    <w:rsid w:val="00406285"/>
    <w:rsid w:val="00407B82"/>
    <w:rsid w:val="0041338C"/>
    <w:rsid w:val="00414197"/>
    <w:rsid w:val="004148F9"/>
    <w:rsid w:val="00416BAB"/>
    <w:rsid w:val="00416D66"/>
    <w:rsid w:val="00420765"/>
    <w:rsid w:val="0042084E"/>
    <w:rsid w:val="00421EEF"/>
    <w:rsid w:val="00424D65"/>
    <w:rsid w:val="00425E33"/>
    <w:rsid w:val="00433365"/>
    <w:rsid w:val="004345A1"/>
    <w:rsid w:val="004351CE"/>
    <w:rsid w:val="00435470"/>
    <w:rsid w:val="004362FA"/>
    <w:rsid w:val="004400D8"/>
    <w:rsid w:val="0044045A"/>
    <w:rsid w:val="00442C6C"/>
    <w:rsid w:val="00443CBE"/>
    <w:rsid w:val="00443E8A"/>
    <w:rsid w:val="004441BC"/>
    <w:rsid w:val="004444A8"/>
    <w:rsid w:val="0044481B"/>
    <w:rsid w:val="004468B4"/>
    <w:rsid w:val="00446959"/>
    <w:rsid w:val="0045230A"/>
    <w:rsid w:val="0045495C"/>
    <w:rsid w:val="0045670C"/>
    <w:rsid w:val="00456B80"/>
    <w:rsid w:val="00457337"/>
    <w:rsid w:val="00462043"/>
    <w:rsid w:val="00462207"/>
    <w:rsid w:val="004634D5"/>
    <w:rsid w:val="00472D15"/>
    <w:rsid w:val="0047372D"/>
    <w:rsid w:val="00474143"/>
    <w:rsid w:val="004743DD"/>
    <w:rsid w:val="00474CEA"/>
    <w:rsid w:val="004804ED"/>
    <w:rsid w:val="004811EE"/>
    <w:rsid w:val="0048187D"/>
    <w:rsid w:val="004828E5"/>
    <w:rsid w:val="00483968"/>
    <w:rsid w:val="00484F86"/>
    <w:rsid w:val="00485085"/>
    <w:rsid w:val="00485DBB"/>
    <w:rsid w:val="00486E0D"/>
    <w:rsid w:val="00490746"/>
    <w:rsid w:val="00490852"/>
    <w:rsid w:val="00492F30"/>
    <w:rsid w:val="004946F4"/>
    <w:rsid w:val="0049487E"/>
    <w:rsid w:val="0049490B"/>
    <w:rsid w:val="004967E1"/>
    <w:rsid w:val="004A160D"/>
    <w:rsid w:val="004A3317"/>
    <w:rsid w:val="004A3497"/>
    <w:rsid w:val="004A35C3"/>
    <w:rsid w:val="004A3E81"/>
    <w:rsid w:val="004A4091"/>
    <w:rsid w:val="004A5C62"/>
    <w:rsid w:val="004A707D"/>
    <w:rsid w:val="004B3AB7"/>
    <w:rsid w:val="004B46CC"/>
    <w:rsid w:val="004C15C8"/>
    <w:rsid w:val="004C2BC7"/>
    <w:rsid w:val="004C39EE"/>
    <w:rsid w:val="004C6485"/>
    <w:rsid w:val="004C6EEE"/>
    <w:rsid w:val="004C702B"/>
    <w:rsid w:val="004D016B"/>
    <w:rsid w:val="004D1B22"/>
    <w:rsid w:val="004D1EFF"/>
    <w:rsid w:val="004D2C9C"/>
    <w:rsid w:val="004D35D9"/>
    <w:rsid w:val="004D36F2"/>
    <w:rsid w:val="004E03F9"/>
    <w:rsid w:val="004E086F"/>
    <w:rsid w:val="004E138F"/>
    <w:rsid w:val="004E4649"/>
    <w:rsid w:val="004E5C2B"/>
    <w:rsid w:val="004F00DD"/>
    <w:rsid w:val="004F06F6"/>
    <w:rsid w:val="004F2133"/>
    <w:rsid w:val="004F306B"/>
    <w:rsid w:val="004F55F1"/>
    <w:rsid w:val="004F6936"/>
    <w:rsid w:val="004F7C47"/>
    <w:rsid w:val="00500439"/>
    <w:rsid w:val="00502032"/>
    <w:rsid w:val="00503DC6"/>
    <w:rsid w:val="00504A3F"/>
    <w:rsid w:val="00504A97"/>
    <w:rsid w:val="00505B2F"/>
    <w:rsid w:val="00506B54"/>
    <w:rsid w:val="00506F5D"/>
    <w:rsid w:val="00507AFE"/>
    <w:rsid w:val="005126D0"/>
    <w:rsid w:val="0051514B"/>
    <w:rsid w:val="0051567B"/>
    <w:rsid w:val="0051568D"/>
    <w:rsid w:val="00521620"/>
    <w:rsid w:val="0052296B"/>
    <w:rsid w:val="00526408"/>
    <w:rsid w:val="00526C15"/>
    <w:rsid w:val="00530D0B"/>
    <w:rsid w:val="0053287B"/>
    <w:rsid w:val="00534381"/>
    <w:rsid w:val="00536499"/>
    <w:rsid w:val="00543903"/>
    <w:rsid w:val="00543F11"/>
    <w:rsid w:val="005470AB"/>
    <w:rsid w:val="00547A95"/>
    <w:rsid w:val="00554D81"/>
    <w:rsid w:val="005552BB"/>
    <w:rsid w:val="005665F1"/>
    <w:rsid w:val="005671CF"/>
    <w:rsid w:val="00567A98"/>
    <w:rsid w:val="00572031"/>
    <w:rsid w:val="00576E84"/>
    <w:rsid w:val="00576F64"/>
    <w:rsid w:val="0058163D"/>
    <w:rsid w:val="00582B8C"/>
    <w:rsid w:val="00583B78"/>
    <w:rsid w:val="00585F57"/>
    <w:rsid w:val="0058757E"/>
    <w:rsid w:val="005953CD"/>
    <w:rsid w:val="005961D1"/>
    <w:rsid w:val="00596A4B"/>
    <w:rsid w:val="00597507"/>
    <w:rsid w:val="00597B39"/>
    <w:rsid w:val="005A14CD"/>
    <w:rsid w:val="005A3A7C"/>
    <w:rsid w:val="005A5732"/>
    <w:rsid w:val="005B21B6"/>
    <w:rsid w:val="005B3A08"/>
    <w:rsid w:val="005B4173"/>
    <w:rsid w:val="005B5F14"/>
    <w:rsid w:val="005B7A63"/>
    <w:rsid w:val="005B7AF0"/>
    <w:rsid w:val="005C0955"/>
    <w:rsid w:val="005C0CDA"/>
    <w:rsid w:val="005C49DA"/>
    <w:rsid w:val="005C50F3"/>
    <w:rsid w:val="005C5D91"/>
    <w:rsid w:val="005C6793"/>
    <w:rsid w:val="005D07B8"/>
    <w:rsid w:val="005D2B8E"/>
    <w:rsid w:val="005D47E0"/>
    <w:rsid w:val="005D4ED1"/>
    <w:rsid w:val="005D6597"/>
    <w:rsid w:val="005D78DA"/>
    <w:rsid w:val="005E14E7"/>
    <w:rsid w:val="005E26A3"/>
    <w:rsid w:val="005E42AC"/>
    <w:rsid w:val="005E447E"/>
    <w:rsid w:val="005E5B0C"/>
    <w:rsid w:val="005E74CB"/>
    <w:rsid w:val="005F01B7"/>
    <w:rsid w:val="005F0775"/>
    <w:rsid w:val="005F0CF5"/>
    <w:rsid w:val="005F1392"/>
    <w:rsid w:val="005F1CDA"/>
    <w:rsid w:val="005F21EB"/>
    <w:rsid w:val="005F2D52"/>
    <w:rsid w:val="005F5E13"/>
    <w:rsid w:val="00603E9C"/>
    <w:rsid w:val="00605908"/>
    <w:rsid w:val="00610D7C"/>
    <w:rsid w:val="00612529"/>
    <w:rsid w:val="00613414"/>
    <w:rsid w:val="0061762B"/>
    <w:rsid w:val="0062408D"/>
    <w:rsid w:val="006240CC"/>
    <w:rsid w:val="00624822"/>
    <w:rsid w:val="00626129"/>
    <w:rsid w:val="00627DA7"/>
    <w:rsid w:val="00630CB7"/>
    <w:rsid w:val="00631A2F"/>
    <w:rsid w:val="0063270C"/>
    <w:rsid w:val="006340F3"/>
    <w:rsid w:val="00634B08"/>
    <w:rsid w:val="006358B4"/>
    <w:rsid w:val="00636BCA"/>
    <w:rsid w:val="006404FA"/>
    <w:rsid w:val="006419AA"/>
    <w:rsid w:val="0064458F"/>
    <w:rsid w:val="00644B7E"/>
    <w:rsid w:val="00644BC5"/>
    <w:rsid w:val="006454E6"/>
    <w:rsid w:val="00646A68"/>
    <w:rsid w:val="0065092E"/>
    <w:rsid w:val="00652B8D"/>
    <w:rsid w:val="00654AB0"/>
    <w:rsid w:val="006557A7"/>
    <w:rsid w:val="00656290"/>
    <w:rsid w:val="006621D7"/>
    <w:rsid w:val="0066302A"/>
    <w:rsid w:val="00664C52"/>
    <w:rsid w:val="00670597"/>
    <w:rsid w:val="006706D0"/>
    <w:rsid w:val="00674F2E"/>
    <w:rsid w:val="00676AF3"/>
    <w:rsid w:val="00677574"/>
    <w:rsid w:val="0068454C"/>
    <w:rsid w:val="00686A67"/>
    <w:rsid w:val="00687B97"/>
    <w:rsid w:val="00690C1B"/>
    <w:rsid w:val="00691B62"/>
    <w:rsid w:val="00693D14"/>
    <w:rsid w:val="006944E7"/>
    <w:rsid w:val="00694DC7"/>
    <w:rsid w:val="00695308"/>
    <w:rsid w:val="00696731"/>
    <w:rsid w:val="006A18C2"/>
    <w:rsid w:val="006A4F7E"/>
    <w:rsid w:val="006B077C"/>
    <w:rsid w:val="006B0AE6"/>
    <w:rsid w:val="006B38F5"/>
    <w:rsid w:val="006B6803"/>
    <w:rsid w:val="006B6F00"/>
    <w:rsid w:val="006C403C"/>
    <w:rsid w:val="006C5536"/>
    <w:rsid w:val="006C7093"/>
    <w:rsid w:val="006C70FA"/>
    <w:rsid w:val="006C7506"/>
    <w:rsid w:val="006D2A3F"/>
    <w:rsid w:val="006D2FBC"/>
    <w:rsid w:val="006D34B6"/>
    <w:rsid w:val="006E138B"/>
    <w:rsid w:val="006E3992"/>
    <w:rsid w:val="006F1FDC"/>
    <w:rsid w:val="006F7E7D"/>
    <w:rsid w:val="007013EF"/>
    <w:rsid w:val="007025AD"/>
    <w:rsid w:val="0070436B"/>
    <w:rsid w:val="00710A4A"/>
    <w:rsid w:val="007112B9"/>
    <w:rsid w:val="00716D7B"/>
    <w:rsid w:val="007173CA"/>
    <w:rsid w:val="007216AA"/>
    <w:rsid w:val="00721AB5"/>
    <w:rsid w:val="00721DEF"/>
    <w:rsid w:val="00724A43"/>
    <w:rsid w:val="007278FC"/>
    <w:rsid w:val="00727B00"/>
    <w:rsid w:val="007346E4"/>
    <w:rsid w:val="007354B6"/>
    <w:rsid w:val="00740F22"/>
    <w:rsid w:val="00741F1A"/>
    <w:rsid w:val="00744D4E"/>
    <w:rsid w:val="007450F8"/>
    <w:rsid w:val="007452DF"/>
    <w:rsid w:val="0074696E"/>
    <w:rsid w:val="0074793A"/>
    <w:rsid w:val="00750135"/>
    <w:rsid w:val="00750EC2"/>
    <w:rsid w:val="00751231"/>
    <w:rsid w:val="00751870"/>
    <w:rsid w:val="00752B28"/>
    <w:rsid w:val="00754E36"/>
    <w:rsid w:val="00760D38"/>
    <w:rsid w:val="00763139"/>
    <w:rsid w:val="00766222"/>
    <w:rsid w:val="00766778"/>
    <w:rsid w:val="00766DBE"/>
    <w:rsid w:val="00770F37"/>
    <w:rsid w:val="007711A0"/>
    <w:rsid w:val="00772427"/>
    <w:rsid w:val="00772A54"/>
    <w:rsid w:val="00772D5E"/>
    <w:rsid w:val="00774905"/>
    <w:rsid w:val="007756FD"/>
    <w:rsid w:val="0077581C"/>
    <w:rsid w:val="00776928"/>
    <w:rsid w:val="0078327A"/>
    <w:rsid w:val="007834A8"/>
    <w:rsid w:val="00783B11"/>
    <w:rsid w:val="007850E6"/>
    <w:rsid w:val="00785677"/>
    <w:rsid w:val="00785BF5"/>
    <w:rsid w:val="00786F16"/>
    <w:rsid w:val="007904EF"/>
    <w:rsid w:val="0079120D"/>
    <w:rsid w:val="0079301F"/>
    <w:rsid w:val="00796E20"/>
    <w:rsid w:val="007978AC"/>
    <w:rsid w:val="00797C32"/>
    <w:rsid w:val="007A4995"/>
    <w:rsid w:val="007A4FE4"/>
    <w:rsid w:val="007B0914"/>
    <w:rsid w:val="007B1374"/>
    <w:rsid w:val="007B2C00"/>
    <w:rsid w:val="007B3846"/>
    <w:rsid w:val="007B3F41"/>
    <w:rsid w:val="007B589F"/>
    <w:rsid w:val="007B6186"/>
    <w:rsid w:val="007B73BC"/>
    <w:rsid w:val="007B7861"/>
    <w:rsid w:val="007C20B9"/>
    <w:rsid w:val="007C72C0"/>
    <w:rsid w:val="007C7301"/>
    <w:rsid w:val="007C7859"/>
    <w:rsid w:val="007D2BDE"/>
    <w:rsid w:val="007D2FB6"/>
    <w:rsid w:val="007D59CB"/>
    <w:rsid w:val="007D67FB"/>
    <w:rsid w:val="007D6E6E"/>
    <w:rsid w:val="007D7265"/>
    <w:rsid w:val="007D74C6"/>
    <w:rsid w:val="007E0DE2"/>
    <w:rsid w:val="007E1DFF"/>
    <w:rsid w:val="007E3B98"/>
    <w:rsid w:val="007E4981"/>
    <w:rsid w:val="007F31B6"/>
    <w:rsid w:val="007F546C"/>
    <w:rsid w:val="007F5980"/>
    <w:rsid w:val="007F625F"/>
    <w:rsid w:val="007F665E"/>
    <w:rsid w:val="00800412"/>
    <w:rsid w:val="0080437C"/>
    <w:rsid w:val="0080587B"/>
    <w:rsid w:val="00806468"/>
    <w:rsid w:val="008107A5"/>
    <w:rsid w:val="00810E18"/>
    <w:rsid w:val="00811A04"/>
    <w:rsid w:val="008155F0"/>
    <w:rsid w:val="00816735"/>
    <w:rsid w:val="0081696B"/>
    <w:rsid w:val="00820141"/>
    <w:rsid w:val="00820E0C"/>
    <w:rsid w:val="00822C5B"/>
    <w:rsid w:val="0082511D"/>
    <w:rsid w:val="00830CD6"/>
    <w:rsid w:val="008338A2"/>
    <w:rsid w:val="00833B64"/>
    <w:rsid w:val="00834FE1"/>
    <w:rsid w:val="00841AA9"/>
    <w:rsid w:val="00841D8D"/>
    <w:rsid w:val="00844F5D"/>
    <w:rsid w:val="00846884"/>
    <w:rsid w:val="00850909"/>
    <w:rsid w:val="00851BFE"/>
    <w:rsid w:val="00853EE4"/>
    <w:rsid w:val="00855535"/>
    <w:rsid w:val="008571FE"/>
    <w:rsid w:val="0086255E"/>
    <w:rsid w:val="008633F0"/>
    <w:rsid w:val="00867D9D"/>
    <w:rsid w:val="00872B0E"/>
    <w:rsid w:val="00872DD1"/>
    <w:rsid w:val="00872E0A"/>
    <w:rsid w:val="00875285"/>
    <w:rsid w:val="00880900"/>
    <w:rsid w:val="0088142F"/>
    <w:rsid w:val="00884B62"/>
    <w:rsid w:val="00884F05"/>
    <w:rsid w:val="0088529C"/>
    <w:rsid w:val="00885B6C"/>
    <w:rsid w:val="00887903"/>
    <w:rsid w:val="008918F2"/>
    <w:rsid w:val="008924F8"/>
    <w:rsid w:val="0089270A"/>
    <w:rsid w:val="00893AF6"/>
    <w:rsid w:val="00894BC4"/>
    <w:rsid w:val="00896BB3"/>
    <w:rsid w:val="0089718C"/>
    <w:rsid w:val="008A22F7"/>
    <w:rsid w:val="008A5B32"/>
    <w:rsid w:val="008A6734"/>
    <w:rsid w:val="008A7BBF"/>
    <w:rsid w:val="008B07D1"/>
    <w:rsid w:val="008B2EE4"/>
    <w:rsid w:val="008B4D3D"/>
    <w:rsid w:val="008B57C7"/>
    <w:rsid w:val="008B58A5"/>
    <w:rsid w:val="008B7057"/>
    <w:rsid w:val="008B74D2"/>
    <w:rsid w:val="008C07BD"/>
    <w:rsid w:val="008C2F92"/>
    <w:rsid w:val="008C309D"/>
    <w:rsid w:val="008D4236"/>
    <w:rsid w:val="008D462F"/>
    <w:rsid w:val="008D6DCF"/>
    <w:rsid w:val="008E1481"/>
    <w:rsid w:val="008E1942"/>
    <w:rsid w:val="008E3D86"/>
    <w:rsid w:val="008E4376"/>
    <w:rsid w:val="008E46AB"/>
    <w:rsid w:val="008E5090"/>
    <w:rsid w:val="008E60BF"/>
    <w:rsid w:val="008E67DB"/>
    <w:rsid w:val="008E6E43"/>
    <w:rsid w:val="008E7A0A"/>
    <w:rsid w:val="008F651B"/>
    <w:rsid w:val="008F7DC1"/>
    <w:rsid w:val="008F7FFA"/>
    <w:rsid w:val="00900719"/>
    <w:rsid w:val="009009E9"/>
    <w:rsid w:val="009017AC"/>
    <w:rsid w:val="00904A1C"/>
    <w:rsid w:val="00905030"/>
    <w:rsid w:val="00906490"/>
    <w:rsid w:val="00906B60"/>
    <w:rsid w:val="009111B2"/>
    <w:rsid w:val="00912810"/>
    <w:rsid w:val="00913162"/>
    <w:rsid w:val="00914C9F"/>
    <w:rsid w:val="00915F75"/>
    <w:rsid w:val="00923356"/>
    <w:rsid w:val="00924AE1"/>
    <w:rsid w:val="009269B1"/>
    <w:rsid w:val="0092724D"/>
    <w:rsid w:val="00930012"/>
    <w:rsid w:val="009305A2"/>
    <w:rsid w:val="0093243F"/>
    <w:rsid w:val="00937BD9"/>
    <w:rsid w:val="00944DAA"/>
    <w:rsid w:val="0094524A"/>
    <w:rsid w:val="00946D91"/>
    <w:rsid w:val="00950E2C"/>
    <w:rsid w:val="00951D50"/>
    <w:rsid w:val="009525EB"/>
    <w:rsid w:val="009534FA"/>
    <w:rsid w:val="0095436D"/>
    <w:rsid w:val="00954874"/>
    <w:rsid w:val="00956173"/>
    <w:rsid w:val="00961400"/>
    <w:rsid w:val="00963646"/>
    <w:rsid w:val="00966BAC"/>
    <w:rsid w:val="00972C0A"/>
    <w:rsid w:val="00977890"/>
    <w:rsid w:val="00983D43"/>
    <w:rsid w:val="009853E1"/>
    <w:rsid w:val="00985FE2"/>
    <w:rsid w:val="00986370"/>
    <w:rsid w:val="00986E6B"/>
    <w:rsid w:val="00987241"/>
    <w:rsid w:val="00991769"/>
    <w:rsid w:val="00993FB2"/>
    <w:rsid w:val="00994386"/>
    <w:rsid w:val="00997DE7"/>
    <w:rsid w:val="009A13D8"/>
    <w:rsid w:val="009A279E"/>
    <w:rsid w:val="009A3581"/>
    <w:rsid w:val="009A4BD6"/>
    <w:rsid w:val="009B051E"/>
    <w:rsid w:val="009B0A6F"/>
    <w:rsid w:val="009B0A94"/>
    <w:rsid w:val="009B1248"/>
    <w:rsid w:val="009B203E"/>
    <w:rsid w:val="009B44FA"/>
    <w:rsid w:val="009B4835"/>
    <w:rsid w:val="009B59E9"/>
    <w:rsid w:val="009B5AA7"/>
    <w:rsid w:val="009B70AA"/>
    <w:rsid w:val="009C7A7E"/>
    <w:rsid w:val="009C7A8D"/>
    <w:rsid w:val="009D02E8"/>
    <w:rsid w:val="009D3BC4"/>
    <w:rsid w:val="009D51D0"/>
    <w:rsid w:val="009D614E"/>
    <w:rsid w:val="009D70A4"/>
    <w:rsid w:val="009E08D1"/>
    <w:rsid w:val="009E1B95"/>
    <w:rsid w:val="009E1F83"/>
    <w:rsid w:val="009E496F"/>
    <w:rsid w:val="009E4B0D"/>
    <w:rsid w:val="009E7F20"/>
    <w:rsid w:val="009E7F92"/>
    <w:rsid w:val="009F02A3"/>
    <w:rsid w:val="009F28E7"/>
    <w:rsid w:val="009F2F27"/>
    <w:rsid w:val="009F3228"/>
    <w:rsid w:val="009F34AA"/>
    <w:rsid w:val="009F3ECA"/>
    <w:rsid w:val="009F6BCB"/>
    <w:rsid w:val="009F7B78"/>
    <w:rsid w:val="00A0057A"/>
    <w:rsid w:val="00A04D26"/>
    <w:rsid w:val="00A05C85"/>
    <w:rsid w:val="00A06F27"/>
    <w:rsid w:val="00A0798D"/>
    <w:rsid w:val="00A11023"/>
    <w:rsid w:val="00A11421"/>
    <w:rsid w:val="00A12AAD"/>
    <w:rsid w:val="00A157B1"/>
    <w:rsid w:val="00A168B6"/>
    <w:rsid w:val="00A22229"/>
    <w:rsid w:val="00A24E53"/>
    <w:rsid w:val="00A2514E"/>
    <w:rsid w:val="00A27312"/>
    <w:rsid w:val="00A368E3"/>
    <w:rsid w:val="00A36E71"/>
    <w:rsid w:val="00A44882"/>
    <w:rsid w:val="00A50B23"/>
    <w:rsid w:val="00A5201D"/>
    <w:rsid w:val="00A54715"/>
    <w:rsid w:val="00A5482E"/>
    <w:rsid w:val="00A5486B"/>
    <w:rsid w:val="00A6061C"/>
    <w:rsid w:val="00A61A46"/>
    <w:rsid w:val="00A624AD"/>
    <w:rsid w:val="00A62D44"/>
    <w:rsid w:val="00A65BF3"/>
    <w:rsid w:val="00A66E36"/>
    <w:rsid w:val="00A67263"/>
    <w:rsid w:val="00A7161C"/>
    <w:rsid w:val="00A74C46"/>
    <w:rsid w:val="00A771CD"/>
    <w:rsid w:val="00A77AA3"/>
    <w:rsid w:val="00A77BDF"/>
    <w:rsid w:val="00A854EB"/>
    <w:rsid w:val="00A872E5"/>
    <w:rsid w:val="00A91406"/>
    <w:rsid w:val="00A9588E"/>
    <w:rsid w:val="00A96E65"/>
    <w:rsid w:val="00A97580"/>
    <w:rsid w:val="00A97904"/>
    <w:rsid w:val="00A97C72"/>
    <w:rsid w:val="00A97EE4"/>
    <w:rsid w:val="00AA1863"/>
    <w:rsid w:val="00AA4B87"/>
    <w:rsid w:val="00AA63BE"/>
    <w:rsid w:val="00AA63D4"/>
    <w:rsid w:val="00AA7302"/>
    <w:rsid w:val="00AB06E8"/>
    <w:rsid w:val="00AB1CD3"/>
    <w:rsid w:val="00AB271A"/>
    <w:rsid w:val="00AB352F"/>
    <w:rsid w:val="00AB59E4"/>
    <w:rsid w:val="00AC274B"/>
    <w:rsid w:val="00AC3A51"/>
    <w:rsid w:val="00AC4764"/>
    <w:rsid w:val="00AC6D36"/>
    <w:rsid w:val="00AD0CBA"/>
    <w:rsid w:val="00AD26E2"/>
    <w:rsid w:val="00AD2EF1"/>
    <w:rsid w:val="00AD42C1"/>
    <w:rsid w:val="00AD47EA"/>
    <w:rsid w:val="00AD4C7D"/>
    <w:rsid w:val="00AD572D"/>
    <w:rsid w:val="00AD6EE0"/>
    <w:rsid w:val="00AD7324"/>
    <w:rsid w:val="00AD784C"/>
    <w:rsid w:val="00AE08B6"/>
    <w:rsid w:val="00AE126A"/>
    <w:rsid w:val="00AE141E"/>
    <w:rsid w:val="00AE3005"/>
    <w:rsid w:val="00AE3308"/>
    <w:rsid w:val="00AE3BD5"/>
    <w:rsid w:val="00AE3CF4"/>
    <w:rsid w:val="00AE40BF"/>
    <w:rsid w:val="00AE51A7"/>
    <w:rsid w:val="00AE59A0"/>
    <w:rsid w:val="00AE60E9"/>
    <w:rsid w:val="00AE759E"/>
    <w:rsid w:val="00AF0C57"/>
    <w:rsid w:val="00AF26F3"/>
    <w:rsid w:val="00AF2B0F"/>
    <w:rsid w:val="00AF3726"/>
    <w:rsid w:val="00AF3903"/>
    <w:rsid w:val="00AF5F04"/>
    <w:rsid w:val="00B00672"/>
    <w:rsid w:val="00B01B4D"/>
    <w:rsid w:val="00B033D8"/>
    <w:rsid w:val="00B04E8E"/>
    <w:rsid w:val="00B06571"/>
    <w:rsid w:val="00B068BA"/>
    <w:rsid w:val="00B13851"/>
    <w:rsid w:val="00B13B1C"/>
    <w:rsid w:val="00B170AD"/>
    <w:rsid w:val="00B17E40"/>
    <w:rsid w:val="00B20044"/>
    <w:rsid w:val="00B22291"/>
    <w:rsid w:val="00B23F9A"/>
    <w:rsid w:val="00B2417B"/>
    <w:rsid w:val="00B24E6F"/>
    <w:rsid w:val="00B269F5"/>
    <w:rsid w:val="00B26CB5"/>
    <w:rsid w:val="00B27232"/>
    <w:rsid w:val="00B2752E"/>
    <w:rsid w:val="00B307CC"/>
    <w:rsid w:val="00B323F2"/>
    <w:rsid w:val="00B326B7"/>
    <w:rsid w:val="00B339B0"/>
    <w:rsid w:val="00B351E2"/>
    <w:rsid w:val="00B431E8"/>
    <w:rsid w:val="00B45141"/>
    <w:rsid w:val="00B51E6C"/>
    <w:rsid w:val="00B5273A"/>
    <w:rsid w:val="00B52956"/>
    <w:rsid w:val="00B52957"/>
    <w:rsid w:val="00B52C76"/>
    <w:rsid w:val="00B52DAC"/>
    <w:rsid w:val="00B57EA9"/>
    <w:rsid w:val="00B6101D"/>
    <w:rsid w:val="00B62B50"/>
    <w:rsid w:val="00B62ECA"/>
    <w:rsid w:val="00B635B7"/>
    <w:rsid w:val="00B63AE8"/>
    <w:rsid w:val="00B65950"/>
    <w:rsid w:val="00B669DE"/>
    <w:rsid w:val="00B66D83"/>
    <w:rsid w:val="00B672C0"/>
    <w:rsid w:val="00B70AFA"/>
    <w:rsid w:val="00B71010"/>
    <w:rsid w:val="00B75646"/>
    <w:rsid w:val="00B75D3B"/>
    <w:rsid w:val="00B75F11"/>
    <w:rsid w:val="00B768B1"/>
    <w:rsid w:val="00B8560D"/>
    <w:rsid w:val="00B90729"/>
    <w:rsid w:val="00B907DA"/>
    <w:rsid w:val="00B911E8"/>
    <w:rsid w:val="00B91237"/>
    <w:rsid w:val="00B9159B"/>
    <w:rsid w:val="00B93568"/>
    <w:rsid w:val="00B950BC"/>
    <w:rsid w:val="00B9536D"/>
    <w:rsid w:val="00B9627E"/>
    <w:rsid w:val="00B9714C"/>
    <w:rsid w:val="00BA3F8D"/>
    <w:rsid w:val="00BA5353"/>
    <w:rsid w:val="00BB07C7"/>
    <w:rsid w:val="00BB3783"/>
    <w:rsid w:val="00BB4074"/>
    <w:rsid w:val="00BB4C36"/>
    <w:rsid w:val="00BB7A10"/>
    <w:rsid w:val="00BC0344"/>
    <w:rsid w:val="00BC4297"/>
    <w:rsid w:val="00BC4B81"/>
    <w:rsid w:val="00BC5668"/>
    <w:rsid w:val="00BC5AFA"/>
    <w:rsid w:val="00BC7468"/>
    <w:rsid w:val="00BC7D4F"/>
    <w:rsid w:val="00BC7ED7"/>
    <w:rsid w:val="00BD0C59"/>
    <w:rsid w:val="00BD2850"/>
    <w:rsid w:val="00BE1DFB"/>
    <w:rsid w:val="00BE28D2"/>
    <w:rsid w:val="00BE4A64"/>
    <w:rsid w:val="00BF2FFB"/>
    <w:rsid w:val="00BF4AF0"/>
    <w:rsid w:val="00BF7F58"/>
    <w:rsid w:val="00C01381"/>
    <w:rsid w:val="00C06557"/>
    <w:rsid w:val="00C079B8"/>
    <w:rsid w:val="00C10733"/>
    <w:rsid w:val="00C11AD9"/>
    <w:rsid w:val="00C123EA"/>
    <w:rsid w:val="00C12A49"/>
    <w:rsid w:val="00C133EE"/>
    <w:rsid w:val="00C15C0C"/>
    <w:rsid w:val="00C15FB1"/>
    <w:rsid w:val="00C204E2"/>
    <w:rsid w:val="00C27DE9"/>
    <w:rsid w:val="00C33388"/>
    <w:rsid w:val="00C35484"/>
    <w:rsid w:val="00C35C56"/>
    <w:rsid w:val="00C36279"/>
    <w:rsid w:val="00C37A82"/>
    <w:rsid w:val="00C40D61"/>
    <w:rsid w:val="00C4173A"/>
    <w:rsid w:val="00C42CB7"/>
    <w:rsid w:val="00C51F27"/>
    <w:rsid w:val="00C52FD4"/>
    <w:rsid w:val="00C531B1"/>
    <w:rsid w:val="00C547A4"/>
    <w:rsid w:val="00C56CCF"/>
    <w:rsid w:val="00C602FF"/>
    <w:rsid w:val="00C61174"/>
    <w:rsid w:val="00C6148F"/>
    <w:rsid w:val="00C6164E"/>
    <w:rsid w:val="00C61E8B"/>
    <w:rsid w:val="00C62F7A"/>
    <w:rsid w:val="00C63B9C"/>
    <w:rsid w:val="00C64E95"/>
    <w:rsid w:val="00C654D6"/>
    <w:rsid w:val="00C6682F"/>
    <w:rsid w:val="00C7275E"/>
    <w:rsid w:val="00C72EC8"/>
    <w:rsid w:val="00C73DB4"/>
    <w:rsid w:val="00C74C5D"/>
    <w:rsid w:val="00C751C1"/>
    <w:rsid w:val="00C81AB5"/>
    <w:rsid w:val="00C8512A"/>
    <w:rsid w:val="00C863C4"/>
    <w:rsid w:val="00C875FA"/>
    <w:rsid w:val="00C91C4D"/>
    <w:rsid w:val="00C93C3E"/>
    <w:rsid w:val="00CA12E3"/>
    <w:rsid w:val="00CA2140"/>
    <w:rsid w:val="00CA4FB6"/>
    <w:rsid w:val="00CA6611"/>
    <w:rsid w:val="00CA69C0"/>
    <w:rsid w:val="00CA6AE6"/>
    <w:rsid w:val="00CA782F"/>
    <w:rsid w:val="00CA7D91"/>
    <w:rsid w:val="00CB0685"/>
    <w:rsid w:val="00CB0DA9"/>
    <w:rsid w:val="00CB651E"/>
    <w:rsid w:val="00CC0C72"/>
    <w:rsid w:val="00CC11FD"/>
    <w:rsid w:val="00CC175A"/>
    <w:rsid w:val="00CC2BFD"/>
    <w:rsid w:val="00CC3889"/>
    <w:rsid w:val="00CC3FA8"/>
    <w:rsid w:val="00CC42B7"/>
    <w:rsid w:val="00CC4CCF"/>
    <w:rsid w:val="00CC5E6E"/>
    <w:rsid w:val="00CC5E85"/>
    <w:rsid w:val="00CC67EB"/>
    <w:rsid w:val="00CC766C"/>
    <w:rsid w:val="00CD3476"/>
    <w:rsid w:val="00CD4D21"/>
    <w:rsid w:val="00CD6239"/>
    <w:rsid w:val="00CD64DF"/>
    <w:rsid w:val="00CE49E2"/>
    <w:rsid w:val="00CF03DA"/>
    <w:rsid w:val="00CF14B5"/>
    <w:rsid w:val="00CF2F50"/>
    <w:rsid w:val="00CF33B9"/>
    <w:rsid w:val="00D02919"/>
    <w:rsid w:val="00D04C61"/>
    <w:rsid w:val="00D04E92"/>
    <w:rsid w:val="00D05B8D"/>
    <w:rsid w:val="00D0632B"/>
    <w:rsid w:val="00D065A2"/>
    <w:rsid w:val="00D07F00"/>
    <w:rsid w:val="00D105CF"/>
    <w:rsid w:val="00D116F7"/>
    <w:rsid w:val="00D11F18"/>
    <w:rsid w:val="00D122EC"/>
    <w:rsid w:val="00D16DF0"/>
    <w:rsid w:val="00D17B45"/>
    <w:rsid w:val="00D17B72"/>
    <w:rsid w:val="00D21B74"/>
    <w:rsid w:val="00D249ED"/>
    <w:rsid w:val="00D3185C"/>
    <w:rsid w:val="00D33E72"/>
    <w:rsid w:val="00D35BD6"/>
    <w:rsid w:val="00D361B5"/>
    <w:rsid w:val="00D411A2"/>
    <w:rsid w:val="00D41E6E"/>
    <w:rsid w:val="00D433E2"/>
    <w:rsid w:val="00D4606D"/>
    <w:rsid w:val="00D50B9C"/>
    <w:rsid w:val="00D51C77"/>
    <w:rsid w:val="00D51FE0"/>
    <w:rsid w:val="00D52D73"/>
    <w:rsid w:val="00D52E58"/>
    <w:rsid w:val="00D53CB7"/>
    <w:rsid w:val="00D55352"/>
    <w:rsid w:val="00D57359"/>
    <w:rsid w:val="00D6368E"/>
    <w:rsid w:val="00D6380E"/>
    <w:rsid w:val="00D71118"/>
    <w:rsid w:val="00D714CC"/>
    <w:rsid w:val="00D75EA7"/>
    <w:rsid w:val="00D80A7C"/>
    <w:rsid w:val="00D81F21"/>
    <w:rsid w:val="00D82272"/>
    <w:rsid w:val="00D92803"/>
    <w:rsid w:val="00D933B7"/>
    <w:rsid w:val="00D95470"/>
    <w:rsid w:val="00D972D8"/>
    <w:rsid w:val="00DA111A"/>
    <w:rsid w:val="00DA18DD"/>
    <w:rsid w:val="00DA2619"/>
    <w:rsid w:val="00DA284F"/>
    <w:rsid w:val="00DA2C8C"/>
    <w:rsid w:val="00DA3E68"/>
    <w:rsid w:val="00DA4239"/>
    <w:rsid w:val="00DB0B61"/>
    <w:rsid w:val="00DB120A"/>
    <w:rsid w:val="00DB633C"/>
    <w:rsid w:val="00DB77C9"/>
    <w:rsid w:val="00DC090B"/>
    <w:rsid w:val="00DC1679"/>
    <w:rsid w:val="00DC27CF"/>
    <w:rsid w:val="00DC2CF1"/>
    <w:rsid w:val="00DC4FCF"/>
    <w:rsid w:val="00DC50E0"/>
    <w:rsid w:val="00DC6386"/>
    <w:rsid w:val="00DC7CCD"/>
    <w:rsid w:val="00DD1130"/>
    <w:rsid w:val="00DD1951"/>
    <w:rsid w:val="00DD25F3"/>
    <w:rsid w:val="00DD306B"/>
    <w:rsid w:val="00DD3678"/>
    <w:rsid w:val="00DD4B65"/>
    <w:rsid w:val="00DD6628"/>
    <w:rsid w:val="00DD73D5"/>
    <w:rsid w:val="00DE0F25"/>
    <w:rsid w:val="00DE318F"/>
    <w:rsid w:val="00DE3250"/>
    <w:rsid w:val="00DE4025"/>
    <w:rsid w:val="00DE6028"/>
    <w:rsid w:val="00DE78A3"/>
    <w:rsid w:val="00DF1A71"/>
    <w:rsid w:val="00DF1CE0"/>
    <w:rsid w:val="00DF68C7"/>
    <w:rsid w:val="00DF731A"/>
    <w:rsid w:val="00DF7F67"/>
    <w:rsid w:val="00E01DDA"/>
    <w:rsid w:val="00E02383"/>
    <w:rsid w:val="00E03BB7"/>
    <w:rsid w:val="00E052E3"/>
    <w:rsid w:val="00E06154"/>
    <w:rsid w:val="00E1056D"/>
    <w:rsid w:val="00E1409E"/>
    <w:rsid w:val="00E16847"/>
    <w:rsid w:val="00E170DC"/>
    <w:rsid w:val="00E218CC"/>
    <w:rsid w:val="00E24DE2"/>
    <w:rsid w:val="00E26818"/>
    <w:rsid w:val="00E27FFC"/>
    <w:rsid w:val="00E30B15"/>
    <w:rsid w:val="00E35A88"/>
    <w:rsid w:val="00E40181"/>
    <w:rsid w:val="00E40E70"/>
    <w:rsid w:val="00E47989"/>
    <w:rsid w:val="00E53ADA"/>
    <w:rsid w:val="00E54F46"/>
    <w:rsid w:val="00E57815"/>
    <w:rsid w:val="00E61F5D"/>
    <w:rsid w:val="00E629A1"/>
    <w:rsid w:val="00E67692"/>
    <w:rsid w:val="00E71591"/>
    <w:rsid w:val="00E71DE9"/>
    <w:rsid w:val="00E7201A"/>
    <w:rsid w:val="00E72FB1"/>
    <w:rsid w:val="00E7312B"/>
    <w:rsid w:val="00E74CD4"/>
    <w:rsid w:val="00E74CF5"/>
    <w:rsid w:val="00E80BBF"/>
    <w:rsid w:val="00E812F5"/>
    <w:rsid w:val="00E82C55"/>
    <w:rsid w:val="00E8395B"/>
    <w:rsid w:val="00E901D9"/>
    <w:rsid w:val="00E9163F"/>
    <w:rsid w:val="00E92AC3"/>
    <w:rsid w:val="00E96BA2"/>
    <w:rsid w:val="00EA13AC"/>
    <w:rsid w:val="00EA355B"/>
    <w:rsid w:val="00EB00E0"/>
    <w:rsid w:val="00EB0B88"/>
    <w:rsid w:val="00EB2459"/>
    <w:rsid w:val="00EC059F"/>
    <w:rsid w:val="00EC05E1"/>
    <w:rsid w:val="00EC1F24"/>
    <w:rsid w:val="00EC22F6"/>
    <w:rsid w:val="00EC3755"/>
    <w:rsid w:val="00EC549C"/>
    <w:rsid w:val="00ED08B7"/>
    <w:rsid w:val="00ED186F"/>
    <w:rsid w:val="00ED1B50"/>
    <w:rsid w:val="00ED2BB6"/>
    <w:rsid w:val="00ED3962"/>
    <w:rsid w:val="00ED481F"/>
    <w:rsid w:val="00ED5B9B"/>
    <w:rsid w:val="00ED6BAD"/>
    <w:rsid w:val="00ED7447"/>
    <w:rsid w:val="00EE0F11"/>
    <w:rsid w:val="00EE1488"/>
    <w:rsid w:val="00EE33BC"/>
    <w:rsid w:val="00EE4D5D"/>
    <w:rsid w:val="00EE5131"/>
    <w:rsid w:val="00EE5D07"/>
    <w:rsid w:val="00EF109B"/>
    <w:rsid w:val="00EF36AF"/>
    <w:rsid w:val="00EF4271"/>
    <w:rsid w:val="00EF4374"/>
    <w:rsid w:val="00EF50AD"/>
    <w:rsid w:val="00F00F9C"/>
    <w:rsid w:val="00F01B68"/>
    <w:rsid w:val="00F01E5F"/>
    <w:rsid w:val="00F0256A"/>
    <w:rsid w:val="00F02ABA"/>
    <w:rsid w:val="00F0437A"/>
    <w:rsid w:val="00F06430"/>
    <w:rsid w:val="00F06B65"/>
    <w:rsid w:val="00F11037"/>
    <w:rsid w:val="00F16F1B"/>
    <w:rsid w:val="00F240CE"/>
    <w:rsid w:val="00F250A9"/>
    <w:rsid w:val="00F25142"/>
    <w:rsid w:val="00F264E6"/>
    <w:rsid w:val="00F27850"/>
    <w:rsid w:val="00F30FF4"/>
    <w:rsid w:val="00F3122E"/>
    <w:rsid w:val="00F321F5"/>
    <w:rsid w:val="00F331AD"/>
    <w:rsid w:val="00F35287"/>
    <w:rsid w:val="00F36544"/>
    <w:rsid w:val="00F36FB7"/>
    <w:rsid w:val="00F43418"/>
    <w:rsid w:val="00F43A37"/>
    <w:rsid w:val="00F4641B"/>
    <w:rsid w:val="00F46EB8"/>
    <w:rsid w:val="00F50986"/>
    <w:rsid w:val="00F511E4"/>
    <w:rsid w:val="00F52D09"/>
    <w:rsid w:val="00F52E08"/>
    <w:rsid w:val="00F54F34"/>
    <w:rsid w:val="00F55B21"/>
    <w:rsid w:val="00F56631"/>
    <w:rsid w:val="00F56EF6"/>
    <w:rsid w:val="00F5787B"/>
    <w:rsid w:val="00F61A9F"/>
    <w:rsid w:val="00F627B1"/>
    <w:rsid w:val="00F64433"/>
    <w:rsid w:val="00F64696"/>
    <w:rsid w:val="00F655E9"/>
    <w:rsid w:val="00F65AA9"/>
    <w:rsid w:val="00F66F33"/>
    <w:rsid w:val="00F6768F"/>
    <w:rsid w:val="00F70684"/>
    <w:rsid w:val="00F71274"/>
    <w:rsid w:val="00F72C2C"/>
    <w:rsid w:val="00F74F68"/>
    <w:rsid w:val="00F766AD"/>
    <w:rsid w:val="00F76CAB"/>
    <w:rsid w:val="00F772C6"/>
    <w:rsid w:val="00F80EA7"/>
    <w:rsid w:val="00F815B5"/>
    <w:rsid w:val="00F82481"/>
    <w:rsid w:val="00F85195"/>
    <w:rsid w:val="00F858F0"/>
    <w:rsid w:val="00F90F56"/>
    <w:rsid w:val="00F938BA"/>
    <w:rsid w:val="00F94FF0"/>
    <w:rsid w:val="00F97F1C"/>
    <w:rsid w:val="00FA2C46"/>
    <w:rsid w:val="00FA3525"/>
    <w:rsid w:val="00FB0069"/>
    <w:rsid w:val="00FB1317"/>
    <w:rsid w:val="00FB2C99"/>
    <w:rsid w:val="00FB4CDA"/>
    <w:rsid w:val="00FB5442"/>
    <w:rsid w:val="00FB6F6A"/>
    <w:rsid w:val="00FB7B1D"/>
    <w:rsid w:val="00FC0F81"/>
    <w:rsid w:val="00FC1DB7"/>
    <w:rsid w:val="00FC395C"/>
    <w:rsid w:val="00FC3D45"/>
    <w:rsid w:val="00FC6E6D"/>
    <w:rsid w:val="00FD2A03"/>
    <w:rsid w:val="00FD2E33"/>
    <w:rsid w:val="00FD3714"/>
    <w:rsid w:val="00FD3766"/>
    <w:rsid w:val="00FD47C4"/>
    <w:rsid w:val="00FD767E"/>
    <w:rsid w:val="00FE2DCF"/>
    <w:rsid w:val="00FE69E0"/>
    <w:rsid w:val="00FE753C"/>
    <w:rsid w:val="00FF0E03"/>
    <w:rsid w:val="00FF13C1"/>
    <w:rsid w:val="00FF2FCE"/>
    <w:rsid w:val="00FF4F7D"/>
    <w:rsid w:val="00FF4FC9"/>
    <w:rsid w:val="00FF5D35"/>
    <w:rsid w:val="00FF65D6"/>
    <w:rsid w:val="00FF6D9D"/>
    <w:rsid w:val="2019BB5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5C4CC36"/>
  <w15:docId w15:val="{2F4B633C-07BA-43F4-AD80-EFCA9D39E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5">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1"/>
    <w:rsid w:val="007756FD"/>
    <w:rPr>
      <w:rFonts w:ascii="Cambria" w:hAnsi="Cambria"/>
    </w:rPr>
  </w:style>
  <w:style w:type="paragraph" w:styleId="Heading1">
    <w:name w:val="heading 1"/>
    <w:next w:val="DHHSbody"/>
    <w:link w:val="Heading1Char"/>
    <w:uiPriority w:val="1"/>
    <w:qFormat/>
    <w:rsid w:val="00036725"/>
    <w:pPr>
      <w:keepNext/>
      <w:keepLines/>
      <w:spacing w:before="320" w:after="200" w:line="440" w:lineRule="atLeast"/>
      <w:outlineLvl w:val="0"/>
    </w:pPr>
    <w:rPr>
      <w:rFonts w:ascii="Arial" w:eastAsia="MS Gothic" w:hAnsi="Arial" w:cs="Arial"/>
      <w:bCs/>
      <w:color w:val="AF272F"/>
      <w:kern w:val="32"/>
      <w:sz w:val="36"/>
      <w:szCs w:val="40"/>
    </w:rPr>
  </w:style>
  <w:style w:type="paragraph" w:styleId="Heading2">
    <w:name w:val="heading 2"/>
    <w:next w:val="DHHSbody"/>
    <w:link w:val="Heading2Char"/>
    <w:uiPriority w:val="1"/>
    <w:qFormat/>
    <w:rsid w:val="00036725"/>
    <w:pPr>
      <w:keepNext/>
      <w:keepLines/>
      <w:spacing w:before="240" w:after="90" w:line="320" w:lineRule="atLeast"/>
      <w:outlineLvl w:val="1"/>
    </w:pPr>
    <w:rPr>
      <w:rFonts w:ascii="Arial" w:hAnsi="Arial"/>
      <w:b/>
      <w:color w:val="AF272F"/>
      <w:sz w:val="28"/>
      <w:szCs w:val="28"/>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uiPriority w:val="99"/>
    <w:qFormat/>
    <w:rsid w:val="00DE6028"/>
    <w:pPr>
      <w:spacing w:after="120" w:line="270" w:lineRule="atLeast"/>
    </w:pPr>
    <w:rPr>
      <w:rFonts w:ascii="Arial" w:eastAsia="Times" w:hAnsi="Arial"/>
    </w:rPr>
  </w:style>
  <w:style w:type="character" w:customStyle="1" w:styleId="Heading1Char">
    <w:name w:val="Heading 1 Char"/>
    <w:link w:val="Heading1"/>
    <w:uiPriority w:val="1"/>
    <w:rsid w:val="00036725"/>
    <w:rPr>
      <w:rFonts w:ascii="Arial" w:eastAsia="MS Gothic" w:hAnsi="Arial" w:cs="Arial"/>
      <w:bCs/>
      <w:color w:val="AF272F"/>
      <w:kern w:val="32"/>
      <w:sz w:val="36"/>
      <w:szCs w:val="40"/>
      <w:lang w:eastAsia="en-US"/>
    </w:rPr>
  </w:style>
  <w:style w:type="character" w:customStyle="1" w:styleId="Heading2Char">
    <w:name w:val="Heading 2 Char"/>
    <w:link w:val="Heading2"/>
    <w:uiPriority w:val="9"/>
    <w:rsid w:val="00036725"/>
    <w:rPr>
      <w:rFonts w:ascii="Arial" w:hAnsi="Arial"/>
      <w:b/>
      <w:color w:val="AF272F"/>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9B0A6F"/>
    <w:rPr>
      <w:lang w:bidi="x-none"/>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036725"/>
    <w:pPr>
      <w:spacing w:before="0" w:after="200"/>
      <w:outlineLvl w:val="9"/>
    </w:pPr>
  </w:style>
  <w:style w:type="character" w:customStyle="1" w:styleId="DHHSTOCheadingfactsheetChar">
    <w:name w:val="DHHS TOC heading fact sheet Char"/>
    <w:link w:val="DHHSTOCheadingfactsheet"/>
    <w:uiPriority w:val="4"/>
    <w:rsid w:val="00036725"/>
    <w:rPr>
      <w:rFonts w:ascii="Arial" w:hAnsi="Arial"/>
      <w:b/>
      <w:color w:val="AF272F"/>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rPr>
  </w:style>
  <w:style w:type="paragraph" w:styleId="TOC3">
    <w:name w:val="toc 3"/>
    <w:basedOn w:val="TOC2"/>
    <w:next w:val="DHHSbody"/>
    <w:uiPriority w:val="39"/>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rPr>
  </w:style>
  <w:style w:type="paragraph" w:customStyle="1" w:styleId="DHHStabletext">
    <w:name w:val="DHHS table text"/>
    <w:uiPriority w:val="3"/>
    <w:qFormat/>
    <w:rsid w:val="00DA2619"/>
    <w:pPr>
      <w:spacing w:before="80" w:after="60"/>
    </w:pPr>
    <w:rPr>
      <w:rFonts w:ascii="Arial" w:hAnsi="Arial"/>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rPr>
  </w:style>
  <w:style w:type="paragraph" w:customStyle="1" w:styleId="DHHSmainheading">
    <w:name w:val="DHHS main heading"/>
    <w:uiPriority w:val="8"/>
    <w:rsid w:val="004946F4"/>
    <w:pPr>
      <w:spacing w:line="560" w:lineRule="atLeast"/>
    </w:pPr>
    <w:rPr>
      <w:rFonts w:ascii="Arial" w:hAnsi="Arial"/>
      <w:color w:val="FFFFFF"/>
      <w:sz w:val="50"/>
      <w:szCs w:val="50"/>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rPr>
  </w:style>
  <w:style w:type="paragraph" w:customStyle="1" w:styleId="DHHSfigurecaption">
    <w:name w:val="DHHS figure caption"/>
    <w:next w:val="DHHSbody"/>
    <w:rsid w:val="00770F37"/>
    <w:pPr>
      <w:keepNext/>
      <w:keepLines/>
      <w:spacing w:before="240" w:after="120"/>
    </w:pPr>
    <w:rPr>
      <w:rFonts w:ascii="Arial" w:hAnsi="Arial"/>
      <w:b/>
    </w:rPr>
  </w:style>
  <w:style w:type="paragraph" w:customStyle="1" w:styleId="DHHSbullet2">
    <w:name w:val="DHHS bullet 2"/>
    <w:basedOn w:val="DHHSbody"/>
    <w:uiPriority w:val="2"/>
    <w:qFormat/>
    <w:rsid w:val="0051568D"/>
    <w:pPr>
      <w:numPr>
        <w:ilvl w:val="2"/>
        <w:numId w:val="7"/>
      </w:numPr>
      <w:spacing w:after="40"/>
    </w:pPr>
  </w:style>
  <w:style w:type="paragraph" w:styleId="BalloonText">
    <w:name w:val="Balloon Text"/>
    <w:basedOn w:val="Normal"/>
    <w:link w:val="BalloonTextChar"/>
    <w:uiPriority w:val="99"/>
    <w:semiHidden/>
    <w:unhideWhenUsed/>
    <w:rsid w:val="00DF7F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7F67"/>
    <w:rPr>
      <w:rFonts w:ascii="Lucida Grande" w:hAnsi="Lucida Grande" w:cs="Lucida Grande"/>
      <w:sz w:val="18"/>
      <w:szCs w:val="18"/>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036725"/>
    <w:pPr>
      <w:spacing w:before="80" w:after="60"/>
    </w:pPr>
    <w:rPr>
      <w:rFonts w:ascii="Arial" w:hAnsi="Arial"/>
      <w:b/>
      <w:color w:val="AF272F"/>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3"/>
      </w:numPr>
    </w:pPr>
  </w:style>
  <w:style w:type="paragraph" w:customStyle="1" w:styleId="DHHSnumberloweralphaindent">
    <w:name w:val="DHHS number lower alpha indent"/>
    <w:basedOn w:val="DHHSbody"/>
    <w:uiPriority w:val="3"/>
    <w:rsid w:val="00152073"/>
    <w:pPr>
      <w:numPr>
        <w:ilvl w:val="3"/>
        <w:numId w:val="3"/>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3"/>
      </w:numPr>
    </w:pPr>
  </w:style>
  <w:style w:type="paragraph" w:customStyle="1" w:styleId="DHHSnumberlowerroman">
    <w:name w:val="DHHS number lower roman"/>
    <w:basedOn w:val="DHHSbody"/>
    <w:uiPriority w:val="3"/>
    <w:rsid w:val="00152073"/>
    <w:pPr>
      <w:numPr>
        <w:ilvl w:val="4"/>
        <w:numId w:val="3"/>
      </w:numPr>
    </w:pPr>
  </w:style>
  <w:style w:type="paragraph" w:customStyle="1" w:styleId="DHHSnumberlowerromanindent">
    <w:name w:val="DHHS number lower roman indent"/>
    <w:basedOn w:val="DHHSbody"/>
    <w:uiPriority w:val="3"/>
    <w:rsid w:val="00152073"/>
    <w:pPr>
      <w:numPr>
        <w:ilvl w:val="5"/>
        <w:numId w:val="3"/>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rPr>
  </w:style>
  <w:style w:type="paragraph" w:customStyle="1" w:styleId="DHHSheader">
    <w:name w:val="DHHS header"/>
    <w:basedOn w:val="DHHSfooter"/>
    <w:uiPriority w:val="11"/>
    <w:rsid w:val="0051568D"/>
  </w:style>
  <w:style w:type="character" w:customStyle="1" w:styleId="DHHSbodyChar">
    <w:name w:val="DHHS body Char"/>
    <w:link w:val="DHHSbody"/>
    <w:uiPriority w:val="99"/>
    <w:rsid w:val="00112A7F"/>
    <w:rPr>
      <w:rFonts w:ascii="Arial" w:eastAsia="Times" w:hAnsi="Arial"/>
    </w:rPr>
  </w:style>
  <w:style w:type="paragraph" w:styleId="ListParagraph">
    <w:name w:val="List Paragraph"/>
    <w:basedOn w:val="Normal"/>
    <w:uiPriority w:val="34"/>
    <w:qFormat/>
    <w:rsid w:val="00112A7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7B3846"/>
    <w:rPr>
      <w:sz w:val="16"/>
      <w:szCs w:val="16"/>
    </w:rPr>
  </w:style>
  <w:style w:type="paragraph" w:styleId="CommentText">
    <w:name w:val="annotation text"/>
    <w:basedOn w:val="Normal"/>
    <w:link w:val="CommentTextChar"/>
    <w:uiPriority w:val="99"/>
    <w:semiHidden/>
    <w:unhideWhenUsed/>
    <w:rsid w:val="007B3846"/>
  </w:style>
  <w:style w:type="character" w:customStyle="1" w:styleId="CommentTextChar">
    <w:name w:val="Comment Text Char"/>
    <w:basedOn w:val="DefaultParagraphFont"/>
    <w:link w:val="CommentText"/>
    <w:uiPriority w:val="99"/>
    <w:semiHidden/>
    <w:rsid w:val="007B3846"/>
    <w:rPr>
      <w:rFonts w:ascii="Cambria" w:hAnsi="Cambria"/>
    </w:rPr>
  </w:style>
  <w:style w:type="paragraph" w:styleId="CommentSubject">
    <w:name w:val="annotation subject"/>
    <w:basedOn w:val="CommentText"/>
    <w:next w:val="CommentText"/>
    <w:link w:val="CommentSubjectChar"/>
    <w:uiPriority w:val="99"/>
    <w:semiHidden/>
    <w:unhideWhenUsed/>
    <w:rsid w:val="007B3846"/>
    <w:rPr>
      <w:b/>
      <w:bCs/>
    </w:rPr>
  </w:style>
  <w:style w:type="character" w:customStyle="1" w:styleId="CommentSubjectChar">
    <w:name w:val="Comment Subject Char"/>
    <w:basedOn w:val="CommentTextChar"/>
    <w:link w:val="CommentSubject"/>
    <w:uiPriority w:val="99"/>
    <w:semiHidden/>
    <w:rsid w:val="007B3846"/>
    <w:rPr>
      <w:rFonts w:ascii="Cambria" w:hAnsi="Cambria"/>
      <w:b/>
      <w:bCs/>
    </w:rPr>
  </w:style>
  <w:style w:type="paragraph" w:styleId="Revision">
    <w:name w:val="Revision"/>
    <w:hidden/>
    <w:uiPriority w:val="99"/>
    <w:semiHidden/>
    <w:rsid w:val="001C4F73"/>
    <w:rPr>
      <w:rFonts w:ascii="Cambria" w:hAnsi="Cambria"/>
    </w:rPr>
  </w:style>
  <w:style w:type="table" w:customStyle="1" w:styleId="TableGrid1">
    <w:name w:val="Table Grid1"/>
    <w:basedOn w:val="TableNormal"/>
    <w:next w:val="TableGrid"/>
    <w:uiPriority w:val="59"/>
    <w:rsid w:val="001C4F7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27312"/>
    <w:rPr>
      <w:rFonts w:ascii="Times New Roman" w:hAnsi="Times New Roman"/>
      <w:sz w:val="24"/>
      <w:szCs w:val="24"/>
    </w:rPr>
  </w:style>
  <w:style w:type="character" w:styleId="UnresolvedMention">
    <w:name w:val="Unresolved Mention"/>
    <w:basedOn w:val="DefaultParagraphFont"/>
    <w:uiPriority w:val="99"/>
    <w:semiHidden/>
    <w:unhideWhenUsed/>
    <w:rsid w:val="00462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48784">
      <w:bodyDiv w:val="1"/>
      <w:marLeft w:val="0"/>
      <w:marRight w:val="0"/>
      <w:marTop w:val="0"/>
      <w:marBottom w:val="0"/>
      <w:divBdr>
        <w:top w:val="none" w:sz="0" w:space="0" w:color="auto"/>
        <w:left w:val="none" w:sz="0" w:space="0" w:color="auto"/>
        <w:bottom w:val="none" w:sz="0" w:space="0" w:color="auto"/>
        <w:right w:val="none" w:sz="0" w:space="0" w:color="auto"/>
      </w:divBdr>
    </w:div>
    <w:div w:id="139469847">
      <w:bodyDiv w:val="1"/>
      <w:marLeft w:val="0"/>
      <w:marRight w:val="0"/>
      <w:marTop w:val="0"/>
      <w:marBottom w:val="0"/>
      <w:divBdr>
        <w:top w:val="none" w:sz="0" w:space="0" w:color="auto"/>
        <w:left w:val="none" w:sz="0" w:space="0" w:color="auto"/>
        <w:bottom w:val="none" w:sz="0" w:space="0" w:color="auto"/>
        <w:right w:val="none" w:sz="0" w:space="0" w:color="auto"/>
      </w:divBdr>
    </w:div>
    <w:div w:id="228002739">
      <w:bodyDiv w:val="1"/>
      <w:marLeft w:val="0"/>
      <w:marRight w:val="0"/>
      <w:marTop w:val="0"/>
      <w:marBottom w:val="0"/>
      <w:divBdr>
        <w:top w:val="none" w:sz="0" w:space="0" w:color="auto"/>
        <w:left w:val="none" w:sz="0" w:space="0" w:color="auto"/>
        <w:bottom w:val="none" w:sz="0" w:space="0" w:color="auto"/>
        <w:right w:val="none" w:sz="0" w:space="0" w:color="auto"/>
      </w:divBdr>
    </w:div>
    <w:div w:id="296031760">
      <w:bodyDiv w:val="1"/>
      <w:marLeft w:val="0"/>
      <w:marRight w:val="0"/>
      <w:marTop w:val="0"/>
      <w:marBottom w:val="0"/>
      <w:divBdr>
        <w:top w:val="none" w:sz="0" w:space="0" w:color="auto"/>
        <w:left w:val="none" w:sz="0" w:space="0" w:color="auto"/>
        <w:bottom w:val="none" w:sz="0" w:space="0" w:color="auto"/>
        <w:right w:val="none" w:sz="0" w:space="0" w:color="auto"/>
      </w:divBdr>
    </w:div>
    <w:div w:id="428166089">
      <w:bodyDiv w:val="1"/>
      <w:marLeft w:val="0"/>
      <w:marRight w:val="0"/>
      <w:marTop w:val="0"/>
      <w:marBottom w:val="0"/>
      <w:divBdr>
        <w:top w:val="none" w:sz="0" w:space="0" w:color="auto"/>
        <w:left w:val="none" w:sz="0" w:space="0" w:color="auto"/>
        <w:bottom w:val="none" w:sz="0" w:space="0" w:color="auto"/>
        <w:right w:val="none" w:sz="0" w:space="0" w:color="auto"/>
      </w:divBdr>
    </w:div>
    <w:div w:id="430199711">
      <w:bodyDiv w:val="1"/>
      <w:marLeft w:val="0"/>
      <w:marRight w:val="0"/>
      <w:marTop w:val="0"/>
      <w:marBottom w:val="0"/>
      <w:divBdr>
        <w:top w:val="none" w:sz="0" w:space="0" w:color="auto"/>
        <w:left w:val="none" w:sz="0" w:space="0" w:color="auto"/>
        <w:bottom w:val="none" w:sz="0" w:space="0" w:color="auto"/>
        <w:right w:val="none" w:sz="0" w:space="0" w:color="auto"/>
      </w:divBdr>
    </w:div>
    <w:div w:id="773748668">
      <w:bodyDiv w:val="1"/>
      <w:marLeft w:val="0"/>
      <w:marRight w:val="0"/>
      <w:marTop w:val="0"/>
      <w:marBottom w:val="0"/>
      <w:divBdr>
        <w:top w:val="none" w:sz="0" w:space="0" w:color="auto"/>
        <w:left w:val="none" w:sz="0" w:space="0" w:color="auto"/>
        <w:bottom w:val="none" w:sz="0" w:space="0" w:color="auto"/>
        <w:right w:val="none" w:sz="0" w:space="0" w:color="auto"/>
      </w:divBdr>
      <w:divsChild>
        <w:div w:id="618953041">
          <w:marLeft w:val="547"/>
          <w:marRight w:val="0"/>
          <w:marTop w:val="0"/>
          <w:marBottom w:val="0"/>
          <w:divBdr>
            <w:top w:val="none" w:sz="0" w:space="0" w:color="auto"/>
            <w:left w:val="none" w:sz="0" w:space="0" w:color="auto"/>
            <w:bottom w:val="none" w:sz="0" w:space="0" w:color="auto"/>
            <w:right w:val="none" w:sz="0" w:space="0" w:color="auto"/>
          </w:divBdr>
        </w:div>
        <w:div w:id="902326607">
          <w:marLeft w:val="547"/>
          <w:marRight w:val="0"/>
          <w:marTop w:val="0"/>
          <w:marBottom w:val="0"/>
          <w:divBdr>
            <w:top w:val="none" w:sz="0" w:space="0" w:color="auto"/>
            <w:left w:val="none" w:sz="0" w:space="0" w:color="auto"/>
            <w:bottom w:val="none" w:sz="0" w:space="0" w:color="auto"/>
            <w:right w:val="none" w:sz="0" w:space="0" w:color="auto"/>
          </w:divBdr>
        </w:div>
      </w:divsChild>
    </w:div>
    <w:div w:id="893202133">
      <w:bodyDiv w:val="1"/>
      <w:marLeft w:val="0"/>
      <w:marRight w:val="0"/>
      <w:marTop w:val="0"/>
      <w:marBottom w:val="0"/>
      <w:divBdr>
        <w:top w:val="none" w:sz="0" w:space="0" w:color="auto"/>
        <w:left w:val="none" w:sz="0" w:space="0" w:color="auto"/>
        <w:bottom w:val="none" w:sz="0" w:space="0" w:color="auto"/>
        <w:right w:val="none" w:sz="0" w:space="0" w:color="auto"/>
      </w:divBdr>
    </w:div>
    <w:div w:id="1067653191">
      <w:bodyDiv w:val="1"/>
      <w:marLeft w:val="0"/>
      <w:marRight w:val="0"/>
      <w:marTop w:val="0"/>
      <w:marBottom w:val="0"/>
      <w:divBdr>
        <w:top w:val="none" w:sz="0" w:space="0" w:color="auto"/>
        <w:left w:val="none" w:sz="0" w:space="0" w:color="auto"/>
        <w:bottom w:val="none" w:sz="0" w:space="0" w:color="auto"/>
        <w:right w:val="none" w:sz="0" w:space="0" w:color="auto"/>
      </w:divBdr>
    </w:div>
    <w:div w:id="1108625617">
      <w:bodyDiv w:val="1"/>
      <w:marLeft w:val="0"/>
      <w:marRight w:val="0"/>
      <w:marTop w:val="0"/>
      <w:marBottom w:val="0"/>
      <w:divBdr>
        <w:top w:val="none" w:sz="0" w:space="0" w:color="auto"/>
        <w:left w:val="none" w:sz="0" w:space="0" w:color="auto"/>
        <w:bottom w:val="none" w:sz="0" w:space="0" w:color="auto"/>
        <w:right w:val="none" w:sz="0" w:space="0" w:color="auto"/>
      </w:divBdr>
    </w:div>
    <w:div w:id="1150251579">
      <w:bodyDiv w:val="1"/>
      <w:marLeft w:val="0"/>
      <w:marRight w:val="0"/>
      <w:marTop w:val="0"/>
      <w:marBottom w:val="0"/>
      <w:divBdr>
        <w:top w:val="none" w:sz="0" w:space="0" w:color="auto"/>
        <w:left w:val="none" w:sz="0" w:space="0" w:color="auto"/>
        <w:bottom w:val="none" w:sz="0" w:space="0" w:color="auto"/>
        <w:right w:val="none" w:sz="0" w:space="0" w:color="auto"/>
      </w:divBdr>
    </w:div>
    <w:div w:id="1313102927">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29811139">
      <w:bodyDiv w:val="1"/>
      <w:marLeft w:val="0"/>
      <w:marRight w:val="0"/>
      <w:marTop w:val="0"/>
      <w:marBottom w:val="0"/>
      <w:divBdr>
        <w:top w:val="none" w:sz="0" w:space="0" w:color="auto"/>
        <w:left w:val="none" w:sz="0" w:space="0" w:color="auto"/>
        <w:bottom w:val="none" w:sz="0" w:space="0" w:color="auto"/>
        <w:right w:val="none" w:sz="0" w:space="0" w:color="auto"/>
      </w:divBdr>
    </w:div>
    <w:div w:id="1640256827">
      <w:bodyDiv w:val="1"/>
      <w:marLeft w:val="0"/>
      <w:marRight w:val="0"/>
      <w:marTop w:val="0"/>
      <w:marBottom w:val="0"/>
      <w:divBdr>
        <w:top w:val="none" w:sz="0" w:space="0" w:color="auto"/>
        <w:left w:val="none" w:sz="0" w:space="0" w:color="auto"/>
        <w:bottom w:val="none" w:sz="0" w:space="0" w:color="auto"/>
        <w:right w:val="none" w:sz="0" w:space="0" w:color="auto"/>
      </w:divBdr>
    </w:div>
    <w:div w:id="1714504125">
      <w:bodyDiv w:val="1"/>
      <w:marLeft w:val="0"/>
      <w:marRight w:val="0"/>
      <w:marTop w:val="0"/>
      <w:marBottom w:val="0"/>
      <w:divBdr>
        <w:top w:val="none" w:sz="0" w:space="0" w:color="auto"/>
        <w:left w:val="none" w:sz="0" w:space="0" w:color="auto"/>
        <w:bottom w:val="none" w:sz="0" w:space="0" w:color="auto"/>
        <w:right w:val="none" w:sz="0" w:space="0" w:color="auto"/>
      </w:divBdr>
    </w:div>
    <w:div w:id="1719235970">
      <w:bodyDiv w:val="1"/>
      <w:marLeft w:val="0"/>
      <w:marRight w:val="0"/>
      <w:marTop w:val="0"/>
      <w:marBottom w:val="0"/>
      <w:divBdr>
        <w:top w:val="none" w:sz="0" w:space="0" w:color="auto"/>
        <w:left w:val="none" w:sz="0" w:space="0" w:color="auto"/>
        <w:bottom w:val="none" w:sz="0" w:space="0" w:color="auto"/>
        <w:right w:val="none" w:sz="0" w:space="0" w:color="auto"/>
      </w:divBdr>
    </w:div>
    <w:div w:id="1727071612">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viders.dhhs.vic.gov.au/child-and-family-funding-reform" TargetMode="External"/><Relationship Id="rId18" Type="http://schemas.openxmlformats.org/officeDocument/2006/relationships/hyperlink" Target="https://fac.dhhs.vic.gov.au/service-delivery-trackin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file:///C:/Users/Kcai1808/AppData/Local/Microsoft/Windows/INetCache/Content.Outlook/SWE5YKJR/Funded%20Agency%20Channel" TargetMode="External"/><Relationship Id="rId2" Type="http://schemas.openxmlformats.org/officeDocument/2006/relationships/customXml" Target="../customXml/item2.xml"/><Relationship Id="rId16" Type="http://schemas.openxmlformats.org/officeDocument/2006/relationships/hyperlink" Target="https://providers.dhhs.vic.gov.au/leaving-care" TargetMode="External"/><Relationship Id="rId20" Type="http://schemas.openxmlformats.org/officeDocument/2006/relationships/hyperlink" Target="https://providers.dhhs.vic.gov.au/child-and-family-funding-refor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Users\Kcai1808\AppData\Local\Microsoft\Windows\INetCache\Content.Outlook\SWE5YKJR\Leaving%20Care%20-DHHS%20Service%20Provider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funding.reform@dhhs.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viders.dhhs.vic.gov.au/human-services-activity-search"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1ef5222-d273-4e86-adbf-8aa3d9e99a84">
      <UserInfo>
        <DisplayName>Karen Caiger (DHHS)</DisplayName>
        <AccountId>112</AccountId>
        <AccountType/>
      </UserInfo>
      <UserInfo>
        <DisplayName>Amelia Pohl (DHHS)</DisplayName>
        <AccountId>125</AccountId>
        <AccountType/>
      </UserInfo>
      <UserInfo>
        <DisplayName>Amanda Mason (DHHS)</DisplayName>
        <AccountId>124</AccountId>
        <AccountType/>
      </UserInfo>
      <UserInfo>
        <DisplayName>Feodora Fomin (DHHS)</DisplayName>
        <AccountId>127</AccountId>
        <AccountType/>
      </UserInfo>
      <UserInfo>
        <DisplayName>Louise Crowther (DHHS)</DisplayName>
        <AccountId>128</AccountId>
        <AccountType/>
      </UserInfo>
    </SharedWithUsers>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3CB4F-A4EC-4F38-85AC-72EF3C5CAB3E}">
  <ds:schemaRefs>
    <ds:schemaRef ds:uri="http://schemas.microsoft.com/sharepoint/v3/contenttype/forms"/>
  </ds:schemaRefs>
</ds:datastoreItem>
</file>

<file path=customXml/itemProps2.xml><?xml version="1.0" encoding="utf-8"?>
<ds:datastoreItem xmlns:ds="http://schemas.openxmlformats.org/officeDocument/2006/customXml" ds:itemID="{17522B38-3070-4F63-A6F1-0DCD2D484E8A}"/>
</file>

<file path=customXml/itemProps3.xml><?xml version="1.0" encoding="utf-8"?>
<ds:datastoreItem xmlns:ds="http://schemas.openxmlformats.org/officeDocument/2006/customXml" ds:itemID="{5BEF9ED1-A6CD-41FA-8AF1-ED5A9609225E}">
  <ds:schemaRefs>
    <ds:schemaRef ds:uri="http://www.w3.org/XML/1998/namespace"/>
    <ds:schemaRef ds:uri="http://purl.org/dc/elements/1.1/"/>
    <ds:schemaRef ds:uri="2014ff2f-f3e1-4891-9a89-56ad93aa9fcb"/>
    <ds:schemaRef ds:uri="http://schemas.microsoft.com/office/infopath/2007/PartnerControls"/>
    <ds:schemaRef ds:uri="http://schemas.microsoft.com/office/2006/documentManagement/types"/>
    <ds:schemaRef ds:uri="bc7ae471-6bbf-4d64-8f37-9c3de2663854"/>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687C79B-6D4E-4E50-8BBD-9855D519C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2308</Words>
  <Characters>15830</Characters>
  <Application>Microsoft Office Word</Application>
  <DocSecurity>4</DocSecurity>
  <Lines>131</Lines>
  <Paragraphs>36</Paragraphs>
  <ScaleCrop>false</ScaleCrop>
  <HeadingPairs>
    <vt:vector size="2" baseType="variant">
      <vt:variant>
        <vt:lpstr>Title</vt:lpstr>
      </vt:variant>
      <vt:variant>
        <vt:i4>1</vt:i4>
      </vt:variant>
    </vt:vector>
  </HeadingPairs>
  <TitlesOfParts>
    <vt:vector size="1" baseType="lpstr">
      <vt:lpstr>Providers Guide - Better Futures funding reform</vt:lpstr>
    </vt:vector>
  </TitlesOfParts>
  <Manager>Implementation Managers</Manager>
  <Company>Department of Health and Human Services</Company>
  <LinksUpToDate>false</LinksUpToDate>
  <CharactersWithSpaces>18102</CharactersWithSpaces>
  <SharedDoc>false</SharedDoc>
  <HyperlinkBase/>
  <HLinks>
    <vt:vector size="180" baseType="variant">
      <vt:variant>
        <vt:i4>3604542</vt:i4>
      </vt:variant>
      <vt:variant>
        <vt:i4>159</vt:i4>
      </vt:variant>
      <vt:variant>
        <vt:i4>0</vt:i4>
      </vt:variant>
      <vt:variant>
        <vt:i4>5</vt:i4>
      </vt:variant>
      <vt:variant>
        <vt:lpwstr>https://intranet.dhhs.vic.gov.au/child-and-families-funding-reform</vt:lpwstr>
      </vt:variant>
      <vt:variant>
        <vt:lpwstr/>
      </vt:variant>
      <vt:variant>
        <vt:i4>3932248</vt:i4>
      </vt:variant>
      <vt:variant>
        <vt:i4>156</vt:i4>
      </vt:variant>
      <vt:variant>
        <vt:i4>0</vt:i4>
      </vt:variant>
      <vt:variant>
        <vt:i4>5</vt:i4>
      </vt:variant>
      <vt:variant>
        <vt:lpwstr>mailto:funding.reform@dhhs.vic.gov.au</vt:lpwstr>
      </vt:variant>
      <vt:variant>
        <vt:lpwstr/>
      </vt:variant>
      <vt:variant>
        <vt:i4>5374016</vt:i4>
      </vt:variant>
      <vt:variant>
        <vt:i4>153</vt:i4>
      </vt:variant>
      <vt:variant>
        <vt:i4>0</vt:i4>
      </vt:variant>
      <vt:variant>
        <vt:i4>5</vt:i4>
      </vt:variant>
      <vt:variant>
        <vt:lpwstr>https://fac.dhhs.vic.gov.au/service-delivery-tracking</vt:lpwstr>
      </vt:variant>
      <vt:variant>
        <vt:lpwstr/>
      </vt:variant>
      <vt:variant>
        <vt:i4>4980743</vt:i4>
      </vt:variant>
      <vt:variant>
        <vt:i4>150</vt:i4>
      </vt:variant>
      <vt:variant>
        <vt:i4>0</vt:i4>
      </vt:variant>
      <vt:variant>
        <vt:i4>5</vt:i4>
      </vt:variant>
      <vt:variant>
        <vt:lpwstr>C:\Users\Kcai1808\AppData\Local\Microsoft\Windows\INetCache\Content.Outlook\SWE5YKJR\Funded Agency Channel</vt:lpwstr>
      </vt:variant>
      <vt:variant>
        <vt:lpwstr/>
      </vt:variant>
      <vt:variant>
        <vt:i4>2621539</vt:i4>
      </vt:variant>
      <vt:variant>
        <vt:i4>147</vt:i4>
      </vt:variant>
      <vt:variant>
        <vt:i4>0</vt:i4>
      </vt:variant>
      <vt:variant>
        <vt:i4>5</vt:i4>
      </vt:variant>
      <vt:variant>
        <vt:lpwstr>https://providers.dhhs.vic.gov.au/leaving-care</vt:lpwstr>
      </vt:variant>
      <vt:variant>
        <vt:lpwstr/>
      </vt:variant>
      <vt:variant>
        <vt:i4>2621539</vt:i4>
      </vt:variant>
      <vt:variant>
        <vt:i4>141</vt:i4>
      </vt:variant>
      <vt:variant>
        <vt:i4>0</vt:i4>
      </vt:variant>
      <vt:variant>
        <vt:i4>5</vt:i4>
      </vt:variant>
      <vt:variant>
        <vt:lpwstr>https://providers.dhhs.vic.gov.au/leaving-care</vt:lpwstr>
      </vt:variant>
      <vt:variant>
        <vt:lpwstr/>
      </vt:variant>
      <vt:variant>
        <vt:i4>196689</vt:i4>
      </vt:variant>
      <vt:variant>
        <vt:i4>138</vt:i4>
      </vt:variant>
      <vt:variant>
        <vt:i4>0</vt:i4>
      </vt:variant>
      <vt:variant>
        <vt:i4>5</vt:i4>
      </vt:variant>
      <vt:variant>
        <vt:lpwstr>https://providers.dhhs.vic.gov.au/human-services-activity-search</vt:lpwstr>
      </vt:variant>
      <vt:variant>
        <vt:lpwstr/>
      </vt:variant>
      <vt:variant>
        <vt:i4>1769529</vt:i4>
      </vt:variant>
      <vt:variant>
        <vt:i4>131</vt:i4>
      </vt:variant>
      <vt:variant>
        <vt:i4>0</vt:i4>
      </vt:variant>
      <vt:variant>
        <vt:i4>5</vt:i4>
      </vt:variant>
      <vt:variant>
        <vt:lpwstr/>
      </vt:variant>
      <vt:variant>
        <vt:lpwstr>_Toc20419469</vt:lpwstr>
      </vt:variant>
      <vt:variant>
        <vt:i4>1703993</vt:i4>
      </vt:variant>
      <vt:variant>
        <vt:i4>125</vt:i4>
      </vt:variant>
      <vt:variant>
        <vt:i4>0</vt:i4>
      </vt:variant>
      <vt:variant>
        <vt:i4>5</vt:i4>
      </vt:variant>
      <vt:variant>
        <vt:lpwstr/>
      </vt:variant>
      <vt:variant>
        <vt:lpwstr>_Toc20419468</vt:lpwstr>
      </vt:variant>
      <vt:variant>
        <vt:i4>1376313</vt:i4>
      </vt:variant>
      <vt:variant>
        <vt:i4>119</vt:i4>
      </vt:variant>
      <vt:variant>
        <vt:i4>0</vt:i4>
      </vt:variant>
      <vt:variant>
        <vt:i4>5</vt:i4>
      </vt:variant>
      <vt:variant>
        <vt:lpwstr/>
      </vt:variant>
      <vt:variant>
        <vt:lpwstr>_Toc20419467</vt:lpwstr>
      </vt:variant>
      <vt:variant>
        <vt:i4>1310777</vt:i4>
      </vt:variant>
      <vt:variant>
        <vt:i4>113</vt:i4>
      </vt:variant>
      <vt:variant>
        <vt:i4>0</vt:i4>
      </vt:variant>
      <vt:variant>
        <vt:i4>5</vt:i4>
      </vt:variant>
      <vt:variant>
        <vt:lpwstr/>
      </vt:variant>
      <vt:variant>
        <vt:lpwstr>_Toc20419466</vt:lpwstr>
      </vt:variant>
      <vt:variant>
        <vt:i4>1507385</vt:i4>
      </vt:variant>
      <vt:variant>
        <vt:i4>107</vt:i4>
      </vt:variant>
      <vt:variant>
        <vt:i4>0</vt:i4>
      </vt:variant>
      <vt:variant>
        <vt:i4>5</vt:i4>
      </vt:variant>
      <vt:variant>
        <vt:lpwstr/>
      </vt:variant>
      <vt:variant>
        <vt:lpwstr>_Toc20419465</vt:lpwstr>
      </vt:variant>
      <vt:variant>
        <vt:i4>1441849</vt:i4>
      </vt:variant>
      <vt:variant>
        <vt:i4>101</vt:i4>
      </vt:variant>
      <vt:variant>
        <vt:i4>0</vt:i4>
      </vt:variant>
      <vt:variant>
        <vt:i4>5</vt:i4>
      </vt:variant>
      <vt:variant>
        <vt:lpwstr/>
      </vt:variant>
      <vt:variant>
        <vt:lpwstr>_Toc20419464</vt:lpwstr>
      </vt:variant>
      <vt:variant>
        <vt:i4>1114169</vt:i4>
      </vt:variant>
      <vt:variant>
        <vt:i4>95</vt:i4>
      </vt:variant>
      <vt:variant>
        <vt:i4>0</vt:i4>
      </vt:variant>
      <vt:variant>
        <vt:i4>5</vt:i4>
      </vt:variant>
      <vt:variant>
        <vt:lpwstr/>
      </vt:variant>
      <vt:variant>
        <vt:lpwstr>_Toc20419463</vt:lpwstr>
      </vt:variant>
      <vt:variant>
        <vt:i4>1048633</vt:i4>
      </vt:variant>
      <vt:variant>
        <vt:i4>89</vt:i4>
      </vt:variant>
      <vt:variant>
        <vt:i4>0</vt:i4>
      </vt:variant>
      <vt:variant>
        <vt:i4>5</vt:i4>
      </vt:variant>
      <vt:variant>
        <vt:lpwstr/>
      </vt:variant>
      <vt:variant>
        <vt:lpwstr>_Toc20419462</vt:lpwstr>
      </vt:variant>
      <vt:variant>
        <vt:i4>1245241</vt:i4>
      </vt:variant>
      <vt:variant>
        <vt:i4>83</vt:i4>
      </vt:variant>
      <vt:variant>
        <vt:i4>0</vt:i4>
      </vt:variant>
      <vt:variant>
        <vt:i4>5</vt:i4>
      </vt:variant>
      <vt:variant>
        <vt:lpwstr/>
      </vt:variant>
      <vt:variant>
        <vt:lpwstr>_Toc20419461</vt:lpwstr>
      </vt:variant>
      <vt:variant>
        <vt:i4>1179705</vt:i4>
      </vt:variant>
      <vt:variant>
        <vt:i4>77</vt:i4>
      </vt:variant>
      <vt:variant>
        <vt:i4>0</vt:i4>
      </vt:variant>
      <vt:variant>
        <vt:i4>5</vt:i4>
      </vt:variant>
      <vt:variant>
        <vt:lpwstr/>
      </vt:variant>
      <vt:variant>
        <vt:lpwstr>_Toc20419460</vt:lpwstr>
      </vt:variant>
      <vt:variant>
        <vt:i4>1769530</vt:i4>
      </vt:variant>
      <vt:variant>
        <vt:i4>71</vt:i4>
      </vt:variant>
      <vt:variant>
        <vt:i4>0</vt:i4>
      </vt:variant>
      <vt:variant>
        <vt:i4>5</vt:i4>
      </vt:variant>
      <vt:variant>
        <vt:lpwstr/>
      </vt:variant>
      <vt:variant>
        <vt:lpwstr>_Toc20419459</vt:lpwstr>
      </vt:variant>
      <vt:variant>
        <vt:i4>1703994</vt:i4>
      </vt:variant>
      <vt:variant>
        <vt:i4>65</vt:i4>
      </vt:variant>
      <vt:variant>
        <vt:i4>0</vt:i4>
      </vt:variant>
      <vt:variant>
        <vt:i4>5</vt:i4>
      </vt:variant>
      <vt:variant>
        <vt:lpwstr/>
      </vt:variant>
      <vt:variant>
        <vt:lpwstr>_Toc20419458</vt:lpwstr>
      </vt:variant>
      <vt:variant>
        <vt:i4>1376314</vt:i4>
      </vt:variant>
      <vt:variant>
        <vt:i4>59</vt:i4>
      </vt:variant>
      <vt:variant>
        <vt:i4>0</vt:i4>
      </vt:variant>
      <vt:variant>
        <vt:i4>5</vt:i4>
      </vt:variant>
      <vt:variant>
        <vt:lpwstr/>
      </vt:variant>
      <vt:variant>
        <vt:lpwstr>_Toc20419457</vt:lpwstr>
      </vt:variant>
      <vt:variant>
        <vt:i4>1310778</vt:i4>
      </vt:variant>
      <vt:variant>
        <vt:i4>53</vt:i4>
      </vt:variant>
      <vt:variant>
        <vt:i4>0</vt:i4>
      </vt:variant>
      <vt:variant>
        <vt:i4>5</vt:i4>
      </vt:variant>
      <vt:variant>
        <vt:lpwstr/>
      </vt:variant>
      <vt:variant>
        <vt:lpwstr>_Toc20419456</vt:lpwstr>
      </vt:variant>
      <vt:variant>
        <vt:i4>1507386</vt:i4>
      </vt:variant>
      <vt:variant>
        <vt:i4>47</vt:i4>
      </vt:variant>
      <vt:variant>
        <vt:i4>0</vt:i4>
      </vt:variant>
      <vt:variant>
        <vt:i4>5</vt:i4>
      </vt:variant>
      <vt:variant>
        <vt:lpwstr/>
      </vt:variant>
      <vt:variant>
        <vt:lpwstr>_Toc20419455</vt:lpwstr>
      </vt:variant>
      <vt:variant>
        <vt:i4>1441850</vt:i4>
      </vt:variant>
      <vt:variant>
        <vt:i4>41</vt:i4>
      </vt:variant>
      <vt:variant>
        <vt:i4>0</vt:i4>
      </vt:variant>
      <vt:variant>
        <vt:i4>5</vt:i4>
      </vt:variant>
      <vt:variant>
        <vt:lpwstr/>
      </vt:variant>
      <vt:variant>
        <vt:lpwstr>_Toc20419454</vt:lpwstr>
      </vt:variant>
      <vt:variant>
        <vt:i4>1114170</vt:i4>
      </vt:variant>
      <vt:variant>
        <vt:i4>35</vt:i4>
      </vt:variant>
      <vt:variant>
        <vt:i4>0</vt:i4>
      </vt:variant>
      <vt:variant>
        <vt:i4>5</vt:i4>
      </vt:variant>
      <vt:variant>
        <vt:lpwstr/>
      </vt:variant>
      <vt:variant>
        <vt:lpwstr>_Toc20419453</vt:lpwstr>
      </vt:variant>
      <vt:variant>
        <vt:i4>1048634</vt:i4>
      </vt:variant>
      <vt:variant>
        <vt:i4>29</vt:i4>
      </vt:variant>
      <vt:variant>
        <vt:i4>0</vt:i4>
      </vt:variant>
      <vt:variant>
        <vt:i4>5</vt:i4>
      </vt:variant>
      <vt:variant>
        <vt:lpwstr/>
      </vt:variant>
      <vt:variant>
        <vt:lpwstr>_Toc20419452</vt:lpwstr>
      </vt:variant>
      <vt:variant>
        <vt:i4>1245242</vt:i4>
      </vt:variant>
      <vt:variant>
        <vt:i4>23</vt:i4>
      </vt:variant>
      <vt:variant>
        <vt:i4>0</vt:i4>
      </vt:variant>
      <vt:variant>
        <vt:i4>5</vt:i4>
      </vt:variant>
      <vt:variant>
        <vt:lpwstr/>
      </vt:variant>
      <vt:variant>
        <vt:lpwstr>_Toc20419451</vt:lpwstr>
      </vt:variant>
      <vt:variant>
        <vt:i4>1179706</vt:i4>
      </vt:variant>
      <vt:variant>
        <vt:i4>17</vt:i4>
      </vt:variant>
      <vt:variant>
        <vt:i4>0</vt:i4>
      </vt:variant>
      <vt:variant>
        <vt:i4>5</vt:i4>
      </vt:variant>
      <vt:variant>
        <vt:lpwstr/>
      </vt:variant>
      <vt:variant>
        <vt:lpwstr>_Toc20419450</vt:lpwstr>
      </vt:variant>
      <vt:variant>
        <vt:i4>1769531</vt:i4>
      </vt:variant>
      <vt:variant>
        <vt:i4>11</vt:i4>
      </vt:variant>
      <vt:variant>
        <vt:i4>0</vt:i4>
      </vt:variant>
      <vt:variant>
        <vt:i4>5</vt:i4>
      </vt:variant>
      <vt:variant>
        <vt:lpwstr/>
      </vt:variant>
      <vt:variant>
        <vt:lpwstr>_Toc20419449</vt:lpwstr>
      </vt:variant>
      <vt:variant>
        <vt:i4>1703995</vt:i4>
      </vt:variant>
      <vt:variant>
        <vt:i4>5</vt:i4>
      </vt:variant>
      <vt:variant>
        <vt:i4>0</vt:i4>
      </vt:variant>
      <vt:variant>
        <vt:i4>5</vt:i4>
      </vt:variant>
      <vt:variant>
        <vt:lpwstr/>
      </vt:variant>
      <vt:variant>
        <vt:lpwstr>_Toc20419448</vt:lpwstr>
      </vt:variant>
      <vt:variant>
        <vt:i4>3604542</vt:i4>
      </vt:variant>
      <vt:variant>
        <vt:i4>0</vt:i4>
      </vt:variant>
      <vt:variant>
        <vt:i4>0</vt:i4>
      </vt:variant>
      <vt:variant>
        <vt:i4>5</vt:i4>
      </vt:variant>
      <vt:variant>
        <vt:lpwstr>https://intranet.dhhs.vic.gov.au/child-and-families-funding-reform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Providers Guide - Better Futures funding reform</dc:title>
  <dc:subject>Guide for Better Futures providers on the new funding model</dc:subject>
  <dc:creator>Children and Families &amp; Strategy and Planning</dc:creator>
  <cp:keywords>Better Futures, funding reform, child and family services</cp:keywords>
  <cp:lastModifiedBy>Alice York (DHHS)</cp:lastModifiedBy>
  <cp:revision>2</cp:revision>
  <cp:lastPrinted>2019-07-22T00:59:00Z</cp:lastPrinted>
  <dcterms:created xsi:type="dcterms:W3CDTF">2019-10-30T23:09:00Z</dcterms:created>
  <dcterms:modified xsi:type="dcterms:W3CDTF">2019-10-30T23:09:00Z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