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3</Characters>
  <Application>Microsoft Office Word</Application>
  <DocSecurity>0</DocSecurity>
  <Lines>1</Lines>
  <Paragraphs>1</Paragraphs>
  <ScaleCrop>false</ScaleCrop>
  <Company>Oracle USA</Company>
  <LinksUpToDate>false</LinksUpToDate>
  <CharactersWithSpaces>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Activity Description Health and Human Services Private Rental Assistance Program 94675</dc:title>
  <dc:subject/>
  <dc:creator>User</dc:creator>
  <cp:keywords/>
  <dc:description>Generated by Oracle BI Publisher 12.2.1.3.0</dc:description>
  <cp:lastModifiedBy>User</cp:lastModifiedBy>
  <cp:revision>2</cp:revision>
  <dcterms:created xsi:type="dcterms:W3CDTF">2013-02-11T20:57:00Z</dcterms:created>
  <dcterms:modified xsi:type="dcterms:W3CDTF">2013-02-11T20:57:00Z</dcterms:modified>
</cp:coreProperti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 Id="rId10" Type="http://schemas.openxmlformats.org/officeDocument/2006/relationships/image" Target="media/image3.png"/>
<Relationship Id="rId11" Type="http://schemas.openxmlformats.org/officeDocument/2006/relationships/hyperlink" Target="https://www.legislation.vic.gov.au/as-made/statutory-rules/social-services-regulations-2023" TargetMode="External"/>
<Relationship Id="rId12" Type="http://schemas.openxmlformats.org/officeDocument/2006/relationships/hyperlink" Target="https://www.vic.gov.au/social-services-regulator" TargetMode="External"/>
<Relationship Id="rId13" Type="http://schemas.openxmlformats.org/officeDocument/2006/relationships/hyperlink" Target="https://www.aihw.gov.au/about-our-data/our-data-collections/specialist-homelessness-services-collection" TargetMode="External"/>
<Relationship Id="rId14" Type="http://schemas.openxmlformats.org/officeDocument/2006/relationships/hyperlink" Target="https://fac.dffh.vic.gov.au/policies-and-procedures" TargetMode="External"/>
<Relationship Id="rId15" Type="http://schemas.openxmlformats.org/officeDocument/2006/relationships/hyperlink" Target="https://fac.dhhs.vic.gov.au/sites/default/files/2019-11/PRAP%20Guidelines%20revised%202019.pdf" TargetMode="External"/>
<Relationship Id="rId16" Type="http://schemas.openxmlformats.org/officeDocument/2006/relationships/hyperlink" Target="https://vahhf.org.au/wp-content/uploads/2023/09/victorian-aboriginal-housing-and-homelessness-framework_complete_26_02_20-2.pdf" TargetMode="External"/>
<Relationship Id="rId17" Type="http://schemas.openxmlformats.org/officeDocument/2006/relationships/hyperlink" Target="https://vahhf.org.au/wp-content/uploads/2023/09/Blueprint.pdf" TargetMode="External"/>
<Relationship Id="rId18" Type="http://schemas.openxmlformats.org/officeDocument/2006/relationships/hyperlink" Target="https://chp.org.au/wp-content/uploads/2022/04/Aboriginal-Homelessness-An-Aboriginal-Cultural-Safety-Framework-for-the-Specialist-Homelessness-Sector-4th-draft-with-hi-res-pic-attribution.pdf" TargetMode="External"/>
<Relationship Id="rId19" Type="http://schemas.openxmlformats.org/officeDocument/2006/relationships/hyperlink" Target="https://fac.dffh.vic.gov.au/aboriginal-private-rental-assistance-program-aprap-guidelines" TargetMode="External"/>
<Relationship Id="rId20" Type="http://schemas.openxmlformats.org/officeDocument/2006/relationships/hyperlink" Target="https://fac.dffh.vic.gov.au/policies-and-procedures" TargetMode="External"/>
<Relationship Id="rId21" Type="http://schemas.openxmlformats.org/officeDocument/2006/relationships/hyperlink" Target="http://providers.dffh.vic.gov.au/families-fairness-housing-health-activity-search" TargetMode="External"/>
<Relationship Id="rId22" Type="http://schemas.openxmlformats.org/officeDocument/2006/relationships/numbering" Target="numbering.xml"/>
</Relationships>

</file>

<file path=word\_rels\footer1.xml.rels><?xml version="1.0" encoding="UTF-8" standalone="yes"?>
<Relationships xmlns="http://schemas.openxmlformats.org/package/2006/relationships">
<Relationship Id="rId1" Type="http://schemas.openxmlformats.org/officeDocument/2006/relationships/image" Target="media/image2.png"/>
</Relationships>

</file>

<file path=word\_rels\footer2.xml.rels><?xml version="1.0" encoding="UTF-8" standalone="yes"?>
<Relationships xmlns="http://schemas.openxmlformats.org/package/2006/relationships">
<Relationship Id="rId1" Type="http://schemas.openxmlformats.org/officeDocument/2006/relationships/image" Target="media/image1.png"/>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100" w:line="288" w:lineRule="auto"/>
        <w:ind w:left="-699"/>
        <w:rPr/>
      </w:pPr>
      <w:r>
        <w:rPr>
          <w:noProof/>
        </w:rPr>
        <w:drawing>
          <wp:inline distT="0" distB="0" distL="0" distR="0">
            <wp:extent cx="7516494" cy="132492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pic:nvPicPr>
                  <pic:blipFill>
                    <a:blip r:embed="rId10">
                      <a:extLst>
                        <a:ext uri="{28A0092B-C50C-407E-A947-70E740481C1C}">
                          <a14:useLocalDpi xmlns:a14="http://schemas.microsoft.com/office/drawing/2010/main" val="0"/>
                        </a:ext>
                      </a:extLst>
                    </a:blip>
                    <a:stretch>
                      <a:fillRect/>
                    </a:stretch>
                  </pic:blipFill>
                  <pic:spPr>
                    <a:xfrm>
                      <a:off x="0" y="0"/>
                      <a:ext cx="7516494" cy="1324927"/>
                    </a:xfrm>
                    <a:prstGeom prst="rect">
                      <a:avLst/>
                    </a:prstGeom>
                  </pic:spPr>
                </pic:pic>
              </a:graphicData>
            </a:graphic>
          </wp:inline>
        </w:drawing>
      </w:r>
    </w:p>
    <w:tbl>
      <w:tblPr>
        <w:tblW w:w="0" w:type="auto"/>
        <w:tblInd w:w="111" w:type="dxa"/>
        <w:tblLayout w:type="fixed"/>
        <w:tblCellMar>
          <w:left w:w="0" w:type="dxa"/>
          <w:right w:w="0" w:type="dxa"/>
        </w:tblCellMar>
      </w:tblPr>
      <w:tblGrid>
        <w:gridCol w:w="10206"/>
      </w:tblGrid>
      <w:tr>
        <w:tc>
          <w:tcPr>
            <w:tcW w:w="10206" w:type="dxa"/>
            <w:vAlign w:val="bottom"/>
            <w:shd w:val="clear" w:color="auto" w:fill="FFFFFF"/>
          </w:tcPr>
          <w:p>
            <w:pPr>
              <w:spacing w:line="560" w:lineRule="atLeast"/>
              <w:rPr>
                <w:rFonts w:ascii="Arial" w:hAnsi="Arial" w:eastAsia="Arial" w:cs="Arial"/>
                <w:color w:val="000000"/>
                <w:sz w:val="20"/>
              </w:rPr>
            </w:pPr>
            <w:r>
              <w:rPr>
                <w:rFonts w:ascii="Arial" w:hAnsi="Arial" w:eastAsia="Arial" w:cs="Arial"/>
                <w:color w:val="000000"/>
                <w:sz w:val="20"/>
              </w:rPr>
              <w:t/>
            </w:r>
          </w:p>
          <w:p>
            <w:pPr>
              <w:spacing w:line="560" w:lineRule="atLeast"/>
              <w:rPr>
                <w:rFonts w:ascii="Arial" w:hAnsi="Arial" w:eastAsia="Arial" w:cs="Arial"/>
                <w:color w:val="201547"/>
                <w:sz w:val="44"/>
              </w:rPr>
            </w:pPr>
            <w:r>
              <w:rPr>
                <w:rFonts w:ascii="Arial" w:hAnsi="Arial" w:eastAsia="Arial" w:cs="Arial"/>
                <w:color w:val="201547"/>
                <w:sz w:val="44"/>
              </w:rPr>
              <w:t>Private Rental Assistance Program</w:t>
            </w:r>
          </w:p>
          <w:p>
            <w:pPr>
              <w:spacing w:line="560" w:lineRule="atLeast"/>
              <w:rPr>
                <w:rFonts w:ascii="Arial" w:hAnsi="Arial" w:eastAsia="Arial" w:cs="Arial"/>
                <w:color w:val="201547"/>
                <w:sz w:val="44"/>
              </w:rPr>
            </w:pPr>
            <w:r>
              <w:rPr>
                <w:rFonts w:ascii="Arial" w:hAnsi="Arial" w:eastAsia="Arial" w:cs="Arial"/>
                <w:color w:val="201547"/>
                <w:sz w:val="44"/>
              </w:rPr>
              <w:t>94675</w:t>
            </w:r>
          </w:p>
        </w:tc>
      </w:tr>
      <w:tr>
        <w:tc>
          <w:tcPr>
            <w:tcW w:w="10206" w:type="dxa"/>
            <w:shd w:val="clear" w:color="auto" w:fill="FFFFFF"/>
          </w:tcPr>
          <w:p>
            <w:pPr>
              <w:spacing w:after="120"/>
              <w:rPr>
                <w:rFonts w:ascii="Arial" w:hAnsi="Arial" w:eastAsia="Arial" w:cs="Arial"/>
                <w:color w:val="201547"/>
                <w:sz w:val="28"/>
              </w:rPr>
            </w:pPr>
            <w:r>
              <w:rPr>
                <w:rFonts w:ascii="Arial" w:hAnsi="Arial" w:eastAsia="Arial" w:cs="Arial"/>
                <w:color w:val="201547"/>
                <w:sz w:val="28"/>
              </w:rPr>
              <w:t>Outcome objective: Victorians are safe and secure</w:t>
            </w:r>
          </w:p>
          <w:p>
            <w:pPr>
              <w:spacing w:after="120"/>
              <w:rPr>
                <w:rFonts w:ascii="Arial" w:hAnsi="Arial" w:eastAsia="Arial" w:cs="Arial"/>
                <w:color w:val="201547"/>
                <w:sz w:val="28"/>
              </w:rPr>
            </w:pPr>
            <w:r>
              <w:rPr>
                <w:rFonts w:ascii="Arial" w:hAnsi="Arial" w:eastAsia="Arial" w:cs="Arial"/>
                <w:color w:val="201547"/>
                <w:sz w:val="28"/>
              </w:rPr>
              <w:t>Output group: Housing Assistance</w:t>
            </w:r>
          </w:p>
          <w:p>
            <w:pPr>
              <w:spacing w:after="120"/>
              <w:rPr>
                <w:rFonts w:ascii="Arial" w:hAnsi="Arial" w:eastAsia="Arial" w:cs="Arial"/>
                <w:color w:val="201547"/>
                <w:sz w:val="28"/>
              </w:rPr>
            </w:pPr>
            <w:r>
              <w:rPr>
                <w:rFonts w:ascii="Arial" w:hAnsi="Arial" w:eastAsia="Arial" w:cs="Arial"/>
                <w:color w:val="201547"/>
                <w:sz w:val="28"/>
              </w:rPr>
              <w:t>Output: Housing Support and Homelessness Assistance</w:t>
            </w:r>
          </w:p>
        </w:tc>
      </w:tr>
    </w:tbl>
    <w:p>
      <w:pPr>
        <w:spacing w:line="560" w:lineRule="atLeast"/>
        <w:ind w:left="111" w:right="105"/>
        <w:rPr>
          <w:rFonts w:ascii="Arial" w:hAnsi="Arial" w:eastAsia="Arial" w:cs="Arial"/>
          <w:b/>
          <w:bCs/>
          <w:color w:val="000000"/>
          <w:sz w:val="20"/>
        </w:rPr>
      </w:pPr>
      <w:r>
        <w:rPr>
          <w:rFonts w:ascii="Arial" w:hAnsi="Arial" w:eastAsia="Arial" w:cs="Arial"/>
          <w:b/>
          <w:bCs/>
          <w:color w:val="000000"/>
          <w:sz w:val="20"/>
        </w:rPr>
        <w:t>OFFICIAL</w:t>
      </w:r>
    </w:p>
    <w:p>
      <w:pPr>
        <w:keepNext/>
        <w:keepLines/>
        <w:spacing w:before="320" w:after="200" w:line="440" w:lineRule="atLeast"/>
        <w:ind w:left="111" w:right="105"/>
        <w:rPr>
          <w:rFonts w:ascii="Arial" w:hAnsi="Arial" w:eastAsia="Arial" w:cs="Arial"/>
          <w:b/>
          <w:bCs/>
          <w:color w:val="201547"/>
          <w:sz w:val="28"/>
        </w:rPr>
      </w:pPr>
      <w:r>
        <w:rPr>
          <w:rFonts w:ascii="Arial" w:hAnsi="Arial" w:eastAsia="Arial" w:cs="Arial"/>
          <w:b/>
          <w:bCs/>
          <w:color w:val="201547"/>
          <w:sz w:val="28"/>
        </w:rPr>
        <w:t>1. Service objective</w:t>
      </w:r>
    </w:p>
    <w:p>
      <w:pPr>
        <w:spacing w:line="270" w:lineRule="atLeast"/>
        <w:ind w:left="111" w:right="105"/>
        <w:rPr>
          <w:rFonts w:ascii="Arial" w:hAnsi="Arial" w:eastAsia="Arial" w:cs="Arial"/>
          <w:color w:val="000000"/>
          <w:sz w:val="20"/>
        </w:rPr>
      </w:pPr>
      <w:r>
        <w:rPr>
          <w:rFonts w:ascii="Arial" w:hAnsi="Arial" w:eastAsia="Arial" w:cs="Arial"/>
          <w:color w:val="000000"/>
          <w:sz w:val="20"/>
        </w:rPr>
        <w:t xml:space="preserve">The Private Rental Assistance Program activity aims to assist people at risk or experiencing homelessness, acting as a preventative intervention to:  </w:t>
      </w:r>
      <w:r>
        <w:br/>
      </w:r>
      <w:r>
        <w:br/>
      </w:r>
      <w:r>
        <w:rPr>
          <w:rFonts w:ascii="Arial" w:hAnsi="Arial" w:eastAsia="Arial" w:cs="Arial"/>
          <w:color w:val="000000"/>
          <w:sz w:val="20"/>
        </w:rPr>
        <w:t xml:space="preserve">- Rapidly rehouse people capable of sustaining private rental after initial support.   </w:t>
      </w:r>
      <w:r>
        <w:br/>
      </w:r>
      <w:r>
        <w:rPr>
          <w:rFonts w:ascii="Arial" w:hAnsi="Arial" w:eastAsia="Arial" w:cs="Arial"/>
          <w:color w:val="000000"/>
          <w:sz w:val="20"/>
        </w:rPr>
        <w:t xml:space="preserve">- Support at risk households to sustain affordable and appropriate housing in the private rental market  </w:t>
      </w:r>
      <w:r>
        <w:br/>
      </w:r>
      <w:r>
        <w:rPr>
          <w:rFonts w:ascii="Arial" w:hAnsi="Arial" w:eastAsia="Arial" w:cs="Arial"/>
          <w:color w:val="000000"/>
          <w:sz w:val="20"/>
        </w:rPr>
        <w:t>- Assist people who currently live in crisis, transitional or social housing to become independent in the private rental market.</w:t>
      </w:r>
    </w:p>
    <w:p>
      <w:pPr>
        <w:keepNext/>
        <w:keepLines/>
        <w:spacing w:before="320" w:after="200" w:line="440" w:lineRule="atLeast"/>
        <w:ind w:left="111" w:right="105"/>
        <w:rPr>
          <w:rFonts w:ascii="Arial" w:hAnsi="Arial" w:eastAsia="Arial" w:cs="Arial"/>
          <w:b/>
          <w:bCs/>
          <w:color w:val="201547"/>
          <w:sz w:val="28"/>
        </w:rPr>
      </w:pPr>
      <w:r>
        <w:rPr>
          <w:rFonts w:ascii="Arial" w:hAnsi="Arial" w:eastAsia="Arial" w:cs="Arial"/>
          <w:b/>
          <w:bCs/>
          <w:color w:val="201547"/>
          <w:sz w:val="28"/>
        </w:rPr>
        <w:t>2. Description of the service</w:t>
      </w:r>
    </w:p>
    <w:p>
      <w:pPr>
        <w:spacing w:line="270" w:lineRule="atLeast"/>
        <w:ind w:left="111" w:right="105"/>
        <w:rPr>
          <w:rFonts w:ascii="Arial" w:hAnsi="Arial" w:eastAsia="Arial" w:cs="Arial"/>
          <w:color w:val="000000"/>
          <w:sz w:val="20"/>
        </w:rPr>
      </w:pPr>
      <w:r>
        <w:rPr>
          <w:rFonts w:ascii="Arial" w:hAnsi="Arial" w:eastAsia="Arial" w:cs="Arial"/>
          <w:color w:val="000000"/>
          <w:sz w:val="20"/>
        </w:rPr>
        <w:t xml:space="preserve">Private Rental Assistance Program activity comprises of three service components: </w:t>
      </w:r>
      <w:r>
        <w:br/>
      </w:r>
      <w:r>
        <w:br/>
      </w:r>
      <w:r>
        <w:rPr>
          <w:rFonts w:ascii="Arial" w:hAnsi="Arial" w:eastAsia="Arial" w:cs="Arial"/>
          <w:color w:val="000000"/>
          <w:sz w:val="20"/>
        </w:rPr>
        <w:t xml:space="preserve">Private rental brokers - generate and maintain access opportunities in the private rental market. They do this by building relationships with the real estate industry, improving referral pathways with legal, health and education services to support prevention and advocate for at risk tenancies and negotiate payment plans.   </w:t>
      </w:r>
      <w:r>
        <w:br/>
      </w:r>
      <w:r>
        <w:br/>
      </w:r>
      <w:r>
        <w:rPr>
          <w:rFonts w:ascii="Arial" w:hAnsi="Arial" w:eastAsia="Arial" w:cs="Arial"/>
          <w:color w:val="000000"/>
          <w:sz w:val="20"/>
        </w:rPr>
        <w:t xml:space="preserve">Flexible Funding/brokerage - designed to be tailored to the needs of the household and used to the best effect given the local private rental market conditions. Expenditure may include rent in advance, landlord incentives and cost associated with establishing or maintaining a tenancy.  </w:t>
      </w:r>
      <w:r>
        <w:br/>
      </w:r>
      <w:r>
        <w:br/>
      </w:r>
      <w:r>
        <w:rPr>
          <w:rFonts w:ascii="Arial" w:hAnsi="Arial" w:eastAsia="Arial" w:cs="Arial"/>
          <w:color w:val="000000"/>
          <w:sz w:val="20"/>
        </w:rPr>
        <w:t>PRAP/APRAP Plus – Private Rental Assistance Program/Aboriginal Private Rental Assistance Program Plus is an outreach intervention for households living in or entering private rental tenancies that require additional practical support to establish or maintain their housing.</w:t>
      </w:r>
    </w:p>
    <w:p>
      <w:pPr>
        <w:keepNext/>
        <w:keepLines/>
        <w:spacing w:before="320" w:after="200" w:line="440" w:lineRule="atLeast"/>
        <w:ind w:left="111" w:right="105"/>
        <w:rPr>
          <w:rFonts w:ascii="Arial" w:hAnsi="Arial" w:eastAsia="Arial" w:cs="Arial"/>
          <w:b/>
          <w:bCs/>
          <w:color w:val="201547"/>
          <w:sz w:val="28"/>
        </w:rPr>
      </w:pPr>
      <w:r>
        <w:rPr>
          <w:rFonts w:ascii="Arial" w:hAnsi="Arial" w:eastAsia="Arial" w:cs="Arial"/>
          <w:b/>
          <w:bCs/>
          <w:color w:val="201547"/>
          <w:sz w:val="28"/>
        </w:rPr>
        <w:t>3. Client group</w:t>
      </w:r>
    </w:p>
    <w:p>
      <w:pPr>
        <w:spacing w:line="288" w:lineRule="auto"/>
        <w:ind w:left="111" w:right="105"/>
        <w:rPr>
          <w:rFonts w:ascii="Arial" w:hAnsi="Arial" w:eastAsia="Arial" w:cs="Arial"/>
          <w:color w:val="000000"/>
          <w:sz w:val="20"/>
        </w:rPr>
      </w:pPr>
      <w:r>
        <w:rPr>
          <w:rFonts w:ascii="Arial" w:hAnsi="Arial" w:eastAsia="Arial" w:cs="Arial"/>
          <w:color w:val="000000"/>
          <w:sz w:val="20"/>
        </w:rPr>
        <w:t xml:space="preserve">The target group for private rental assistance are people who are: </w:t>
      </w:r>
      <w:r>
        <w:br/>
      </w:r>
      <w:r>
        <w:rPr>
          <w:rFonts w:ascii="Arial" w:hAnsi="Arial" w:eastAsia="Arial" w:cs="Arial"/>
          <w:color w:val="000000"/>
          <w:sz w:val="20"/>
        </w:rPr>
        <w:t xml:space="preserve">- experiencing or at risk of homelessness, and </w:t>
      </w:r>
      <w:r>
        <w:br/>
      </w:r>
      <w:r>
        <w:rPr>
          <w:rFonts w:ascii="Arial" w:hAnsi="Arial" w:eastAsia="Arial" w:cs="Arial"/>
          <w:color w:val="000000"/>
          <w:sz w:val="20"/>
        </w:rPr>
        <w:t>- need targeted time-limited assistance to establish and maintain tenancies in the private rental market.</w:t>
      </w:r>
    </w:p>
    <w:p>
      <w:pPr>
        <w:keepNext/>
        <w:keepLines/>
        <w:spacing w:before="320" w:after="200" w:line="440" w:lineRule="atLeast"/>
        <w:ind w:left="111" w:right="105"/>
        <w:rPr>
          <w:rFonts w:ascii="Arial" w:hAnsi="Arial" w:eastAsia="Arial" w:cs="Arial"/>
          <w:b/>
          <w:bCs/>
          <w:color w:val="201547"/>
          <w:sz w:val="28"/>
        </w:rPr>
      </w:pPr>
      <w:r>
        <w:rPr>
          <w:rFonts w:ascii="Arial" w:hAnsi="Arial" w:eastAsia="Arial" w:cs="Arial"/>
          <w:b/>
          <w:bCs/>
          <w:color w:val="201547"/>
          <w:sz w:val="28"/>
        </w:rPr>
        <w:t>4. Obligations specific to this activity</w:t>
      </w:r>
    </w:p>
    <w:p>
      <w:pPr>
        <w:spacing w:line="288" w:lineRule="auto"/>
        <w:ind w:left="111" w:right="105"/>
        <w:rPr>
          <w:rFonts w:ascii="Arial" w:hAnsi="Arial" w:eastAsia="Arial" w:cs="Arial"/>
          <w:color w:val="000000"/>
          <w:sz w:val="20"/>
        </w:rPr>
      </w:pPr>
      <w:r>
        <w:rPr>
          <w:rFonts w:ascii="Arial" w:hAnsi="Arial" w:eastAsia="Arial" w:cs="Arial"/>
          <w:color w:val="000000"/>
          <w:sz w:val="20"/>
        </w:rPr>
        <w:t>In addition to the obligations listed in the Service Agreement, organisations funded to deliver this activity must comply with the following:</w:t>
      </w:r>
    </w:p>
    <w:p>
      <w:pPr>
        <w:spacing w:before="240" w:after="90" w:line="320" w:lineRule="atLeast"/>
        <w:ind w:left="111" w:right="105"/>
        <w:rPr>
          <w:rFonts w:ascii="Arial" w:hAnsi="Arial" w:eastAsia="Arial" w:cs="Arial"/>
          <w:b/>
          <w:bCs/>
          <w:color w:val="201547"/>
          <w:sz w:val="22"/>
        </w:rPr>
      </w:pPr>
      <w:r>
        <w:rPr>
          <w:rFonts w:ascii="Arial" w:hAnsi="Arial" w:eastAsia="Arial" w:cs="Arial"/>
          <w:b/>
          <w:bCs/>
          <w:color w:val="201547"/>
          <w:sz w:val="22"/>
        </w:rPr>
        <w:t>4a. Registration and Accreditation</w:t>
      </w:r>
    </w:p>
    <w:p>
      <w:pPr>
        <w:numPr>
          <w:ilvl w:val="0"/>
          <w:numId w:val="7"/>
        </w:numPr>
        <w:spacing w:after="40" w:line="270" w:lineRule="atLeast"/>
        <w:rPr>
          <w:rFonts w:ascii="Arial" w:hAnsi="Arial" w:eastAsia="Arial" w:cs="Arial"/>
          <w:b/>
          <w:bCs/>
          <w:color w:val="000000"/>
          <w:sz w:val="20"/>
        </w:rPr>
      </w:pPr>
      <w:r>
        <w:rPr>
          <w:rFonts w:ascii="Arial" w:hAnsi="Arial" w:eastAsia="Arial" w:cs="Arial"/>
          <w:color w:val="000000"/>
          <w:sz w:val="20"/>
        </w:rPr>
        <w:t>Providers of social services in Victoria who are in scope of the scheme must register with the Social Services Regulator (SSR) and comply with legislative requirements under the Social Services Regulation Act. Refer to the definitions in Part 1 of the Social Services Regulations 2023 (</w:t>
      </w:r>
      <w:hyperlink r:id="rId11" w:tgtFrame="_blank" w:history="1">
        <w:r>
          <w:rPr>
            <w:rFonts w:ascii="Arial" w:hAnsi="Arial" w:eastAsia="Arial" w:cs="Arial"/>
            <w:color w:val="3366FF"/>
            <w:sz w:val="20"/>
          </w:rPr>
          <w:t>https://www.legislation.vic.gov.au/as-made/statutory-rules/social-services-regulations-2023</w:t>
        </w:r>
      </w:hyperlink>
      <w:r>
        <w:rPr>
          <w:rFonts w:ascii="Arial" w:hAnsi="Arial" w:eastAsia="Arial" w:cs="Arial"/>
          <w:color w:val="000000"/>
          <w:sz w:val="20"/>
        </w:rPr>
        <w:t>) and the SSR website (</w:t>
      </w:r>
      <w:hyperlink r:id="rId12" w:tgtFrame="_blank" w:history="1">
        <w:r>
          <w:rPr>
            <w:rFonts w:ascii="Arial" w:hAnsi="Arial" w:eastAsia="Arial" w:cs="Arial"/>
            <w:color w:val="3366FF"/>
            <w:sz w:val="20"/>
          </w:rPr>
          <w:t>https://www.vic.gov.au/social-services-regulator</w:t>
        </w:r>
      </w:hyperlink>
      <w:r>
        <w:rPr>
          <w:rFonts w:ascii="Arial" w:hAnsi="Arial" w:eastAsia="Arial" w:cs="Arial"/>
          <w:color w:val="000000"/>
          <w:sz w:val="20"/>
        </w:rPr>
        <w:t>) to determine if services are in scope of registration.</w:t>
      </w:r>
      <w:r>
        <w:rPr>
          <w:rFonts w:ascii="Arial" w:hAnsi="Arial" w:eastAsia="Arial" w:cs="Arial"/>
          <w:b/>
          <w:bCs/>
          <w:color w:val="000000"/>
          <w:sz w:val="20"/>
        </w:rPr>
        <w:t xml:space="preserve"> </w:t>
      </w:r>
    </w:p>
    <w:p>
      <w:pPr>
        <w:spacing w:before="240" w:after="90" w:line="320" w:lineRule="atLeast"/>
        <w:ind w:left="111" w:right="105"/>
        <w:rPr>
          <w:rFonts w:ascii="Arial" w:hAnsi="Arial" w:eastAsia="Arial" w:cs="Arial"/>
          <w:color w:val="000000"/>
          <w:sz w:val="22"/>
        </w:rPr>
      </w:pPr>
      <w:r>
        <w:rPr>
          <w:rFonts w:ascii="Arial" w:hAnsi="Arial" w:eastAsia="Arial" w:cs="Arial"/>
          <w:b/>
          <w:bCs/>
          <w:color w:val="201547"/>
          <w:sz w:val="22"/>
        </w:rPr>
        <w:t>4b. Program requirements and other policy guidelines</w:t>
      </w:r>
      <w:r>
        <w:rPr>
          <w:rFonts w:ascii="Arial" w:hAnsi="Arial" w:eastAsia="Arial" w:cs="Arial"/>
          <w:color w:val="000000"/>
          <w:sz w:val="22"/>
        </w:rPr>
        <w:t/>
      </w:r>
    </w:p>
    <w:p>
      <w:pPr>
        <w:numPr>
          <w:ilvl w:val="0"/>
          <w:numId w:val="7"/>
        </w:numPr>
        <w:spacing w:after="40" w:line="270" w:lineRule="atLeast"/>
        <w:rPr>
          <w:rFonts w:ascii="Arial" w:hAnsi="Arial" w:eastAsia="Arial" w:cs="Arial"/>
          <w:color w:val="3366FF"/>
          <w:sz w:val="20"/>
        </w:rPr>
      </w:pPr>
      <w:hyperlink r:id="rId13" w:tgtFrame="_blank" w:history="1">
        <w:r>
          <w:rPr>
            <w:rFonts w:ascii="Arial" w:hAnsi="Arial" w:eastAsia="Arial" w:cs="Arial"/>
            <w:color w:val="3366FF"/>
            <w:sz w:val="20"/>
          </w:rPr>
          <w:t>Specialist Homelessness Services Collection Resources (SHSC)</w:t>
        </w:r>
      </w:hyperlink>
    </w:p>
    <w:p>
      <w:pPr>
        <w:spacing w:after="40" w:line="270" w:lineRule="atLeast"/>
        <w:ind w:left="395" w:right="105"/>
        <w:rPr>
          <w:rFonts w:ascii="Arial" w:hAnsi="Arial" w:eastAsia="Arial" w:cs="Arial"/>
          <w:color w:val="000000"/>
          <w:sz w:val="20"/>
        </w:rPr>
      </w:pPr>
      <w:r>
        <w:rPr>
          <w:rFonts w:ascii="Arial" w:hAnsi="Arial" w:eastAsia="Arial" w:cs="Arial"/>
          <w:color w:val="000000"/>
          <w:sz w:val="20"/>
        </w:rPr>
        <w:t>&lt;https://www.aihw.gov.au/about-our-data/our-data-collections/specialist-homelessness-services-collection&gt;</w:t>
      </w:r>
    </w:p>
    <w:p>
      <w:pPr>
        <w:numPr>
          <w:ilvl w:val="0"/>
          <w:numId w:val="7"/>
        </w:numPr>
        <w:spacing w:after="40" w:line="270" w:lineRule="atLeast"/>
        <w:rPr>
          <w:rFonts w:ascii="Arial" w:hAnsi="Arial" w:eastAsia="Arial" w:cs="Arial"/>
          <w:color w:val="3366FF"/>
          <w:sz w:val="20"/>
        </w:rPr>
      </w:pPr>
      <w:hyperlink r:id="rId14" w:tgtFrame="_blank" w:history="1">
        <w:r>
          <w:rPr>
            <w:rFonts w:ascii="Arial" w:hAnsi="Arial" w:eastAsia="Arial" w:cs="Arial"/>
            <w:color w:val="3366FF"/>
            <w:sz w:val="20"/>
          </w:rPr>
          <w:t>Victoria’s Homelessness and Rough Sleeping Action Plan</w:t>
        </w:r>
      </w:hyperlink>
    </w:p>
    <w:p>
      <w:pPr>
        <w:spacing w:after="40" w:line="270" w:lineRule="atLeast"/>
        <w:ind w:left="395" w:right="105"/>
        <w:rPr>
          <w:rFonts w:ascii="Arial" w:hAnsi="Arial" w:eastAsia="Arial" w:cs="Arial"/>
          <w:color w:val="000000"/>
          <w:sz w:val="20"/>
        </w:rPr>
      </w:pPr>
      <w:r>
        <w:rPr>
          <w:rFonts w:ascii="Arial" w:hAnsi="Arial" w:eastAsia="Arial" w:cs="Arial"/>
          <w:color w:val="000000"/>
          <w:sz w:val="20"/>
        </w:rPr>
        <w:t>&lt;https://fac.dffh.vic.gov.au/policies-and-procedures&gt;</w:t>
      </w:r>
    </w:p>
    <w:p>
      <w:pPr>
        <w:numPr>
          <w:ilvl w:val="0"/>
          <w:numId w:val="7"/>
        </w:numPr>
        <w:spacing w:after="40" w:line="270" w:lineRule="atLeast"/>
        <w:rPr>
          <w:rFonts w:ascii="Arial" w:hAnsi="Arial" w:eastAsia="Arial" w:cs="Arial"/>
          <w:color w:val="3366FF"/>
          <w:sz w:val="20"/>
        </w:rPr>
      </w:pPr>
      <w:hyperlink r:id="rId15" w:tgtFrame="_blank" w:history="1">
        <w:r>
          <w:rPr>
            <w:rFonts w:ascii="Arial" w:hAnsi="Arial" w:eastAsia="Arial" w:cs="Arial"/>
            <w:color w:val="3366FF"/>
            <w:sz w:val="20"/>
          </w:rPr>
          <w:t>Private Rental Assistance Guidelines</w:t>
        </w:r>
      </w:hyperlink>
    </w:p>
    <w:p>
      <w:pPr>
        <w:spacing w:after="40" w:line="270" w:lineRule="atLeast"/>
        <w:ind w:left="395" w:right="105"/>
        <w:rPr>
          <w:rFonts w:ascii="Arial" w:hAnsi="Arial" w:eastAsia="Arial" w:cs="Arial"/>
          <w:color w:val="000000"/>
          <w:sz w:val="20"/>
        </w:rPr>
      </w:pPr>
      <w:r>
        <w:rPr>
          <w:rFonts w:ascii="Arial" w:hAnsi="Arial" w:eastAsia="Arial" w:cs="Arial"/>
          <w:color w:val="000000"/>
          <w:sz w:val="20"/>
        </w:rPr>
        <w:t>&lt;https://fac.dhhs.vic.gov.au/sites/default/files/2019-11/PRAP%20Guidelines%20revised%202019.pdf&gt;</w:t>
      </w:r>
    </w:p>
    <w:p>
      <w:pPr>
        <w:numPr>
          <w:ilvl w:val="0"/>
          <w:numId w:val="7"/>
        </w:numPr>
        <w:spacing w:after="40" w:line="270" w:lineRule="atLeast"/>
        <w:rPr>
          <w:rFonts w:ascii="Arial" w:hAnsi="Arial" w:eastAsia="Arial" w:cs="Arial"/>
          <w:color w:val="3366FF"/>
          <w:sz w:val="20"/>
        </w:rPr>
      </w:pPr>
      <w:hyperlink r:id="rId16" w:tgtFrame="_blank" w:history="1">
        <w:r>
          <w:rPr>
            <w:rFonts w:ascii="Arial" w:hAnsi="Arial" w:eastAsia="Arial" w:cs="Arial"/>
            <w:color w:val="3366FF"/>
            <w:sz w:val="20"/>
          </w:rPr>
          <w:t>Mana-na woorn-tyeen maar-takoort- Every Aboriginal Person has a home</w:t>
        </w:r>
      </w:hyperlink>
    </w:p>
    <w:p>
      <w:pPr>
        <w:spacing w:after="40" w:line="270" w:lineRule="atLeast"/>
        <w:ind w:left="395" w:right="105"/>
        <w:rPr>
          <w:rFonts w:ascii="Arial" w:hAnsi="Arial" w:eastAsia="Arial" w:cs="Arial"/>
          <w:color w:val="000000"/>
          <w:sz w:val="20"/>
        </w:rPr>
      </w:pPr>
      <w:r>
        <w:rPr>
          <w:rFonts w:ascii="Arial" w:hAnsi="Arial" w:eastAsia="Arial" w:cs="Arial"/>
          <w:color w:val="000000"/>
          <w:sz w:val="20"/>
        </w:rPr>
        <w:t>&lt;https://vahhf.org.au/wp-content/uploads/2023/09/victorian-aboriginal-housing-and-homelessness-framework_complete_26_02_20-2.pdf&gt;</w:t>
      </w:r>
    </w:p>
    <w:p>
      <w:pPr>
        <w:numPr>
          <w:ilvl w:val="0"/>
          <w:numId w:val="7"/>
        </w:numPr>
        <w:spacing w:after="40" w:line="270" w:lineRule="atLeast"/>
        <w:rPr>
          <w:rFonts w:ascii="Arial" w:hAnsi="Arial" w:eastAsia="Arial" w:cs="Arial"/>
          <w:color w:val="3366FF"/>
          <w:sz w:val="20"/>
        </w:rPr>
      </w:pPr>
      <w:hyperlink r:id="rId17" w:tgtFrame="_blank" w:history="1">
        <w:r>
          <w:rPr>
            <w:rFonts w:ascii="Arial" w:hAnsi="Arial" w:eastAsia="Arial" w:cs="Arial"/>
            <w:color w:val="3366FF"/>
            <w:sz w:val="20"/>
          </w:rPr>
          <w:t>Blueprint for an Aboriginal-Specific Homelessness System in Victoria</w:t>
        </w:r>
      </w:hyperlink>
    </w:p>
    <w:p>
      <w:pPr>
        <w:spacing w:after="40" w:line="270" w:lineRule="atLeast"/>
        <w:ind w:left="395" w:right="105"/>
        <w:rPr>
          <w:rFonts w:ascii="Arial" w:hAnsi="Arial" w:eastAsia="Arial" w:cs="Arial"/>
          <w:color w:val="000000"/>
          <w:sz w:val="20"/>
        </w:rPr>
      </w:pPr>
      <w:r>
        <w:rPr>
          <w:rFonts w:ascii="Arial" w:hAnsi="Arial" w:eastAsia="Arial" w:cs="Arial"/>
          <w:color w:val="000000"/>
          <w:sz w:val="20"/>
        </w:rPr>
        <w:t>&lt;https://vahhf.org.au/wp-content/uploads/2023/09/Blueprint.pdf&gt;</w:t>
      </w:r>
    </w:p>
    <w:p>
      <w:pPr>
        <w:numPr>
          <w:ilvl w:val="0"/>
          <w:numId w:val="7"/>
        </w:numPr>
        <w:spacing w:after="40" w:line="270" w:lineRule="atLeast"/>
        <w:rPr>
          <w:rFonts w:ascii="Arial" w:hAnsi="Arial" w:eastAsia="Arial" w:cs="Arial"/>
          <w:color w:val="3366FF"/>
          <w:sz w:val="20"/>
        </w:rPr>
      </w:pPr>
      <w:hyperlink r:id="rId18" w:tgtFrame="_blank" w:history="1">
        <w:r>
          <w:rPr>
            <w:rFonts w:ascii="Arial" w:hAnsi="Arial" w:eastAsia="Arial" w:cs="Arial"/>
            <w:color w:val="3366FF"/>
            <w:sz w:val="20"/>
          </w:rPr>
          <w:t>Aboriginal Homelessness: An Aboriginal Cultural Safety Framework for the Specialist Homelessness Sector</w:t>
        </w:r>
      </w:hyperlink>
    </w:p>
    <w:p>
      <w:pPr>
        <w:spacing w:after="40" w:line="270" w:lineRule="atLeast"/>
        <w:ind w:left="395" w:right="105"/>
        <w:rPr>
          <w:rFonts w:ascii="Arial" w:hAnsi="Arial" w:eastAsia="Arial" w:cs="Arial"/>
          <w:color w:val="000000"/>
          <w:sz w:val="20"/>
        </w:rPr>
      </w:pPr>
      <w:r>
        <w:rPr>
          <w:rFonts w:ascii="Arial" w:hAnsi="Arial" w:eastAsia="Arial" w:cs="Arial"/>
          <w:color w:val="000000"/>
          <w:sz w:val="20"/>
        </w:rPr>
        <w:t>&lt;https://chp.org.au/wp-content/uploads/2022/04/Aboriginal-Homelessness-An-Aboriginal-Cultural-Safety-Framework-for-the-Specialist-Homelessness-Sector-4th-draft-with-hi-res-pic-attribution.pdf&gt;</w:t>
      </w:r>
    </w:p>
    <w:p>
      <w:pPr>
        <w:numPr>
          <w:ilvl w:val="0"/>
          <w:numId w:val="7"/>
        </w:numPr>
        <w:spacing w:after="40" w:line="270" w:lineRule="atLeast"/>
        <w:rPr>
          <w:rFonts w:ascii="Arial" w:hAnsi="Arial" w:eastAsia="Arial" w:cs="Arial"/>
          <w:color w:val="3366FF"/>
          <w:sz w:val="20"/>
        </w:rPr>
      </w:pPr>
      <w:hyperlink r:id="rId19" w:tgtFrame="_blank" w:history="1">
        <w:r>
          <w:rPr>
            <w:rFonts w:ascii="Arial" w:hAnsi="Arial" w:eastAsia="Arial" w:cs="Arial"/>
            <w:color w:val="3366FF"/>
            <w:sz w:val="20"/>
          </w:rPr>
          <w:t>Aboriginal Private Rental Assistance Guidelines</w:t>
        </w:r>
      </w:hyperlink>
    </w:p>
    <w:p>
      <w:pPr>
        <w:spacing w:after="40" w:line="270" w:lineRule="atLeast"/>
        <w:ind w:left="395" w:right="105"/>
        <w:rPr>
          <w:rFonts w:ascii="Arial" w:hAnsi="Arial" w:eastAsia="Arial" w:cs="Arial"/>
          <w:color w:val="000000"/>
          <w:sz w:val="20"/>
        </w:rPr>
      </w:pPr>
      <w:r>
        <w:rPr>
          <w:rFonts w:ascii="Arial" w:hAnsi="Arial" w:eastAsia="Arial" w:cs="Arial"/>
          <w:color w:val="000000"/>
          <w:sz w:val="20"/>
        </w:rPr>
        <w:t>&lt;https://fac.dffh.vic.gov.au/aboriginal-private-rental-assistance-program-aprap-guidelines&gt;</w:t>
      </w:r>
    </w:p>
    <w:p>
      <w:pPr>
        <w:numPr>
          <w:ilvl w:val="0"/>
          <w:numId w:val="7"/>
        </w:numPr>
        <w:spacing w:after="40" w:line="270" w:lineRule="atLeast"/>
        <w:rPr>
          <w:rFonts w:ascii="Arial" w:hAnsi="Arial" w:eastAsia="Arial" w:cs="Arial"/>
          <w:color w:val="3366FF"/>
          <w:sz w:val="20"/>
        </w:rPr>
      </w:pPr>
      <w:hyperlink r:id="rId20" w:tgtFrame="_blank" w:history="1">
        <w:r>
          <w:rPr>
            <w:rFonts w:ascii="Arial" w:hAnsi="Arial" w:eastAsia="Arial" w:cs="Arial"/>
            <w:color w:val="3366FF"/>
            <w:sz w:val="20"/>
          </w:rPr>
          <w:t>Homelessness and Housing Support Guidelines</w:t>
        </w:r>
      </w:hyperlink>
    </w:p>
    <w:p>
      <w:pPr>
        <w:spacing w:after="40" w:line="270" w:lineRule="atLeast"/>
        <w:ind w:left="395" w:right="105"/>
        <w:rPr>
          <w:rFonts w:ascii="Arial" w:hAnsi="Arial" w:eastAsia="Arial" w:cs="Arial"/>
          <w:color w:val="000000"/>
          <w:sz w:val="20"/>
        </w:rPr>
      </w:pPr>
      <w:r>
        <w:rPr>
          <w:rFonts w:ascii="Arial" w:hAnsi="Arial" w:eastAsia="Arial" w:cs="Arial"/>
          <w:color w:val="000000"/>
          <w:sz w:val="20"/>
        </w:rPr>
        <w:t>&lt;https://fac.dffh.vic.gov.au/policies-and-procedures&gt;</w:t>
      </w:r>
    </w:p>
    <w:p>
      <w:pPr>
        <w:spacing w:line="270" w:lineRule="atLeast"/>
        <w:ind w:left="111" w:right="105"/>
        <w:rPr>
          <w:rFonts w:ascii="Arial" w:hAnsi="Arial" w:eastAsia="Arial" w:cs="Arial"/>
          <w:color w:val="000000"/>
          <w:sz w:val="20"/>
        </w:rPr>
      </w:pPr>
      <w:r>
        <w:rPr>
          <w:rFonts w:ascii="Arial" w:hAnsi="Arial" w:eastAsia="Arial" w:cs="Arial"/>
          <w:color w:val="000000"/>
          <w:sz w:val="20"/>
        </w:rPr>
        <w:t/>
      </w:r>
    </w:p>
    <w:p>
      <w:pPr>
        <w:spacing w:before="320" w:after="200" w:line="440" w:lineRule="atLeast"/>
        <w:ind w:left="111" w:right="105"/>
        <w:rPr>
          <w:rFonts w:ascii="Arial" w:hAnsi="Arial" w:eastAsia="Arial" w:cs="Arial"/>
          <w:color w:val="000000"/>
          <w:sz w:val="20"/>
        </w:rPr>
      </w:pPr>
      <w:r>
        <w:rPr>
          <w:rFonts w:ascii="Arial" w:hAnsi="Arial" w:eastAsia="Arial" w:cs="Arial"/>
          <w:b/>
          <w:bCs/>
          <w:color w:val="201547"/>
          <w:sz w:val="28"/>
        </w:rPr>
        <w:t>5. Performance</w:t>
      </w:r>
      <w:r>
        <w:rPr>
          <w:rFonts w:ascii="Arial" w:hAnsi="Arial" w:eastAsia="Arial" w:cs="Arial"/>
          <w:color w:val="000000"/>
          <w:sz w:val="20"/>
        </w:rPr>
        <w:t/>
      </w:r>
    </w:p>
    <w:p>
      <w:pPr>
        <w:spacing w:line="288" w:lineRule="auto"/>
        <w:ind w:left="111" w:right="105"/>
        <w:rPr>
          <w:rFonts w:ascii="Arial" w:hAnsi="Arial" w:eastAsia="Arial" w:cs="Arial"/>
          <w:color w:val="000000"/>
          <w:sz w:val="20"/>
        </w:rPr>
      </w:pPr>
      <w:r>
        <w:rPr>
          <w:rFonts w:ascii="Arial" w:hAnsi="Arial" w:eastAsia="Arial" w:cs="Arial"/>
          <w:color w:val="000000"/>
          <w:sz w:val="20"/>
        </w:rPr>
        <w:t xml:space="preserve">Funding is subject to achieving the performance targets specified in Schedule 2 of the Service Agreement. </w:t>
      </w:r>
    </w:p>
    <w:p>
      <w:pPr>
        <w:spacing w:before="100" w:line="288" w:lineRule="auto"/>
        <w:ind w:left="111" w:right="105"/>
        <w:rPr>
          <w:rFonts w:ascii="Arial" w:hAnsi="Arial" w:eastAsia="Arial" w:cs="Arial"/>
          <w:b/>
          <w:bCs/>
          <w:color w:val="000000"/>
          <w:sz w:val="20"/>
        </w:rPr>
      </w:pPr>
      <w:r>
        <w:rPr>
          <w:rFonts w:ascii="Arial" w:hAnsi="Arial" w:eastAsia="Arial" w:cs="Arial"/>
          <w:color w:val="000000"/>
          <w:sz w:val="20"/>
        </w:rPr>
        <w:t>Performance is measured as follows:</w:t>
      </w:r>
      <w:r>
        <w:rPr>
          <w:rFonts w:ascii="Arial" w:hAnsi="Arial" w:eastAsia="Arial" w:cs="Arial"/>
          <w:b/>
          <w:bCs/>
          <w:color w:val="000000"/>
          <w:sz w:val="20"/>
        </w:rPr>
        <w:t xml:space="preserve"> </w:t>
      </w:r>
    </w:p>
    <w:p>
      <w:pPr>
        <w:spacing w:before="100" w:line="288" w:lineRule="auto"/>
        <w:ind w:left="111" w:right="105"/>
        <w:rPr>
          <w:rFonts w:ascii="Arial" w:hAnsi="Arial" w:eastAsia="Arial" w:cs="Arial"/>
          <w:b/>
          <w:bCs/>
          <w:color w:val="201547"/>
          <w:sz w:val="20"/>
        </w:rPr>
      </w:pPr>
      <w:r>
        <w:rPr>
          <w:rFonts w:ascii="Arial" w:hAnsi="Arial" w:eastAsia="Arial" w:cs="Arial"/>
          <w:b/>
          <w:bCs/>
          <w:color w:val="201547"/>
          <w:sz w:val="20"/>
        </w:rPr>
        <w:t>Key performance measure 1: Number of new tenancies established or sustained</w:t>
      </w:r>
    </w:p>
    <w:tbl>
      <w:tblPr>
        <w:tblW w:w="0" w:type="auto"/>
        <w:tblInd w:w="111" w:type="dxa"/>
        <w:tblLayout w:type="fixed"/>
        <w:tblCellMar>
          <w:left w:w="0" w:type="dxa"/>
          <w:right w:w="0" w:type="dxa"/>
        </w:tblCellMar>
      </w:tblPr>
      <w:tblGrid>
        <w:gridCol w:w="2835"/>
        <w:gridCol w:w="7379"/>
      </w:tblGrid>
      <w:tr>
        <w:trPr>
          <w:cantSplit/>
        </w:trPr>
        <w:tc>
          <w:tcPr>
            <w:tcW w:w="2835" w:type="dxa"/>
            <w:tcBorders>
              <w:top w:val="single" w:sz="4" w:space="0" w:color="000000"/>
              <w:bottom w:val="single" w:sz="4" w:space="0" w:color="000000"/>
              <w:left w:val="single" w:sz="4" w:space="0" w:color="000000"/>
              <w:right w:val="single" w:sz="4" w:space="0" w:color="000000"/>
            </w:tcBorders>
            <w:shd w:val="clear" w:color="auto" w:fill="FFFFFF"/>
          </w:tcPr>
          <w:p>
            <w:pPr>
              <w:keepLines/>
              <w:spacing w:before="100" w:line="288" w:lineRule="auto"/>
              <w:ind w:left="108" w:right="108"/>
              <w:rPr>
                <w:rFonts w:ascii="Arial" w:hAnsi="Arial" w:eastAsia="Arial" w:cs="Arial"/>
                <w:b/>
                <w:bCs/>
                <w:color w:val="201547"/>
                <w:sz w:val="20"/>
              </w:rPr>
            </w:pPr>
            <w:r>
              <w:rPr>
                <w:rFonts w:ascii="Arial" w:hAnsi="Arial" w:eastAsia="Arial" w:cs="Arial"/>
                <w:b/>
                <w:bCs/>
                <w:color w:val="201547"/>
                <w:sz w:val="20"/>
              </w:rPr>
              <w:t>Aim/objective</w:t>
            </w:r>
          </w:p>
        </w:tc>
        <w:tc>
          <w:tcPr>
            <w:tcW w:w="7379" w:type="dxa"/>
            <w:tcBorders>
              <w:top w:val="single" w:sz="4" w:space="0" w:color="000000"/>
              <w:bottom w:val="single" w:sz="4" w:space="0" w:color="000000"/>
              <w:left w:val="single" w:sz="4" w:space="0" w:color="000000"/>
              <w:right w:val="single" w:sz="4" w:space="0" w:color="000000"/>
            </w:tcBorders>
            <w:shd w:val="clear" w:color="auto" w:fill="FFFFFF"/>
          </w:tcPr>
          <w:p>
            <w:pPr>
              <w:keepLines/>
              <w:spacing w:before="100" w:line="288" w:lineRule="auto"/>
              <w:ind w:left="108" w:right="108"/>
              <w:rPr>
                <w:rFonts w:ascii="Arial" w:hAnsi="Arial" w:eastAsia="Arial" w:cs="Arial"/>
                <w:color w:val="000000"/>
                <w:sz w:val="20"/>
              </w:rPr>
            </w:pPr>
            <w:r>
              <w:rPr>
                <w:rFonts w:ascii="Arial" w:hAnsi="Arial" w:eastAsia="Arial" w:cs="Arial"/>
                <w:color w:val="000000"/>
                <w:sz w:val="20"/>
              </w:rPr>
              <w:t>The aim of this performance measure is to monitor the number of households assisted to establish or maintain a tenancy in the private rental market by a broker.</w:t>
            </w:r>
          </w:p>
        </w:tc>
      </w:tr>
      <w:tr>
        <w:trPr>
          <w:cantSplit/>
        </w:trPr>
        <w:tc>
          <w:tcPr>
            <w:tcW w:w="2835" w:type="dxa"/>
            <w:tcBorders>
              <w:top w:val="single" w:sz="4" w:space="0" w:color="000000"/>
              <w:bottom w:val="single" w:sz="4" w:space="0" w:color="000000"/>
              <w:left w:val="single" w:sz="4" w:space="0" w:color="000000"/>
              <w:right w:val="single" w:sz="4" w:space="0" w:color="000000"/>
            </w:tcBorders>
            <w:shd w:val="clear" w:color="auto" w:fill="FFFFFF"/>
          </w:tcPr>
          <w:p>
            <w:pPr>
              <w:keepLines/>
              <w:spacing w:before="100" w:line="288" w:lineRule="auto"/>
              <w:ind w:left="108" w:right="108"/>
              <w:rPr>
                <w:rFonts w:ascii="Arial" w:hAnsi="Arial" w:eastAsia="Arial" w:cs="Arial"/>
                <w:b/>
                <w:bCs/>
                <w:color w:val="201547"/>
                <w:sz w:val="20"/>
              </w:rPr>
            </w:pPr>
            <w:r>
              <w:rPr>
                <w:rFonts w:ascii="Arial" w:hAnsi="Arial" w:eastAsia="Arial" w:cs="Arial"/>
                <w:b/>
                <w:bCs/>
                <w:color w:val="201547"/>
                <w:sz w:val="20"/>
              </w:rPr>
              <w:t>Target</w:t>
            </w:r>
          </w:p>
        </w:tc>
        <w:tc>
          <w:tcPr>
            <w:tcW w:w="7379" w:type="dxa"/>
            <w:tcBorders>
              <w:top w:val="single" w:sz="4" w:space="0" w:color="000000"/>
              <w:bottom w:val="single" w:sz="4" w:space="0" w:color="000000"/>
              <w:left w:val="single" w:sz="4" w:space="0" w:color="000000"/>
              <w:right w:val="single" w:sz="4" w:space="0" w:color="000000"/>
            </w:tcBorders>
            <w:shd w:val="clear" w:color="auto" w:fill="FFFFFF"/>
          </w:tcPr>
          <w:p>
            <w:pPr>
              <w:keepLines/>
              <w:spacing w:before="100" w:line="288" w:lineRule="auto"/>
              <w:ind w:left="108" w:right="108"/>
              <w:rPr>
                <w:rFonts w:ascii="Arial" w:hAnsi="Arial" w:eastAsia="Arial" w:cs="Arial"/>
                <w:color w:val="000000"/>
                <w:sz w:val="20"/>
              </w:rPr>
            </w:pPr>
            <w:r>
              <w:rPr>
                <w:rFonts w:ascii="Arial" w:hAnsi="Arial" w:eastAsia="Arial" w:cs="Arial"/>
                <w:color w:val="000000"/>
                <w:sz w:val="20"/>
              </w:rPr>
              <w:t>The performance measure target is provided in the Service Agreement</w:t>
            </w:r>
          </w:p>
        </w:tc>
      </w:tr>
      <w:tr>
        <w:trPr>
          <w:cantSplit/>
        </w:trPr>
        <w:tc>
          <w:tcPr>
            <w:tcW w:w="2835" w:type="dxa"/>
            <w:tcBorders>
              <w:top w:val="single" w:sz="4" w:space="0" w:color="000000"/>
              <w:bottom w:val="single" w:sz="4" w:space="0" w:color="000000"/>
              <w:left w:val="single" w:sz="4" w:space="0" w:color="000000"/>
              <w:right w:val="single" w:sz="4" w:space="0" w:color="000000"/>
            </w:tcBorders>
            <w:shd w:val="clear" w:color="auto" w:fill="FFFFFF"/>
          </w:tcPr>
          <w:p>
            <w:pPr>
              <w:keepLines/>
              <w:spacing w:before="100" w:line="288" w:lineRule="auto"/>
              <w:ind w:left="108" w:right="108"/>
              <w:rPr>
                <w:rFonts w:ascii="Arial" w:hAnsi="Arial" w:eastAsia="Arial" w:cs="Arial"/>
                <w:b/>
                <w:bCs/>
                <w:color w:val="201547"/>
                <w:sz w:val="20"/>
              </w:rPr>
            </w:pPr>
            <w:r>
              <w:rPr>
                <w:rFonts w:ascii="Arial" w:hAnsi="Arial" w:eastAsia="Arial" w:cs="Arial"/>
                <w:b/>
                <w:bCs/>
                <w:color w:val="201547"/>
                <w:sz w:val="20"/>
              </w:rPr>
              <w:t>Type of count</w:t>
            </w:r>
          </w:p>
        </w:tc>
        <w:tc>
          <w:tcPr>
            <w:tcW w:w="7379" w:type="dxa"/>
            <w:tcBorders>
              <w:top w:val="single" w:sz="4" w:space="0" w:color="000000"/>
              <w:bottom w:val="single" w:sz="4" w:space="0" w:color="000000"/>
              <w:left w:val="single" w:sz="4" w:space="0" w:color="000000"/>
              <w:right w:val="single" w:sz="4" w:space="0" w:color="000000"/>
            </w:tcBorders>
            <w:shd w:val="clear" w:color="auto" w:fill="FFFFFF"/>
          </w:tcPr>
          <w:p>
            <w:pPr>
              <w:keepLines/>
              <w:spacing w:before="100" w:line="288" w:lineRule="auto"/>
              <w:ind w:left="108" w:right="108"/>
              <w:rPr>
                <w:rFonts w:ascii="Arial" w:hAnsi="Arial" w:eastAsia="Arial" w:cs="Arial"/>
                <w:color w:val="000000"/>
                <w:sz w:val="20"/>
              </w:rPr>
            </w:pPr>
            <w:r>
              <w:rPr>
                <w:rFonts w:ascii="Arial" w:hAnsi="Arial" w:eastAsia="Arial" w:cs="Arial"/>
                <w:color w:val="000000"/>
                <w:sz w:val="20"/>
              </w:rPr>
              <w:t>Cumulative</w:t>
            </w:r>
          </w:p>
        </w:tc>
      </w:tr>
      <w:tr>
        <w:trPr>
          <w:cantSplit/>
        </w:trPr>
        <w:tc>
          <w:tcPr>
            <w:tcW w:w="2835" w:type="dxa"/>
            <w:tcBorders>
              <w:top w:val="single" w:sz="4" w:space="0" w:color="000000"/>
              <w:bottom w:val="single" w:sz="4" w:space="0" w:color="000000"/>
              <w:left w:val="single" w:sz="4" w:space="0" w:color="000000"/>
              <w:right w:val="single" w:sz="4" w:space="0" w:color="000000"/>
            </w:tcBorders>
            <w:shd w:val="clear" w:color="auto" w:fill="FFFFFF"/>
          </w:tcPr>
          <w:p>
            <w:pPr>
              <w:keepLines/>
              <w:spacing w:before="100" w:line="288" w:lineRule="auto"/>
              <w:ind w:left="108" w:right="108"/>
              <w:rPr>
                <w:rFonts w:ascii="Arial" w:hAnsi="Arial" w:eastAsia="Arial" w:cs="Arial"/>
                <w:b/>
                <w:bCs/>
                <w:color w:val="201547"/>
                <w:sz w:val="20"/>
              </w:rPr>
            </w:pPr>
            <w:r>
              <w:rPr>
                <w:rFonts w:ascii="Arial" w:hAnsi="Arial" w:eastAsia="Arial" w:cs="Arial"/>
                <w:b/>
                <w:bCs/>
                <w:color w:val="201547"/>
                <w:sz w:val="20"/>
              </w:rPr>
              <w:t>Counting rule</w:t>
            </w:r>
          </w:p>
        </w:tc>
        <w:tc>
          <w:tcPr>
            <w:tcW w:w="7379" w:type="dxa"/>
            <w:tcBorders>
              <w:top w:val="single" w:sz="4" w:space="0" w:color="000000"/>
              <w:bottom w:val="single" w:sz="4" w:space="0" w:color="000000"/>
              <w:left w:val="single" w:sz="4" w:space="0" w:color="000000"/>
              <w:right w:val="single" w:sz="4" w:space="0" w:color="000000"/>
            </w:tcBorders>
            <w:shd w:val="clear" w:color="auto" w:fill="FFFFFF"/>
          </w:tcPr>
          <w:p>
            <w:pPr>
              <w:keepLines/>
              <w:spacing w:before="100" w:line="288" w:lineRule="auto"/>
              <w:ind w:left="108" w:right="108"/>
              <w:rPr>
                <w:rFonts w:ascii="Arial" w:hAnsi="Arial" w:eastAsia="Arial" w:cs="Arial"/>
                <w:color w:val="000000"/>
                <w:sz w:val="20"/>
              </w:rPr>
            </w:pPr>
            <w:r>
              <w:rPr>
                <w:rFonts w:ascii="Arial" w:hAnsi="Arial" w:eastAsia="Arial" w:cs="Arial"/>
                <w:color w:val="000000"/>
                <w:sz w:val="20"/>
              </w:rPr>
              <w:t xml:space="preserve">Count each new household provided with support during the reporting period to maintain their current tenancy or establish a new tenancy in the private rental market. </w:t>
            </w:r>
            <w:r>
              <w:br/>
            </w:r>
            <w:r>
              <w:br/>
            </w:r>
            <w:r>
              <w:rPr>
                <w:rFonts w:ascii="Arial" w:hAnsi="Arial" w:eastAsia="Arial" w:cs="Arial"/>
                <w:color w:val="000000"/>
                <w:sz w:val="20"/>
              </w:rPr>
              <w:t>Households who are counted in this performance measure may also be counted in Performance Measure 3 if they also received PRAP / APRAP plus support.</w:t>
            </w:r>
          </w:p>
        </w:tc>
      </w:tr>
      <w:tr>
        <w:trPr>
          <w:cantSplit/>
        </w:trPr>
        <w:tc>
          <w:tcPr>
            <w:tcW w:w="2835" w:type="dxa"/>
            <w:tcBorders>
              <w:top w:val="single" w:sz="4" w:space="0" w:color="000000"/>
              <w:bottom w:val="single" w:sz="4" w:space="0" w:color="000000"/>
              <w:left w:val="single" w:sz="4" w:space="0" w:color="000000"/>
              <w:right w:val="single" w:sz="4" w:space="0" w:color="000000"/>
            </w:tcBorders>
            <w:shd w:val="clear" w:color="auto" w:fill="FFFFFF"/>
          </w:tcPr>
          <w:p>
            <w:pPr>
              <w:keepLines/>
              <w:spacing w:before="100" w:line="288" w:lineRule="auto"/>
              <w:ind w:left="108" w:right="108"/>
              <w:rPr>
                <w:rFonts w:ascii="Arial" w:hAnsi="Arial" w:eastAsia="Arial" w:cs="Arial"/>
                <w:b/>
                <w:bCs/>
                <w:color w:val="201547"/>
                <w:sz w:val="20"/>
              </w:rPr>
            </w:pPr>
            <w:r>
              <w:rPr>
                <w:rFonts w:ascii="Arial" w:hAnsi="Arial" w:eastAsia="Arial" w:cs="Arial"/>
                <w:b/>
                <w:bCs/>
                <w:color w:val="201547"/>
                <w:sz w:val="20"/>
              </w:rPr>
              <w:t>Data source(s) collection</w:t>
            </w:r>
          </w:p>
        </w:tc>
        <w:tc>
          <w:tcPr>
            <w:tcW w:w="7379" w:type="dxa"/>
            <w:tcBorders>
              <w:top w:val="single" w:sz="4" w:space="0" w:color="000000"/>
              <w:bottom w:val="single" w:sz="4" w:space="0" w:color="000000"/>
              <w:left w:val="single" w:sz="4" w:space="0" w:color="000000"/>
              <w:right w:val="single" w:sz="4" w:space="0" w:color="000000"/>
            </w:tcBorders>
            <w:shd w:val="clear" w:color="auto" w:fill="FFFFFF"/>
          </w:tcPr>
          <w:p>
            <w:pPr>
              <w:keepLines/>
              <w:numPr>
                <w:ilvl w:val="0"/>
                <w:numId w:val="7"/>
              </w:numPr>
              <w:spacing w:line="270" w:lineRule="atLeast"/>
              <w:rPr>
                <w:rFonts w:ascii="Arial" w:hAnsi="Arial" w:eastAsia="Arial" w:cs="Arial"/>
                <w:color w:val="000000"/>
                <w:sz w:val="20"/>
              </w:rPr>
            </w:pPr>
            <w:r>
              <w:rPr>
                <w:rFonts w:ascii="Arial" w:hAnsi="Arial" w:eastAsia="Arial" w:cs="Arial"/>
                <w:color w:val="000000"/>
                <w:sz w:val="20"/>
              </w:rPr>
              <w:t>Specialist Homelessness Services Collection (SHSC)</w:t>
            </w:r>
          </w:p>
          <w:p>
            <w:pPr>
              <w:keepLines/>
              <w:numPr>
                <w:ilvl w:val="0"/>
                <w:numId w:val="7"/>
              </w:numPr>
              <w:spacing w:line="270" w:lineRule="atLeast"/>
              <w:rPr>
                <w:rFonts w:ascii="Arial" w:hAnsi="Arial" w:eastAsia="Arial" w:cs="Arial"/>
                <w:color w:val="000000"/>
                <w:sz w:val="20"/>
              </w:rPr>
            </w:pPr>
            <w:r>
              <w:rPr>
                <w:rFonts w:ascii="Arial" w:hAnsi="Arial" w:eastAsia="Arial" w:cs="Arial"/>
                <w:color w:val="000000"/>
                <w:sz w:val="20"/>
              </w:rPr>
              <w:t>Service Delivery Tracking (SDT)</w:t>
            </w:r>
          </w:p>
        </w:tc>
      </w:tr>
      <w:tr>
        <w:trPr>
          <w:cantSplit/>
        </w:trPr>
        <w:tc>
          <w:tcPr>
            <w:tcW w:w="2835" w:type="dxa"/>
            <w:tcBorders>
              <w:top w:val="single" w:sz="4" w:space="0" w:color="000000"/>
              <w:bottom w:val="single" w:sz="4" w:space="0" w:color="000000"/>
              <w:left w:val="single" w:sz="4" w:space="0" w:color="000000"/>
              <w:right w:val="single" w:sz="4" w:space="0" w:color="000000"/>
            </w:tcBorders>
            <w:shd w:val="clear" w:color="auto" w:fill="FFFFFF"/>
          </w:tcPr>
          <w:p>
            <w:pPr>
              <w:keepLines/>
              <w:spacing w:before="100" w:line="288" w:lineRule="auto"/>
              <w:ind w:left="108" w:right="108"/>
              <w:rPr>
                <w:rFonts w:ascii="Arial" w:hAnsi="Arial" w:eastAsia="Arial" w:cs="Arial"/>
                <w:b/>
                <w:bCs/>
                <w:color w:val="201547"/>
                <w:sz w:val="20"/>
              </w:rPr>
            </w:pPr>
            <w:r>
              <w:rPr>
                <w:rFonts w:ascii="Arial" w:hAnsi="Arial" w:eastAsia="Arial" w:cs="Arial"/>
                <w:b/>
                <w:bCs/>
                <w:color w:val="201547"/>
                <w:sz w:val="20"/>
              </w:rPr>
              <w:t>Definition of terms</w:t>
            </w:r>
          </w:p>
        </w:tc>
        <w:tc>
          <w:tcPr>
            <w:tcW w:w="7379" w:type="dxa"/>
            <w:tcBorders>
              <w:top w:val="single" w:sz="4" w:space="0" w:color="000000"/>
              <w:bottom w:val="single" w:sz="4" w:space="0" w:color="000000"/>
              <w:left w:val="single" w:sz="4" w:space="0" w:color="000000"/>
              <w:right w:val="single" w:sz="4" w:space="0" w:color="000000"/>
            </w:tcBorders>
            <w:shd w:val="clear" w:color="auto" w:fill="FFFFFF"/>
          </w:tcPr>
          <w:p>
            <w:pPr>
              <w:keepLines/>
              <w:spacing w:before="100" w:line="288" w:lineRule="auto"/>
              <w:ind w:left="108" w:right="108"/>
              <w:rPr>
                <w:rFonts w:ascii="Arial" w:hAnsi="Arial" w:eastAsia="Arial" w:cs="Arial"/>
                <w:color w:val="000000"/>
                <w:sz w:val="20"/>
              </w:rPr>
            </w:pPr>
            <w:r>
              <w:rPr>
                <w:rFonts w:ascii="Arial" w:hAnsi="Arial" w:eastAsia="Arial" w:cs="Arial"/>
                <w:color w:val="000000"/>
                <w:sz w:val="20"/>
              </w:rPr>
              <w:t xml:space="preserve">A household may be an individual aged 16 years and over, or a group of two or more people, whether related by family or other relationship. </w:t>
            </w:r>
            <w:r>
              <w:br/>
            </w:r>
            <w:r>
              <w:br/>
            </w:r>
            <w:r>
              <w:rPr>
                <w:rFonts w:ascii="Arial" w:hAnsi="Arial" w:eastAsia="Arial" w:cs="Arial"/>
                <w:color w:val="000000"/>
                <w:sz w:val="20"/>
              </w:rPr>
              <w:t xml:space="preserve">Support in the private rental program usually refers to households who receive financial assistance. There may be instances where households are supported under this measure but who don’t succeed in receiving financial assistance and who can also be counted if they received support from the broker. </w:t>
            </w:r>
            <w:r>
              <w:br/>
            </w:r>
            <w:r>
              <w:br/>
            </w:r>
            <w:r>
              <w:rPr>
                <w:rFonts w:ascii="Arial" w:hAnsi="Arial" w:eastAsia="Arial" w:cs="Arial"/>
                <w:color w:val="000000"/>
                <w:sz w:val="20"/>
              </w:rPr>
              <w:t>Where support is provided, services are required to open and close a Support Period. Further information and the definition of a support period can be found in the Specialist Homelessness Services Collection Resources.</w:t>
            </w:r>
          </w:p>
        </w:tc>
      </w:tr>
    </w:tbl>
    <w:p>
      <w:pPr>
        <w:spacing w:before="100" w:line="288" w:lineRule="auto"/>
        <w:ind w:left="111" w:right="105"/>
        <w:rPr>
          <w:rFonts w:ascii="Arial" w:hAnsi="Arial" w:eastAsia="Arial" w:cs="Arial"/>
          <w:b/>
          <w:bCs/>
          <w:color w:val="201547"/>
          <w:sz w:val="20"/>
        </w:rPr>
      </w:pPr>
      <w:r>
        <w:rPr>
          <w:rFonts w:ascii="Arial" w:hAnsi="Arial" w:eastAsia="Arial" w:cs="Arial"/>
          <w:b/>
          <w:bCs/>
          <w:color w:val="201547"/>
          <w:sz w:val="20"/>
        </w:rPr>
        <w:t>Key performance measure 2: Private rental assistance expended in the reporting period</w:t>
      </w:r>
    </w:p>
    <w:tbl>
      <w:tblPr>
        <w:tblW w:w="0" w:type="auto"/>
        <w:tblInd w:w="111" w:type="dxa"/>
        <w:tblLayout w:type="fixed"/>
        <w:tblCellMar>
          <w:left w:w="0" w:type="dxa"/>
          <w:right w:w="0" w:type="dxa"/>
        </w:tblCellMar>
      </w:tblPr>
      <w:tblGrid>
        <w:gridCol w:w="2835"/>
        <w:gridCol w:w="7379"/>
      </w:tblGrid>
      <w:tr>
        <w:trPr>
          <w:cantSplit/>
        </w:trPr>
        <w:tc>
          <w:tcPr>
            <w:tcW w:w="2835" w:type="dxa"/>
            <w:tcBorders>
              <w:top w:val="single" w:sz="4" w:space="0" w:color="000000"/>
              <w:bottom w:val="single" w:sz="4" w:space="0" w:color="000000"/>
              <w:left w:val="single" w:sz="4" w:space="0" w:color="000000"/>
              <w:right w:val="single" w:sz="4" w:space="0" w:color="000000"/>
            </w:tcBorders>
            <w:shd w:val="clear" w:color="auto" w:fill="FFFFFF"/>
          </w:tcPr>
          <w:p>
            <w:pPr>
              <w:keepLines/>
              <w:spacing w:before="100" w:line="288" w:lineRule="auto"/>
              <w:ind w:left="108" w:right="108"/>
              <w:rPr>
                <w:rFonts w:ascii="Arial" w:hAnsi="Arial" w:eastAsia="Arial" w:cs="Arial"/>
                <w:b/>
                <w:bCs/>
                <w:color w:val="201547"/>
                <w:sz w:val="20"/>
              </w:rPr>
            </w:pPr>
            <w:r>
              <w:rPr>
                <w:rFonts w:ascii="Arial" w:hAnsi="Arial" w:eastAsia="Arial" w:cs="Arial"/>
                <w:b/>
                <w:bCs/>
                <w:color w:val="201547"/>
                <w:sz w:val="20"/>
              </w:rPr>
              <w:t>Aim/objective</w:t>
            </w:r>
          </w:p>
        </w:tc>
        <w:tc>
          <w:tcPr>
            <w:tcW w:w="7379" w:type="dxa"/>
            <w:tcBorders>
              <w:top w:val="single" w:sz="4" w:space="0" w:color="000000"/>
              <w:bottom w:val="single" w:sz="4" w:space="0" w:color="000000"/>
              <w:left w:val="single" w:sz="4" w:space="0" w:color="000000"/>
              <w:right w:val="single" w:sz="4" w:space="0" w:color="000000"/>
            </w:tcBorders>
            <w:shd w:val="clear" w:color="auto" w:fill="FFFFFF"/>
          </w:tcPr>
          <w:p>
            <w:pPr>
              <w:keepLines/>
              <w:spacing w:before="100" w:line="288" w:lineRule="auto"/>
              <w:ind w:left="108" w:right="108"/>
              <w:rPr>
                <w:rFonts w:ascii="Arial" w:hAnsi="Arial" w:eastAsia="Arial" w:cs="Arial"/>
                <w:color w:val="000000"/>
                <w:sz w:val="20"/>
              </w:rPr>
            </w:pPr>
            <w:r>
              <w:rPr>
                <w:rFonts w:ascii="Arial" w:hAnsi="Arial" w:eastAsia="Arial" w:cs="Arial"/>
                <w:color w:val="000000"/>
                <w:sz w:val="20"/>
              </w:rPr>
              <w:t>The aim of this performance measure is to monitor the total amount of private rental assistance brokerage that has been expended on households to establish or maintain a tenancy in the private rental market.</w:t>
            </w:r>
          </w:p>
        </w:tc>
      </w:tr>
      <w:tr>
        <w:trPr>
          <w:cantSplit/>
        </w:trPr>
        <w:tc>
          <w:tcPr>
            <w:tcW w:w="2835" w:type="dxa"/>
            <w:tcBorders>
              <w:top w:val="single" w:sz="4" w:space="0" w:color="000000"/>
              <w:bottom w:val="single" w:sz="4" w:space="0" w:color="000000"/>
              <w:left w:val="single" w:sz="4" w:space="0" w:color="000000"/>
              <w:right w:val="single" w:sz="4" w:space="0" w:color="000000"/>
            </w:tcBorders>
            <w:shd w:val="clear" w:color="auto" w:fill="FFFFFF"/>
          </w:tcPr>
          <w:p>
            <w:pPr>
              <w:keepLines/>
              <w:spacing w:before="100" w:line="288" w:lineRule="auto"/>
              <w:ind w:left="108" w:right="108"/>
              <w:rPr>
                <w:rFonts w:ascii="Arial" w:hAnsi="Arial" w:eastAsia="Arial" w:cs="Arial"/>
                <w:b/>
                <w:bCs/>
                <w:color w:val="201547"/>
                <w:sz w:val="20"/>
              </w:rPr>
            </w:pPr>
            <w:r>
              <w:rPr>
                <w:rFonts w:ascii="Arial" w:hAnsi="Arial" w:eastAsia="Arial" w:cs="Arial"/>
                <w:b/>
                <w:bCs/>
                <w:color w:val="201547"/>
                <w:sz w:val="20"/>
              </w:rPr>
              <w:t>Target</w:t>
            </w:r>
          </w:p>
        </w:tc>
        <w:tc>
          <w:tcPr>
            <w:tcW w:w="7379" w:type="dxa"/>
            <w:tcBorders>
              <w:top w:val="single" w:sz="4" w:space="0" w:color="000000"/>
              <w:bottom w:val="single" w:sz="4" w:space="0" w:color="000000"/>
              <w:left w:val="single" w:sz="4" w:space="0" w:color="000000"/>
              <w:right w:val="single" w:sz="4" w:space="0" w:color="000000"/>
            </w:tcBorders>
            <w:shd w:val="clear" w:color="auto" w:fill="FFFFFF"/>
          </w:tcPr>
          <w:p>
            <w:pPr>
              <w:keepLines/>
              <w:spacing w:before="100" w:line="288" w:lineRule="auto"/>
              <w:ind w:left="108" w:right="108"/>
              <w:rPr>
                <w:rFonts w:ascii="Arial" w:hAnsi="Arial" w:eastAsia="Arial" w:cs="Arial"/>
                <w:color w:val="000000"/>
                <w:sz w:val="20"/>
              </w:rPr>
            </w:pPr>
            <w:r>
              <w:rPr>
                <w:rFonts w:ascii="Arial" w:hAnsi="Arial" w:eastAsia="Arial" w:cs="Arial"/>
                <w:color w:val="000000"/>
                <w:sz w:val="20"/>
              </w:rPr>
              <w:t>The performance measure target is provided in the Service Agreement.</w:t>
            </w:r>
          </w:p>
        </w:tc>
      </w:tr>
      <w:tr>
        <w:trPr>
          <w:cantSplit/>
        </w:trPr>
        <w:tc>
          <w:tcPr>
            <w:tcW w:w="2835" w:type="dxa"/>
            <w:tcBorders>
              <w:top w:val="single" w:sz="4" w:space="0" w:color="000000"/>
              <w:bottom w:val="single" w:sz="4" w:space="0" w:color="000000"/>
              <w:left w:val="single" w:sz="4" w:space="0" w:color="000000"/>
              <w:right w:val="single" w:sz="4" w:space="0" w:color="000000"/>
            </w:tcBorders>
            <w:shd w:val="clear" w:color="auto" w:fill="FFFFFF"/>
          </w:tcPr>
          <w:p>
            <w:pPr>
              <w:keepLines/>
              <w:spacing w:before="100" w:line="288" w:lineRule="auto"/>
              <w:ind w:left="108" w:right="108"/>
              <w:rPr>
                <w:rFonts w:ascii="Arial" w:hAnsi="Arial" w:eastAsia="Arial" w:cs="Arial"/>
                <w:b/>
                <w:bCs/>
                <w:color w:val="201547"/>
                <w:sz w:val="20"/>
              </w:rPr>
            </w:pPr>
            <w:r>
              <w:rPr>
                <w:rFonts w:ascii="Arial" w:hAnsi="Arial" w:eastAsia="Arial" w:cs="Arial"/>
                <w:b/>
                <w:bCs/>
                <w:color w:val="201547"/>
                <w:sz w:val="20"/>
              </w:rPr>
              <w:t>Type of count</w:t>
            </w:r>
          </w:p>
        </w:tc>
        <w:tc>
          <w:tcPr>
            <w:tcW w:w="7379" w:type="dxa"/>
            <w:tcBorders>
              <w:top w:val="single" w:sz="4" w:space="0" w:color="000000"/>
              <w:bottom w:val="single" w:sz="4" w:space="0" w:color="000000"/>
              <w:left w:val="single" w:sz="4" w:space="0" w:color="000000"/>
              <w:right w:val="single" w:sz="4" w:space="0" w:color="000000"/>
            </w:tcBorders>
            <w:shd w:val="clear" w:color="auto" w:fill="FFFFFF"/>
          </w:tcPr>
          <w:p>
            <w:pPr>
              <w:keepLines/>
              <w:spacing w:before="100" w:line="288" w:lineRule="auto"/>
              <w:ind w:left="108" w:right="108"/>
              <w:rPr>
                <w:rFonts w:ascii="Arial" w:hAnsi="Arial" w:eastAsia="Arial" w:cs="Arial"/>
                <w:color w:val="000000"/>
                <w:sz w:val="20"/>
              </w:rPr>
            </w:pPr>
            <w:r>
              <w:rPr>
                <w:rFonts w:ascii="Arial" w:hAnsi="Arial" w:eastAsia="Arial" w:cs="Arial"/>
                <w:color w:val="000000"/>
                <w:sz w:val="20"/>
              </w:rPr>
              <w:t>Cumulative</w:t>
            </w:r>
          </w:p>
        </w:tc>
      </w:tr>
      <w:tr>
        <w:trPr>
          <w:cantSplit/>
        </w:trPr>
        <w:tc>
          <w:tcPr>
            <w:tcW w:w="2835" w:type="dxa"/>
            <w:tcBorders>
              <w:top w:val="single" w:sz="4" w:space="0" w:color="000000"/>
              <w:bottom w:val="single" w:sz="4" w:space="0" w:color="000000"/>
              <w:left w:val="single" w:sz="4" w:space="0" w:color="000000"/>
              <w:right w:val="single" w:sz="4" w:space="0" w:color="000000"/>
            </w:tcBorders>
            <w:shd w:val="clear" w:color="auto" w:fill="FFFFFF"/>
          </w:tcPr>
          <w:p>
            <w:pPr>
              <w:keepLines/>
              <w:spacing w:before="100" w:line="288" w:lineRule="auto"/>
              <w:ind w:left="108" w:right="108"/>
              <w:rPr>
                <w:rFonts w:ascii="Arial" w:hAnsi="Arial" w:eastAsia="Arial" w:cs="Arial"/>
                <w:b/>
                <w:bCs/>
                <w:color w:val="201547"/>
                <w:sz w:val="20"/>
              </w:rPr>
            </w:pPr>
            <w:r>
              <w:rPr>
                <w:rFonts w:ascii="Arial" w:hAnsi="Arial" w:eastAsia="Arial" w:cs="Arial"/>
                <w:b/>
                <w:bCs/>
                <w:color w:val="201547"/>
                <w:sz w:val="20"/>
              </w:rPr>
              <w:t>Counting rule</w:t>
            </w:r>
          </w:p>
        </w:tc>
        <w:tc>
          <w:tcPr>
            <w:tcW w:w="7379" w:type="dxa"/>
            <w:tcBorders>
              <w:top w:val="single" w:sz="4" w:space="0" w:color="000000"/>
              <w:bottom w:val="single" w:sz="4" w:space="0" w:color="000000"/>
              <w:left w:val="single" w:sz="4" w:space="0" w:color="000000"/>
              <w:right w:val="single" w:sz="4" w:space="0" w:color="000000"/>
            </w:tcBorders>
            <w:shd w:val="clear" w:color="auto" w:fill="FFFFFF"/>
          </w:tcPr>
          <w:p>
            <w:pPr>
              <w:keepLines/>
              <w:spacing w:before="100" w:line="288" w:lineRule="auto"/>
              <w:ind w:left="108" w:right="108"/>
              <w:rPr>
                <w:rFonts w:ascii="Arial" w:hAnsi="Arial" w:eastAsia="Arial" w:cs="Arial"/>
                <w:color w:val="000000"/>
                <w:sz w:val="20"/>
              </w:rPr>
            </w:pPr>
            <w:r>
              <w:rPr>
                <w:rFonts w:ascii="Arial" w:hAnsi="Arial" w:eastAsia="Arial" w:cs="Arial"/>
                <w:color w:val="000000"/>
                <w:sz w:val="20"/>
              </w:rPr>
              <w:t xml:space="preserve">Calculate the total amount of private rental assistance brokerage that has been expended during the reporting period.  </w:t>
            </w:r>
            <w:r>
              <w:br/>
            </w:r>
            <w:r>
              <w:rPr>
                <w:rFonts w:ascii="Arial" w:hAnsi="Arial" w:eastAsia="Arial" w:cs="Arial"/>
                <w:color w:val="000000"/>
                <w:sz w:val="20"/>
              </w:rPr>
              <w:t>The amount should be exclusive of GST.</w:t>
            </w:r>
          </w:p>
        </w:tc>
      </w:tr>
      <w:tr>
        <w:trPr>
          <w:cantSplit/>
        </w:trPr>
        <w:tc>
          <w:tcPr>
            <w:tcW w:w="2835" w:type="dxa"/>
            <w:tcBorders>
              <w:top w:val="single" w:sz="4" w:space="0" w:color="000000"/>
              <w:bottom w:val="single" w:sz="4" w:space="0" w:color="000000"/>
              <w:left w:val="single" w:sz="4" w:space="0" w:color="000000"/>
              <w:right w:val="single" w:sz="4" w:space="0" w:color="000000"/>
            </w:tcBorders>
            <w:shd w:val="clear" w:color="auto" w:fill="FFFFFF"/>
          </w:tcPr>
          <w:p>
            <w:pPr>
              <w:keepLines/>
              <w:spacing w:before="100" w:line="288" w:lineRule="auto"/>
              <w:ind w:left="108" w:right="108"/>
              <w:rPr>
                <w:rFonts w:ascii="Arial" w:hAnsi="Arial" w:eastAsia="Arial" w:cs="Arial"/>
                <w:b/>
                <w:bCs/>
                <w:color w:val="201547"/>
                <w:sz w:val="20"/>
              </w:rPr>
            </w:pPr>
            <w:r>
              <w:rPr>
                <w:rFonts w:ascii="Arial" w:hAnsi="Arial" w:eastAsia="Arial" w:cs="Arial"/>
                <w:b/>
                <w:bCs/>
                <w:color w:val="201547"/>
                <w:sz w:val="20"/>
              </w:rPr>
              <w:t>Data source(s) collection</w:t>
            </w:r>
          </w:p>
        </w:tc>
        <w:tc>
          <w:tcPr>
            <w:tcW w:w="7379" w:type="dxa"/>
            <w:tcBorders>
              <w:top w:val="single" w:sz="4" w:space="0" w:color="000000"/>
              <w:bottom w:val="single" w:sz="4" w:space="0" w:color="000000"/>
              <w:left w:val="single" w:sz="4" w:space="0" w:color="000000"/>
              <w:right w:val="single" w:sz="4" w:space="0" w:color="000000"/>
            </w:tcBorders>
            <w:shd w:val="clear" w:color="auto" w:fill="FFFFFF"/>
          </w:tcPr>
          <w:p>
            <w:pPr>
              <w:keepLines/>
              <w:numPr>
                <w:ilvl w:val="0"/>
                <w:numId w:val="7"/>
              </w:numPr>
              <w:spacing w:line="270" w:lineRule="atLeast"/>
              <w:rPr>
                <w:rFonts w:ascii="Arial" w:hAnsi="Arial" w:eastAsia="Arial" w:cs="Arial"/>
                <w:color w:val="000000"/>
                <w:sz w:val="20"/>
              </w:rPr>
            </w:pPr>
            <w:r>
              <w:rPr>
                <w:rFonts w:ascii="Arial" w:hAnsi="Arial" w:eastAsia="Arial" w:cs="Arial"/>
                <w:color w:val="000000"/>
                <w:sz w:val="20"/>
              </w:rPr>
              <w:t>Specialist Homelessness Services Collection (SHSC)</w:t>
            </w:r>
          </w:p>
          <w:p>
            <w:pPr>
              <w:keepLines/>
              <w:numPr>
                <w:ilvl w:val="0"/>
                <w:numId w:val="7"/>
              </w:numPr>
              <w:spacing w:line="270" w:lineRule="atLeast"/>
              <w:rPr>
                <w:rFonts w:ascii="Arial" w:hAnsi="Arial" w:eastAsia="Arial" w:cs="Arial"/>
                <w:color w:val="000000"/>
                <w:sz w:val="20"/>
              </w:rPr>
            </w:pPr>
            <w:r>
              <w:rPr>
                <w:rFonts w:ascii="Arial" w:hAnsi="Arial" w:eastAsia="Arial" w:cs="Arial"/>
                <w:color w:val="000000"/>
                <w:sz w:val="20"/>
              </w:rPr>
              <w:t>Service Delivery Tracking (SDT)</w:t>
            </w:r>
          </w:p>
        </w:tc>
      </w:tr>
      <w:tr>
        <w:trPr>
          <w:cantSplit/>
        </w:trPr>
        <w:tc>
          <w:tcPr>
            <w:tcW w:w="2835" w:type="dxa"/>
            <w:tcBorders>
              <w:top w:val="single" w:sz="4" w:space="0" w:color="000000"/>
              <w:bottom w:val="single" w:sz="4" w:space="0" w:color="000000"/>
              <w:left w:val="single" w:sz="4" w:space="0" w:color="000000"/>
              <w:right w:val="single" w:sz="4" w:space="0" w:color="000000"/>
            </w:tcBorders>
            <w:shd w:val="clear" w:color="auto" w:fill="FFFFFF"/>
          </w:tcPr>
          <w:p>
            <w:pPr>
              <w:keepLines/>
              <w:spacing w:before="100" w:line="288" w:lineRule="auto"/>
              <w:ind w:left="108" w:right="108"/>
              <w:rPr>
                <w:rFonts w:ascii="Arial" w:hAnsi="Arial" w:eastAsia="Arial" w:cs="Arial"/>
                <w:b/>
                <w:bCs/>
                <w:color w:val="201547"/>
                <w:sz w:val="20"/>
              </w:rPr>
            </w:pPr>
            <w:r>
              <w:rPr>
                <w:rFonts w:ascii="Arial" w:hAnsi="Arial" w:eastAsia="Arial" w:cs="Arial"/>
                <w:b/>
                <w:bCs/>
                <w:color w:val="201547"/>
                <w:sz w:val="20"/>
              </w:rPr>
              <w:t>Definition of terms</w:t>
            </w:r>
          </w:p>
        </w:tc>
        <w:tc>
          <w:tcPr>
            <w:tcW w:w="7379" w:type="dxa"/>
            <w:tcBorders>
              <w:top w:val="single" w:sz="4" w:space="0" w:color="000000"/>
              <w:bottom w:val="single" w:sz="4" w:space="0" w:color="000000"/>
              <w:left w:val="single" w:sz="4" w:space="0" w:color="000000"/>
              <w:right w:val="single" w:sz="4" w:space="0" w:color="000000"/>
            </w:tcBorders>
            <w:shd w:val="clear" w:color="auto" w:fill="FFFFFF"/>
          </w:tcPr>
          <w:p>
            <w:pPr>
              <w:keepLines/>
              <w:spacing w:before="100" w:line="288" w:lineRule="auto"/>
              <w:ind w:left="108" w:right="108"/>
              <w:rPr>
                <w:rFonts w:ascii="Arial" w:hAnsi="Arial" w:eastAsia="Arial" w:cs="Arial"/>
                <w:color w:val="000000"/>
                <w:sz w:val="20"/>
              </w:rPr>
            </w:pPr>
            <w:r>
              <w:rPr>
                <w:rFonts w:ascii="Arial" w:hAnsi="Arial" w:eastAsia="Arial" w:cs="Arial"/>
                <w:color w:val="000000"/>
                <w:sz w:val="20"/>
              </w:rPr>
              <w:t xml:space="preserve">A household may be an individual aged 16 years and over or a group of two or more people, whether related by family or other relationship.  </w:t>
            </w:r>
            <w:r>
              <w:br/>
            </w:r>
            <w:r>
              <w:br/>
            </w:r>
            <w:r>
              <w:rPr>
                <w:rFonts w:ascii="Arial" w:hAnsi="Arial" w:eastAsia="Arial" w:cs="Arial"/>
                <w:color w:val="000000"/>
                <w:sz w:val="20"/>
              </w:rPr>
              <w:t>Expended funding includes all approved and committed brokerage funding, not just funding associated with finalised invoices.</w:t>
            </w:r>
          </w:p>
        </w:tc>
      </w:tr>
    </w:tbl>
    <w:p>
      <w:pPr>
        <w:spacing w:before="100" w:line="288" w:lineRule="auto"/>
        <w:ind w:left="111" w:right="105"/>
        <w:rPr>
          <w:rFonts w:ascii="Arial" w:hAnsi="Arial" w:eastAsia="Arial" w:cs="Arial"/>
          <w:b/>
          <w:bCs/>
          <w:color w:val="201547"/>
          <w:sz w:val="20"/>
        </w:rPr>
      </w:pPr>
      <w:r>
        <w:rPr>
          <w:rFonts w:ascii="Arial" w:hAnsi="Arial" w:eastAsia="Arial" w:cs="Arial"/>
          <w:b/>
          <w:bCs/>
          <w:color w:val="201547"/>
          <w:sz w:val="20"/>
        </w:rPr>
        <w:t>Key performance measure 3: Number of new support periods where PRAP / APRAP plus is provided</w:t>
      </w:r>
    </w:p>
    <w:tbl>
      <w:tblPr>
        <w:tblW w:w="0" w:type="auto"/>
        <w:tblInd w:w="111" w:type="dxa"/>
        <w:tblLayout w:type="fixed"/>
        <w:tblCellMar>
          <w:left w:w="0" w:type="dxa"/>
          <w:right w:w="0" w:type="dxa"/>
        </w:tblCellMar>
      </w:tblPr>
      <w:tblGrid>
        <w:gridCol w:w="2835"/>
        <w:gridCol w:w="7379"/>
      </w:tblGrid>
      <w:tr>
        <w:trPr>
          <w:cantSplit/>
        </w:trPr>
        <w:tc>
          <w:tcPr>
            <w:tcW w:w="2835" w:type="dxa"/>
            <w:tcBorders>
              <w:top w:val="single" w:sz="4" w:space="0" w:color="000000"/>
              <w:bottom w:val="single" w:sz="4" w:space="0" w:color="000000"/>
              <w:left w:val="single" w:sz="4" w:space="0" w:color="000000"/>
              <w:right w:val="single" w:sz="4" w:space="0" w:color="000000"/>
            </w:tcBorders>
            <w:shd w:val="clear" w:color="auto" w:fill="FFFFFF"/>
          </w:tcPr>
          <w:p>
            <w:pPr>
              <w:keepLines/>
              <w:spacing w:before="100" w:line="288" w:lineRule="auto"/>
              <w:ind w:left="108" w:right="108"/>
              <w:rPr>
                <w:rFonts w:ascii="Arial" w:hAnsi="Arial" w:eastAsia="Arial" w:cs="Arial"/>
                <w:b/>
                <w:bCs/>
                <w:color w:val="201547"/>
                <w:sz w:val="20"/>
              </w:rPr>
            </w:pPr>
            <w:r>
              <w:rPr>
                <w:rFonts w:ascii="Arial" w:hAnsi="Arial" w:eastAsia="Arial" w:cs="Arial"/>
                <w:b/>
                <w:bCs/>
                <w:color w:val="201547"/>
                <w:sz w:val="20"/>
              </w:rPr>
              <w:t>Aim/objective</w:t>
            </w:r>
          </w:p>
        </w:tc>
        <w:tc>
          <w:tcPr>
            <w:tcW w:w="7379" w:type="dxa"/>
            <w:tcBorders>
              <w:top w:val="single" w:sz="4" w:space="0" w:color="000000"/>
              <w:bottom w:val="single" w:sz="4" w:space="0" w:color="000000"/>
              <w:left w:val="single" w:sz="4" w:space="0" w:color="000000"/>
              <w:right w:val="single" w:sz="4" w:space="0" w:color="000000"/>
            </w:tcBorders>
            <w:shd w:val="clear" w:color="auto" w:fill="FFFFFF"/>
          </w:tcPr>
          <w:p>
            <w:pPr>
              <w:keepLines/>
              <w:spacing w:before="100" w:line="288" w:lineRule="auto"/>
              <w:ind w:left="108" w:right="108"/>
              <w:rPr>
                <w:rFonts w:ascii="Arial" w:hAnsi="Arial" w:eastAsia="Arial" w:cs="Arial"/>
                <w:color w:val="000000"/>
                <w:sz w:val="20"/>
              </w:rPr>
            </w:pPr>
            <w:r>
              <w:rPr>
                <w:rFonts w:ascii="Arial" w:hAnsi="Arial" w:eastAsia="Arial" w:cs="Arial"/>
                <w:color w:val="000000"/>
                <w:sz w:val="20"/>
              </w:rPr>
              <w:t>The aim of this performance measure is to monitor the number of households assisted to establish or maintain a tenancy in the private rental market by a PRAP/APRAP Plus worker.</w:t>
            </w:r>
          </w:p>
        </w:tc>
      </w:tr>
      <w:tr>
        <w:trPr>
          <w:cantSplit/>
        </w:trPr>
        <w:tc>
          <w:tcPr>
            <w:tcW w:w="2835" w:type="dxa"/>
            <w:tcBorders>
              <w:top w:val="single" w:sz="4" w:space="0" w:color="000000"/>
              <w:bottom w:val="single" w:sz="4" w:space="0" w:color="000000"/>
              <w:left w:val="single" w:sz="4" w:space="0" w:color="000000"/>
              <w:right w:val="single" w:sz="4" w:space="0" w:color="000000"/>
            </w:tcBorders>
            <w:shd w:val="clear" w:color="auto" w:fill="FFFFFF"/>
          </w:tcPr>
          <w:p>
            <w:pPr>
              <w:keepLines/>
              <w:spacing w:before="100" w:line="288" w:lineRule="auto"/>
              <w:ind w:left="108" w:right="108"/>
              <w:rPr>
                <w:rFonts w:ascii="Arial" w:hAnsi="Arial" w:eastAsia="Arial" w:cs="Arial"/>
                <w:b/>
                <w:bCs/>
                <w:color w:val="201547"/>
                <w:sz w:val="20"/>
              </w:rPr>
            </w:pPr>
            <w:r>
              <w:rPr>
                <w:rFonts w:ascii="Arial" w:hAnsi="Arial" w:eastAsia="Arial" w:cs="Arial"/>
                <w:b/>
                <w:bCs/>
                <w:color w:val="201547"/>
                <w:sz w:val="20"/>
              </w:rPr>
              <w:t>Target</w:t>
            </w:r>
          </w:p>
        </w:tc>
        <w:tc>
          <w:tcPr>
            <w:tcW w:w="7379" w:type="dxa"/>
            <w:tcBorders>
              <w:top w:val="single" w:sz="4" w:space="0" w:color="000000"/>
              <w:bottom w:val="single" w:sz="4" w:space="0" w:color="000000"/>
              <w:left w:val="single" w:sz="4" w:space="0" w:color="000000"/>
              <w:right w:val="single" w:sz="4" w:space="0" w:color="000000"/>
            </w:tcBorders>
            <w:shd w:val="clear" w:color="auto" w:fill="FFFFFF"/>
          </w:tcPr>
          <w:p>
            <w:pPr>
              <w:keepLines/>
              <w:spacing w:before="100" w:line="288" w:lineRule="auto"/>
              <w:ind w:left="108" w:right="108"/>
              <w:rPr>
                <w:rFonts w:ascii="Arial" w:hAnsi="Arial" w:eastAsia="Arial" w:cs="Arial"/>
                <w:color w:val="000000"/>
                <w:sz w:val="20"/>
              </w:rPr>
            </w:pPr>
            <w:r>
              <w:rPr>
                <w:rFonts w:ascii="Arial" w:hAnsi="Arial" w:eastAsia="Arial" w:cs="Arial"/>
                <w:color w:val="000000"/>
                <w:sz w:val="20"/>
              </w:rPr>
              <w:t>The performance measure target is provided in the Service Agreement</w:t>
            </w:r>
          </w:p>
        </w:tc>
      </w:tr>
      <w:tr>
        <w:trPr>
          <w:cantSplit/>
        </w:trPr>
        <w:tc>
          <w:tcPr>
            <w:tcW w:w="2835" w:type="dxa"/>
            <w:tcBorders>
              <w:top w:val="single" w:sz="4" w:space="0" w:color="000000"/>
              <w:bottom w:val="single" w:sz="4" w:space="0" w:color="000000"/>
              <w:left w:val="single" w:sz="4" w:space="0" w:color="000000"/>
              <w:right w:val="single" w:sz="4" w:space="0" w:color="000000"/>
            </w:tcBorders>
            <w:shd w:val="clear" w:color="auto" w:fill="FFFFFF"/>
          </w:tcPr>
          <w:p>
            <w:pPr>
              <w:keepLines/>
              <w:spacing w:before="100" w:line="288" w:lineRule="auto"/>
              <w:ind w:left="108" w:right="108"/>
              <w:rPr>
                <w:rFonts w:ascii="Arial" w:hAnsi="Arial" w:eastAsia="Arial" w:cs="Arial"/>
                <w:b/>
                <w:bCs/>
                <w:color w:val="201547"/>
                <w:sz w:val="20"/>
              </w:rPr>
            </w:pPr>
            <w:r>
              <w:rPr>
                <w:rFonts w:ascii="Arial" w:hAnsi="Arial" w:eastAsia="Arial" w:cs="Arial"/>
                <w:b/>
                <w:bCs/>
                <w:color w:val="201547"/>
                <w:sz w:val="20"/>
              </w:rPr>
              <w:t>Type of count</w:t>
            </w:r>
          </w:p>
        </w:tc>
        <w:tc>
          <w:tcPr>
            <w:tcW w:w="7379" w:type="dxa"/>
            <w:tcBorders>
              <w:top w:val="single" w:sz="4" w:space="0" w:color="000000"/>
              <w:bottom w:val="single" w:sz="4" w:space="0" w:color="000000"/>
              <w:left w:val="single" w:sz="4" w:space="0" w:color="000000"/>
              <w:right w:val="single" w:sz="4" w:space="0" w:color="000000"/>
            </w:tcBorders>
            <w:shd w:val="clear" w:color="auto" w:fill="FFFFFF"/>
          </w:tcPr>
          <w:p>
            <w:pPr>
              <w:keepLines/>
              <w:spacing w:before="100" w:line="288" w:lineRule="auto"/>
              <w:ind w:left="108" w:right="108"/>
              <w:rPr>
                <w:rFonts w:ascii="Arial" w:hAnsi="Arial" w:eastAsia="Arial" w:cs="Arial"/>
                <w:color w:val="000000"/>
                <w:sz w:val="20"/>
              </w:rPr>
            </w:pPr>
            <w:r>
              <w:rPr>
                <w:rFonts w:ascii="Arial" w:hAnsi="Arial" w:eastAsia="Arial" w:cs="Arial"/>
                <w:color w:val="000000"/>
                <w:sz w:val="20"/>
              </w:rPr>
              <w:t>Cumulative</w:t>
            </w:r>
          </w:p>
        </w:tc>
      </w:tr>
      <w:tr>
        <w:trPr>
          <w:cantSplit/>
        </w:trPr>
        <w:tc>
          <w:tcPr>
            <w:tcW w:w="2835" w:type="dxa"/>
            <w:tcBorders>
              <w:top w:val="single" w:sz="4" w:space="0" w:color="000000"/>
              <w:bottom w:val="single" w:sz="4" w:space="0" w:color="000000"/>
              <w:left w:val="single" w:sz="4" w:space="0" w:color="000000"/>
              <w:right w:val="single" w:sz="4" w:space="0" w:color="000000"/>
            </w:tcBorders>
            <w:shd w:val="clear" w:color="auto" w:fill="FFFFFF"/>
          </w:tcPr>
          <w:p>
            <w:pPr>
              <w:keepLines/>
              <w:spacing w:before="100" w:line="288" w:lineRule="auto"/>
              <w:ind w:left="108" w:right="108"/>
              <w:rPr>
                <w:rFonts w:ascii="Arial" w:hAnsi="Arial" w:eastAsia="Arial" w:cs="Arial"/>
                <w:b/>
                <w:bCs/>
                <w:color w:val="201547"/>
                <w:sz w:val="20"/>
              </w:rPr>
            </w:pPr>
            <w:r>
              <w:rPr>
                <w:rFonts w:ascii="Arial" w:hAnsi="Arial" w:eastAsia="Arial" w:cs="Arial"/>
                <w:b/>
                <w:bCs/>
                <w:color w:val="201547"/>
                <w:sz w:val="20"/>
              </w:rPr>
              <w:t>Counting rule</w:t>
            </w:r>
          </w:p>
        </w:tc>
        <w:tc>
          <w:tcPr>
            <w:tcW w:w="7379" w:type="dxa"/>
            <w:tcBorders>
              <w:top w:val="single" w:sz="4" w:space="0" w:color="000000"/>
              <w:bottom w:val="single" w:sz="4" w:space="0" w:color="000000"/>
              <w:left w:val="single" w:sz="4" w:space="0" w:color="000000"/>
              <w:right w:val="single" w:sz="4" w:space="0" w:color="000000"/>
            </w:tcBorders>
            <w:shd w:val="clear" w:color="auto" w:fill="FFFFFF"/>
          </w:tcPr>
          <w:p>
            <w:pPr>
              <w:keepLines/>
              <w:spacing w:before="100" w:line="288" w:lineRule="auto"/>
              <w:ind w:left="108" w:right="108"/>
              <w:rPr>
                <w:rFonts w:ascii="Arial" w:hAnsi="Arial" w:eastAsia="Arial" w:cs="Arial"/>
                <w:color w:val="000000"/>
                <w:sz w:val="20"/>
              </w:rPr>
            </w:pPr>
            <w:r>
              <w:rPr>
                <w:rFonts w:ascii="Arial" w:hAnsi="Arial" w:eastAsia="Arial" w:cs="Arial"/>
                <w:color w:val="000000"/>
                <w:sz w:val="20"/>
              </w:rPr>
              <w:t xml:space="preserve">Count each new household provided with support from a PRAP/APRAP Plus worker during the reporting period to maintain their current tenancy or establish a new tenancy in the private rental market. </w:t>
            </w:r>
            <w:r>
              <w:br/>
            </w:r>
            <w:r>
              <w:br/>
            </w:r>
            <w:r>
              <w:rPr>
                <w:rFonts w:ascii="Arial" w:hAnsi="Arial" w:eastAsia="Arial" w:cs="Arial"/>
                <w:color w:val="000000"/>
                <w:sz w:val="20"/>
              </w:rPr>
              <w:t>Households who are counted in this performance measure may also be counted in Performance Measure 1 if they were supported with financial assistance to establish or sustain a tenancy.</w:t>
            </w:r>
          </w:p>
        </w:tc>
      </w:tr>
      <w:tr>
        <w:trPr>
          <w:cantSplit/>
        </w:trPr>
        <w:tc>
          <w:tcPr>
            <w:tcW w:w="2835" w:type="dxa"/>
            <w:tcBorders>
              <w:top w:val="single" w:sz="4" w:space="0" w:color="000000"/>
              <w:bottom w:val="single" w:sz="4" w:space="0" w:color="000000"/>
              <w:left w:val="single" w:sz="4" w:space="0" w:color="000000"/>
              <w:right w:val="single" w:sz="4" w:space="0" w:color="000000"/>
            </w:tcBorders>
            <w:shd w:val="clear" w:color="auto" w:fill="FFFFFF"/>
          </w:tcPr>
          <w:p>
            <w:pPr>
              <w:keepLines/>
              <w:spacing w:before="100" w:line="288" w:lineRule="auto"/>
              <w:ind w:left="108" w:right="108"/>
              <w:rPr>
                <w:rFonts w:ascii="Arial" w:hAnsi="Arial" w:eastAsia="Arial" w:cs="Arial"/>
                <w:b/>
                <w:bCs/>
                <w:color w:val="201547"/>
                <w:sz w:val="20"/>
              </w:rPr>
            </w:pPr>
            <w:r>
              <w:rPr>
                <w:rFonts w:ascii="Arial" w:hAnsi="Arial" w:eastAsia="Arial" w:cs="Arial"/>
                <w:b/>
                <w:bCs/>
                <w:color w:val="201547"/>
                <w:sz w:val="20"/>
              </w:rPr>
              <w:t>Data source(s) collection</w:t>
            </w:r>
          </w:p>
        </w:tc>
        <w:tc>
          <w:tcPr>
            <w:tcW w:w="7379" w:type="dxa"/>
            <w:tcBorders>
              <w:top w:val="single" w:sz="4" w:space="0" w:color="000000"/>
              <w:bottom w:val="single" w:sz="4" w:space="0" w:color="000000"/>
              <w:left w:val="single" w:sz="4" w:space="0" w:color="000000"/>
              <w:right w:val="single" w:sz="4" w:space="0" w:color="000000"/>
            </w:tcBorders>
            <w:shd w:val="clear" w:color="auto" w:fill="FFFFFF"/>
          </w:tcPr>
          <w:p>
            <w:pPr>
              <w:keepLines/>
              <w:numPr>
                <w:ilvl w:val="0"/>
                <w:numId w:val="7"/>
              </w:numPr>
              <w:spacing w:line="270" w:lineRule="atLeast"/>
              <w:rPr>
                <w:rFonts w:ascii="Arial" w:hAnsi="Arial" w:eastAsia="Arial" w:cs="Arial"/>
                <w:color w:val="000000"/>
                <w:sz w:val="20"/>
              </w:rPr>
            </w:pPr>
            <w:r>
              <w:rPr>
                <w:rFonts w:ascii="Arial" w:hAnsi="Arial" w:eastAsia="Arial" w:cs="Arial"/>
                <w:color w:val="000000"/>
                <w:sz w:val="20"/>
              </w:rPr>
              <w:t>Specialist Homelessness Services Collection (SHSC)</w:t>
            </w:r>
          </w:p>
          <w:p>
            <w:pPr>
              <w:keepLines/>
              <w:numPr>
                <w:ilvl w:val="0"/>
                <w:numId w:val="7"/>
              </w:numPr>
              <w:spacing w:line="270" w:lineRule="atLeast"/>
              <w:rPr>
                <w:rFonts w:ascii="Arial" w:hAnsi="Arial" w:eastAsia="Arial" w:cs="Arial"/>
                <w:color w:val="000000"/>
                <w:sz w:val="20"/>
              </w:rPr>
            </w:pPr>
            <w:r>
              <w:rPr>
                <w:rFonts w:ascii="Arial" w:hAnsi="Arial" w:eastAsia="Arial" w:cs="Arial"/>
                <w:color w:val="000000"/>
                <w:sz w:val="20"/>
              </w:rPr>
              <w:t>Service Delivery Tracking (SDT)</w:t>
            </w:r>
          </w:p>
        </w:tc>
      </w:tr>
      <w:tr>
        <w:trPr>
          <w:cantSplit/>
        </w:trPr>
        <w:tc>
          <w:tcPr>
            <w:tcW w:w="2835" w:type="dxa"/>
            <w:tcBorders>
              <w:top w:val="single" w:sz="4" w:space="0" w:color="000000"/>
              <w:bottom w:val="single" w:sz="4" w:space="0" w:color="000000"/>
              <w:left w:val="single" w:sz="4" w:space="0" w:color="000000"/>
              <w:right w:val="single" w:sz="4" w:space="0" w:color="000000"/>
            </w:tcBorders>
            <w:shd w:val="clear" w:color="auto" w:fill="FFFFFF"/>
          </w:tcPr>
          <w:p>
            <w:pPr>
              <w:keepLines/>
              <w:spacing w:before="100" w:line="288" w:lineRule="auto"/>
              <w:ind w:left="108" w:right="108"/>
              <w:rPr>
                <w:rFonts w:ascii="Arial" w:hAnsi="Arial" w:eastAsia="Arial" w:cs="Arial"/>
                <w:b/>
                <w:bCs/>
                <w:color w:val="201547"/>
                <w:sz w:val="20"/>
              </w:rPr>
            </w:pPr>
            <w:r>
              <w:rPr>
                <w:rFonts w:ascii="Arial" w:hAnsi="Arial" w:eastAsia="Arial" w:cs="Arial"/>
                <w:b/>
                <w:bCs/>
                <w:color w:val="201547"/>
                <w:sz w:val="20"/>
              </w:rPr>
              <w:t>Definition of terms</w:t>
            </w:r>
          </w:p>
        </w:tc>
        <w:tc>
          <w:tcPr>
            <w:tcW w:w="7379" w:type="dxa"/>
            <w:tcBorders>
              <w:top w:val="single" w:sz="4" w:space="0" w:color="000000"/>
              <w:bottom w:val="single" w:sz="4" w:space="0" w:color="000000"/>
              <w:left w:val="single" w:sz="4" w:space="0" w:color="000000"/>
              <w:right w:val="single" w:sz="4" w:space="0" w:color="000000"/>
            </w:tcBorders>
            <w:shd w:val="clear" w:color="auto" w:fill="FFFFFF"/>
          </w:tcPr>
          <w:p>
            <w:pPr>
              <w:keepLines/>
              <w:spacing w:before="100" w:line="288" w:lineRule="auto"/>
              <w:ind w:left="108" w:right="108"/>
              <w:rPr>
                <w:rFonts w:ascii="Arial" w:hAnsi="Arial" w:eastAsia="Arial" w:cs="Arial"/>
                <w:color w:val="000000"/>
                <w:sz w:val="20"/>
              </w:rPr>
            </w:pPr>
            <w:r>
              <w:rPr>
                <w:rFonts w:ascii="Arial" w:hAnsi="Arial" w:eastAsia="Arial" w:cs="Arial"/>
                <w:color w:val="000000"/>
                <w:sz w:val="20"/>
              </w:rPr>
              <w:t xml:space="preserve">A household may be an individual aged 16 years and over or a group of two or more people, whether related by family or other relationship. </w:t>
            </w:r>
            <w:r>
              <w:br/>
            </w:r>
            <w:r>
              <w:br/>
            </w:r>
            <w:r>
              <w:rPr>
                <w:rFonts w:ascii="Arial" w:hAnsi="Arial" w:eastAsia="Arial" w:cs="Arial"/>
                <w:color w:val="000000"/>
                <w:sz w:val="20"/>
              </w:rPr>
              <w:t>Where support is provided, services are required to open and close a Support Period. Further information and the definition of a support period can be found in the Specialist Homelessness Services Collection Resources.</w:t>
            </w:r>
          </w:p>
        </w:tc>
      </w:tr>
    </w:tbl>
    <w:p>
      <w:pPr>
        <w:keepNext/>
        <w:keepLines/>
        <w:spacing w:before="320" w:after="200" w:line="440" w:lineRule="atLeast"/>
        <w:ind w:left="111" w:right="105"/>
        <w:rPr>
          <w:rFonts w:ascii="Arial" w:hAnsi="Arial" w:eastAsia="Arial" w:cs="Arial"/>
          <w:b/>
          <w:bCs/>
          <w:color w:val="201547"/>
          <w:sz w:val="28"/>
        </w:rPr>
      </w:pPr>
      <w:r>
        <w:rPr>
          <w:rFonts w:ascii="Arial" w:hAnsi="Arial" w:eastAsia="Arial" w:cs="Arial"/>
          <w:b/>
          <w:bCs/>
          <w:color w:val="201547"/>
          <w:sz w:val="28"/>
        </w:rPr>
        <w:t>6. Data collection</w:t>
      </w:r>
    </w:p>
    <w:p>
      <w:pPr>
        <w:spacing w:line="288" w:lineRule="auto"/>
        <w:ind w:left="111" w:right="105"/>
        <w:rPr>
          <w:rFonts w:ascii="Arial" w:hAnsi="Arial" w:eastAsia="Arial" w:cs="Arial"/>
          <w:b/>
          <w:bCs/>
          <w:color w:val="000000"/>
          <w:sz w:val="20"/>
        </w:rPr>
      </w:pPr>
      <w:r>
        <w:rPr>
          <w:rFonts w:ascii="Arial" w:hAnsi="Arial" w:eastAsia="Arial" w:cs="Arial"/>
          <w:color w:val="000000"/>
          <w:sz w:val="20"/>
        </w:rPr>
        <w:t>The reporting requirements for this service are:</w:t>
      </w:r>
      <w:r>
        <w:rPr>
          <w:rFonts w:ascii="Arial" w:hAnsi="Arial" w:eastAsia="Arial" w:cs="Arial"/>
          <w:b/>
          <w:bCs/>
          <w:color w:val="000000"/>
          <w:sz w:val="20"/>
        </w:rPr>
        <w:t xml:space="preserve"> </w:t>
      </w:r>
      <w:r>
        <w:rPr>
          <w:rFonts w:ascii="Arial" w:hAnsi="Arial" w:eastAsia="Arial" w:cs="Arial"/>
          <w:b/>
          <w:bCs/>
          <w:color w:val="000000"/>
          <w:sz w:val="20"/>
        </w:rPr>
        <w:t/>
      </w:r>
    </w:p>
    <w:tbl>
      <w:tblPr>
        <w:tblW w:w="0" w:type="auto"/>
        <w:tblInd w:w="111" w:type="dxa"/>
        <w:tblLayout w:type="fixed"/>
        <w:tblCellMar>
          <w:left w:w="0" w:type="dxa"/>
          <w:right w:w="0" w:type="dxa"/>
        </w:tblCellMar>
      </w:tblPr>
      <w:tblGrid>
        <w:gridCol w:w="2580"/>
        <w:gridCol w:w="2580"/>
        <w:gridCol w:w="2580"/>
        <w:gridCol w:w="2508"/>
      </w:tblGrid>
      <w:tr>
        <w:trPr>
          <w:tblHeader/>
        </w:trPr>
        <w:tc>
          <w:tcPr>
            <w:tcW w:w="2580" w:type="dxa"/>
            <w:tcBorders>
              <w:top w:val="single" w:sz="4" w:space="0" w:color="000000"/>
              <w:bottom w:val="single" w:sz="4" w:space="0" w:color="000000"/>
              <w:left w:val="single" w:sz="4" w:space="0" w:color="000000"/>
              <w:right w:val="single" w:sz="4" w:space="0" w:color="000000"/>
            </w:tcBorders>
            <w:shd w:val="clear" w:color="auto" w:fill="FFFFFF"/>
          </w:tcPr>
          <w:p>
            <w:pPr>
              <w:spacing w:before="100" w:line="288" w:lineRule="auto"/>
              <w:ind w:left="108" w:right="108"/>
              <w:rPr>
                <w:rFonts w:ascii="Arial" w:hAnsi="Arial" w:eastAsia="Arial" w:cs="Arial"/>
                <w:b/>
                <w:bCs/>
                <w:color w:val="201547"/>
                <w:sz w:val="20"/>
              </w:rPr>
            </w:pPr>
            <w:r>
              <w:rPr>
                <w:rFonts w:ascii="Arial" w:hAnsi="Arial" w:eastAsia="Arial" w:cs="Arial"/>
                <w:b/>
                <w:bCs/>
                <w:color w:val="201547"/>
                <w:sz w:val="20"/>
              </w:rPr>
              <w:t>Data collection name</w:t>
            </w:r>
          </w:p>
        </w:tc>
        <w:tc>
          <w:tcPr>
            <w:tcW w:w="2580" w:type="dxa"/>
            <w:tcBorders>
              <w:top w:val="single" w:sz="4" w:space="0" w:color="000000"/>
              <w:bottom w:val="single" w:sz="4" w:space="0" w:color="000000"/>
              <w:left w:val="single" w:sz="4" w:space="0" w:color="000000"/>
              <w:right w:val="single" w:sz="4" w:space="0" w:color="000000"/>
            </w:tcBorders>
            <w:shd w:val="clear" w:color="auto" w:fill="FFFFFF"/>
          </w:tcPr>
          <w:p>
            <w:pPr>
              <w:spacing w:before="100" w:line="288" w:lineRule="auto"/>
              <w:ind w:left="108" w:right="108"/>
              <w:rPr>
                <w:rFonts w:ascii="Arial" w:hAnsi="Arial" w:eastAsia="Arial" w:cs="Arial"/>
                <w:b/>
                <w:bCs/>
                <w:color w:val="000000"/>
                <w:sz w:val="20"/>
              </w:rPr>
            </w:pPr>
            <w:r>
              <w:rPr>
                <w:rFonts w:ascii="Arial" w:hAnsi="Arial" w:eastAsia="Arial" w:cs="Arial"/>
                <w:b/>
                <w:bCs/>
                <w:color w:val="201547"/>
                <w:sz w:val="20"/>
              </w:rPr>
              <w:t>Data system</w:t>
            </w:r>
            <w:r>
              <w:rPr>
                <w:rFonts w:ascii="Arial" w:hAnsi="Arial" w:eastAsia="Arial" w:cs="Arial"/>
                <w:b/>
                <w:bCs/>
                <w:color w:val="000000"/>
                <w:sz w:val="20"/>
              </w:rPr>
              <w:t xml:space="preserve"> </w:t>
            </w:r>
          </w:p>
        </w:tc>
        <w:tc>
          <w:tcPr>
            <w:tcW w:w="2580" w:type="dxa"/>
            <w:tcBorders>
              <w:top w:val="single" w:sz="4" w:space="0" w:color="000000"/>
              <w:bottom w:val="single" w:sz="4" w:space="0" w:color="000000"/>
              <w:left w:val="single" w:sz="4" w:space="0" w:color="000000"/>
              <w:right w:val="single" w:sz="4" w:space="0" w:color="000000"/>
            </w:tcBorders>
            <w:shd w:val="clear" w:color="auto" w:fill="FFFFFF"/>
          </w:tcPr>
          <w:p>
            <w:pPr>
              <w:spacing w:before="100" w:line="288" w:lineRule="auto"/>
              <w:ind w:left="108" w:right="108"/>
              <w:rPr>
                <w:rFonts w:ascii="Arial" w:hAnsi="Arial" w:eastAsia="Arial" w:cs="Arial"/>
                <w:b/>
                <w:bCs/>
                <w:color w:val="000000"/>
                <w:sz w:val="20"/>
              </w:rPr>
            </w:pPr>
            <w:r>
              <w:rPr>
                <w:rFonts w:ascii="Arial" w:hAnsi="Arial" w:eastAsia="Arial" w:cs="Arial"/>
                <w:b/>
                <w:bCs/>
                <w:color w:val="201547"/>
                <w:sz w:val="20"/>
              </w:rPr>
              <w:t>Data set</w:t>
            </w:r>
            <w:r>
              <w:rPr>
                <w:rFonts w:ascii="Arial" w:hAnsi="Arial" w:eastAsia="Arial" w:cs="Arial"/>
                <w:b/>
                <w:bCs/>
                <w:color w:val="000000"/>
                <w:sz w:val="20"/>
              </w:rPr>
              <w:t xml:space="preserve"> </w:t>
            </w:r>
          </w:p>
        </w:tc>
        <w:tc>
          <w:tcPr>
            <w:tcW w:w="2508" w:type="dxa"/>
            <w:tcBorders>
              <w:top w:val="single" w:sz="4" w:space="0" w:color="000000"/>
              <w:bottom w:val="single" w:sz="4" w:space="0" w:color="000000"/>
              <w:left w:val="single" w:sz="4" w:space="0" w:color="000000"/>
              <w:right w:val="single" w:sz="4" w:space="0" w:color="000000"/>
            </w:tcBorders>
            <w:shd w:val="clear" w:color="auto" w:fill="FFFFFF"/>
          </w:tcPr>
          <w:p>
            <w:pPr>
              <w:spacing w:before="100" w:line="288" w:lineRule="auto"/>
              <w:ind w:left="108" w:right="108"/>
              <w:rPr>
                <w:rFonts w:ascii="Arial" w:hAnsi="Arial" w:eastAsia="Arial" w:cs="Arial"/>
                <w:b/>
                <w:bCs/>
                <w:color w:val="201547"/>
                <w:sz w:val="20"/>
              </w:rPr>
            </w:pPr>
            <w:r>
              <w:rPr>
                <w:rFonts w:ascii="Arial" w:hAnsi="Arial" w:eastAsia="Arial" w:cs="Arial"/>
                <w:b/>
                <w:bCs/>
                <w:color w:val="201547"/>
                <w:sz w:val="20"/>
              </w:rPr>
              <w:t>Reporting cycle</w:t>
            </w:r>
          </w:p>
        </w:tc>
      </w:tr>
      <w:tr>
        <w:tc>
          <w:tcPr>
            <w:tcW w:w="2580" w:type="dxa"/>
            <w:tcBorders>
              <w:top w:val="single" w:sz="4" w:space="0" w:color="000000"/>
              <w:bottom w:val="single" w:sz="4" w:space="0" w:color="000000"/>
              <w:left w:val="single" w:sz="4" w:space="0" w:color="000000"/>
              <w:right w:val="single" w:sz="4" w:space="0" w:color="000000"/>
            </w:tcBorders>
            <w:shd w:val="clear" w:color="auto" w:fill="FFFFFF"/>
          </w:tcPr>
          <w:p>
            <w:pPr>
              <w:spacing w:before="100" w:line="288" w:lineRule="auto"/>
              <w:ind w:left="108" w:right="108"/>
              <w:rPr>
                <w:rFonts w:ascii="Arial" w:hAnsi="Arial" w:eastAsia="Arial" w:cs="Arial"/>
                <w:color w:val="000000"/>
                <w:sz w:val="20"/>
              </w:rPr>
            </w:pPr>
            <w:r>
              <w:rPr>
                <w:rFonts w:ascii="Arial" w:hAnsi="Arial" w:eastAsia="Arial" w:cs="Arial"/>
                <w:color w:val="000000"/>
                <w:sz w:val="20"/>
              </w:rPr>
              <w:t>Victorian Homelessness Data Collections (HDC)</w:t>
            </w:r>
          </w:p>
        </w:tc>
        <w:tc>
          <w:tcPr>
            <w:tcW w:w="2580" w:type="dxa"/>
            <w:tcBorders>
              <w:top w:val="single" w:sz="4" w:space="0" w:color="000000"/>
              <w:bottom w:val="single" w:sz="4" w:space="0" w:color="000000"/>
              <w:left w:val="single" w:sz="4" w:space="0" w:color="000000"/>
              <w:right w:val="single" w:sz="4" w:space="0" w:color="000000"/>
            </w:tcBorders>
            <w:shd w:val="clear" w:color="auto" w:fill="FFFFFF"/>
          </w:tcPr>
          <w:p>
            <w:pPr>
              <w:spacing w:before="100" w:line="288" w:lineRule="auto"/>
              <w:ind w:left="108" w:right="108"/>
              <w:rPr>
                <w:rFonts w:ascii="Arial" w:hAnsi="Arial" w:eastAsia="Arial" w:cs="Arial"/>
                <w:color w:val="000000"/>
                <w:sz w:val="20"/>
              </w:rPr>
            </w:pPr>
            <w:r>
              <w:rPr>
                <w:rFonts w:ascii="Arial" w:hAnsi="Arial" w:eastAsia="Arial" w:cs="Arial"/>
                <w:color w:val="000000"/>
                <w:sz w:val="20"/>
              </w:rPr>
              <w:t xml:space="preserve">SHIP </w:t>
            </w:r>
          </w:p>
        </w:tc>
        <w:tc>
          <w:tcPr>
            <w:tcW w:w="2580" w:type="dxa"/>
            <w:tcBorders>
              <w:top w:val="single" w:sz="4" w:space="0" w:color="000000"/>
              <w:bottom w:val="single" w:sz="4" w:space="0" w:color="000000"/>
              <w:left w:val="single" w:sz="4" w:space="0" w:color="000000"/>
              <w:right w:val="single" w:sz="4" w:space="0" w:color="000000"/>
            </w:tcBorders>
            <w:shd w:val="clear" w:color="auto" w:fill="FFFFFF"/>
          </w:tcPr>
          <w:p>
            <w:pPr>
              <w:spacing w:before="100" w:line="288" w:lineRule="auto"/>
              <w:ind w:left="108" w:right="108"/>
              <w:rPr>
                <w:rFonts w:ascii="Arial" w:hAnsi="Arial" w:eastAsia="Arial" w:cs="Arial"/>
                <w:color w:val="000000"/>
                <w:sz w:val="20"/>
              </w:rPr>
            </w:pPr>
            <w:r>
              <w:rPr>
                <w:rFonts w:ascii="Arial" w:hAnsi="Arial" w:eastAsia="Arial" w:cs="Arial"/>
                <w:color w:val="000000"/>
                <w:sz w:val="20"/>
              </w:rPr>
              <w:t xml:space="preserve">Two extracts to DFFH via the DFFH Homelessness Secure Data Exchange (SDE): 1. SHS extract (Validated) 2. HDC extract </w:t>
            </w:r>
          </w:p>
        </w:tc>
        <w:tc>
          <w:tcPr>
            <w:tcW w:w="2508" w:type="dxa"/>
            <w:tcBorders>
              <w:top w:val="single" w:sz="4" w:space="0" w:color="000000"/>
              <w:bottom w:val="single" w:sz="4" w:space="0" w:color="000000"/>
              <w:left w:val="single" w:sz="4" w:space="0" w:color="000000"/>
              <w:right w:val="single" w:sz="4" w:space="0" w:color="000000"/>
            </w:tcBorders>
            <w:shd w:val="clear" w:color="auto" w:fill="FFFFFF"/>
          </w:tcPr>
          <w:p>
            <w:pPr>
              <w:spacing w:before="100" w:line="288" w:lineRule="auto"/>
              <w:ind w:left="108" w:right="108"/>
              <w:rPr>
                <w:rFonts w:ascii="Arial" w:hAnsi="Arial" w:eastAsia="Arial" w:cs="Arial"/>
                <w:color w:val="000000"/>
                <w:sz w:val="20"/>
              </w:rPr>
            </w:pPr>
            <w:r>
              <w:rPr>
                <w:rFonts w:ascii="Arial" w:hAnsi="Arial" w:eastAsia="Arial" w:cs="Arial"/>
                <w:color w:val="000000"/>
                <w:sz w:val="20"/>
              </w:rPr>
              <w:t>Monthly</w:t>
            </w:r>
          </w:p>
        </w:tc>
      </w:tr>
      <w:tr>
        <w:tc>
          <w:tcPr>
            <w:tcW w:w="2580" w:type="dxa"/>
            <w:tcBorders>
              <w:top w:val="single" w:sz="4" w:space="0" w:color="000000"/>
              <w:bottom w:val="single" w:sz="4" w:space="0" w:color="000000"/>
              <w:left w:val="single" w:sz="4" w:space="0" w:color="000000"/>
              <w:right w:val="single" w:sz="4" w:space="0" w:color="000000"/>
            </w:tcBorders>
            <w:shd w:val="clear" w:color="auto" w:fill="FFFFFF"/>
          </w:tcPr>
          <w:p>
            <w:pPr>
              <w:spacing w:before="100" w:line="288" w:lineRule="auto"/>
              <w:ind w:left="108" w:right="108"/>
              <w:rPr>
                <w:rFonts w:ascii="Arial" w:hAnsi="Arial" w:eastAsia="Arial" w:cs="Arial"/>
                <w:color w:val="000000"/>
                <w:sz w:val="20"/>
              </w:rPr>
            </w:pPr>
            <w:r>
              <w:rPr>
                <w:rFonts w:ascii="Arial" w:hAnsi="Arial" w:eastAsia="Arial" w:cs="Arial"/>
                <w:color w:val="000000"/>
                <w:sz w:val="20"/>
              </w:rPr>
              <w:t>Specialist Homelessness Services Collection (SHSC)</w:t>
            </w:r>
          </w:p>
        </w:tc>
        <w:tc>
          <w:tcPr>
            <w:tcW w:w="2580" w:type="dxa"/>
            <w:tcBorders>
              <w:top w:val="single" w:sz="4" w:space="0" w:color="000000"/>
              <w:bottom w:val="single" w:sz="4" w:space="0" w:color="000000"/>
              <w:left w:val="single" w:sz="4" w:space="0" w:color="000000"/>
              <w:right w:val="single" w:sz="4" w:space="0" w:color="000000"/>
            </w:tcBorders>
            <w:shd w:val="clear" w:color="auto" w:fill="FFFFFF"/>
          </w:tcPr>
          <w:p>
            <w:pPr>
              <w:spacing w:before="100" w:line="288" w:lineRule="auto"/>
              <w:ind w:left="108" w:right="108"/>
              <w:rPr>
                <w:rFonts w:ascii="Arial" w:hAnsi="Arial" w:eastAsia="Arial" w:cs="Arial"/>
                <w:color w:val="000000"/>
                <w:sz w:val="20"/>
              </w:rPr>
            </w:pPr>
            <w:r>
              <w:rPr>
                <w:rFonts w:ascii="Arial" w:hAnsi="Arial" w:eastAsia="Arial" w:cs="Arial"/>
                <w:color w:val="000000"/>
                <w:sz w:val="20"/>
              </w:rPr>
              <w:t xml:space="preserve">SHIP </w:t>
            </w:r>
          </w:p>
        </w:tc>
        <w:tc>
          <w:tcPr>
            <w:tcW w:w="2580" w:type="dxa"/>
            <w:tcBorders>
              <w:top w:val="single" w:sz="4" w:space="0" w:color="000000"/>
              <w:bottom w:val="single" w:sz="4" w:space="0" w:color="000000"/>
              <w:left w:val="single" w:sz="4" w:space="0" w:color="000000"/>
              <w:right w:val="single" w:sz="4" w:space="0" w:color="000000"/>
            </w:tcBorders>
            <w:shd w:val="clear" w:color="auto" w:fill="FFFFFF"/>
          </w:tcPr>
          <w:p>
            <w:pPr>
              <w:spacing w:before="100" w:line="288" w:lineRule="auto"/>
              <w:ind w:left="108" w:right="108"/>
              <w:rPr>
                <w:rFonts w:ascii="Arial" w:hAnsi="Arial" w:eastAsia="Arial" w:cs="Arial"/>
                <w:color w:val="000000"/>
                <w:sz w:val="20"/>
              </w:rPr>
            </w:pPr>
            <w:r>
              <w:rPr>
                <w:rFonts w:ascii="Arial" w:hAnsi="Arial" w:eastAsia="Arial" w:cs="Arial"/>
                <w:color w:val="000000"/>
                <w:sz w:val="20"/>
              </w:rPr>
              <w:t xml:space="preserve">Submit to the AIHW via Validata: 1. SHS extract </w:t>
            </w:r>
          </w:p>
        </w:tc>
        <w:tc>
          <w:tcPr>
            <w:tcW w:w="2508" w:type="dxa"/>
            <w:tcBorders>
              <w:top w:val="single" w:sz="4" w:space="0" w:color="000000"/>
              <w:bottom w:val="single" w:sz="4" w:space="0" w:color="000000"/>
              <w:left w:val="single" w:sz="4" w:space="0" w:color="000000"/>
              <w:right w:val="single" w:sz="4" w:space="0" w:color="000000"/>
            </w:tcBorders>
            <w:shd w:val="clear" w:color="auto" w:fill="FFFFFF"/>
          </w:tcPr>
          <w:p>
            <w:pPr>
              <w:spacing w:before="100" w:line="288" w:lineRule="auto"/>
              <w:ind w:left="108" w:right="108"/>
              <w:rPr>
                <w:rFonts w:ascii="Arial" w:hAnsi="Arial" w:eastAsia="Arial" w:cs="Arial"/>
                <w:color w:val="000000"/>
                <w:sz w:val="20"/>
              </w:rPr>
            </w:pPr>
            <w:r>
              <w:rPr>
                <w:rFonts w:ascii="Arial" w:hAnsi="Arial" w:eastAsia="Arial" w:cs="Arial"/>
                <w:color w:val="000000"/>
                <w:sz w:val="20"/>
              </w:rPr>
              <w:t>Monthly</w:t>
            </w:r>
          </w:p>
        </w:tc>
      </w:tr>
      <w:tr>
        <w:tc>
          <w:tcPr>
            <w:tcW w:w="2580" w:type="dxa"/>
            <w:tcBorders>
              <w:top w:val="single" w:sz="4" w:space="0" w:color="000000"/>
              <w:bottom w:val="single" w:sz="4" w:space="0" w:color="000000"/>
              <w:left w:val="single" w:sz="4" w:space="0" w:color="000000"/>
              <w:right w:val="single" w:sz="4" w:space="0" w:color="000000"/>
            </w:tcBorders>
            <w:shd w:val="clear" w:color="auto" w:fill="FFFFFF"/>
          </w:tcPr>
          <w:p>
            <w:pPr>
              <w:spacing w:before="100" w:line="288" w:lineRule="auto"/>
              <w:ind w:left="108" w:right="108"/>
              <w:rPr>
                <w:rFonts w:ascii="Arial" w:hAnsi="Arial" w:eastAsia="Arial" w:cs="Arial"/>
                <w:color w:val="000000"/>
                <w:sz w:val="20"/>
              </w:rPr>
            </w:pPr>
            <w:r>
              <w:rPr>
                <w:rFonts w:ascii="Arial" w:hAnsi="Arial" w:eastAsia="Arial" w:cs="Arial"/>
                <w:color w:val="000000"/>
                <w:sz w:val="20"/>
              </w:rPr>
              <w:t>Service Delivery Tracking (SDT)</w:t>
            </w:r>
          </w:p>
        </w:tc>
        <w:tc>
          <w:tcPr>
            <w:tcW w:w="2580" w:type="dxa"/>
            <w:tcBorders>
              <w:top w:val="single" w:sz="4" w:space="0" w:color="000000"/>
              <w:bottom w:val="single" w:sz="4" w:space="0" w:color="000000"/>
              <w:left w:val="single" w:sz="4" w:space="0" w:color="000000"/>
              <w:right w:val="single" w:sz="4" w:space="0" w:color="000000"/>
            </w:tcBorders>
            <w:shd w:val="clear" w:color="auto" w:fill="FFFFFF"/>
          </w:tcPr>
          <w:p>
            <w:pPr>
              <w:spacing w:before="100" w:line="288" w:lineRule="auto"/>
              <w:ind w:left="108" w:right="108"/>
              <w:rPr>
                <w:rFonts w:ascii="Arial" w:hAnsi="Arial" w:eastAsia="Arial" w:cs="Arial"/>
                <w:color w:val="000000"/>
                <w:sz w:val="20"/>
              </w:rPr>
            </w:pPr>
            <w:r>
              <w:rPr>
                <w:rFonts w:ascii="Arial" w:hAnsi="Arial" w:eastAsia="Arial" w:cs="Arial"/>
                <w:color w:val="000000"/>
                <w:sz w:val="20"/>
              </w:rPr>
              <w:t xml:space="preserve">My Agency/SAM </w:t>
            </w:r>
          </w:p>
        </w:tc>
        <w:tc>
          <w:tcPr>
            <w:tcW w:w="2580" w:type="dxa"/>
            <w:tcBorders>
              <w:top w:val="single" w:sz="4" w:space="0" w:color="000000"/>
              <w:bottom w:val="single" w:sz="4" w:space="0" w:color="000000"/>
              <w:left w:val="single" w:sz="4" w:space="0" w:color="000000"/>
              <w:right w:val="single" w:sz="4" w:space="0" w:color="000000"/>
            </w:tcBorders>
            <w:shd w:val="clear" w:color="auto" w:fill="FFFFFF"/>
          </w:tcPr>
          <w:p>
            <w:pPr>
              <w:spacing w:before="100" w:line="288" w:lineRule="auto"/>
              <w:ind w:left="108" w:right="108"/>
              <w:rPr>
                <w:rFonts w:ascii="Arial" w:hAnsi="Arial" w:eastAsia="Arial" w:cs="Arial"/>
                <w:color w:val="000000"/>
                <w:sz w:val="20"/>
              </w:rPr>
            </w:pPr>
            <w:r>
              <w:rPr>
                <w:rFonts w:ascii="Arial" w:hAnsi="Arial" w:eastAsia="Arial" w:cs="Arial"/>
                <w:color w:val="000000"/>
                <w:sz w:val="20"/>
              </w:rPr>
              <w:t xml:space="preserve">Service delivery tracking dataset </w:t>
            </w:r>
          </w:p>
        </w:tc>
        <w:tc>
          <w:tcPr>
            <w:tcW w:w="2508" w:type="dxa"/>
            <w:tcBorders>
              <w:top w:val="single" w:sz="4" w:space="0" w:color="000000"/>
              <w:bottom w:val="single" w:sz="4" w:space="0" w:color="000000"/>
              <w:left w:val="single" w:sz="4" w:space="0" w:color="000000"/>
              <w:right w:val="single" w:sz="4" w:space="0" w:color="000000"/>
            </w:tcBorders>
            <w:shd w:val="clear" w:color="auto" w:fill="FFFFFF"/>
          </w:tcPr>
          <w:p>
            <w:pPr>
              <w:spacing w:before="100" w:line="288" w:lineRule="auto"/>
              <w:ind w:left="108" w:right="108"/>
              <w:rPr>
                <w:rFonts w:ascii="Arial" w:hAnsi="Arial" w:eastAsia="Arial" w:cs="Arial"/>
                <w:color w:val="000000"/>
                <w:sz w:val="20"/>
              </w:rPr>
            </w:pPr>
            <w:r>
              <w:rPr>
                <w:rFonts w:ascii="Arial" w:hAnsi="Arial" w:eastAsia="Arial" w:cs="Arial"/>
                <w:color w:val="000000"/>
                <w:sz w:val="20"/>
              </w:rPr>
              <w:t>Monthly</w:t>
            </w:r>
          </w:p>
        </w:tc>
      </w:tr>
    </w:tbl>
    <w:p>
      <w:pPr>
        <w:spacing w:before="100" w:line="288" w:lineRule="auto"/>
        <w:ind w:left="111" w:right="105"/>
        <w:rPr>
          <w:rFonts w:ascii="Arial" w:hAnsi="Arial" w:eastAsia="Arial" w:cs="Arial"/>
          <w:color w:val="000000"/>
          <w:sz w:val="18"/>
        </w:rPr>
      </w:pPr>
      <w:r>
        <w:rPr>
          <w:rFonts w:ascii="Arial" w:hAnsi="Arial" w:eastAsia="Arial" w:cs="Arial"/>
          <w:color w:val="000000"/>
          <w:sz w:val="18"/>
        </w:rPr>
        <w:t/>
      </w:r>
    </w:p>
    <w:tbl>
      <w:tblPr>
        <w:tblW w:w="0" w:type="auto"/>
        <w:tblInd w:w="111" w:type="dxa"/>
        <w:tblLayout w:type="fixed"/>
        <w:tblCellMar>
          <w:left w:w="0" w:type="dxa"/>
          <w:right w:w="0" w:type="dxa"/>
        </w:tblCellMar>
      </w:tblPr>
      <w:tblGrid>
        <w:gridCol w:w="10204"/>
      </w:tblGrid>
      <w:tr>
        <w:trPr>
          <w:cantSplit/>
        </w:trPr>
        <w:tc>
          <w:tcPr>
            <w:tcW w:w="10204" w:type="dxa"/>
            <w:tcBorders>
              <w:top w:val="single" w:sz="4" w:space="0" w:color="000000"/>
              <w:bottom w:val="single" w:sz="4" w:space="0" w:color="000000"/>
              <w:left w:val="single" w:sz="4" w:space="0" w:color="000000"/>
              <w:right w:val="single" w:sz="4" w:space="0" w:color="000000"/>
            </w:tcBorders>
            <w:vAlign w:val="bottom"/>
            <w:shd w:val="clear" w:color="auto" w:fill="FFFFFF"/>
          </w:tcPr>
          <w:p>
            <w:pPr>
              <w:keepLines/>
              <w:spacing w:before="100" w:line="288" w:lineRule="auto"/>
              <w:ind w:left="108" w:right="108"/>
              <w:rPr>
                <w:rFonts w:ascii="Arial" w:hAnsi="Arial" w:eastAsia="Arial" w:cs="Arial"/>
                <w:color w:val="3366FF"/>
                <w:sz w:val="24"/>
              </w:rPr>
            </w:pPr>
            <w:r>
              <w:rPr>
                <w:rFonts w:ascii="Arial" w:hAnsi="Arial" w:eastAsia="Arial" w:cs="Arial"/>
                <w:color w:val="000000"/>
                <w:sz w:val="24"/>
              </w:rPr>
              <w:t xml:space="preserve">To receive this publication in an accessible format, email </w:t>
            </w:r>
            <w:r>
              <w:rPr>
                <w:rFonts w:ascii="Arial" w:hAnsi="Arial" w:eastAsia="Arial" w:cs="Arial"/>
                <w:color w:val="3366FF"/>
                <w:sz w:val="24"/>
              </w:rPr>
              <w:t>Monitoring Framework Helpdesk &lt;monitoringframework.helpdesk@dffh.vic.gov.au&gt;</w:t>
            </w:r>
          </w:p>
          <w:p>
            <w:pPr>
              <w:keepLines/>
              <w:spacing w:before="100" w:line="288" w:lineRule="auto"/>
              <w:ind w:left="108" w:right="108"/>
              <w:rPr>
                <w:rFonts w:ascii="Arial" w:hAnsi="Arial" w:eastAsia="Arial" w:cs="Arial"/>
                <w:color w:val="000000"/>
                <w:sz w:val="16"/>
              </w:rPr>
            </w:pPr>
            <w:r>
              <w:rPr>
                <w:rFonts w:ascii="Arial" w:hAnsi="Arial" w:eastAsia="Arial" w:cs="Arial"/>
                <w:color w:val="000000"/>
                <w:sz w:val="16"/>
              </w:rPr>
              <w:t>Authorised and published by the Victorian Government, 1 Treasury Place, Melbourne.</w:t>
            </w:r>
          </w:p>
          <w:p>
            <w:pPr>
              <w:keepLines/>
              <w:spacing w:before="100" w:line="288" w:lineRule="auto"/>
              <w:ind w:left="108" w:right="108"/>
              <w:rPr>
                <w:rFonts w:ascii="Arial" w:hAnsi="Arial" w:eastAsia="Arial" w:cs="Arial"/>
                <w:color w:val="000000"/>
                <w:sz w:val="16"/>
              </w:rPr>
            </w:pPr>
            <w:r>
              <w:rPr>
                <w:rFonts w:ascii="Arial" w:hAnsi="Arial" w:eastAsia="Arial" w:cs="Arial"/>
                <w:color w:val="000000"/>
                <w:sz w:val="16"/>
              </w:rPr>
              <w:t xml:space="preserve">© State of Victoria, Australia, Department of Families, Fairness and Housing, </w:t>
            </w:r>
            <w:r>
              <w:rPr>
                <w:rFonts w:ascii="Arial" w:hAnsi="Arial" w:eastAsia="Arial" w:cs="Arial"/>
                <w:color w:val="000000"/>
                <w:sz w:val="16"/>
              </w:rPr>
              <w:t>June 2026</w:t>
            </w:r>
            <w:r>
              <w:rPr>
                <w:rFonts w:ascii="Arial" w:hAnsi="Arial" w:eastAsia="Arial" w:cs="Arial"/>
                <w:color w:val="000000"/>
                <w:sz w:val="16"/>
              </w:rPr>
              <w:t xml:space="preserve">. </w:t>
            </w:r>
          </w:p>
          <w:p>
            <w:pPr>
              <w:keepLines/>
              <w:spacing w:before="100" w:line="288" w:lineRule="auto"/>
              <w:ind w:left="108" w:right="108"/>
              <w:rPr>
                <w:rFonts w:ascii="Arial" w:hAnsi="Arial" w:eastAsia="Arial" w:cs="Arial"/>
                <w:color w:val="000000"/>
                <w:sz w:val="16"/>
              </w:rPr>
            </w:pPr>
            <w:r>
              <w:rPr>
                <w:rFonts w:ascii="Arial" w:hAnsi="Arial" w:eastAsia="Arial" w:cs="Arial"/>
                <w:color w:val="000000"/>
                <w:sz w:val="16"/>
              </w:rPr>
              <w:t>In this document, ‘Aboriginal’ refers to both Aboriginal and Torres Strait Islander people. ‘Indigenous’ or ‘Koori/Koorie' is retained when part of the title of a report, program or quotation.</w:t>
            </w:r>
          </w:p>
          <w:p>
            <w:pPr>
              <w:keepLines/>
              <w:spacing w:before="100" w:line="288" w:lineRule="auto"/>
              <w:ind w:left="108" w:right="108"/>
              <w:rPr>
                <w:rFonts w:ascii="Arial" w:hAnsi="Arial" w:eastAsia="Arial" w:cs="Arial"/>
                <w:color w:val="000000"/>
                <w:sz w:val="16"/>
              </w:rPr>
            </w:pPr>
            <w:r>
              <w:rPr>
                <w:rFonts w:ascii="Arial" w:hAnsi="Arial" w:eastAsia="Arial" w:cs="Arial"/>
                <w:color w:val="000000"/>
                <w:sz w:val="16"/>
              </w:rPr>
              <w:t>ISSN 2653-0929 – Online (PDF/Word)</w:t>
            </w:r>
          </w:p>
          <w:p>
            <w:pPr>
              <w:keepLines/>
              <w:spacing w:before="100" w:line="288" w:lineRule="auto"/>
              <w:ind w:left="108" w:right="108"/>
              <w:rPr>
                <w:rFonts w:ascii="Arial" w:hAnsi="Arial" w:eastAsia="Arial" w:cs="Arial"/>
                <w:color w:val="000000"/>
                <w:sz w:val="20"/>
              </w:rPr>
            </w:pPr>
            <w:r>
              <w:rPr>
                <w:rFonts w:ascii="Arial" w:hAnsi="Arial" w:eastAsia="Arial" w:cs="Arial"/>
                <w:color w:val="000000"/>
                <w:sz w:val="20"/>
              </w:rPr>
              <w:t xml:space="preserve">Available at </w:t>
            </w:r>
            <w:r>
              <w:rPr>
                <w:rFonts w:ascii="Arial" w:hAnsi="Arial" w:eastAsia="Arial" w:cs="Arial"/>
                <w:color w:val="3366FF"/>
                <w:sz w:val="20"/>
              </w:rPr>
              <w:t xml:space="preserve">Department of Families, Fairness and Housing and Department of Health </w:t>
            </w:r>
            <w:r>
              <w:rPr>
                <w:rFonts w:ascii="Arial" w:hAnsi="Arial" w:eastAsia="Arial" w:cs="Arial"/>
                <w:color w:val="000000"/>
                <w:sz w:val="20"/>
              </w:rPr>
              <w:t>activity search</w:t>
            </w:r>
          </w:p>
          <w:p>
            <w:pPr>
              <w:keepLines/>
              <w:spacing w:before="100" w:line="288" w:lineRule="auto"/>
              <w:ind w:left="108" w:right="108"/>
              <w:rPr>
                <w:rFonts w:ascii="Arial" w:hAnsi="Arial" w:eastAsia="Arial" w:cs="Arial"/>
                <w:color w:val="000000"/>
                <w:sz w:val="20"/>
              </w:rPr>
            </w:pPr>
            <w:hyperlink r:id="rId21" w:tgtFrame="_blank" w:history="1">
              <w:r>
                <w:rPr>
                  <w:rFonts w:ascii="Arial" w:hAnsi="Arial" w:eastAsia="Arial" w:cs="Arial"/>
                  <w:color w:val="3366FF"/>
                  <w:sz w:val="20"/>
                </w:rPr>
                <w:t>&lt;http://providers.dffh.vic.gov.au/families-fairness-housing-health-activity-search</w:t>
              </w:r>
            </w:hyperlink>
            <w:r>
              <w:rPr>
                <w:rFonts w:ascii="Arial" w:hAnsi="Arial" w:eastAsia="Arial" w:cs="Arial"/>
                <w:color w:val="000000"/>
                <w:sz w:val="20"/>
              </w:rPr>
              <w:t>&gt;</w:t>
            </w:r>
          </w:p>
        </w:tc>
      </w:tr>
    </w:tbl>
    <w:p>
      <w:pPr>
        <w:spacing w:before="100" w:line="288" w:lineRule="auto"/>
        <w:ind w:left="111" w:right="105"/>
        <w:rPr>
          <w:rFonts w:ascii="Arial" w:hAnsi="Arial" w:eastAsia="Arial" w:cs="Arial"/>
          <w:color w:val="000000"/>
          <w:sz w:val="18"/>
        </w:rPr>
      </w:pPr>
      <w:bookmarkStart w:id="0" w:name="page_total_master0"/>
      <w:r>
        <w:rPr>
          <w:rFonts w:ascii="Arial" w:hAnsi="Arial" w:eastAsia="Arial" w:cs="Arial"/>
          <w:color w:val="000000"/>
          <w:sz w:val="18"/>
        </w:rPr>
        <w:t/>
      </w:r>
      <w:bookmarkEnd w:id="0"/>
      <w:bookmarkStart w:id="1" w:name="page_total"/>
      <w:r>
        <w:rPr>
          <w:rFonts w:ascii="Arial" w:hAnsi="Arial" w:eastAsia="Arial" w:cs="Arial"/>
          <w:color w:val="000000"/>
          <w:sz w:val="18"/>
        </w:rPr>
        <w:t/>
      </w:r>
      <w:bookmarkEnd w:id="1"/>
    </w:p>
    <w:sectPr>
      <w:headerReference w:type="default" r:id="rId6"/>
      <w:headerReference w:type="first" r:id="rId7"/>
      <w:footerReference w:type="default" r:id="rId8"/>
      <w:footerReference w:type="first" r:id="rId9"/>
      <w:pgSz w:w="11900" w:h="16820"/>
      <w:pgMar w:top="560" w:right="740" w:bottom="1120" w:left="740" w:header="567" w:footer="0" w:gutter="0"/>
      <w:cols w:space="720"/>
      <w:noEndnote/>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tabs>
        <w:tab w:val="left" w:pos="4428"/>
        <w:tab w:val="left" w:pos="9123"/>
        <w:tab w:val="right" w:pos="10314"/>
      </w:tabs>
      <w:ind w:left="111" w:right="105"/>
      <w:rPr/>
    </w:pPr>
    <w:r>
      <w:rPr>
        <w:rFonts w:ascii="Arial" w:hAnsi="Arial" w:eastAsia="Arial" w:cs="Arial"/>
        <w:color w:val="000000"/>
        <w:sz w:val="18"/>
      </w:rPr>
      <w:tab/>
    </w:r>
  </w:p>
  <w:tbl>
    <w:tblPr>
      <w:tblW w:w="0" w:type="auto"/>
      <w:tblInd w:w="-177" w:type="dxa"/>
      <w:tblLayout w:type="fixed"/>
      <w:tblCellMar>
        <w:left w:w="0" w:type="dxa"/>
        <w:right w:w="0" w:type="dxa"/>
      </w:tblCellMar>
    </w:tblPr>
    <w:tblGrid>
      <w:gridCol w:w="3473"/>
      <w:gridCol w:w="3473"/>
      <w:gridCol w:w="3692"/>
    </w:tblGrid>
    <w:tr>
      <w:tc>
        <w:tcPr>
          <w:tcW w:w="3473" w:type="dxa"/>
          <w:shd w:val="clear" w:color="auto" w:fill="FFFFFF"/>
        </w:tcPr>
        <w:p>
          <w:pPr>
            <w:ind w:left="108" w:right="108"/>
            <w:rPr/>
          </w:pPr>
        </w:p>
      </w:tc>
      <w:tc>
        <w:tcPr>
          <w:tcW w:w="3473" w:type="dxa"/>
          <w:vAlign w:val="bottom"/>
          <w:shd w:val="clear" w:color="auto" w:fill="FFFFFF"/>
        </w:tcPr>
        <w:p>
          <w:pPr>
            <w:tabs>
              <w:tab w:val="right" w:pos="10314"/>
            </w:tabs>
            <w:spacing w:before="240"/>
            <w:ind w:left="108" w:right="108"/>
            <w:jc w:val="center"/>
            <w:rPr>
              <w:rFonts w:ascii="Arial" w:hAnsi="Arial" w:eastAsia="Arial" w:cs="Arial"/>
              <w:b/>
              <w:bCs/>
              <w:color w:val="000000"/>
              <w:sz w:val="20"/>
            </w:rPr>
          </w:pPr>
          <w:r>
            <w:rPr>
              <w:rFonts w:ascii="Arial" w:hAnsi="Arial" w:eastAsia="Arial" w:cs="Arial"/>
              <w:b/>
              <w:bCs/>
              <w:color w:val="000000"/>
              <w:sz w:val="20"/>
            </w:rPr>
            <w:t xml:space="preserve">OFFICIAL                           </w:t>
          </w:r>
        </w:p>
      </w:tc>
      <w:tc>
        <w:tcPr>
          <w:tcW w:w="3692" w:type="dxa"/>
          <w:shd w:val="clear" w:color="auto" w:fill="FFFFFF"/>
        </w:tcPr>
        <w:p>
          <w:pPr>
            <w:tabs>
              <w:tab w:val="right" w:pos="10314"/>
            </w:tabs>
            <w:spacing w:before="240"/>
            <w:ind w:left="108"/>
            <w:jc w:val="center"/>
            <w:rPr>
              <w:rFonts w:ascii="Arial" w:hAnsi="Arial" w:eastAsia="Arial" w:cs="Arial"/>
              <w:color w:val="000000"/>
              <w:sz w:val="18"/>
            </w:rPr>
          </w:pPr>
          <w:r>
            <w:rPr>
              <w:rFonts w:ascii="Arial" w:hAnsi="Arial" w:eastAsia="Arial" w:cs="Arial"/>
              <w:color w:val="000000"/>
              <w:sz w:val="18"/>
            </w:rPr>
            <w:t xml:space="preserve">             </w:t>
          </w:r>
        </w:p>
        <w:p>
          <w:pPr>
            <w:tabs>
              <w:tab w:val="right" w:pos="10314"/>
            </w:tabs>
            <w:spacing w:before="240"/>
            <w:ind w:left="108"/>
            <w:jc w:val="center"/>
            <w:rPr/>
          </w:pPr>
          <w:r>
            <w:rPr>
              <w:noProof/>
            </w:rPr>
            <w:drawing>
              <wp:inline distT="0" distB="0" distL="0" distR="0">
                <wp:extent cx="1657350" cy="5143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1">
                          <a:extLst>
                            <a:ext uri="{28A0092B-C50C-407E-A947-70E740481C1C}">
                              <a14:useLocalDpi xmlns:a14="http://schemas.microsoft.com/office/drawing/2010/main" val="0"/>
                            </a:ext>
                          </a:extLst>
                        </a:blip>
                        <a:stretch>
                          <a:fillRect/>
                        </a:stretch>
                      </pic:blipFill>
                      <pic:spPr>
                        <a:xfrm>
                          <a:off x="0" y="0"/>
                          <a:ext cx="1657350" cy="514350"/>
                        </a:xfrm>
                        <a:prstGeom prst="rect">
                          <a:avLst/>
                        </a:prstGeom>
                      </pic:spPr>
                    </pic:pic>
                  </a:graphicData>
                </a:graphic>
              </wp:inline>
            </w:drawing>
          </w:r>
        </w:p>
      </w:tc>
    </w:tr>
  </w:tbl>
  <w:p>
    <w:pPr>
      <w:tabs>
        <w:tab w:val="right" w:pos="10314"/>
      </w:tabs>
      <w:ind w:left="111" w:right="105"/>
      <w:jc w:val="center"/>
      <w:rPr>
        <w:rFonts w:ascii="Arial" w:hAnsi="Arial" w:eastAsia="Arial" w:cs="Arial"/>
        <w:color w:val="000000"/>
        <w:sz w:val="20"/>
      </w:rPr>
    </w:pPr>
    <w:r>
      <w:rPr>
        <w:rFonts w:ascii="Arial" w:hAnsi="Arial" w:eastAsia="Arial" w:cs="Arial"/>
        <w:color w:val="000000"/>
        <w:sz w:val="20"/>
      </w:rPr>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77" w:type="dxa"/>
      <w:tblLayout w:type="fixed"/>
      <w:tblCellMar>
        <w:left w:w="0" w:type="dxa"/>
        <w:right w:w="0" w:type="dxa"/>
      </w:tblCellMar>
    </w:tblPr>
    <w:tblGrid>
      <w:gridCol w:w="3473"/>
      <w:gridCol w:w="3473"/>
      <w:gridCol w:w="3473"/>
    </w:tblGrid>
    <w:tr>
      <w:tc>
        <w:tcPr>
          <w:tcW w:w="3473" w:type="dxa"/>
          <w:shd w:val="clear" w:color="auto" w:fill="FFFFFF"/>
        </w:tcPr>
        <w:p>
          <w:pPr>
            <w:ind w:left="108" w:right="108"/>
            <w:rPr/>
          </w:pPr>
        </w:p>
      </w:tc>
      <w:tc>
        <w:tcPr>
          <w:tcW w:w="3473" w:type="dxa"/>
          <w:vAlign w:val="bottom"/>
          <w:shd w:val="clear" w:color="auto" w:fill="FFFFFF"/>
        </w:tcPr>
        <w:p>
          <w:pPr>
            <w:tabs>
              <w:tab w:val="right" w:pos="10314"/>
            </w:tabs>
            <w:spacing w:before="240"/>
            <w:ind w:left="108" w:right="108"/>
            <w:jc w:val="center"/>
            <w:rPr>
              <w:rFonts w:ascii="Arial" w:hAnsi="Arial" w:eastAsia="Arial" w:cs="Arial"/>
              <w:b/>
              <w:bCs/>
              <w:color w:val="000000"/>
              <w:sz w:val="20"/>
            </w:rPr>
          </w:pPr>
          <w:r>
            <w:rPr>
              <w:rFonts w:ascii="Arial" w:hAnsi="Arial" w:eastAsia="Arial" w:cs="Arial"/>
              <w:b/>
              <w:bCs/>
              <w:color w:val="000000"/>
              <w:sz w:val="20"/>
            </w:rPr>
            <w:t xml:space="preserve">OFFICIAL                                                                </w:t>
          </w:r>
        </w:p>
      </w:tc>
      <w:tc>
        <w:tcPr>
          <w:tcW w:w="3473" w:type="dxa"/>
          <w:shd w:val="clear" w:color="auto" w:fill="FFFFFF"/>
        </w:tcPr>
        <w:p>
          <w:pPr>
            <w:tabs>
              <w:tab w:val="right" w:pos="10314"/>
            </w:tabs>
            <w:spacing w:before="240"/>
            <w:ind w:left="108"/>
            <w:jc w:val="center"/>
            <w:rPr/>
          </w:pPr>
          <w:r>
            <w:rPr>
              <w:noProof/>
            </w:rPr>
            <w:drawing>
              <wp:inline distT="0" distB="0" distL="0" distR="0">
                <wp:extent cx="1657350" cy="514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1">
                          <a:extLst>
                            <a:ext uri="{28A0092B-C50C-407E-A947-70E740481C1C}">
                              <a14:useLocalDpi xmlns:a14="http://schemas.microsoft.com/office/drawing/2010/main" val="0"/>
                            </a:ext>
                          </a:extLst>
                        </a:blip>
                        <a:stretch>
                          <a:fillRect/>
                        </a:stretch>
                      </pic:blipFill>
                      <pic:spPr>
                        <a:xfrm>
                          <a:off x="0" y="0"/>
                          <a:ext cx="1657350" cy="514350"/>
                        </a:xfrm>
                        <a:prstGeom prst="rect">
                          <a:avLst/>
                        </a:prstGeom>
                      </pic:spPr>
                    </pic:pic>
                  </a:graphicData>
                </a:graphic>
              </wp:inline>
            </w:drawing>
          </w:r>
        </w:p>
      </w:tc>
    </w:tr>
  </w:tbl>
  <w:p>
    <w:pPr>
      <w:tabs>
        <w:tab w:val="right" w:pos="10314"/>
      </w:tabs>
      <w:spacing w:before="240"/>
      <w:ind w:left="111" w:right="105"/>
      <w:rPr>
        <w:rFonts w:ascii="Arial" w:hAnsi="Arial" w:eastAsia="Arial" w:cs="Arial"/>
        <w:color w:val="000000"/>
        <w:sz w:val="18"/>
      </w:rPr>
    </w:pPr>
    <w:r>
      <w:rPr>
        <w:rFonts w:ascii="Arial" w:hAnsi="Arial" w:eastAsia="Arial" w:cs="Arial"/>
        <w:color w:val="000000"/>
        <w:sz w:val="18"/>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tabs>
        <w:tab w:val="left" w:pos="408"/>
        <w:tab w:val="right" w:pos="10312"/>
      </w:tabs>
      <w:ind w:left="111" w:right="105"/>
      <w:rPr>
        <w:rFonts w:ascii="Arial" w:hAnsi="Arial" w:eastAsia="Arial" w:cs="Arial"/>
        <w:color w:val="000000"/>
        <w:sz w:val="18"/>
      </w:rPr>
    </w:pPr>
    <w:r>
      <w:rPr>
        <w:rFonts w:ascii="Arial" w:hAnsi="Arial" w:eastAsia="Arial" w:cs="Arial"/>
        <w:color w:val="000000"/>
        <w:sz w:val="18"/>
      </w:rPr>
      <w:t>Housing Assistance 94675 Private Rental Assistance Program</w:t>
    </w:r>
    <w:r>
      <w:rPr>
        <w:rFonts w:ascii="Arial" w:hAnsi="Arial" w:eastAsia="Arial" w:cs="Arial"/>
        <w:color w:val="000000"/>
        <w:sz w:val="18"/>
      </w:rPr>
      <w:tab/>
    </w:r>
    <w:r>
      <w:rPr>
        <w:rFonts w:ascii="Arial" w:hAnsi="Arial" w:eastAsia="Arial" w:cs="Arial"/>
        <w:color w:val="000000"/>
        <w:sz w:val="18"/>
      </w:rPr>
      <w:fldChar w:fldCharType="begin"/>
    </w:r>
    <w:r>
      <w:rPr>
        <w:rFonts w:ascii="Arial" w:hAnsi="Arial" w:eastAsia="Arial" w:cs="Arial"/>
        <w:color w:val="000000"/>
        <w:sz w:val="18"/>
      </w:rPr>
      <w:instrText xml:space="preserve"> PAGE   \* MERGEFORMAT </w:instrText>
    </w:r>
    <w:r>
      <w:rPr>
        <w:rFonts w:ascii="Arial" w:hAnsi="Arial" w:eastAsia="Arial" w:cs="Arial"/>
        <w:color w:val="000000"/>
        <w:sz w:val="18"/>
      </w:rPr>
      <w:fldChar w:fldCharType="separate"/>
    </w:r>
    <w:r>
      <w:rPr>
        <w:rFonts w:ascii="Arial" w:hAnsi="Arial" w:eastAsia="Arial" w:cs="Arial"/>
        <w:color w:val="000000"/>
        <w:sz w:val="18"/>
      </w:rPr>
      <w:t>1</w:t>
    </w:r>
    <w:r>
      <w:rPr>
        <w:rFonts w:ascii="Arial" w:hAnsi="Arial" w:eastAsia="Arial" w:cs="Arial"/>
        <w:color w:val="000000"/>
        <w:sz w:val="18"/>
      </w:rPr>
      <w:fldChar w:fldCharType="end"/>
    </w:r>
  </w:p>
  <w:p>
    <w:pPr>
      <w:tabs>
        <w:tab w:val="right" w:pos="10314"/>
      </w:tabs>
      <w:ind w:left="111" w:right="105"/>
      <w:rPr>
        <w:rFonts w:ascii="Arial" w:hAnsi="Arial" w:eastAsia="Arial" w:cs="Arial"/>
        <w:color w:val="000000"/>
        <w:sz w:val="18"/>
      </w:rPr>
    </w:pPr>
    <w:r>
      <w:rPr>
        <w:rFonts w:ascii="Arial" w:hAnsi="Arial" w:eastAsia="Arial" w:cs="Arial"/>
        <w:color w:val="000000"/>
        <w:sz w:val="18"/>
      </w:rPr>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tabs>
        <w:tab w:val="right" w:pos="10314"/>
      </w:tabs>
      <w:ind w:left="111" w:right="105"/>
      <w:rPr>
        <w:rFonts w:ascii="Arial" w:hAnsi="Arial" w:eastAsia="Arial" w:cs="Arial"/>
        <w:color w:val="000000"/>
        <w:sz w:val="18"/>
      </w:rPr>
    </w:pPr>
    <w:r>
      <w:rPr>
        <w:rFonts w:ascii="Arial" w:hAnsi="Arial" w:eastAsia="Arial" w:cs="Arial"/>
        <w:color w:val="000000"/>
        <w:sz w:val="18"/>
      </w:rPr>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numFmt w:val="decimal"/>
      <w:lvlText w:val="%1."/>
      <w:lvlJc w:val="start"/>
      <w:pPr>
        <w:ind w:left="828" w:hanging="360"/>
      </w:pPr>
      <w:rPr>
        <w:rFonts w:ascii="Calibri" w:hAnsi="Calibri" w:eastAsia="Calibri" w:cs="Calibri" w:hint="default"/>
        <w:color w:val="000000"/>
        <w:sz w:val="24"/>
      </w:rPr>
    </w:lvl>
    <w:lvl w:ilvl="1">
      <w:start w:val="1"/>
      <w:numFmt w:val="lowerLetter"/>
      <w:lvlText w:val="%2."/>
      <w:lvlJc w:val="start"/>
      <w:pPr>
        <w:ind w:left="1548" w:hanging="360"/>
      </w:pPr>
      <w:rPr>
        <w:rFonts w:ascii="Calibri" w:hAnsi="Calibri" w:eastAsia="Calibri" w:cs="Calibri" w:hint="default"/>
        <w:color w:val="000000"/>
        <w:sz w:val="24"/>
      </w:rPr>
    </w:lvl>
    <w:lvl w:ilvl="2">
      <w:start w:val="1"/>
      <w:numFmt w:val="lowerRoman"/>
      <w:lvlText w:val="%3."/>
      <w:lvlJc w:val="end"/>
      <w:pPr>
        <w:ind w:left="2268" w:hanging="180"/>
      </w:pPr>
      <w:rPr>
        <w:rFonts w:ascii="Calibri" w:hAnsi="Calibri" w:eastAsia="Calibri" w:cs="Calibri" w:hint="default"/>
        <w:color w:val="000000"/>
        <w:sz w:val="24"/>
      </w:rPr>
    </w:lvl>
    <w:lvl w:ilvl="3">
      <w:start w:val="1"/>
      <w:numFmt w:val="decimal"/>
      <w:lvlText w:val="%4."/>
      <w:lvlJc w:val="start"/>
      <w:pPr>
        <w:ind w:left="2988" w:hanging="360"/>
      </w:pPr>
      <w:rPr>
        <w:rFonts w:ascii="Calibri" w:hAnsi="Calibri" w:eastAsia="Calibri" w:cs="Calibri" w:hint="default"/>
        <w:color w:val="000000"/>
        <w:sz w:val="24"/>
      </w:rPr>
    </w:lvl>
    <w:lvl w:ilvl="4">
      <w:start w:val="1"/>
      <w:numFmt w:val="lowerLetter"/>
      <w:lvlText w:val="%5."/>
      <w:lvlJc w:val="start"/>
      <w:pPr>
        <w:ind w:left="3708" w:hanging="360"/>
      </w:pPr>
      <w:rPr>
        <w:rFonts w:ascii="Calibri" w:hAnsi="Calibri" w:eastAsia="Calibri" w:cs="Calibri" w:hint="default"/>
        <w:color w:val="000000"/>
        <w:sz w:val="24"/>
      </w:rPr>
    </w:lvl>
    <w:lvl w:ilvl="5">
      <w:start w:val="1"/>
      <w:numFmt w:val="lowerRoman"/>
      <w:lvlText w:val="%6."/>
      <w:lvlJc w:val="end"/>
      <w:pPr>
        <w:ind w:left="4428" w:hanging="180"/>
      </w:pPr>
      <w:rPr>
        <w:rFonts w:ascii="Calibri" w:hAnsi="Calibri" w:eastAsia="Calibri" w:cs="Calibri" w:hint="default"/>
        <w:color w:val="000000"/>
        <w:sz w:val="24"/>
      </w:rPr>
    </w:lvl>
    <w:lvl w:ilvl="6">
      <w:start w:val="1"/>
      <w:numFmt w:val="decimal"/>
      <w:lvlText w:val="%7."/>
      <w:lvlJc w:val="start"/>
      <w:pPr>
        <w:ind w:left="5148" w:hanging="360"/>
      </w:pPr>
      <w:rPr>
        <w:rFonts w:ascii="Calibri" w:hAnsi="Calibri" w:eastAsia="Calibri" w:cs="Calibri" w:hint="default"/>
        <w:color w:val="000000"/>
        <w:sz w:val="24"/>
      </w:rPr>
    </w:lvl>
    <w:lvl w:ilvl="7">
      <w:start w:val="1"/>
      <w:numFmt w:val="lowerLetter"/>
      <w:lvlText w:val="%8."/>
      <w:lvlJc w:val="start"/>
      <w:pPr>
        <w:ind w:left="5868" w:hanging="360"/>
      </w:pPr>
      <w:rPr>
        <w:rFonts w:ascii="Calibri" w:hAnsi="Calibri" w:eastAsia="Calibri" w:cs="Calibri" w:hint="default"/>
        <w:color w:val="000000"/>
        <w:sz w:val="24"/>
      </w:rPr>
    </w:lvl>
    <w:lvl w:ilvl="8">
      <w:start w:val="1"/>
      <w:numFmt w:val="lowerRoman"/>
      <w:lvlText w:val="%9."/>
      <w:lvlJc w:val="end"/>
      <w:pPr>
        <w:ind w:left="6588" w:hanging="180"/>
      </w:pPr>
      <w:rPr>
        <w:rFonts w:ascii="Calibri" w:hAnsi="Calibri" w:eastAsia="Calibri" w:cs="Calibri" w:hint="default"/>
        <w:color w:val="000000"/>
        <w:sz w:val="24"/>
      </w:rPr>
    </w:lvl>
  </w:abstractNum>
  <w:abstractNum w:abstractNumId="1">
    <w:multiLevelType w:val="hybridMultilevel"/>
    <w:lvl w:ilvl="0">
      <w:start w:val="1"/>
      <w:numFmt w:val="bullet"/>
      <w:lvlText w:val=""/>
      <w:lvlJc w:val="start"/>
      <w:pPr>
        <w:ind w:left="468" w:hanging="360"/>
      </w:pPr>
      <w:rPr>
        <w:rFonts w:ascii="Symbol" w:hAnsi="Symbol" w:eastAsia="Symbol" w:cs="Symbol" w:hint="default"/>
        <w:color w:val="000000"/>
        <w:sz w:val="24"/>
      </w:rPr>
    </w:lvl>
    <w:lvl w:ilvl="1">
      <w:start w:val="1"/>
      <w:numFmt w:val="bullet"/>
      <w:lvlText w:val="o"/>
      <w:lvlJc w:val="start"/>
      <w:pPr>
        <w:ind w:left="1188" w:hanging="360"/>
      </w:pPr>
      <w:rPr>
        <w:rFonts w:ascii="Courier New" w:hAnsi="Courier New" w:eastAsia="Courier New" w:cs="Courier New" w:hint="default"/>
        <w:color w:val="000000"/>
        <w:sz w:val="24"/>
      </w:rPr>
    </w:lvl>
    <w:lvl w:ilvl="2">
      <w:start w:val="1"/>
      <w:numFmt w:val="bullet"/>
      <w:lvlText w:val=""/>
      <w:lvlJc w:val="start"/>
      <w:pPr>
        <w:ind w:left="1908" w:hanging="360"/>
      </w:pPr>
      <w:rPr>
        <w:rFonts w:ascii="Wingdings" w:hAnsi="Wingdings" w:eastAsia="Wingdings" w:cs="Wingdings" w:hint="default"/>
        <w:color w:val="000000"/>
        <w:sz w:val="24"/>
      </w:rPr>
    </w:lvl>
    <w:lvl w:ilvl="3">
      <w:start w:val="1"/>
      <w:numFmt w:val="bullet"/>
      <w:lvlText w:val=""/>
      <w:lvlJc w:val="start"/>
      <w:pPr>
        <w:ind w:left="2628" w:hanging="360"/>
      </w:pPr>
      <w:rPr>
        <w:rFonts w:ascii="Symbol" w:hAnsi="Symbol" w:eastAsia="Symbol" w:cs="Symbol" w:hint="default"/>
        <w:color w:val="000000"/>
        <w:sz w:val="24"/>
      </w:rPr>
    </w:lvl>
    <w:lvl w:ilvl="4">
      <w:start w:val="1"/>
      <w:numFmt w:val="bullet"/>
      <w:lvlText w:val="o"/>
      <w:lvlJc w:val="start"/>
      <w:pPr>
        <w:ind w:left="3348" w:hanging="360"/>
      </w:pPr>
      <w:rPr>
        <w:rFonts w:ascii="Courier New" w:hAnsi="Courier New" w:eastAsia="Courier New" w:cs="Courier New" w:hint="default"/>
        <w:color w:val="000000"/>
        <w:sz w:val="24"/>
      </w:rPr>
    </w:lvl>
    <w:lvl w:ilvl="5">
      <w:start w:val="1"/>
      <w:numFmt w:val="bullet"/>
      <w:lvlText w:val=""/>
      <w:lvlJc w:val="start"/>
      <w:pPr>
        <w:ind w:left="4068" w:hanging="360"/>
      </w:pPr>
      <w:rPr>
        <w:rFonts w:ascii="Wingdings" w:hAnsi="Wingdings" w:eastAsia="Wingdings" w:cs="Wingdings" w:hint="default"/>
        <w:color w:val="000000"/>
        <w:sz w:val="24"/>
      </w:rPr>
    </w:lvl>
    <w:lvl w:ilvl="6">
      <w:start w:val="1"/>
      <w:numFmt w:val="bullet"/>
      <w:lvlText w:val=""/>
      <w:lvlJc w:val="start"/>
      <w:pPr>
        <w:ind w:left="4788" w:hanging="360"/>
      </w:pPr>
      <w:rPr>
        <w:rFonts w:ascii="Symbol" w:hAnsi="Symbol" w:eastAsia="Symbol" w:cs="Symbol" w:hint="default"/>
        <w:color w:val="000000"/>
        <w:sz w:val="24"/>
      </w:rPr>
    </w:lvl>
    <w:lvl w:ilvl="7">
      <w:start w:val="1"/>
      <w:numFmt w:val="bullet"/>
      <w:lvlText w:val="o"/>
      <w:lvlJc w:val="start"/>
      <w:pPr>
        <w:ind w:left="5508" w:hanging="360"/>
      </w:pPr>
      <w:rPr>
        <w:rFonts w:ascii="Courier New" w:hAnsi="Courier New" w:eastAsia="Courier New" w:cs="Courier New" w:hint="default"/>
        <w:color w:val="000000"/>
        <w:sz w:val="24"/>
      </w:rPr>
    </w:lvl>
    <w:lvl w:ilvl="8">
      <w:start w:val="1"/>
      <w:numFmt w:val="bullet"/>
      <w:lvlText w:val=""/>
      <w:lvlJc w:val="start"/>
      <w:pPr>
        <w:ind w:left="6228" w:hanging="360"/>
      </w:pPr>
      <w:rPr>
        <w:rFonts w:ascii="Wingdings" w:hAnsi="Wingdings" w:eastAsia="Wingdings" w:cs="Wingdings" w:hint="default"/>
        <w:color w:val="000000"/>
        <w:sz w:val="24"/>
      </w:rPr>
    </w:lvl>
  </w:abstractNum>
  <w:abstractNum w:abstractNumId="2">
    <w:multiLevelType w:val="hybridMultilevel"/>
    <w:lvl w:ilvl="0">
      <w:start w:val="1"/>
      <w:numFmt w:val="decimal"/>
      <w:lvlText w:val="%1."/>
      <w:lvlJc w:val="start"/>
      <w:pPr>
        <w:ind w:left="505" w:hanging="397"/>
      </w:pPr>
      <w:rPr>
        <w:rFonts w:ascii="Calibri" w:hAnsi="Calibri" w:eastAsia="Calibri" w:cs="Calibri" w:hint="default"/>
        <w:color w:val="000000"/>
        <w:sz w:val="24"/>
      </w:rPr>
    </w:lvl>
    <w:lvl w:ilvl="1">
      <w:start w:val="1"/>
      <w:numFmt w:val="decimal"/>
      <w:lvlText w:val="%2."/>
      <w:lvlJc w:val="start"/>
      <w:pPr>
        <w:ind w:left="902" w:hanging="397"/>
      </w:pPr>
      <w:rPr>
        <w:rFonts w:ascii="Calibri" w:hAnsi="Calibri" w:eastAsia="Calibri" w:cs="Calibri" w:hint="default"/>
        <w:color w:val="000000"/>
        <w:sz w:val="24"/>
      </w:rPr>
    </w:lvl>
    <w:lvl w:ilvl="2">
      <w:start w:val="1"/>
      <w:numFmt w:val="lowerLetter"/>
      <w:lvlText w:val="(%3)"/>
      <w:lvlJc w:val="start"/>
      <w:pPr>
        <w:ind w:left="505" w:hanging="397"/>
      </w:pPr>
      <w:rPr>
        <w:rFonts w:ascii="Calibri" w:hAnsi="Calibri" w:eastAsia="Calibri" w:cs="Calibri" w:hint="default"/>
        <w:color w:val="000000"/>
        <w:sz w:val="24"/>
      </w:rPr>
    </w:lvl>
    <w:lvl w:ilvl="3">
      <w:start w:val="1"/>
      <w:numFmt w:val="lowerLetter"/>
      <w:lvlText w:val="(%4)"/>
      <w:lvlJc w:val="start"/>
      <w:pPr>
        <w:ind w:left="902" w:hanging="397"/>
      </w:pPr>
      <w:rPr>
        <w:rFonts w:ascii="Calibri" w:hAnsi="Calibri" w:eastAsia="Calibri" w:cs="Calibri" w:hint="default"/>
        <w:color w:val="000000"/>
        <w:sz w:val="24"/>
      </w:rPr>
    </w:lvl>
    <w:lvl w:ilvl="4">
      <w:start w:val="1"/>
      <w:numFmt w:val="lowerRoman"/>
      <w:lvlText w:val="(%5)"/>
      <w:lvlJc w:val="start"/>
      <w:pPr>
        <w:ind w:left="505" w:hanging="397"/>
      </w:pPr>
      <w:rPr>
        <w:rFonts w:ascii="Calibri" w:hAnsi="Calibri" w:eastAsia="Calibri" w:cs="Calibri" w:hint="default"/>
        <w:color w:val="000000"/>
        <w:sz w:val="24"/>
      </w:rPr>
    </w:lvl>
    <w:lvl w:ilvl="5">
      <w:start w:val="1"/>
      <w:numFmt w:val="lowerRoman"/>
      <w:lvlText w:val="(%6)"/>
      <w:lvlJc w:val="start"/>
      <w:pPr>
        <w:ind w:left="902" w:hanging="397"/>
      </w:pPr>
      <w:rPr>
        <w:rFonts w:ascii="Calibri" w:hAnsi="Calibri" w:eastAsia="Calibri" w:cs="Calibri" w:hint="default"/>
        <w:color w:val="000000"/>
        <w:sz w:val="24"/>
      </w:rPr>
    </w:lvl>
    <w:lvl w:ilvl="6">
      <w:start w:val="1"/>
      <w:numFmt w:val="none"/>
      <w:lvlText w:val=""/>
      <w:lvlJc w:val="start"/>
      <w:pPr>
        <w:ind w:left="108" w:hanging="0"/>
      </w:pPr>
      <w:rPr>
        <w:rFonts w:ascii="Calibri" w:hAnsi="Calibri" w:eastAsia="Calibri" w:cs="Calibri" w:hint="default"/>
        <w:color w:val="000000"/>
        <w:sz w:val="24"/>
      </w:rPr>
    </w:lvl>
    <w:lvl w:ilvl="7">
      <w:start w:val="1"/>
      <w:numFmt w:val="none"/>
      <w:lvlText w:val=""/>
      <w:lvlJc w:val="start"/>
      <w:pPr>
        <w:ind w:left="108" w:hanging="0"/>
      </w:pPr>
      <w:rPr>
        <w:rFonts w:ascii="Calibri" w:hAnsi="Calibri" w:eastAsia="Calibri" w:cs="Calibri" w:hint="default"/>
        <w:color w:val="000000"/>
        <w:sz w:val="24"/>
      </w:rPr>
    </w:lvl>
    <w:lvl w:ilvl="8">
      <w:start w:val="1"/>
      <w:numFmt w:val="none"/>
      <w:lvlText w:val=""/>
      <w:lvlJc w:val="end"/>
      <w:pPr>
        <w:ind w:left="108" w:hanging="0"/>
      </w:pPr>
      <w:rPr>
        <w:rFonts w:ascii="Calibri" w:hAnsi="Calibri" w:eastAsia="Calibri" w:cs="Calibri" w:hint="default"/>
        <w:color w:val="000000"/>
        <w:sz w:val="24"/>
      </w:rPr>
    </w:lvl>
  </w:abstractNum>
  <w:abstractNum w:abstractNumId="3">
    <w:multiLevelType w:val="hybridMultilevel"/>
    <w:lvl w:ilvl="0">
      <w:start w:val="1"/>
      <w:numFmt w:val="bullet"/>
      <w:lvlText w:val=""/>
      <w:lvlJc w:val="start"/>
      <w:pPr>
        <w:ind w:left="392" w:hanging="284"/>
      </w:pPr>
      <w:rPr>
        <w:rFonts w:ascii="Symbol" w:hAnsi="Symbol" w:eastAsia="Symbol" w:cs="Symbol" w:hint="default"/>
        <w:color w:val="000000"/>
        <w:sz w:val="24"/>
      </w:rPr>
    </w:lvl>
    <w:lvl w:ilvl="1">
      <w:start w:val="1"/>
      <w:numFmt w:val="bullet"/>
      <w:lvlText w:val=""/>
      <w:lvlJc w:val="start"/>
      <w:pPr>
        <w:ind w:left="392" w:hanging="284"/>
      </w:pPr>
      <w:rPr>
        <w:rFonts w:ascii="Symbol" w:hAnsi="Symbol" w:eastAsia="Symbol" w:cs="Symbol" w:hint="default"/>
        <w:color w:val="000000"/>
        <w:sz w:val="24"/>
      </w:rPr>
    </w:lvl>
    <w:lvl w:ilvl="2">
      <w:start w:val="1"/>
      <w:numFmt w:val="bullet"/>
      <w:lvlText w:val="–"/>
      <w:lvlJc w:val="start"/>
      <w:pPr>
        <w:ind w:left="675" w:hanging="283"/>
      </w:pPr>
      <w:rPr>
        <w:rFonts w:ascii="Calibri" w:hAnsi="Calibri" w:eastAsia="Calibri" w:cs="Calibri" w:hint="default"/>
        <w:color w:val="000000"/>
        <w:sz w:val="24"/>
      </w:rPr>
    </w:lvl>
    <w:lvl w:ilvl="3">
      <w:start w:val="1"/>
      <w:numFmt w:val="bullet"/>
      <w:lvlText w:val="–"/>
      <w:lvlJc w:val="start"/>
      <w:pPr>
        <w:ind w:left="675" w:hanging="283"/>
      </w:pPr>
      <w:rPr>
        <w:rFonts w:ascii="Calibri" w:hAnsi="Calibri" w:eastAsia="Calibri" w:cs="Calibri" w:hint="default"/>
        <w:color w:val="000000"/>
        <w:sz w:val="24"/>
      </w:rPr>
    </w:lvl>
    <w:lvl w:ilvl="4">
      <w:start w:val="1"/>
      <w:numFmt w:val="bullet"/>
      <w:lvlText w:val=""/>
      <w:lvlJc w:val="start"/>
      <w:pPr>
        <w:ind w:left="788" w:hanging="283"/>
      </w:pPr>
      <w:rPr>
        <w:rFonts w:ascii="Symbol" w:hAnsi="Symbol" w:eastAsia="Symbol" w:cs="Symbol" w:hint="default"/>
        <w:color w:val="000000"/>
        <w:sz w:val="24"/>
      </w:rPr>
    </w:lvl>
    <w:lvl w:ilvl="5">
      <w:start w:val="1"/>
      <w:numFmt w:val="bullet"/>
      <w:lvlText w:val=""/>
      <w:lvlJc w:val="start"/>
      <w:pPr>
        <w:ind w:left="788" w:hanging="283"/>
      </w:pPr>
      <w:rPr>
        <w:rFonts w:ascii="Symbol" w:hAnsi="Symbol" w:eastAsia="Symbol" w:cs="Symbol" w:hint="default"/>
        <w:color w:val="000000"/>
        <w:sz w:val="24"/>
      </w:rPr>
    </w:lvl>
    <w:lvl w:ilvl="6">
      <w:start w:val="1"/>
      <w:numFmt w:val="bullet"/>
      <w:lvlText w:val=""/>
      <w:lvlJc w:val="start"/>
      <w:pPr>
        <w:ind w:left="335" w:hanging="227"/>
      </w:pPr>
      <w:rPr>
        <w:rFonts w:ascii="Symbol" w:hAnsi="Symbol" w:eastAsia="Symbol" w:cs="Symbol" w:hint="default"/>
        <w:color w:val="000000"/>
        <w:sz w:val="24"/>
      </w:rPr>
    </w:lvl>
    <w:lvl w:ilvl="7">
      <w:start w:val="1"/>
      <w:numFmt w:val="none"/>
      <w:lvlText w:val=""/>
      <w:lvlJc w:val="start"/>
      <w:pPr>
        <w:ind w:left="108" w:hanging="0"/>
      </w:pPr>
      <w:rPr>
        <w:rFonts w:ascii="Calibri" w:hAnsi="Calibri" w:eastAsia="Calibri" w:cs="Calibri" w:hint="default"/>
        <w:color w:val="000000"/>
        <w:sz w:val="24"/>
      </w:rPr>
    </w:lvl>
    <w:lvl w:ilvl="8">
      <w:start w:val="1"/>
      <w:numFmt w:val="none"/>
      <w:lvlText w:val=""/>
      <w:lvlJc w:val="start"/>
      <w:pPr>
        <w:ind w:left="108" w:hanging="0"/>
      </w:pPr>
      <w:rPr>
        <w:rFonts w:ascii="Calibri" w:hAnsi="Calibri" w:eastAsia="Calibri" w:cs="Calibri" w:hint="default"/>
        <w:color w:val="000000"/>
        <w:sz w:val="24"/>
      </w:rPr>
    </w:lvl>
  </w:abstractNum>
  <w:abstractNum w:abstractNumId="4">
    <w:multiLevelType w:val="hybridMultilevel"/>
    <w:lvl w:ilvl="0">
      <w:start w:val="1"/>
      <w:numFmt w:val="bullet"/>
      <w:lvlText w:val=""/>
      <w:lvlJc w:val="start"/>
      <w:pPr>
        <w:ind w:left="468" w:hanging="360"/>
      </w:pPr>
      <w:rPr>
        <w:rFonts w:ascii="Symbol" w:hAnsi="Symbol" w:eastAsia="Symbol" w:cs="Symbol" w:hint="default"/>
        <w:color w:val="000000"/>
        <w:sz w:val="24"/>
      </w:rPr>
    </w:lvl>
    <w:lvl w:ilvl="1">
      <w:start w:val="1"/>
      <w:numFmt w:val="bullet"/>
      <w:lvlText w:val="o"/>
      <w:lvlJc w:val="start"/>
      <w:pPr>
        <w:ind w:left="1188" w:hanging="360"/>
      </w:pPr>
      <w:rPr>
        <w:rFonts w:ascii="Courier New" w:hAnsi="Courier New" w:eastAsia="Courier New" w:cs="Courier New" w:hint="default"/>
        <w:color w:val="000000"/>
        <w:sz w:val="24"/>
      </w:rPr>
    </w:lvl>
    <w:lvl w:ilvl="2">
      <w:start w:val="1"/>
      <w:numFmt w:val="bullet"/>
      <w:lvlText w:val=""/>
      <w:lvlJc w:val="start"/>
      <w:pPr>
        <w:ind w:left="1908" w:hanging="360"/>
      </w:pPr>
      <w:rPr>
        <w:rFonts w:ascii="Wingdings" w:hAnsi="Wingdings" w:eastAsia="Wingdings" w:cs="Wingdings" w:hint="default"/>
        <w:color w:val="000000"/>
        <w:sz w:val="24"/>
      </w:rPr>
    </w:lvl>
    <w:lvl w:ilvl="3">
      <w:start w:val="1"/>
      <w:numFmt w:val="bullet"/>
      <w:lvlText w:val=""/>
      <w:lvlJc w:val="start"/>
      <w:pPr>
        <w:ind w:left="2628" w:hanging="360"/>
      </w:pPr>
      <w:rPr>
        <w:rFonts w:ascii="Symbol" w:hAnsi="Symbol" w:eastAsia="Symbol" w:cs="Symbol" w:hint="default"/>
        <w:color w:val="000000"/>
        <w:sz w:val="24"/>
      </w:rPr>
    </w:lvl>
    <w:lvl w:ilvl="4">
      <w:start w:val="1"/>
      <w:numFmt w:val="bullet"/>
      <w:lvlText w:val="o"/>
      <w:lvlJc w:val="start"/>
      <w:pPr>
        <w:ind w:left="3348" w:hanging="360"/>
      </w:pPr>
      <w:rPr>
        <w:rFonts w:ascii="Courier New" w:hAnsi="Courier New" w:eastAsia="Courier New" w:cs="Courier New" w:hint="default"/>
        <w:color w:val="000000"/>
        <w:sz w:val="24"/>
      </w:rPr>
    </w:lvl>
    <w:lvl w:ilvl="5">
      <w:start w:val="1"/>
      <w:numFmt w:val="bullet"/>
      <w:lvlText w:val=""/>
      <w:lvlJc w:val="start"/>
      <w:pPr>
        <w:ind w:left="4068" w:hanging="360"/>
      </w:pPr>
      <w:rPr>
        <w:rFonts w:ascii="Wingdings" w:hAnsi="Wingdings" w:eastAsia="Wingdings" w:cs="Wingdings" w:hint="default"/>
        <w:color w:val="000000"/>
        <w:sz w:val="24"/>
      </w:rPr>
    </w:lvl>
    <w:lvl w:ilvl="6">
      <w:start w:val="1"/>
      <w:numFmt w:val="bullet"/>
      <w:lvlText w:val=""/>
      <w:lvlJc w:val="start"/>
      <w:pPr>
        <w:ind w:left="4788" w:hanging="360"/>
      </w:pPr>
      <w:rPr>
        <w:rFonts w:ascii="Symbol" w:hAnsi="Symbol" w:eastAsia="Symbol" w:cs="Symbol" w:hint="default"/>
        <w:color w:val="000000"/>
        <w:sz w:val="24"/>
      </w:rPr>
    </w:lvl>
    <w:lvl w:ilvl="7">
      <w:start w:val="1"/>
      <w:numFmt w:val="bullet"/>
      <w:lvlText w:val="o"/>
      <w:lvlJc w:val="start"/>
      <w:pPr>
        <w:ind w:left="5508" w:hanging="360"/>
      </w:pPr>
      <w:rPr>
        <w:rFonts w:ascii="Courier New" w:hAnsi="Courier New" w:eastAsia="Courier New" w:cs="Courier New" w:hint="default"/>
        <w:color w:val="000000"/>
        <w:sz w:val="24"/>
      </w:rPr>
    </w:lvl>
    <w:lvl w:ilvl="8">
      <w:start w:val="1"/>
      <w:numFmt w:val="bullet"/>
      <w:lvlText w:val=""/>
      <w:lvlJc w:val="start"/>
      <w:pPr>
        <w:ind w:left="6228" w:hanging="360"/>
      </w:pPr>
      <w:rPr>
        <w:rFonts w:ascii="Wingdings" w:hAnsi="Wingdings" w:eastAsia="Wingdings" w:cs="Wingdings" w:hint="default"/>
        <w:color w:val="000000"/>
        <w:sz w:val="24"/>
      </w:rPr>
    </w:lvl>
  </w:abstractNum>
  <w:abstractNum w:abstractNumId="5">
    <w:multiLevelType w:val="hybridMultilevel"/>
    <w:lvl w:ilvl="0">
      <w:start w:val="1"/>
      <w:numFmt w:val="bullet"/>
      <w:lvlText w:val=""/>
      <w:lvlJc w:val="start"/>
      <w:pPr>
        <w:ind w:left="828" w:hanging="360"/>
      </w:pPr>
      <w:rPr>
        <w:rFonts w:ascii="Symbol" w:hAnsi="Symbol" w:eastAsia="Symbol" w:cs="Symbol" w:hint="default"/>
        <w:color w:val="000000"/>
        <w:sz w:val="24"/>
      </w:rPr>
    </w:lvl>
    <w:lvl w:ilvl="1">
      <w:start w:val="1"/>
      <w:numFmt w:val="bullet"/>
      <w:lvlText w:val="o"/>
      <w:lvlJc w:val="start"/>
      <w:pPr>
        <w:ind w:left="1548" w:hanging="360"/>
      </w:pPr>
      <w:rPr>
        <w:rFonts w:ascii="Courier New" w:hAnsi="Courier New" w:eastAsia="Courier New" w:cs="Courier New" w:hint="default"/>
        <w:color w:val="000000"/>
        <w:sz w:val="24"/>
      </w:rPr>
    </w:lvl>
    <w:lvl w:ilvl="2">
      <w:start w:val="1"/>
      <w:numFmt w:val="bullet"/>
      <w:lvlText w:val=""/>
      <w:lvlJc w:val="start"/>
      <w:pPr>
        <w:ind w:left="2268" w:hanging="360"/>
      </w:pPr>
      <w:rPr>
        <w:rFonts w:ascii="Wingdings" w:hAnsi="Wingdings" w:eastAsia="Wingdings" w:cs="Wingdings" w:hint="default"/>
        <w:color w:val="000000"/>
        <w:sz w:val="24"/>
      </w:rPr>
    </w:lvl>
    <w:lvl w:ilvl="3">
      <w:start w:val="1"/>
      <w:numFmt w:val="bullet"/>
      <w:lvlText w:val=""/>
      <w:lvlJc w:val="start"/>
      <w:pPr>
        <w:ind w:left="2988" w:hanging="360"/>
      </w:pPr>
      <w:rPr>
        <w:rFonts w:ascii="Symbol" w:hAnsi="Symbol" w:eastAsia="Symbol" w:cs="Symbol" w:hint="default"/>
        <w:color w:val="000000"/>
        <w:sz w:val="24"/>
      </w:rPr>
    </w:lvl>
    <w:lvl w:ilvl="4">
      <w:start w:val="1"/>
      <w:numFmt w:val="bullet"/>
      <w:lvlText w:val="o"/>
      <w:lvlJc w:val="start"/>
      <w:pPr>
        <w:ind w:left="3708" w:hanging="360"/>
      </w:pPr>
      <w:rPr>
        <w:rFonts w:ascii="Courier New" w:hAnsi="Courier New" w:eastAsia="Courier New" w:cs="Courier New" w:hint="default"/>
        <w:color w:val="000000"/>
        <w:sz w:val="24"/>
      </w:rPr>
    </w:lvl>
    <w:lvl w:ilvl="5">
      <w:start w:val="1"/>
      <w:numFmt w:val="bullet"/>
      <w:lvlText w:val=""/>
      <w:lvlJc w:val="start"/>
      <w:pPr>
        <w:ind w:left="4428" w:hanging="360"/>
      </w:pPr>
      <w:rPr>
        <w:rFonts w:ascii="Wingdings" w:hAnsi="Wingdings" w:eastAsia="Wingdings" w:cs="Wingdings" w:hint="default"/>
        <w:color w:val="000000"/>
        <w:sz w:val="24"/>
      </w:rPr>
    </w:lvl>
    <w:lvl w:ilvl="6">
      <w:start w:val="1"/>
      <w:numFmt w:val="bullet"/>
      <w:lvlText w:val=""/>
      <w:lvlJc w:val="start"/>
      <w:pPr>
        <w:ind w:left="5148" w:hanging="360"/>
      </w:pPr>
      <w:rPr>
        <w:rFonts w:ascii="Symbol" w:hAnsi="Symbol" w:eastAsia="Symbol" w:cs="Symbol" w:hint="default"/>
        <w:color w:val="000000"/>
        <w:sz w:val="24"/>
      </w:rPr>
    </w:lvl>
    <w:lvl w:ilvl="7">
      <w:start w:val="1"/>
      <w:numFmt w:val="bullet"/>
      <w:lvlText w:val="o"/>
      <w:lvlJc w:val="start"/>
      <w:pPr>
        <w:ind w:left="5868" w:hanging="360"/>
      </w:pPr>
      <w:rPr>
        <w:rFonts w:ascii="Courier New" w:hAnsi="Courier New" w:eastAsia="Courier New" w:cs="Courier New" w:hint="default"/>
        <w:color w:val="000000"/>
        <w:sz w:val="24"/>
      </w:rPr>
    </w:lvl>
    <w:lvl w:ilvl="8">
      <w:start w:val="1"/>
      <w:numFmt w:val="bullet"/>
      <w:lvlText w:val=""/>
      <w:lvlJc w:val="start"/>
      <w:pPr>
        <w:ind w:left="6588" w:hanging="360"/>
      </w:pPr>
      <w:rPr>
        <w:rFonts w:ascii="Wingdings" w:hAnsi="Wingdings" w:eastAsia="Wingdings" w:cs="Wingdings" w:hint="default"/>
        <w:color w:val="000000"/>
        <w:sz w:val="24"/>
      </w:rPr>
    </w:lvl>
  </w:abstractNum>
  <w:abstractNum w:abstractNumId="6">
    <w:multiLevelType w:val="hybridMultilevel"/>
    <w:lvl w:ilvl="0">
      <w:start w:val="1"/>
      <w:numFmt w:val="decimal"/>
      <w:lvlText w:val="%1."/>
      <w:lvlJc w:val="start"/>
      <w:pPr>
        <w:ind w:left="828" w:hanging="360"/>
      </w:pPr>
      <w:rPr>
        <w:rFonts w:ascii="Calibri" w:hAnsi="Calibri" w:eastAsia="Calibri" w:cs="Calibri" w:hint="default"/>
        <w:color w:val="000000"/>
        <w:sz w:val="24"/>
      </w:rPr>
    </w:lvl>
    <w:lvl w:ilvl="1">
      <w:start w:val="1"/>
      <w:numFmt w:val="lowerLetter"/>
      <w:lvlText w:val="%2."/>
      <w:lvlJc w:val="start"/>
      <w:pPr>
        <w:ind w:left="1548" w:hanging="360"/>
      </w:pPr>
      <w:rPr>
        <w:rFonts w:ascii="Calibri" w:hAnsi="Calibri" w:eastAsia="Calibri" w:cs="Calibri" w:hint="default"/>
        <w:color w:val="000000"/>
        <w:sz w:val="24"/>
      </w:rPr>
    </w:lvl>
    <w:lvl w:ilvl="2">
      <w:start w:val="1"/>
      <w:numFmt w:val="lowerRoman"/>
      <w:lvlText w:val="%3."/>
      <w:lvlJc w:val="end"/>
      <w:pPr>
        <w:ind w:left="2268" w:hanging="180"/>
      </w:pPr>
      <w:rPr>
        <w:rFonts w:ascii="Calibri" w:hAnsi="Calibri" w:eastAsia="Calibri" w:cs="Calibri" w:hint="default"/>
        <w:color w:val="000000"/>
        <w:sz w:val="24"/>
      </w:rPr>
    </w:lvl>
    <w:lvl w:ilvl="3">
      <w:start w:val="1"/>
      <w:numFmt w:val="decimal"/>
      <w:lvlText w:val="%4."/>
      <w:lvlJc w:val="start"/>
      <w:pPr>
        <w:ind w:left="2988" w:hanging="360"/>
      </w:pPr>
      <w:rPr>
        <w:rFonts w:ascii="Calibri" w:hAnsi="Calibri" w:eastAsia="Calibri" w:cs="Calibri" w:hint="default"/>
        <w:color w:val="000000"/>
        <w:sz w:val="24"/>
      </w:rPr>
    </w:lvl>
    <w:lvl w:ilvl="4">
      <w:start w:val="1"/>
      <w:numFmt w:val="lowerLetter"/>
      <w:lvlText w:val="%5."/>
      <w:lvlJc w:val="start"/>
      <w:pPr>
        <w:ind w:left="3708" w:hanging="360"/>
      </w:pPr>
      <w:rPr>
        <w:rFonts w:ascii="Calibri" w:hAnsi="Calibri" w:eastAsia="Calibri" w:cs="Calibri" w:hint="default"/>
        <w:color w:val="000000"/>
        <w:sz w:val="24"/>
      </w:rPr>
    </w:lvl>
    <w:lvl w:ilvl="5">
      <w:start w:val="1"/>
      <w:numFmt w:val="lowerRoman"/>
      <w:lvlText w:val="%6."/>
      <w:lvlJc w:val="end"/>
      <w:pPr>
        <w:ind w:left="4428" w:hanging="180"/>
      </w:pPr>
      <w:rPr>
        <w:rFonts w:ascii="Calibri" w:hAnsi="Calibri" w:eastAsia="Calibri" w:cs="Calibri" w:hint="default"/>
        <w:color w:val="000000"/>
        <w:sz w:val="24"/>
      </w:rPr>
    </w:lvl>
    <w:lvl w:ilvl="6">
      <w:start w:val="1"/>
      <w:numFmt w:val="decimal"/>
      <w:lvlText w:val="%7."/>
      <w:lvlJc w:val="start"/>
      <w:pPr>
        <w:ind w:left="5148" w:hanging="360"/>
      </w:pPr>
      <w:rPr>
        <w:rFonts w:ascii="Calibri" w:hAnsi="Calibri" w:eastAsia="Calibri" w:cs="Calibri" w:hint="default"/>
        <w:color w:val="000000"/>
        <w:sz w:val="24"/>
      </w:rPr>
    </w:lvl>
    <w:lvl w:ilvl="7">
      <w:start w:val="1"/>
      <w:numFmt w:val="lowerLetter"/>
      <w:lvlText w:val="%8."/>
      <w:lvlJc w:val="start"/>
      <w:pPr>
        <w:ind w:left="5868" w:hanging="360"/>
      </w:pPr>
      <w:rPr>
        <w:rFonts w:ascii="Calibri" w:hAnsi="Calibri" w:eastAsia="Calibri" w:cs="Calibri" w:hint="default"/>
        <w:color w:val="000000"/>
        <w:sz w:val="24"/>
      </w:rPr>
    </w:lvl>
    <w:lvl w:ilvl="8">
      <w:start w:val="1"/>
      <w:numFmt w:val="lowerRoman"/>
      <w:lvlText w:val="%9."/>
      <w:lvlJc w:val="end"/>
      <w:pPr>
        <w:ind w:left="6588" w:hanging="180"/>
      </w:pPr>
      <w:rPr>
        <w:rFonts w:ascii="Calibri" w:hAnsi="Calibri" w:eastAsia="Calibri" w:cs="Calibri" w:hint="default"/>
        <w:color w:val="000000"/>
        <w:sz w:val="24"/>
      </w:rPr>
    </w:lvl>
  </w:abstractNum>
  <w:abstractNum w:abstractNumId="7">
    <w:multiLevelType w:val="hybridMultilevel"/>
    <w:lvl w:ilvl="0">
      <w:start w:val="1"/>
      <w:numFmt w:val="decimal"/>
      <w:lvlText w:val="%1."/>
      <w:lvlJc w:val="start"/>
      <w:pPr>
        <w:ind w:left="505" w:hanging="397"/>
      </w:pPr>
      <w:rPr>
        <w:rFonts w:ascii="Calibri" w:hAnsi="Calibri" w:eastAsia="Calibri" w:cs="Calibri" w:hint="default"/>
        <w:color w:val="000000"/>
        <w:sz w:val="24"/>
      </w:rPr>
    </w:lvl>
    <w:lvl w:ilvl="1">
      <w:start w:val="1"/>
      <w:numFmt w:val="decimal"/>
      <w:lvlText w:val="%2."/>
      <w:lvlJc w:val="start"/>
      <w:pPr>
        <w:ind w:left="902" w:hanging="397"/>
      </w:pPr>
      <w:rPr>
        <w:rFonts w:ascii="Calibri" w:hAnsi="Calibri" w:eastAsia="Calibri" w:cs="Calibri" w:hint="default"/>
        <w:color w:val="000000"/>
        <w:sz w:val="24"/>
      </w:rPr>
    </w:lvl>
    <w:lvl w:ilvl="2">
      <w:start w:val="1"/>
      <w:numFmt w:val="lowerLetter"/>
      <w:lvlText w:val="(%3)"/>
      <w:lvlJc w:val="start"/>
      <w:pPr>
        <w:ind w:left="505" w:hanging="397"/>
      </w:pPr>
      <w:rPr>
        <w:rFonts w:ascii="Calibri" w:hAnsi="Calibri" w:eastAsia="Calibri" w:cs="Calibri" w:hint="default"/>
        <w:color w:val="000000"/>
        <w:sz w:val="24"/>
      </w:rPr>
    </w:lvl>
    <w:lvl w:ilvl="3">
      <w:start w:val="1"/>
      <w:numFmt w:val="lowerLetter"/>
      <w:lvlText w:val="(%4)"/>
      <w:lvlJc w:val="start"/>
      <w:pPr>
        <w:ind w:left="902" w:hanging="397"/>
      </w:pPr>
      <w:rPr>
        <w:rFonts w:ascii="Calibri" w:hAnsi="Calibri" w:eastAsia="Calibri" w:cs="Calibri" w:hint="default"/>
        <w:color w:val="000000"/>
        <w:sz w:val="24"/>
      </w:rPr>
    </w:lvl>
    <w:lvl w:ilvl="4">
      <w:start w:val="1"/>
      <w:numFmt w:val="lowerRoman"/>
      <w:lvlText w:val="(%5)"/>
      <w:lvlJc w:val="start"/>
      <w:pPr>
        <w:ind w:left="505" w:hanging="397"/>
      </w:pPr>
      <w:rPr>
        <w:rFonts w:ascii="Calibri" w:hAnsi="Calibri" w:eastAsia="Calibri" w:cs="Calibri" w:hint="default"/>
        <w:color w:val="000000"/>
        <w:sz w:val="24"/>
      </w:rPr>
    </w:lvl>
    <w:lvl w:ilvl="5">
      <w:start w:val="1"/>
      <w:numFmt w:val="lowerRoman"/>
      <w:lvlText w:val="(%6)"/>
      <w:lvlJc w:val="start"/>
      <w:pPr>
        <w:ind w:left="902" w:hanging="397"/>
      </w:pPr>
      <w:rPr>
        <w:rFonts w:ascii="Calibri" w:hAnsi="Calibri" w:eastAsia="Calibri" w:cs="Calibri" w:hint="default"/>
        <w:color w:val="000000"/>
        <w:sz w:val="24"/>
      </w:rPr>
    </w:lvl>
    <w:lvl w:ilvl="6">
      <w:start w:val="1"/>
      <w:numFmt w:val="none"/>
      <w:lvlText w:val=""/>
      <w:lvlJc w:val="start"/>
      <w:pPr>
        <w:ind w:left="108" w:hanging="0"/>
      </w:pPr>
      <w:rPr>
        <w:rFonts w:ascii="Calibri" w:hAnsi="Calibri" w:eastAsia="Calibri" w:cs="Calibri" w:hint="default"/>
        <w:color w:val="000000"/>
        <w:sz w:val="24"/>
      </w:rPr>
    </w:lvl>
    <w:lvl w:ilvl="7">
      <w:start w:val="1"/>
      <w:numFmt w:val="none"/>
      <w:lvlText w:val=""/>
      <w:lvlJc w:val="start"/>
      <w:pPr>
        <w:ind w:left="108" w:hanging="0"/>
      </w:pPr>
      <w:rPr>
        <w:rFonts w:ascii="Calibri" w:hAnsi="Calibri" w:eastAsia="Calibri" w:cs="Calibri" w:hint="default"/>
        <w:color w:val="000000"/>
        <w:sz w:val="24"/>
      </w:rPr>
    </w:lvl>
    <w:lvl w:ilvl="8">
      <w:start w:val="1"/>
      <w:numFmt w:val="none"/>
      <w:lvlText w:val=""/>
      <w:lvlJc w:val="end"/>
      <w:pPr>
        <w:ind w:left="108" w:hanging="0"/>
      </w:pPr>
      <w:rPr>
        <w:rFonts w:ascii="Calibri" w:hAnsi="Calibri" w:eastAsia="Calibri" w:cs="Calibri" w:hint="default"/>
        <w:color w:val="000000"/>
        <w:sz w:val="24"/>
      </w:rPr>
    </w:lvl>
  </w:abstractNum>
  <w:abstractNum w:abstractNumId="8">
    <w:multiLevelType w:val="hybridMultilevel"/>
    <w:lvl w:ilvl="0">
      <w:start w:val="1"/>
      <w:numFmt w:val="bullet"/>
      <w:lvlText w:val=""/>
      <w:lvlJc w:val="start"/>
      <w:pPr>
        <w:ind w:left="828" w:hanging="360"/>
      </w:pPr>
      <w:rPr>
        <w:rFonts w:ascii="Symbol" w:hAnsi="Symbol" w:eastAsia="Symbol" w:cs="Symbol" w:hint="default"/>
        <w:color w:val="000000"/>
        <w:sz w:val="24"/>
      </w:rPr>
    </w:lvl>
    <w:lvl w:ilvl="1">
      <w:start w:val="1"/>
      <w:numFmt w:val="bullet"/>
      <w:lvlText w:val="o"/>
      <w:lvlJc w:val="start"/>
      <w:pPr>
        <w:ind w:left="1548" w:hanging="360"/>
      </w:pPr>
      <w:rPr>
        <w:rFonts w:ascii="Courier New" w:hAnsi="Courier New" w:eastAsia="Courier New" w:cs="Courier New" w:hint="default"/>
        <w:color w:val="000000"/>
        <w:sz w:val="24"/>
      </w:rPr>
    </w:lvl>
    <w:lvl w:ilvl="2">
      <w:start w:val="1"/>
      <w:numFmt w:val="bullet"/>
      <w:lvlText w:val=""/>
      <w:lvlJc w:val="start"/>
      <w:pPr>
        <w:ind w:left="2268" w:hanging="360"/>
      </w:pPr>
      <w:rPr>
        <w:rFonts w:ascii="Wingdings" w:hAnsi="Wingdings" w:eastAsia="Wingdings" w:cs="Wingdings" w:hint="default"/>
        <w:color w:val="000000"/>
        <w:sz w:val="24"/>
      </w:rPr>
    </w:lvl>
    <w:lvl w:ilvl="3">
      <w:start w:val="1"/>
      <w:numFmt w:val="bullet"/>
      <w:lvlText w:val=""/>
      <w:lvlJc w:val="start"/>
      <w:pPr>
        <w:ind w:left="2988" w:hanging="360"/>
      </w:pPr>
      <w:rPr>
        <w:rFonts w:ascii="Symbol" w:hAnsi="Symbol" w:eastAsia="Symbol" w:cs="Symbol" w:hint="default"/>
        <w:color w:val="000000"/>
        <w:sz w:val="24"/>
      </w:rPr>
    </w:lvl>
    <w:lvl w:ilvl="4">
      <w:start w:val="1"/>
      <w:numFmt w:val="bullet"/>
      <w:lvlText w:val="o"/>
      <w:lvlJc w:val="start"/>
      <w:pPr>
        <w:ind w:left="3708" w:hanging="360"/>
      </w:pPr>
      <w:rPr>
        <w:rFonts w:ascii="Courier New" w:hAnsi="Courier New" w:eastAsia="Courier New" w:cs="Courier New" w:hint="default"/>
        <w:color w:val="000000"/>
        <w:sz w:val="24"/>
      </w:rPr>
    </w:lvl>
    <w:lvl w:ilvl="5">
      <w:start w:val="1"/>
      <w:numFmt w:val="bullet"/>
      <w:lvlText w:val=""/>
      <w:lvlJc w:val="start"/>
      <w:pPr>
        <w:ind w:left="4428" w:hanging="360"/>
      </w:pPr>
      <w:rPr>
        <w:rFonts w:ascii="Wingdings" w:hAnsi="Wingdings" w:eastAsia="Wingdings" w:cs="Wingdings" w:hint="default"/>
        <w:color w:val="000000"/>
        <w:sz w:val="24"/>
      </w:rPr>
    </w:lvl>
    <w:lvl w:ilvl="6">
      <w:start w:val="1"/>
      <w:numFmt w:val="bullet"/>
      <w:lvlText w:val=""/>
      <w:lvlJc w:val="start"/>
      <w:pPr>
        <w:ind w:left="5148" w:hanging="360"/>
      </w:pPr>
      <w:rPr>
        <w:rFonts w:ascii="Symbol" w:hAnsi="Symbol" w:eastAsia="Symbol" w:cs="Symbol" w:hint="default"/>
        <w:color w:val="000000"/>
        <w:sz w:val="24"/>
      </w:rPr>
    </w:lvl>
    <w:lvl w:ilvl="7">
      <w:start w:val="1"/>
      <w:numFmt w:val="bullet"/>
      <w:lvlText w:val="o"/>
      <w:lvlJc w:val="start"/>
      <w:pPr>
        <w:ind w:left="5868" w:hanging="360"/>
      </w:pPr>
      <w:rPr>
        <w:rFonts w:ascii="Courier New" w:hAnsi="Courier New" w:eastAsia="Courier New" w:cs="Courier New" w:hint="default"/>
        <w:color w:val="000000"/>
        <w:sz w:val="24"/>
      </w:rPr>
    </w:lvl>
    <w:lvl w:ilvl="8">
      <w:start w:val="1"/>
      <w:numFmt w:val="bullet"/>
      <w:lvlText w:val=""/>
      <w:lvlJc w:val="start"/>
      <w:pPr>
        <w:ind w:left="6588" w:hanging="360"/>
      </w:pPr>
      <w:rPr>
        <w:rFonts w:ascii="Wingdings" w:hAnsi="Wingdings" w:eastAsia="Wingdings" w:cs="Wingdings" w:hint="default"/>
        <w:color w:val="000000"/>
        <w:sz w:val="24"/>
      </w:rPr>
    </w:lvl>
  </w:abstractNum>
  <w:abstractNum w:abstractNumId="9">
    <w:multiLevelType w:val="hybridMultilevel"/>
    <w:lvl w:ilvl="0">
      <w:start w:val="1"/>
      <w:numFmt w:val="decimal"/>
      <w:lvlText w:val="%1."/>
      <w:lvlJc w:val="start"/>
      <w:pPr>
        <w:ind w:left="468" w:hanging="360"/>
      </w:pPr>
      <w:rPr>
        <w:rFonts w:ascii="Calibri" w:hAnsi="Calibri" w:eastAsia="Calibri" w:cs="Calibri" w:hint="default"/>
        <w:color w:val="000000"/>
        <w:sz w:val="24"/>
      </w:rPr>
    </w:lvl>
    <w:lvl w:ilvl="1">
      <w:start w:val="1"/>
      <w:numFmt w:val="lowerLetter"/>
      <w:lvlText w:val="%2."/>
      <w:lvlJc w:val="start"/>
      <w:pPr>
        <w:ind w:left="1188" w:hanging="360"/>
      </w:pPr>
      <w:rPr>
        <w:rFonts w:ascii="Calibri" w:hAnsi="Calibri" w:eastAsia="Calibri" w:cs="Calibri" w:hint="default"/>
        <w:color w:val="000000"/>
        <w:sz w:val="24"/>
      </w:rPr>
    </w:lvl>
    <w:lvl w:ilvl="2">
      <w:start w:val="1"/>
      <w:numFmt w:val="lowerRoman"/>
      <w:lvlText w:val="%3."/>
      <w:lvlJc w:val="end"/>
      <w:pPr>
        <w:ind w:left="1908" w:hanging="180"/>
      </w:pPr>
      <w:rPr>
        <w:rFonts w:ascii="Calibri" w:hAnsi="Calibri" w:eastAsia="Calibri" w:cs="Calibri" w:hint="default"/>
        <w:color w:val="000000"/>
        <w:sz w:val="24"/>
      </w:rPr>
    </w:lvl>
    <w:lvl w:ilvl="3">
      <w:start w:val="1"/>
      <w:numFmt w:val="decimal"/>
      <w:lvlText w:val="%4."/>
      <w:lvlJc w:val="start"/>
      <w:pPr>
        <w:ind w:left="2628" w:hanging="360"/>
      </w:pPr>
      <w:rPr>
        <w:rFonts w:ascii="Calibri" w:hAnsi="Calibri" w:eastAsia="Calibri" w:cs="Calibri" w:hint="default"/>
        <w:color w:val="000000"/>
        <w:sz w:val="24"/>
      </w:rPr>
    </w:lvl>
    <w:lvl w:ilvl="4">
      <w:start w:val="1"/>
      <w:numFmt w:val="lowerLetter"/>
      <w:lvlText w:val="%5."/>
      <w:lvlJc w:val="start"/>
      <w:pPr>
        <w:ind w:left="3348" w:hanging="360"/>
      </w:pPr>
      <w:rPr>
        <w:rFonts w:ascii="Calibri" w:hAnsi="Calibri" w:eastAsia="Calibri" w:cs="Calibri" w:hint="default"/>
        <w:color w:val="000000"/>
        <w:sz w:val="24"/>
      </w:rPr>
    </w:lvl>
    <w:lvl w:ilvl="5">
      <w:start w:val="1"/>
      <w:numFmt w:val="lowerRoman"/>
      <w:lvlText w:val="%6."/>
      <w:lvlJc w:val="end"/>
      <w:pPr>
        <w:ind w:left="4068" w:hanging="180"/>
      </w:pPr>
      <w:rPr>
        <w:rFonts w:ascii="Calibri" w:hAnsi="Calibri" w:eastAsia="Calibri" w:cs="Calibri" w:hint="default"/>
        <w:color w:val="000000"/>
        <w:sz w:val="24"/>
      </w:rPr>
    </w:lvl>
    <w:lvl w:ilvl="6">
      <w:start w:val="1"/>
      <w:numFmt w:val="decimal"/>
      <w:lvlText w:val="%7."/>
      <w:lvlJc w:val="start"/>
      <w:pPr>
        <w:ind w:left="4788" w:hanging="360"/>
      </w:pPr>
      <w:rPr>
        <w:rFonts w:ascii="Calibri" w:hAnsi="Calibri" w:eastAsia="Calibri" w:cs="Calibri" w:hint="default"/>
        <w:color w:val="000000"/>
        <w:sz w:val="24"/>
      </w:rPr>
    </w:lvl>
    <w:lvl w:ilvl="7">
      <w:start w:val="1"/>
      <w:numFmt w:val="lowerLetter"/>
      <w:lvlText w:val="%8."/>
      <w:lvlJc w:val="start"/>
      <w:pPr>
        <w:ind w:left="5508" w:hanging="360"/>
      </w:pPr>
      <w:rPr>
        <w:rFonts w:ascii="Calibri" w:hAnsi="Calibri" w:eastAsia="Calibri" w:cs="Calibri" w:hint="default"/>
        <w:color w:val="000000"/>
        <w:sz w:val="24"/>
      </w:rPr>
    </w:lvl>
    <w:lvl w:ilvl="8">
      <w:start w:val="1"/>
      <w:numFmt w:val="lowerRoman"/>
      <w:lvlText w:val="%9."/>
      <w:lvlJc w:val="end"/>
      <w:pPr>
        <w:ind w:left="6228" w:hanging="180"/>
      </w:pPr>
      <w:rPr>
        <w:rFonts w:ascii="Calibri" w:hAnsi="Calibri" w:eastAsia="Calibri" w:cs="Calibri" w:hint="default"/>
        <w:color w:val="000000"/>
        <w:sz w:val="24"/>
      </w:rPr>
    </w:lvl>
  </w:abstractNum>
  <w:abstractNum w:abstractNumId="10">
    <w:multiLevelType w:val="hybridMultilevel"/>
    <w:lvl w:ilvl="0">
      <w:start w:val="1"/>
      <w:numFmt w:val="decimal"/>
      <w:lvlText w:val="%1."/>
      <w:lvlJc w:val="start"/>
      <w:pPr>
        <w:ind w:left="828" w:hanging="360"/>
      </w:pPr>
      <w:rPr>
        <w:rFonts w:ascii="Calibri" w:hAnsi="Calibri" w:eastAsia="Calibri" w:cs="Calibri" w:hint="default"/>
        <w:color w:val="000000"/>
        <w:sz w:val="24"/>
      </w:rPr>
    </w:lvl>
    <w:lvl w:ilvl="1">
      <w:start w:val="1"/>
      <w:numFmt w:val="lowerLetter"/>
      <w:lvlText w:val="%2."/>
      <w:lvlJc w:val="start"/>
      <w:pPr>
        <w:ind w:left="1548" w:hanging="360"/>
      </w:pPr>
      <w:rPr>
        <w:rFonts w:ascii="Calibri" w:hAnsi="Calibri" w:eastAsia="Calibri" w:cs="Calibri" w:hint="default"/>
        <w:color w:val="000000"/>
        <w:sz w:val="24"/>
      </w:rPr>
    </w:lvl>
    <w:lvl w:ilvl="2">
      <w:start w:val="1"/>
      <w:numFmt w:val="lowerRoman"/>
      <w:lvlText w:val="%3."/>
      <w:lvlJc w:val="end"/>
      <w:pPr>
        <w:ind w:left="2268" w:hanging="180"/>
      </w:pPr>
      <w:rPr>
        <w:rFonts w:ascii="Calibri" w:hAnsi="Calibri" w:eastAsia="Calibri" w:cs="Calibri" w:hint="default"/>
        <w:color w:val="000000"/>
        <w:sz w:val="24"/>
      </w:rPr>
    </w:lvl>
    <w:lvl w:ilvl="3">
      <w:start w:val="1"/>
      <w:numFmt w:val="decimal"/>
      <w:lvlText w:val="%4."/>
      <w:lvlJc w:val="start"/>
      <w:pPr>
        <w:ind w:left="2988" w:hanging="360"/>
      </w:pPr>
      <w:rPr>
        <w:rFonts w:ascii="Calibri" w:hAnsi="Calibri" w:eastAsia="Calibri" w:cs="Calibri" w:hint="default"/>
        <w:color w:val="000000"/>
        <w:sz w:val="24"/>
      </w:rPr>
    </w:lvl>
    <w:lvl w:ilvl="4">
      <w:start w:val="1"/>
      <w:numFmt w:val="lowerLetter"/>
      <w:lvlText w:val="%5."/>
      <w:lvlJc w:val="start"/>
      <w:pPr>
        <w:ind w:left="3708" w:hanging="360"/>
      </w:pPr>
      <w:rPr>
        <w:rFonts w:ascii="Calibri" w:hAnsi="Calibri" w:eastAsia="Calibri" w:cs="Calibri" w:hint="default"/>
        <w:color w:val="000000"/>
        <w:sz w:val="24"/>
      </w:rPr>
    </w:lvl>
    <w:lvl w:ilvl="5">
      <w:start w:val="1"/>
      <w:numFmt w:val="lowerRoman"/>
      <w:lvlText w:val="%6."/>
      <w:lvlJc w:val="end"/>
      <w:pPr>
        <w:ind w:left="4428" w:hanging="180"/>
      </w:pPr>
      <w:rPr>
        <w:rFonts w:ascii="Calibri" w:hAnsi="Calibri" w:eastAsia="Calibri" w:cs="Calibri" w:hint="default"/>
        <w:color w:val="000000"/>
        <w:sz w:val="24"/>
      </w:rPr>
    </w:lvl>
    <w:lvl w:ilvl="6">
      <w:start w:val="1"/>
      <w:numFmt w:val="decimal"/>
      <w:lvlText w:val="%7."/>
      <w:lvlJc w:val="start"/>
      <w:pPr>
        <w:ind w:left="5148" w:hanging="360"/>
      </w:pPr>
      <w:rPr>
        <w:rFonts w:ascii="Calibri" w:hAnsi="Calibri" w:eastAsia="Calibri" w:cs="Calibri" w:hint="default"/>
        <w:color w:val="000000"/>
        <w:sz w:val="24"/>
      </w:rPr>
    </w:lvl>
    <w:lvl w:ilvl="7">
      <w:start w:val="1"/>
      <w:numFmt w:val="lowerLetter"/>
      <w:lvlText w:val="%8."/>
      <w:lvlJc w:val="start"/>
      <w:pPr>
        <w:ind w:left="5868" w:hanging="360"/>
      </w:pPr>
      <w:rPr>
        <w:rFonts w:ascii="Calibri" w:hAnsi="Calibri" w:eastAsia="Calibri" w:cs="Calibri" w:hint="default"/>
        <w:color w:val="000000"/>
        <w:sz w:val="24"/>
      </w:rPr>
    </w:lvl>
    <w:lvl w:ilvl="8">
      <w:start w:val="1"/>
      <w:numFmt w:val="lowerRoman"/>
      <w:lvlText w:val="%9."/>
      <w:lvlJc w:val="end"/>
      <w:pPr>
        <w:ind w:left="6588" w:hanging="180"/>
      </w:pPr>
      <w:rPr>
        <w:rFonts w:ascii="Calibri" w:hAnsi="Calibri" w:eastAsia="Calibri" w:cs="Calibri" w:hint="default"/>
        <w:color w:val="000000"/>
        <w:sz w:val="24"/>
      </w:rPr>
    </w:lvl>
  </w:abstractNum>
  <w:abstractNum w:abstractNumId="11">
    <w:multiLevelType w:val="hybridMultilevel"/>
    <w:lvl w:ilvl="0">
      <w:start w:val="1"/>
      <w:numFmt w:val="decimal"/>
      <w:lvlText w:val="%1."/>
      <w:lvlJc w:val="start"/>
      <w:pPr>
        <w:ind w:left="505" w:hanging="397"/>
      </w:pPr>
      <w:rPr>
        <w:rFonts w:ascii="Calibri" w:hAnsi="Calibri" w:eastAsia="Calibri" w:cs="Calibri" w:hint="default"/>
        <w:color w:val="000000"/>
        <w:sz w:val="24"/>
      </w:rPr>
    </w:lvl>
    <w:lvl w:ilvl="1">
      <w:start w:val="1"/>
      <w:numFmt w:val="decimal"/>
      <w:lvlText w:val="%2."/>
      <w:lvlJc w:val="start"/>
      <w:pPr>
        <w:ind w:left="902" w:hanging="397"/>
      </w:pPr>
      <w:rPr>
        <w:rFonts w:ascii="Calibri" w:hAnsi="Calibri" w:eastAsia="Calibri" w:cs="Calibri" w:hint="default"/>
        <w:color w:val="000000"/>
        <w:sz w:val="24"/>
      </w:rPr>
    </w:lvl>
    <w:lvl w:ilvl="2">
      <w:start w:val="1"/>
      <w:numFmt w:val="lowerLetter"/>
      <w:lvlText w:val="(%3)"/>
      <w:lvlJc w:val="start"/>
      <w:pPr>
        <w:ind w:left="505" w:hanging="397"/>
      </w:pPr>
      <w:rPr>
        <w:rFonts w:ascii="Calibri" w:hAnsi="Calibri" w:eastAsia="Calibri" w:cs="Calibri" w:hint="default"/>
        <w:color w:val="000000"/>
        <w:sz w:val="24"/>
      </w:rPr>
    </w:lvl>
    <w:lvl w:ilvl="3">
      <w:start w:val="1"/>
      <w:numFmt w:val="lowerLetter"/>
      <w:lvlText w:val="(%4)"/>
      <w:lvlJc w:val="start"/>
      <w:pPr>
        <w:ind w:left="902" w:hanging="397"/>
      </w:pPr>
      <w:rPr>
        <w:rFonts w:ascii="Calibri" w:hAnsi="Calibri" w:eastAsia="Calibri" w:cs="Calibri" w:hint="default"/>
        <w:color w:val="000000"/>
        <w:sz w:val="24"/>
      </w:rPr>
    </w:lvl>
    <w:lvl w:ilvl="4">
      <w:start w:val="1"/>
      <w:numFmt w:val="lowerRoman"/>
      <w:lvlText w:val="(%5)"/>
      <w:lvlJc w:val="start"/>
      <w:pPr>
        <w:ind w:left="505" w:hanging="397"/>
      </w:pPr>
      <w:rPr>
        <w:rFonts w:ascii="Calibri" w:hAnsi="Calibri" w:eastAsia="Calibri" w:cs="Calibri" w:hint="default"/>
        <w:color w:val="000000"/>
        <w:sz w:val="24"/>
      </w:rPr>
    </w:lvl>
    <w:lvl w:ilvl="5">
      <w:start w:val="1"/>
      <w:numFmt w:val="lowerRoman"/>
      <w:lvlText w:val="(%6)"/>
      <w:lvlJc w:val="start"/>
      <w:pPr>
        <w:ind w:left="902" w:hanging="397"/>
      </w:pPr>
      <w:rPr>
        <w:rFonts w:ascii="Calibri" w:hAnsi="Calibri" w:eastAsia="Calibri" w:cs="Calibri" w:hint="default"/>
        <w:color w:val="000000"/>
        <w:sz w:val="24"/>
      </w:rPr>
    </w:lvl>
    <w:lvl w:ilvl="6">
      <w:start w:val="1"/>
      <w:numFmt w:val="none"/>
      <w:lvlText w:val=""/>
      <w:lvlJc w:val="start"/>
      <w:pPr>
        <w:ind w:left="108" w:hanging="0"/>
      </w:pPr>
      <w:rPr>
        <w:rFonts w:ascii="Calibri" w:hAnsi="Calibri" w:eastAsia="Calibri" w:cs="Calibri" w:hint="default"/>
        <w:color w:val="000000"/>
        <w:sz w:val="24"/>
      </w:rPr>
    </w:lvl>
    <w:lvl w:ilvl="7">
      <w:start w:val="1"/>
      <w:numFmt w:val="none"/>
      <w:lvlText w:val=""/>
      <w:lvlJc w:val="start"/>
      <w:pPr>
        <w:ind w:left="108" w:hanging="0"/>
      </w:pPr>
      <w:rPr>
        <w:rFonts w:ascii="Calibri" w:hAnsi="Calibri" w:eastAsia="Calibri" w:cs="Calibri" w:hint="default"/>
        <w:color w:val="000000"/>
        <w:sz w:val="24"/>
      </w:rPr>
    </w:lvl>
    <w:lvl w:ilvl="8">
      <w:start w:val="1"/>
      <w:numFmt w:val="none"/>
      <w:lvlText w:val=""/>
      <w:lvlJc w:val="end"/>
      <w:pPr>
        <w:ind w:left="108" w:hanging="0"/>
      </w:pPr>
      <w:rPr>
        <w:rFonts w:ascii="Calibri" w:hAnsi="Calibri" w:eastAsia="Calibri" w:cs="Calibri" w:hint="default"/>
        <w:color w:val="000000"/>
        <w:sz w:val="24"/>
      </w:rPr>
    </w:lvl>
  </w:abstractNum>
  <w:abstractNum w:abstractNumId="12">
    <w:multiLevelType w:val="hybridMultilevel"/>
    <w:lvl w:ilvl="0">
      <w:start w:val="1"/>
      <w:numFmt w:val="bullet"/>
      <w:lvlText w:val=""/>
      <w:lvlJc w:val="start"/>
      <w:pPr>
        <w:ind w:left="828" w:hanging="360"/>
      </w:pPr>
      <w:rPr>
        <w:rFonts w:ascii="Symbol" w:hAnsi="Symbol" w:eastAsia="Symbol" w:cs="Symbol" w:hint="default"/>
        <w:color w:val="000000"/>
        <w:sz w:val="24"/>
      </w:rPr>
    </w:lvl>
    <w:lvl w:ilvl="1">
      <w:start w:val="1"/>
      <w:numFmt w:val="bullet"/>
      <w:lvlText w:val="o"/>
      <w:lvlJc w:val="start"/>
      <w:pPr>
        <w:ind w:left="1548" w:hanging="360"/>
      </w:pPr>
      <w:rPr>
        <w:rFonts w:ascii="Courier New" w:hAnsi="Courier New" w:eastAsia="Courier New" w:cs="Courier New" w:hint="default"/>
        <w:color w:val="000000"/>
        <w:sz w:val="24"/>
      </w:rPr>
    </w:lvl>
    <w:lvl w:ilvl="2">
      <w:start w:val="1"/>
      <w:numFmt w:val="bullet"/>
      <w:lvlText w:val=""/>
      <w:lvlJc w:val="start"/>
      <w:pPr>
        <w:ind w:left="2268" w:hanging="360"/>
      </w:pPr>
      <w:rPr>
        <w:rFonts w:ascii="Wingdings" w:hAnsi="Wingdings" w:eastAsia="Wingdings" w:cs="Wingdings" w:hint="default"/>
        <w:color w:val="000000"/>
        <w:sz w:val="24"/>
      </w:rPr>
    </w:lvl>
    <w:lvl w:ilvl="3">
      <w:start w:val="1"/>
      <w:numFmt w:val="bullet"/>
      <w:lvlText w:val=""/>
      <w:lvlJc w:val="start"/>
      <w:pPr>
        <w:ind w:left="2988" w:hanging="360"/>
      </w:pPr>
      <w:rPr>
        <w:rFonts w:ascii="Symbol" w:hAnsi="Symbol" w:eastAsia="Symbol" w:cs="Symbol" w:hint="default"/>
        <w:color w:val="000000"/>
        <w:sz w:val="24"/>
      </w:rPr>
    </w:lvl>
    <w:lvl w:ilvl="4">
      <w:start w:val="1"/>
      <w:numFmt w:val="bullet"/>
      <w:lvlText w:val="o"/>
      <w:lvlJc w:val="start"/>
      <w:pPr>
        <w:ind w:left="3708" w:hanging="360"/>
      </w:pPr>
      <w:rPr>
        <w:rFonts w:ascii="Courier New" w:hAnsi="Courier New" w:eastAsia="Courier New" w:cs="Courier New" w:hint="default"/>
        <w:color w:val="000000"/>
        <w:sz w:val="24"/>
      </w:rPr>
    </w:lvl>
    <w:lvl w:ilvl="5">
      <w:start w:val="1"/>
      <w:numFmt w:val="bullet"/>
      <w:lvlText w:val=""/>
      <w:lvlJc w:val="start"/>
      <w:pPr>
        <w:ind w:left="4428" w:hanging="360"/>
      </w:pPr>
      <w:rPr>
        <w:rFonts w:ascii="Wingdings" w:hAnsi="Wingdings" w:eastAsia="Wingdings" w:cs="Wingdings" w:hint="default"/>
        <w:color w:val="000000"/>
        <w:sz w:val="24"/>
      </w:rPr>
    </w:lvl>
    <w:lvl w:ilvl="6">
      <w:start w:val="1"/>
      <w:numFmt w:val="bullet"/>
      <w:lvlText w:val=""/>
      <w:lvlJc w:val="start"/>
      <w:pPr>
        <w:ind w:left="5148" w:hanging="360"/>
      </w:pPr>
      <w:rPr>
        <w:rFonts w:ascii="Symbol" w:hAnsi="Symbol" w:eastAsia="Symbol" w:cs="Symbol" w:hint="default"/>
        <w:color w:val="000000"/>
        <w:sz w:val="24"/>
      </w:rPr>
    </w:lvl>
    <w:lvl w:ilvl="7">
      <w:start w:val="1"/>
      <w:numFmt w:val="bullet"/>
      <w:lvlText w:val="o"/>
      <w:lvlJc w:val="start"/>
      <w:pPr>
        <w:ind w:left="5868" w:hanging="360"/>
      </w:pPr>
      <w:rPr>
        <w:rFonts w:ascii="Courier New" w:hAnsi="Courier New" w:eastAsia="Courier New" w:cs="Courier New" w:hint="default"/>
        <w:color w:val="000000"/>
        <w:sz w:val="24"/>
      </w:rPr>
    </w:lvl>
    <w:lvl w:ilvl="8">
      <w:start w:val="1"/>
      <w:numFmt w:val="bullet"/>
      <w:lvlText w:val=""/>
      <w:lvlJc w:val="start"/>
      <w:pPr>
        <w:ind w:left="6588" w:hanging="360"/>
      </w:pPr>
      <w:rPr>
        <w:rFonts w:ascii="Wingdings" w:hAnsi="Wingdings" w:eastAsia="Wingdings" w:cs="Wingdings" w:hint="default"/>
        <w:color w:val="000000"/>
        <w:sz w:val="24"/>
      </w:rPr>
    </w:lvl>
  </w:abstractNum>
  <w:abstractNum w:abstractNumId="13">
    <w:multiLevelType w:val="hybridMultilevel"/>
    <w:lvl w:ilvl="0">
      <w:start w:val="1"/>
      <w:numFmt w:val="bullet"/>
      <w:lvlText w:val=""/>
      <w:lvlJc w:val="start"/>
      <w:pPr>
        <w:ind w:left="828" w:hanging="360"/>
      </w:pPr>
      <w:rPr>
        <w:rFonts w:ascii="Symbol" w:hAnsi="Symbol" w:eastAsia="Symbol" w:cs="Symbol" w:hint="default"/>
        <w:color w:val="000000"/>
        <w:sz w:val="24"/>
      </w:rPr>
    </w:lvl>
    <w:lvl w:ilvl="1">
      <w:start w:val="1"/>
      <w:numFmt w:val="bullet"/>
      <w:lvlText w:val="o"/>
      <w:lvlJc w:val="start"/>
      <w:pPr>
        <w:ind w:left="1548" w:hanging="360"/>
      </w:pPr>
      <w:rPr>
        <w:rFonts w:ascii="Courier New" w:hAnsi="Courier New" w:eastAsia="Courier New" w:cs="Courier New" w:hint="default"/>
        <w:color w:val="000000"/>
        <w:sz w:val="24"/>
      </w:rPr>
    </w:lvl>
    <w:lvl w:ilvl="2">
      <w:start w:val="1"/>
      <w:numFmt w:val="bullet"/>
      <w:lvlText w:val=""/>
      <w:lvlJc w:val="start"/>
      <w:pPr>
        <w:ind w:left="2268" w:hanging="360"/>
      </w:pPr>
      <w:rPr>
        <w:rFonts w:ascii="Wingdings" w:hAnsi="Wingdings" w:eastAsia="Wingdings" w:cs="Wingdings" w:hint="default"/>
        <w:color w:val="000000"/>
        <w:sz w:val="24"/>
      </w:rPr>
    </w:lvl>
    <w:lvl w:ilvl="3">
      <w:start w:val="1"/>
      <w:numFmt w:val="bullet"/>
      <w:lvlText w:val=""/>
      <w:lvlJc w:val="start"/>
      <w:pPr>
        <w:ind w:left="2988" w:hanging="360"/>
      </w:pPr>
      <w:rPr>
        <w:rFonts w:ascii="Symbol" w:hAnsi="Symbol" w:eastAsia="Symbol" w:cs="Symbol" w:hint="default"/>
        <w:color w:val="000000"/>
        <w:sz w:val="24"/>
      </w:rPr>
    </w:lvl>
    <w:lvl w:ilvl="4">
      <w:start w:val="1"/>
      <w:numFmt w:val="bullet"/>
      <w:lvlText w:val="o"/>
      <w:lvlJc w:val="start"/>
      <w:pPr>
        <w:ind w:left="3708" w:hanging="360"/>
      </w:pPr>
      <w:rPr>
        <w:rFonts w:ascii="Courier New" w:hAnsi="Courier New" w:eastAsia="Courier New" w:cs="Courier New" w:hint="default"/>
        <w:color w:val="000000"/>
        <w:sz w:val="24"/>
      </w:rPr>
    </w:lvl>
    <w:lvl w:ilvl="5">
      <w:start w:val="1"/>
      <w:numFmt w:val="bullet"/>
      <w:lvlText w:val=""/>
      <w:lvlJc w:val="start"/>
      <w:pPr>
        <w:ind w:left="4428" w:hanging="360"/>
      </w:pPr>
      <w:rPr>
        <w:rFonts w:ascii="Wingdings" w:hAnsi="Wingdings" w:eastAsia="Wingdings" w:cs="Wingdings" w:hint="default"/>
        <w:color w:val="000000"/>
        <w:sz w:val="24"/>
      </w:rPr>
    </w:lvl>
    <w:lvl w:ilvl="6">
      <w:start w:val="1"/>
      <w:numFmt w:val="bullet"/>
      <w:lvlText w:val=""/>
      <w:lvlJc w:val="start"/>
      <w:pPr>
        <w:ind w:left="5148" w:hanging="360"/>
      </w:pPr>
      <w:rPr>
        <w:rFonts w:ascii="Symbol" w:hAnsi="Symbol" w:eastAsia="Symbol" w:cs="Symbol" w:hint="default"/>
        <w:color w:val="000000"/>
        <w:sz w:val="24"/>
      </w:rPr>
    </w:lvl>
    <w:lvl w:ilvl="7">
      <w:start w:val="1"/>
      <w:numFmt w:val="bullet"/>
      <w:lvlText w:val="o"/>
      <w:lvlJc w:val="start"/>
      <w:pPr>
        <w:ind w:left="5868" w:hanging="360"/>
      </w:pPr>
      <w:rPr>
        <w:rFonts w:ascii="Courier New" w:hAnsi="Courier New" w:eastAsia="Courier New" w:cs="Courier New" w:hint="default"/>
        <w:color w:val="000000"/>
        <w:sz w:val="24"/>
      </w:rPr>
    </w:lvl>
    <w:lvl w:ilvl="8">
      <w:start w:val="1"/>
      <w:numFmt w:val="bullet"/>
      <w:lvlText w:val=""/>
      <w:lvlJc w:val="start"/>
      <w:pPr>
        <w:ind w:left="6588" w:hanging="360"/>
      </w:pPr>
      <w:rPr>
        <w:rFonts w:ascii="Wingdings" w:hAnsi="Wingdings" w:eastAsia="Wingdings" w:cs="Wingdings" w:hint="default"/>
        <w:color w:val="000000"/>
        <w:sz w:val="24"/>
      </w:rPr>
    </w:lvl>
  </w:abstractNum>
  <w:abstractNum w:abstractNumId="14">
    <w:multiLevelType w:val="hybridMultilevel"/>
    <w:lvl w:ilvl="0">
      <w:start w:val="1"/>
      <w:numFmt w:val="bullet"/>
      <w:lvlText w:val="•"/>
      <w:lvlJc w:val="start"/>
      <w:pPr>
        <w:ind w:left="392" w:hanging="284"/>
      </w:pPr>
      <w:rPr>
        <w:rFonts w:ascii="Calibri" w:hAnsi="Calibri" w:eastAsia="Calibri" w:cs="Calibri" w:hint="default"/>
        <w:color w:val="000000"/>
        <w:sz w:val="20"/>
      </w:rPr>
    </w:lvl>
    <w:lvl w:ilvl="1">
      <w:start w:val="1"/>
      <w:numFmt w:val="bullet"/>
      <w:lvlText w:val="•"/>
      <w:lvlJc w:val="start"/>
      <w:pPr>
        <w:ind w:left="392" w:hanging="284"/>
      </w:pPr>
      <w:rPr>
        <w:rFonts w:ascii="Calibri" w:hAnsi="Calibri" w:eastAsia="Calibri" w:cs="Calibri" w:hint="default"/>
        <w:color w:val="000000"/>
        <w:sz w:val="24"/>
      </w:rPr>
    </w:lvl>
    <w:lvl w:ilvl="2">
      <w:start w:val="1"/>
      <w:numFmt w:val="bullet"/>
      <w:lvlText w:val="–"/>
      <w:lvlJc w:val="start"/>
      <w:pPr>
        <w:ind w:left="675" w:hanging="283"/>
      </w:pPr>
      <w:rPr>
        <w:rFonts w:ascii="Arial" w:hAnsi="Arial" w:eastAsia="Arial" w:cs="Arial" w:hint="default"/>
        <w:color w:val="000000"/>
        <w:sz w:val="24"/>
      </w:rPr>
    </w:lvl>
    <w:lvl w:ilvl="3">
      <w:start w:val="1"/>
      <w:numFmt w:val="bullet"/>
      <w:lvlText w:val="–"/>
      <w:lvlJc w:val="start"/>
      <w:pPr>
        <w:ind w:left="675" w:hanging="283"/>
      </w:pPr>
      <w:rPr>
        <w:rFonts w:ascii="Arial" w:hAnsi="Arial" w:eastAsia="Arial" w:cs="Arial" w:hint="default"/>
        <w:color w:val="000000"/>
        <w:sz w:val="24"/>
      </w:rPr>
    </w:lvl>
    <w:lvl w:ilvl="4">
      <w:start w:val="1"/>
      <w:numFmt w:val="bullet"/>
      <w:lvlText w:val="•"/>
      <w:lvlJc w:val="start"/>
      <w:pPr>
        <w:ind w:left="788" w:hanging="283"/>
      </w:pPr>
      <w:rPr>
        <w:rFonts w:ascii="Calibri" w:hAnsi="Calibri" w:eastAsia="Calibri" w:cs="Calibri" w:hint="default"/>
        <w:color w:val="000000"/>
        <w:sz w:val="24"/>
      </w:rPr>
    </w:lvl>
    <w:lvl w:ilvl="5">
      <w:start w:val="1"/>
      <w:numFmt w:val="bullet"/>
      <w:lvlText w:val="•"/>
      <w:lvlJc w:val="start"/>
      <w:pPr>
        <w:ind w:left="788" w:hanging="283"/>
      </w:pPr>
      <w:rPr>
        <w:rFonts w:ascii="Calibri" w:hAnsi="Calibri" w:eastAsia="Calibri" w:cs="Calibri" w:hint="default"/>
        <w:color w:val="000000"/>
        <w:sz w:val="24"/>
      </w:rPr>
    </w:lvl>
    <w:lvl w:ilvl="6">
      <w:start w:val="1"/>
      <w:numFmt w:val="bullet"/>
      <w:lvlText w:val="•"/>
      <w:lvlJc w:val="start"/>
      <w:pPr>
        <w:ind w:left="335" w:hanging="227"/>
      </w:pPr>
      <w:rPr>
        <w:rFonts w:ascii="Calibri" w:hAnsi="Calibri" w:eastAsia="Calibri" w:cs="Calibri" w:hint="default"/>
        <w:color w:val="000000"/>
        <w:sz w:val="24"/>
      </w:rPr>
    </w:lvl>
    <w:lvl w:ilvl="7">
      <w:start w:val="1"/>
      <w:numFmt w:val="none"/>
      <w:lvlText w:val=""/>
      <w:lvlJc w:val="start"/>
      <w:pPr>
        <w:ind w:left="108" w:hanging="0"/>
      </w:pPr>
      <w:rPr>
        <w:rFonts w:ascii="Calibri" w:hAnsi="Calibri" w:eastAsia="Calibri" w:cs="Calibri" w:hint="default"/>
        <w:color w:val="000000"/>
        <w:sz w:val="24"/>
      </w:rPr>
    </w:lvl>
    <w:lvl w:ilvl="8">
      <w:start w:val="1"/>
      <w:numFmt w:val="none"/>
      <w:lvlText w:val=""/>
      <w:lvlJc w:val="start"/>
      <w:pPr>
        <w:ind w:left="108" w:hanging="0"/>
      </w:pPr>
      <w:rPr>
        <w:rFonts w:ascii="Calibri" w:hAnsi="Calibri" w:eastAsia="Calibri" w:cs="Calibri" w:hint="default"/>
        <w:color w:val="000000"/>
        <w:sz w:val="24"/>
      </w:rPr>
    </w:lvl>
  </w:abstractNum>
  <w:num w:numId="19">
    <w:abstractNumId w:val="13"/>
  </w:num>
  <w:num w:numId="18">
    <w:abstractNumId w:val="14"/>
  </w:num>
  <w:num w:numId="17">
    <w:abstractNumId w:val="0"/>
  </w:num>
  <w:num w:numId="16">
    <w:abstractNumId w:val="6"/>
  </w:num>
  <w:num w:numId="15">
    <w:abstractNumId w:val="4"/>
  </w:num>
  <w:num w:numId="14">
    <w:abstractNumId w:val="1"/>
  </w:num>
  <w:num w:numId="13">
    <w:abstractNumId w:val="8"/>
  </w:num>
  <w:num w:numId="12">
    <w:abstractNumId w:val="12"/>
  </w:num>
  <w:num w:numId="11">
    <w:abstractNumId w:val="5"/>
  </w:num>
  <w:num w:numId="10">
    <w:abstractNumId w:val="9"/>
  </w:num>
  <w:num w:numId="9">
    <w:abstractNumId w:val="10"/>
  </w:num>
  <w:num w:numId="8">
    <w:abstractNumId w:val="7"/>
  </w:num>
  <w:num w:numId="7">
    <w:abstractNumId w:val="14"/>
  </w:num>
  <w:num w:numId="6">
    <w:abstractNumId w:val="2"/>
  </w:num>
  <w:num w:numId="5">
    <w:abstractNumId w:val="2"/>
  </w:num>
  <w:num w:numId="4">
    <w:abstractNumId w:val="2"/>
  </w:num>
  <w:num w:numId="3">
    <w:abstractNumId w:val="11"/>
  </w:num>
  <w:num w:numId="2">
    <w:abstractNumId w:val="2"/>
  </w:num>
  <w:num w:numId="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characterSpacingControl w:val="doNotCompress"/>
  <w:compat>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ja-JP"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