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6138F85" w:rsidR="0074696E" w:rsidRPr="004C6EEE" w:rsidRDefault="0074696E" w:rsidP="00AD784C">
      <w:pPr>
        <w:pStyle w:val="Spacerparatopoffirstpage"/>
      </w:pPr>
    </w:p>
    <w:p w14:paraId="22A124A1" w14:textId="77777777" w:rsidR="00A62D44" w:rsidRPr="004C6EEE" w:rsidRDefault="00A62D44" w:rsidP="004C6EEE">
      <w:pPr>
        <w:pStyle w:val="Sectionbreak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AD784C" w14:paraId="765659DC" w14:textId="77777777" w:rsidTr="002F3ADF">
        <w:trPr>
          <w:trHeight w:val="1361"/>
        </w:trPr>
        <w:tc>
          <w:tcPr>
            <w:tcW w:w="7825" w:type="dxa"/>
            <w:vAlign w:val="bottom"/>
          </w:tcPr>
          <w:p w14:paraId="1B06FE4C" w14:textId="7A6247CC" w:rsidR="00AD784C" w:rsidRPr="00161AA0" w:rsidRDefault="004F0BA9" w:rsidP="00EC20FF">
            <w:pPr>
              <w:pStyle w:val="Documenttitle"/>
            </w:pPr>
            <w:r>
              <w:t>Practice advice</w:t>
            </w:r>
            <w:r w:rsidR="001513C6">
              <w:t xml:space="preserve"> </w:t>
            </w:r>
            <w:r w:rsidR="001513C6" w:rsidRPr="00250DC4">
              <w:t>–</w:t>
            </w:r>
            <w:r>
              <w:t xml:space="preserve"> </w:t>
            </w:r>
            <w:r w:rsidR="00B7493C">
              <w:t>f</w:t>
            </w:r>
            <w:r w:rsidR="001513C6">
              <w:t>alls minimisation</w:t>
            </w:r>
          </w:p>
        </w:tc>
      </w:tr>
      <w:tr w:rsidR="00AD784C" w14:paraId="5DF317EC" w14:textId="77777777" w:rsidTr="00EE1730">
        <w:tc>
          <w:tcPr>
            <w:tcW w:w="7825" w:type="dxa"/>
          </w:tcPr>
          <w:p w14:paraId="69C24C39" w14:textId="2086C2DE" w:rsidR="00386109" w:rsidRPr="00A1389F" w:rsidRDefault="001513C6" w:rsidP="009315BE">
            <w:pPr>
              <w:pStyle w:val="Documentsubtitle"/>
            </w:pPr>
            <w:bookmarkStart w:id="0" w:name="_Hlk64542981"/>
            <w:r>
              <w:t>For disability support workers supporting residents in group homes</w:t>
            </w:r>
            <w:bookmarkEnd w:id="0"/>
          </w:p>
        </w:tc>
      </w:tr>
      <w:tr w:rsidR="00430393" w14:paraId="0B4C64B0" w14:textId="77777777" w:rsidTr="00EE1730">
        <w:tc>
          <w:tcPr>
            <w:tcW w:w="7825" w:type="dxa"/>
          </w:tcPr>
          <w:p w14:paraId="51E9A42E" w14:textId="4A7C2594" w:rsidR="00430393" w:rsidRDefault="00430393" w:rsidP="00430393">
            <w:pPr>
              <w:pStyle w:val="Bannermarking"/>
            </w:pPr>
          </w:p>
        </w:tc>
      </w:tr>
    </w:tbl>
    <w:p w14:paraId="623B2D43" w14:textId="15F0707C"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7"/>
          <w:type w:val="continuous"/>
          <w:pgSz w:w="11906" w:h="16838" w:code="9"/>
          <w:pgMar w:top="1418" w:right="851" w:bottom="1418" w:left="851" w:header="851" w:footer="851" w:gutter="0"/>
          <w:cols w:space="340"/>
          <w:titlePg/>
          <w:docGrid w:linePitch="360"/>
        </w:sectPr>
      </w:pPr>
    </w:p>
    <w:p w14:paraId="79FE8A72" w14:textId="493FF843" w:rsidR="001A202A" w:rsidRPr="001A202A" w:rsidRDefault="00A60023" w:rsidP="001A202A">
      <w:pPr>
        <w:pStyle w:val="Heading1"/>
      </w:pPr>
      <w:r>
        <w:t>Introduction</w:t>
      </w:r>
    </w:p>
    <w:p w14:paraId="133504E1" w14:textId="60BD6BB4" w:rsidR="001A202A" w:rsidRPr="002365B4" w:rsidRDefault="00E11464" w:rsidP="00842D75">
      <w:pPr>
        <w:pStyle w:val="Body"/>
      </w:pPr>
      <w:r>
        <w:t>People with complex disability often have m</w:t>
      </w:r>
      <w:r w:rsidR="00A605BA">
        <w:t xml:space="preserve">ultiple </w:t>
      </w:r>
      <w:r>
        <w:t>falls risk</w:t>
      </w:r>
      <w:r w:rsidR="00A605BA">
        <w:t>s</w:t>
      </w:r>
      <w:r>
        <w:t xml:space="preserve"> factors that increase the likelihood </w:t>
      </w:r>
      <w:r w:rsidR="00B132F7">
        <w:t xml:space="preserve">of a fall occurring. This practice advice provides general strategies for disability support workers </w:t>
      </w:r>
      <w:r w:rsidR="00842D75">
        <w:t xml:space="preserve">to reduce the falls risk in people they are supporting in group homes. </w:t>
      </w:r>
    </w:p>
    <w:p w14:paraId="4E36149B" w14:textId="77777777" w:rsidR="002502A8" w:rsidRDefault="00842D75" w:rsidP="001A202A">
      <w:pPr>
        <w:pStyle w:val="Body"/>
        <w:rPr>
          <w:b/>
          <w:bCs/>
        </w:rPr>
      </w:pPr>
      <w:r w:rsidRPr="00842D75">
        <w:rPr>
          <w:b/>
          <w:bCs/>
        </w:rPr>
        <w:t>Note</w:t>
      </w:r>
      <w:r w:rsidR="00BD6AED">
        <w:rPr>
          <w:b/>
          <w:bCs/>
        </w:rPr>
        <w:t xml:space="preserve">: </w:t>
      </w:r>
      <w:r w:rsidR="00BD6AED" w:rsidRPr="00BD6AED">
        <w:t>This</w:t>
      </w:r>
      <w:r w:rsidR="00BD6AED">
        <w:t xml:space="preserve"> practice advice has been written to provide guidance </w:t>
      </w:r>
      <w:r w:rsidR="009C30A3">
        <w:t xml:space="preserve">for disability support workers working in group homes. Due consideration </w:t>
      </w:r>
      <w:r w:rsidR="008E00F7">
        <w:t>must be given before applying this advice to other settings.</w:t>
      </w:r>
      <w:r w:rsidR="00BD6AED" w:rsidRPr="00BD6AED">
        <w:t xml:space="preserve"> </w:t>
      </w:r>
      <w:r w:rsidRPr="00842D75">
        <w:rPr>
          <w:b/>
          <w:bCs/>
        </w:rPr>
        <w:t xml:space="preserve"> </w:t>
      </w:r>
    </w:p>
    <w:p w14:paraId="2F284CCB" w14:textId="77777777" w:rsidR="008B585D" w:rsidRDefault="002502A8" w:rsidP="001A202A">
      <w:pPr>
        <w:pStyle w:val="Body"/>
        <w:rPr>
          <w:b/>
          <w:bCs/>
        </w:rPr>
      </w:pPr>
      <w:r>
        <w:rPr>
          <w:b/>
          <w:bCs/>
        </w:rPr>
        <w:t>Falls risk factors include:</w:t>
      </w:r>
    </w:p>
    <w:p w14:paraId="3816C929" w14:textId="29BCA1A4" w:rsidR="008B585D" w:rsidRPr="008B585D" w:rsidRDefault="004E1DDC" w:rsidP="00D115D4">
      <w:pPr>
        <w:pStyle w:val="Bullet1"/>
      </w:pPr>
      <w:r w:rsidRPr="008B585D">
        <w:t>a previous fall</w:t>
      </w:r>
    </w:p>
    <w:p w14:paraId="5D2FF353" w14:textId="2BBB697A" w:rsidR="008B585D" w:rsidRPr="008B585D" w:rsidRDefault="004E1DDC" w:rsidP="00D115D4">
      <w:pPr>
        <w:pStyle w:val="Bullet1"/>
      </w:pPr>
      <w:r w:rsidRPr="008B585D">
        <w:t>cognitive impairment</w:t>
      </w:r>
    </w:p>
    <w:p w14:paraId="1396914B" w14:textId="1C8C136A" w:rsidR="008B585D" w:rsidRPr="008B585D" w:rsidRDefault="004E1DDC" w:rsidP="00D115D4">
      <w:pPr>
        <w:pStyle w:val="Bullet1"/>
      </w:pPr>
      <w:r w:rsidRPr="008B585D">
        <w:t>psychological impairment</w:t>
      </w:r>
    </w:p>
    <w:p w14:paraId="1250B16E" w14:textId="38606B6C" w:rsidR="008B585D" w:rsidRPr="008B585D" w:rsidRDefault="004E1DDC" w:rsidP="00D115D4">
      <w:pPr>
        <w:pStyle w:val="Bullet1"/>
      </w:pPr>
      <w:r w:rsidRPr="008B585D">
        <w:t xml:space="preserve">physical or medical impairment </w:t>
      </w:r>
    </w:p>
    <w:p w14:paraId="3CB391DE" w14:textId="079FE0E0" w:rsidR="008B585D" w:rsidRPr="008B585D" w:rsidRDefault="004E1DDC" w:rsidP="00D115D4">
      <w:pPr>
        <w:pStyle w:val="Bullet1"/>
      </w:pPr>
      <w:r w:rsidRPr="008B585D">
        <w:t>medication use</w:t>
      </w:r>
    </w:p>
    <w:p w14:paraId="4FEFC15F" w14:textId="008A7363" w:rsidR="008B585D" w:rsidRPr="008B585D" w:rsidRDefault="004E1DDC" w:rsidP="00D115D4">
      <w:pPr>
        <w:pStyle w:val="Bullet1"/>
      </w:pPr>
      <w:r w:rsidRPr="008B585D">
        <w:t>personal factors and environmental factors</w:t>
      </w:r>
    </w:p>
    <w:p w14:paraId="3BDA3D8B" w14:textId="1618EAC8" w:rsidR="008B585D" w:rsidRPr="008B585D" w:rsidRDefault="004E1DDC" w:rsidP="00D115D4">
      <w:pPr>
        <w:pStyle w:val="Bullet1"/>
      </w:pPr>
      <w:r w:rsidRPr="008B585D">
        <w:t>premature ageing in those with long standing disability</w:t>
      </w:r>
      <w:r>
        <w:t>.</w:t>
      </w:r>
      <w:r w:rsidRPr="008B585D">
        <w:t xml:space="preserve"> </w:t>
      </w:r>
    </w:p>
    <w:p w14:paraId="168A0E93" w14:textId="6525ECEE" w:rsidR="001A202A" w:rsidRPr="00B57329" w:rsidRDefault="00892A1A" w:rsidP="00D115D4">
      <w:pPr>
        <w:pStyle w:val="Heading1"/>
      </w:pPr>
      <w:r>
        <w:t>To reduce falls risk</w:t>
      </w:r>
    </w:p>
    <w:p w14:paraId="7D48310C" w14:textId="77777777" w:rsidR="00A0027C" w:rsidRPr="00A0027C" w:rsidRDefault="00A0027C" w:rsidP="004B75A1">
      <w:pPr>
        <w:pStyle w:val="Bullet1"/>
      </w:pPr>
      <w:r w:rsidRPr="00A0027C">
        <w:t>Ensure all relevant assessments to support the resident with their activities of daily living are completed and up to date. These should outline how to support and assist the resident with everyday physical activities.</w:t>
      </w:r>
    </w:p>
    <w:p w14:paraId="558E9CA2" w14:textId="77777777" w:rsidR="00A0027C" w:rsidRPr="00A0027C" w:rsidRDefault="00A0027C" w:rsidP="004B75A1">
      <w:pPr>
        <w:pStyle w:val="Bullet1"/>
      </w:pPr>
      <w:r w:rsidRPr="00A0027C">
        <w:t>Regular reviews by a resident’s General Practitioner (GP) can also help to identify and respond to changes in a resident’s mobility.</w:t>
      </w:r>
    </w:p>
    <w:p w14:paraId="5B1BE411" w14:textId="77777777" w:rsidR="00A0027C" w:rsidRPr="00A0027C" w:rsidRDefault="00A0027C" w:rsidP="004B75A1">
      <w:pPr>
        <w:pStyle w:val="Bullet1"/>
      </w:pPr>
      <w:r w:rsidRPr="00A0027C">
        <w:t xml:space="preserve">The general strategies outlined below can also to reduce the falls risk of a resident. </w:t>
      </w:r>
    </w:p>
    <w:p w14:paraId="2F3FD81E" w14:textId="026BAB87" w:rsidR="001A202A" w:rsidRPr="009E7A69" w:rsidRDefault="00A0027C" w:rsidP="00D115D4">
      <w:pPr>
        <w:pStyle w:val="Heading2"/>
        <w:rPr>
          <w:bCs/>
        </w:rPr>
      </w:pPr>
      <w:r>
        <w:t>Falls minimisation strategies</w:t>
      </w:r>
    </w:p>
    <w:p w14:paraId="66A03A05" w14:textId="72EA5B18" w:rsidR="001A202A" w:rsidRDefault="006A2135" w:rsidP="00D115D4">
      <w:pPr>
        <w:pStyle w:val="Heading3"/>
      </w:pPr>
      <w:r>
        <w:t>Be alert to falls</w:t>
      </w:r>
    </w:p>
    <w:p w14:paraId="4644C575" w14:textId="77777777" w:rsidR="00B46E05" w:rsidRPr="00B46E05" w:rsidRDefault="00B46E05" w:rsidP="00D115D4">
      <w:pPr>
        <w:pStyle w:val="Body"/>
      </w:pPr>
      <w:r w:rsidRPr="00B46E05">
        <w:t xml:space="preserve">Whenever you provide support to residents, routinely observe the resident when they stand and walk: </w:t>
      </w:r>
    </w:p>
    <w:p w14:paraId="5757FFC8" w14:textId="77777777" w:rsidR="00B46E05" w:rsidRPr="00B46E05" w:rsidRDefault="00B46E05" w:rsidP="004B75A1">
      <w:pPr>
        <w:pStyle w:val="Bullet1"/>
      </w:pPr>
      <w:r w:rsidRPr="00B46E05">
        <w:t xml:space="preserve">Does their movement look uncoordinated? </w:t>
      </w:r>
    </w:p>
    <w:p w14:paraId="65FC732C" w14:textId="77777777" w:rsidR="00B46E05" w:rsidRPr="00B46E05" w:rsidRDefault="00B46E05" w:rsidP="004B75A1">
      <w:pPr>
        <w:pStyle w:val="Bullet1"/>
      </w:pPr>
      <w:r w:rsidRPr="00B46E05">
        <w:t>Are they off balance?</w:t>
      </w:r>
    </w:p>
    <w:p w14:paraId="20DB3ED2" w14:textId="77777777" w:rsidR="00B46E05" w:rsidRPr="00B46E05" w:rsidRDefault="00B46E05" w:rsidP="004B75A1">
      <w:pPr>
        <w:pStyle w:val="Bullet1"/>
      </w:pPr>
      <w:r w:rsidRPr="00B46E05">
        <w:t>Are they limping?</w:t>
      </w:r>
    </w:p>
    <w:p w14:paraId="1605BDFB" w14:textId="77777777" w:rsidR="00B46E05" w:rsidRPr="00B46E05" w:rsidRDefault="00B46E05" w:rsidP="004B75A1">
      <w:pPr>
        <w:pStyle w:val="Bullet1"/>
      </w:pPr>
      <w:r w:rsidRPr="00B46E05">
        <w:t>Are they unsteady?</w:t>
      </w:r>
    </w:p>
    <w:p w14:paraId="1C882E5F" w14:textId="18ABEC3E" w:rsidR="001A202A" w:rsidRPr="006812ED" w:rsidRDefault="00B46E05" w:rsidP="00D115D4">
      <w:pPr>
        <w:pStyle w:val="Heading3"/>
      </w:pPr>
      <w:r>
        <w:lastRenderedPageBreak/>
        <w:t>What to do if standing or walking looks unsafe</w:t>
      </w:r>
    </w:p>
    <w:p w14:paraId="27E621DB" w14:textId="77777777" w:rsidR="00572D7E" w:rsidRPr="00572D7E" w:rsidRDefault="00572D7E" w:rsidP="004B75A1">
      <w:pPr>
        <w:pStyle w:val="Bullet1"/>
      </w:pPr>
      <w:r w:rsidRPr="00572D7E">
        <w:t>Identify issues that may be affecting mobility e.g. complaints of dizziness, pain, weakness, medication change, changes in vision.</w:t>
      </w:r>
    </w:p>
    <w:p w14:paraId="42AD8D80" w14:textId="77777777" w:rsidR="00572D7E" w:rsidRPr="00572D7E" w:rsidRDefault="00572D7E" w:rsidP="004B75A1">
      <w:pPr>
        <w:pStyle w:val="Bullet1"/>
      </w:pPr>
      <w:r w:rsidRPr="00572D7E">
        <w:t>Encourage and redirect the resident ensuring the correct use of the gait/mobility aid/orthoses (if prescribed).</w:t>
      </w:r>
    </w:p>
    <w:p w14:paraId="171A3128" w14:textId="77777777" w:rsidR="00572D7E" w:rsidRPr="00572D7E" w:rsidRDefault="00572D7E" w:rsidP="004B75A1">
      <w:pPr>
        <w:pStyle w:val="Bullet1"/>
      </w:pPr>
      <w:r w:rsidRPr="00572D7E">
        <w:t>Confirm that medications have been taken as per treatment sheet.</w:t>
      </w:r>
    </w:p>
    <w:p w14:paraId="62DC9436" w14:textId="77777777" w:rsidR="00572D7E" w:rsidRPr="00572D7E" w:rsidRDefault="00572D7E" w:rsidP="004B75A1">
      <w:pPr>
        <w:pStyle w:val="Bullet1"/>
      </w:pPr>
      <w:r w:rsidRPr="00572D7E">
        <w:t>Implement recommended strategies from Falls &amp; Balance Clinic, Physiotherapist or Occupational Therapist where they have been consulted for advice.</w:t>
      </w:r>
    </w:p>
    <w:p w14:paraId="02425CC2" w14:textId="5D0B4DF5" w:rsidR="001A202A" w:rsidRDefault="00572D7E" w:rsidP="00D115D4">
      <w:pPr>
        <w:pStyle w:val="Heading3"/>
      </w:pPr>
      <w:r>
        <w:t xml:space="preserve">What to do if the issue </w:t>
      </w:r>
      <w:r w:rsidR="00912E08">
        <w:t>does not improve?</w:t>
      </w:r>
    </w:p>
    <w:p w14:paraId="31AB651B" w14:textId="77777777" w:rsidR="00AC5D34" w:rsidRPr="00AC5D34" w:rsidRDefault="00AC5D34" w:rsidP="004B75A1">
      <w:pPr>
        <w:pStyle w:val="Bullet1"/>
      </w:pPr>
      <w:r w:rsidRPr="00AC5D34">
        <w:t>Arrange a GP appointment for review.</w:t>
      </w:r>
    </w:p>
    <w:p w14:paraId="175289EA" w14:textId="77777777" w:rsidR="00AC5D34" w:rsidRPr="00AC5D34" w:rsidRDefault="00AC5D34" w:rsidP="004B75A1">
      <w:pPr>
        <w:pStyle w:val="Bullet1"/>
      </w:pPr>
      <w:r w:rsidRPr="00AC5D34">
        <w:t>Redirect resident to sit down and/or provide additional assistance/ supervision until review by GP.</w:t>
      </w:r>
    </w:p>
    <w:p w14:paraId="46ED20B8" w14:textId="443136F4" w:rsidR="001A202A" w:rsidRDefault="00695C7B" w:rsidP="00D115D4">
      <w:pPr>
        <w:pStyle w:val="Heading2"/>
      </w:pPr>
      <w:r>
        <w:t xml:space="preserve">Further </w:t>
      </w:r>
      <w:r w:rsidR="00103B8C">
        <w:t>falls risk minimisation strategies</w:t>
      </w:r>
    </w:p>
    <w:p w14:paraId="19BADD9B" w14:textId="120CB4B7" w:rsidR="001A202A" w:rsidRDefault="00103B8C" w:rsidP="00D115D4">
      <w:pPr>
        <w:pStyle w:val="Heading3"/>
      </w:pPr>
      <w:r>
        <w:t>Environmental</w:t>
      </w:r>
    </w:p>
    <w:tbl>
      <w:tblPr>
        <w:tblStyle w:val="TableGrid"/>
        <w:tblW w:w="9918" w:type="dxa"/>
        <w:tblLook w:val="06A0" w:firstRow="1" w:lastRow="0" w:firstColumn="1" w:lastColumn="0" w:noHBand="1" w:noVBand="1"/>
      </w:tblPr>
      <w:tblGrid>
        <w:gridCol w:w="2547"/>
        <w:gridCol w:w="7371"/>
      </w:tblGrid>
      <w:tr w:rsidR="00103B8C" w14:paraId="4E5C7262" w14:textId="77777777" w:rsidTr="00C94D19">
        <w:trPr>
          <w:tblHeader/>
        </w:trPr>
        <w:tc>
          <w:tcPr>
            <w:tcW w:w="2547" w:type="dxa"/>
          </w:tcPr>
          <w:p w14:paraId="30D43F07" w14:textId="0E23A320" w:rsidR="00103B8C" w:rsidRPr="00CB3285" w:rsidRDefault="00103B8C" w:rsidP="00BB7E33">
            <w:pPr>
              <w:pStyle w:val="Tablecolhead"/>
            </w:pPr>
            <w:r>
              <w:t>Area of house</w:t>
            </w:r>
          </w:p>
        </w:tc>
        <w:tc>
          <w:tcPr>
            <w:tcW w:w="7371" w:type="dxa"/>
          </w:tcPr>
          <w:p w14:paraId="5982C077" w14:textId="7070039D" w:rsidR="00103B8C" w:rsidRDefault="00103B8C" w:rsidP="00BB7E33">
            <w:pPr>
              <w:pStyle w:val="Tablecolhead"/>
            </w:pPr>
            <w:r>
              <w:t xml:space="preserve">Action and advice </w:t>
            </w:r>
          </w:p>
        </w:tc>
      </w:tr>
      <w:tr w:rsidR="001437BF" w14:paraId="59DC0ADF" w14:textId="77777777" w:rsidTr="00C94D19">
        <w:tc>
          <w:tcPr>
            <w:tcW w:w="2547" w:type="dxa"/>
          </w:tcPr>
          <w:p w14:paraId="626742DD" w14:textId="3442497B" w:rsidR="001437BF" w:rsidRDefault="001437BF" w:rsidP="001437BF">
            <w:r>
              <w:t>All areas of the home</w:t>
            </w:r>
          </w:p>
        </w:tc>
        <w:tc>
          <w:tcPr>
            <w:tcW w:w="7371" w:type="dxa"/>
          </w:tcPr>
          <w:p w14:paraId="226CB9FF" w14:textId="77777777" w:rsidR="001437BF" w:rsidRPr="001437BF" w:rsidRDefault="001437BF" w:rsidP="00D115D4">
            <w:pPr>
              <w:pStyle w:val="Tablebullet1"/>
            </w:pPr>
            <w:r w:rsidRPr="001437BF">
              <w:t>NO uneven floor surfaces within the home.</w:t>
            </w:r>
          </w:p>
          <w:p w14:paraId="0C868E99" w14:textId="40284015" w:rsidR="001437BF" w:rsidRDefault="001437BF" w:rsidP="004E1DDC">
            <w:pPr>
              <w:pStyle w:val="Tablebullet1"/>
            </w:pPr>
            <w:r w:rsidRPr="004E1DDC">
              <w:t>NO uneven floor surfaces in main access areas to or from the home.</w:t>
            </w:r>
          </w:p>
        </w:tc>
      </w:tr>
      <w:tr w:rsidR="001437BF" w14:paraId="2AECEF9A" w14:textId="77777777" w:rsidTr="00C94D19">
        <w:trPr>
          <w:trHeight w:val="756"/>
        </w:trPr>
        <w:tc>
          <w:tcPr>
            <w:tcW w:w="2547" w:type="dxa"/>
          </w:tcPr>
          <w:p w14:paraId="6999EE57" w14:textId="17912A48" w:rsidR="001437BF" w:rsidRPr="002365B4" w:rsidRDefault="001437BF" w:rsidP="001437BF">
            <w:pPr>
              <w:pStyle w:val="Tabletext6pt"/>
            </w:pPr>
            <w:r>
              <w:t>Bathroom</w:t>
            </w:r>
          </w:p>
        </w:tc>
        <w:tc>
          <w:tcPr>
            <w:tcW w:w="7371" w:type="dxa"/>
          </w:tcPr>
          <w:p w14:paraId="4D6B8F5B" w14:textId="630E5484" w:rsidR="00B5133A" w:rsidRPr="00B5133A" w:rsidRDefault="004E1DDC" w:rsidP="00D115D4">
            <w:pPr>
              <w:pStyle w:val="Tablebullet1"/>
            </w:pPr>
            <w:r w:rsidRPr="00B5133A">
              <w:t>Nonslip</w:t>
            </w:r>
            <w:r w:rsidR="00B5133A" w:rsidRPr="00B5133A">
              <w:t xml:space="preserve"> surfaces in all bathrooms. </w:t>
            </w:r>
          </w:p>
          <w:p w14:paraId="32678255" w14:textId="77777777" w:rsidR="00B5133A" w:rsidRPr="00B5133A" w:rsidRDefault="00B5133A" w:rsidP="00D115D4">
            <w:pPr>
              <w:pStyle w:val="Tablebullet1"/>
            </w:pPr>
            <w:r w:rsidRPr="00B5133A">
              <w:t>Handrails in place in all showers and baths.</w:t>
            </w:r>
          </w:p>
          <w:p w14:paraId="71411D1A" w14:textId="37CD29B0" w:rsidR="001437BF" w:rsidRPr="002365B4" w:rsidRDefault="00B5133A" w:rsidP="004E1DDC">
            <w:pPr>
              <w:pStyle w:val="Tablebullet1"/>
            </w:pPr>
            <w:r w:rsidRPr="004E1DDC">
              <w:t xml:space="preserve">Optimise lighting (especially </w:t>
            </w:r>
            <w:r w:rsidR="004E1DDC" w:rsidRPr="004E1DDC">
              <w:t>night-time</w:t>
            </w:r>
            <w:r w:rsidRPr="004E1DDC">
              <w:t xml:space="preserve"> bathroom lighting).</w:t>
            </w:r>
          </w:p>
        </w:tc>
      </w:tr>
      <w:tr w:rsidR="00C52DCC" w14:paraId="1FBDE49F" w14:textId="77777777" w:rsidTr="00C94D19">
        <w:trPr>
          <w:trHeight w:val="756"/>
        </w:trPr>
        <w:tc>
          <w:tcPr>
            <w:tcW w:w="2547" w:type="dxa"/>
          </w:tcPr>
          <w:p w14:paraId="7F1678AC" w14:textId="0BDB75C8" w:rsidR="00C52DCC" w:rsidRPr="004D4328" w:rsidRDefault="00C52DCC" w:rsidP="004E1DDC">
            <w:pPr>
              <w:pStyle w:val="Tabletext6pt"/>
            </w:pPr>
            <w:r w:rsidRPr="004D4328">
              <w:t>Other areas</w:t>
            </w:r>
          </w:p>
        </w:tc>
        <w:tc>
          <w:tcPr>
            <w:tcW w:w="7371" w:type="dxa"/>
          </w:tcPr>
          <w:p w14:paraId="7A8ADCB7" w14:textId="77777777" w:rsidR="00C52DCC" w:rsidRPr="00C52DCC" w:rsidRDefault="00C52DCC" w:rsidP="00D115D4">
            <w:pPr>
              <w:pStyle w:val="Tablebullet1"/>
            </w:pPr>
            <w:r w:rsidRPr="00C52DCC">
              <w:t>Remove trip and slip hazards (e.g. no cords draped across the floor).</w:t>
            </w:r>
          </w:p>
          <w:p w14:paraId="3C424700" w14:textId="77777777" w:rsidR="00C52DCC" w:rsidRPr="00C52DCC" w:rsidRDefault="00C52DCC" w:rsidP="00D115D4">
            <w:pPr>
              <w:pStyle w:val="Tablebullet1"/>
            </w:pPr>
            <w:r w:rsidRPr="00C52DCC">
              <w:t>Remove or minimise clutter (e.g. enough room to move around the outside of a dining table).</w:t>
            </w:r>
          </w:p>
          <w:p w14:paraId="55AAA1D7" w14:textId="77777777" w:rsidR="00C52DCC" w:rsidRPr="00C52DCC" w:rsidRDefault="00C52DCC" w:rsidP="00D115D4">
            <w:pPr>
              <w:pStyle w:val="Tablebullet1"/>
            </w:pPr>
            <w:r w:rsidRPr="00C52DCC">
              <w:t>Remove throw rugs and occasional tables in walk areas.</w:t>
            </w:r>
          </w:p>
          <w:p w14:paraId="0E0FA2F4" w14:textId="77777777" w:rsidR="00C52DCC" w:rsidRPr="00C52DCC" w:rsidRDefault="00C52DCC" w:rsidP="00D115D4">
            <w:pPr>
              <w:pStyle w:val="Tablebullet1"/>
            </w:pPr>
            <w:r w:rsidRPr="00C52DCC">
              <w:t>Clean up spills immediately, regardless of how small the spill is.</w:t>
            </w:r>
          </w:p>
          <w:p w14:paraId="1C205732" w14:textId="08EB290F" w:rsidR="00C52DCC" w:rsidRPr="00C52DCC" w:rsidRDefault="00C52DCC" w:rsidP="00D115D4">
            <w:pPr>
              <w:pStyle w:val="Tablebullet1"/>
            </w:pPr>
            <w:r w:rsidRPr="00C52DCC">
              <w:t>Clean floors outside of peak times. If not practical, introduce a system so that people do not walk on surfaces until they are dry.</w:t>
            </w:r>
          </w:p>
        </w:tc>
      </w:tr>
      <w:tr w:rsidR="00BB1001" w14:paraId="27E9A339" w14:textId="77777777" w:rsidTr="00C94D19">
        <w:trPr>
          <w:trHeight w:val="756"/>
        </w:trPr>
        <w:tc>
          <w:tcPr>
            <w:tcW w:w="2547" w:type="dxa"/>
          </w:tcPr>
          <w:p w14:paraId="6FAA4BC6" w14:textId="6364FF36" w:rsidR="00BB1001" w:rsidRPr="00E22C2E" w:rsidRDefault="00E22C2E" w:rsidP="00C52DCC">
            <w:pPr>
              <w:pStyle w:val="Tabletext6pt"/>
            </w:pPr>
            <w:r w:rsidRPr="00E22C2E">
              <w:t>Steps/stairs</w:t>
            </w:r>
          </w:p>
        </w:tc>
        <w:tc>
          <w:tcPr>
            <w:tcW w:w="7371" w:type="dxa"/>
          </w:tcPr>
          <w:p w14:paraId="4B32EA1E" w14:textId="77777777" w:rsidR="00E6396F" w:rsidRPr="00E6396F" w:rsidRDefault="00E6396F" w:rsidP="00D115D4">
            <w:pPr>
              <w:pStyle w:val="Tablebullet1"/>
            </w:pPr>
            <w:r w:rsidRPr="00E6396F">
              <w:t>Handrails are in place on all steps and staircases.</w:t>
            </w:r>
          </w:p>
          <w:p w14:paraId="7329DBFE" w14:textId="7B4C6EF7" w:rsidR="00BB1001" w:rsidRPr="00C52DCC" w:rsidRDefault="00E6396F" w:rsidP="00D115D4">
            <w:pPr>
              <w:pStyle w:val="Tablebullet1"/>
            </w:pPr>
            <w:r w:rsidRPr="00E6396F">
              <w:t>Maximise the contrast between steps if any resident is visually impaired.</w:t>
            </w:r>
          </w:p>
        </w:tc>
      </w:tr>
    </w:tbl>
    <w:p w14:paraId="36512648" w14:textId="62205ADF" w:rsidR="00E6396F" w:rsidRDefault="00E6396F" w:rsidP="00D115D4">
      <w:pPr>
        <w:pStyle w:val="Heading3"/>
      </w:pPr>
      <w:r>
        <w:t>Personal</w:t>
      </w:r>
    </w:p>
    <w:tbl>
      <w:tblPr>
        <w:tblStyle w:val="TableGrid"/>
        <w:tblW w:w="9918" w:type="dxa"/>
        <w:tblLook w:val="06A0" w:firstRow="1" w:lastRow="0" w:firstColumn="1" w:lastColumn="0" w:noHBand="1" w:noVBand="1"/>
      </w:tblPr>
      <w:tblGrid>
        <w:gridCol w:w="2547"/>
        <w:gridCol w:w="7371"/>
      </w:tblGrid>
      <w:tr w:rsidR="00E6396F" w14:paraId="6C463A91" w14:textId="77777777" w:rsidTr="00C94D19">
        <w:trPr>
          <w:tblHeader/>
        </w:trPr>
        <w:tc>
          <w:tcPr>
            <w:tcW w:w="2547" w:type="dxa"/>
          </w:tcPr>
          <w:p w14:paraId="0F066285" w14:textId="24DB4B54" w:rsidR="00E6396F" w:rsidRPr="00CB3285" w:rsidRDefault="00E6396F" w:rsidP="006A31B0">
            <w:pPr>
              <w:pStyle w:val="Tablecolhead"/>
            </w:pPr>
            <w:r>
              <w:t>Guidance</w:t>
            </w:r>
          </w:p>
        </w:tc>
        <w:tc>
          <w:tcPr>
            <w:tcW w:w="7371" w:type="dxa"/>
          </w:tcPr>
          <w:p w14:paraId="02FE2E63" w14:textId="77777777" w:rsidR="00E6396F" w:rsidRDefault="00E6396F" w:rsidP="006A31B0">
            <w:pPr>
              <w:pStyle w:val="Tablecolhead"/>
            </w:pPr>
            <w:r>
              <w:t xml:space="preserve">Action and advice </w:t>
            </w:r>
          </w:p>
        </w:tc>
      </w:tr>
      <w:tr w:rsidR="00E6396F" w14:paraId="176EDE67" w14:textId="77777777" w:rsidTr="00C94D19">
        <w:tc>
          <w:tcPr>
            <w:tcW w:w="2547" w:type="dxa"/>
          </w:tcPr>
          <w:p w14:paraId="5D41CC21" w14:textId="1A9611B8" w:rsidR="00E6396F" w:rsidRDefault="00E6396F" w:rsidP="006A31B0">
            <w:r>
              <w:t>Encourage residents to</w:t>
            </w:r>
          </w:p>
        </w:tc>
        <w:tc>
          <w:tcPr>
            <w:tcW w:w="7371" w:type="dxa"/>
          </w:tcPr>
          <w:p w14:paraId="1851DBED" w14:textId="2BFDC2B1" w:rsidR="00E6396F" w:rsidRPr="00C17430" w:rsidRDefault="00C17430" w:rsidP="00D115D4">
            <w:pPr>
              <w:pStyle w:val="Tablebullet1"/>
            </w:pPr>
            <w:r w:rsidRPr="00C17430">
              <w:t xml:space="preserve">Wear firm fitting footwear when walking (avoid sloppy slippers, avoid improperly sized footwear, avoid walking in socks).  </w:t>
            </w:r>
          </w:p>
        </w:tc>
      </w:tr>
      <w:tr w:rsidR="00E6396F" w:rsidRPr="002365B4" w14:paraId="22AEDB6B" w14:textId="77777777" w:rsidTr="00C94D19">
        <w:trPr>
          <w:trHeight w:val="756"/>
        </w:trPr>
        <w:tc>
          <w:tcPr>
            <w:tcW w:w="2547" w:type="dxa"/>
          </w:tcPr>
          <w:p w14:paraId="1356DDF4" w14:textId="34F5D749" w:rsidR="00E6396F" w:rsidRPr="002365B4" w:rsidRDefault="00C17430" w:rsidP="006A31B0">
            <w:pPr>
              <w:pStyle w:val="Tabletext6pt"/>
            </w:pPr>
            <w:r>
              <w:t>If prescribed</w:t>
            </w:r>
          </w:p>
        </w:tc>
        <w:tc>
          <w:tcPr>
            <w:tcW w:w="7371" w:type="dxa"/>
          </w:tcPr>
          <w:p w14:paraId="58811AC9" w14:textId="77777777" w:rsidR="00F22441" w:rsidRPr="00F22441" w:rsidRDefault="00F22441" w:rsidP="00D115D4">
            <w:pPr>
              <w:pStyle w:val="Tablebullet1"/>
            </w:pPr>
            <w:r w:rsidRPr="00F22441">
              <w:t xml:space="preserve">Glasses are worn correctly (don’t walk when wearing reading glasses). </w:t>
            </w:r>
          </w:p>
          <w:p w14:paraId="6BED74E6" w14:textId="77777777" w:rsidR="00F22441" w:rsidRPr="00F22441" w:rsidRDefault="00F22441" w:rsidP="00D115D4">
            <w:pPr>
              <w:pStyle w:val="Tablebullet1"/>
            </w:pPr>
            <w:r w:rsidRPr="00F22441">
              <w:t>Hearing aids are in place and working.</w:t>
            </w:r>
          </w:p>
          <w:p w14:paraId="0FAA7A44" w14:textId="11E4B16A" w:rsidR="00F22441" w:rsidRPr="00F22441" w:rsidRDefault="00F22441" w:rsidP="00D115D4">
            <w:pPr>
              <w:pStyle w:val="Tablebullet1"/>
            </w:pPr>
            <w:r w:rsidRPr="00F22441">
              <w:t>Orthoses (e.g. braces, helmets, splints) are correctly applied and well</w:t>
            </w:r>
            <w:r>
              <w:t xml:space="preserve"> </w:t>
            </w:r>
            <w:r w:rsidRPr="00F22441">
              <w:t>maintained.</w:t>
            </w:r>
          </w:p>
          <w:p w14:paraId="1A214CF6" w14:textId="77777777" w:rsidR="00F22441" w:rsidRPr="00F22441" w:rsidRDefault="00F22441" w:rsidP="00D115D4">
            <w:pPr>
              <w:pStyle w:val="Tablebullet1"/>
            </w:pPr>
            <w:r w:rsidRPr="00F22441">
              <w:t>Mobility aids are used correctly and are well maintained.</w:t>
            </w:r>
          </w:p>
          <w:p w14:paraId="7355190C" w14:textId="58057069" w:rsidR="00E6396F" w:rsidRPr="00F22441" w:rsidRDefault="00F22441" w:rsidP="00D115D4">
            <w:pPr>
              <w:pStyle w:val="Tablebullet1"/>
            </w:pPr>
            <w:r w:rsidRPr="00F22441">
              <w:t>Medication is taken as per treatment sheet.</w:t>
            </w:r>
          </w:p>
        </w:tc>
      </w:tr>
    </w:tbl>
    <w:p w14:paraId="0C831561" w14:textId="671F80F5" w:rsidR="00AB05EF" w:rsidRDefault="00AB05EF" w:rsidP="00AB05EF">
      <w:pPr>
        <w:pStyle w:val="Tablecaption"/>
      </w:pPr>
      <w:r>
        <w:lastRenderedPageBreak/>
        <w:t>Physical health</w:t>
      </w:r>
    </w:p>
    <w:tbl>
      <w:tblPr>
        <w:tblStyle w:val="TableGrid"/>
        <w:tblW w:w="9918" w:type="dxa"/>
        <w:tblLook w:val="06A0" w:firstRow="1" w:lastRow="0" w:firstColumn="1" w:lastColumn="0" w:noHBand="1" w:noVBand="1"/>
      </w:tblPr>
      <w:tblGrid>
        <w:gridCol w:w="2547"/>
        <w:gridCol w:w="7371"/>
      </w:tblGrid>
      <w:tr w:rsidR="00AB05EF" w14:paraId="256F721E" w14:textId="77777777" w:rsidTr="00C94D19">
        <w:trPr>
          <w:tblHeader/>
        </w:trPr>
        <w:tc>
          <w:tcPr>
            <w:tcW w:w="2547" w:type="dxa"/>
          </w:tcPr>
          <w:p w14:paraId="1BD7D46D" w14:textId="77777777" w:rsidR="00AB05EF" w:rsidRPr="00CB3285" w:rsidRDefault="00AB05EF" w:rsidP="006A31B0">
            <w:pPr>
              <w:pStyle w:val="Tablecolhead"/>
            </w:pPr>
            <w:r>
              <w:t>Guidance</w:t>
            </w:r>
          </w:p>
        </w:tc>
        <w:tc>
          <w:tcPr>
            <w:tcW w:w="7371" w:type="dxa"/>
          </w:tcPr>
          <w:p w14:paraId="41FD1730" w14:textId="77777777" w:rsidR="00AB05EF" w:rsidRDefault="00AB05EF" w:rsidP="006A31B0">
            <w:pPr>
              <w:pStyle w:val="Tablecolhead"/>
            </w:pPr>
            <w:r>
              <w:t xml:space="preserve">Action and advice </w:t>
            </w:r>
          </w:p>
        </w:tc>
      </w:tr>
      <w:tr w:rsidR="00AB05EF" w14:paraId="42E03306" w14:textId="77777777" w:rsidTr="00C94D19">
        <w:tc>
          <w:tcPr>
            <w:tcW w:w="2547" w:type="dxa"/>
          </w:tcPr>
          <w:p w14:paraId="3F79AF08" w14:textId="1B001D8A" w:rsidR="00AB05EF" w:rsidRDefault="00AB05EF" w:rsidP="006A31B0">
            <w:r>
              <w:t>All residents should be encouraged to keep active</w:t>
            </w:r>
          </w:p>
        </w:tc>
        <w:tc>
          <w:tcPr>
            <w:tcW w:w="7371" w:type="dxa"/>
          </w:tcPr>
          <w:p w14:paraId="3A3CA058" w14:textId="2EF793DE" w:rsidR="00AB05EF" w:rsidRPr="0092015F" w:rsidRDefault="0092015F" w:rsidP="00D115D4">
            <w:pPr>
              <w:pStyle w:val="Tablebullet1"/>
            </w:pPr>
            <w:r w:rsidRPr="0092015F">
              <w:t>Strong bones, healthy eating (e.g. include dietary calcium, avoid sugary drinks), and engage in physical activity</w:t>
            </w:r>
            <w:r w:rsidR="00AB05EF" w:rsidRPr="0092015F">
              <w:t xml:space="preserve"> </w:t>
            </w:r>
          </w:p>
        </w:tc>
      </w:tr>
      <w:tr w:rsidR="00AB05EF" w:rsidRPr="002365B4" w14:paraId="224291EE" w14:textId="77777777" w:rsidTr="00C94D19">
        <w:trPr>
          <w:trHeight w:val="756"/>
        </w:trPr>
        <w:tc>
          <w:tcPr>
            <w:tcW w:w="2547" w:type="dxa"/>
          </w:tcPr>
          <w:p w14:paraId="2E124BF7" w14:textId="0BAE70E2" w:rsidR="00AB05EF" w:rsidRPr="000836D1" w:rsidRDefault="000836D1" w:rsidP="006A31B0">
            <w:pPr>
              <w:pStyle w:val="Tabletext6pt"/>
            </w:pPr>
            <w:r w:rsidRPr="000836D1">
              <w:t>Recommend adherence to Australian Physical Activity Guidelines (Dept of Health, 2019)</w:t>
            </w:r>
          </w:p>
        </w:tc>
        <w:tc>
          <w:tcPr>
            <w:tcW w:w="7371" w:type="dxa"/>
          </w:tcPr>
          <w:p w14:paraId="0AD2EA59" w14:textId="77777777" w:rsidR="000645B8" w:rsidRPr="00E97737" w:rsidRDefault="000645B8" w:rsidP="00D115D4">
            <w:pPr>
              <w:pStyle w:val="Tablebullet1"/>
            </w:pPr>
            <w:r w:rsidRPr="00E97737">
              <w:t>Doing any physical activity is better than doing none. If the resident currently does no physical activity, encourage them to start by doing some, and gradually build up.</w:t>
            </w:r>
          </w:p>
          <w:p w14:paraId="58751ED7" w14:textId="77777777" w:rsidR="000645B8" w:rsidRPr="00E97737" w:rsidRDefault="000645B8" w:rsidP="00D115D4">
            <w:pPr>
              <w:pStyle w:val="Tablebullet1"/>
            </w:pPr>
            <w:r w:rsidRPr="00E97737">
              <w:t>Be active on most, preferably all days, every week.</w:t>
            </w:r>
          </w:p>
          <w:p w14:paraId="2532A076" w14:textId="0F619982" w:rsidR="00AB05EF" w:rsidRPr="00F22441" w:rsidRDefault="000645B8" w:rsidP="00D115D4">
            <w:pPr>
              <w:pStyle w:val="Tablebullet1"/>
            </w:pPr>
            <w:r w:rsidRPr="00E97737">
              <w:t>All residents should be encouraged to engage in incidental physical activity (e.g. park further away from shops/appointment; get off the bus one stop earlier) to reduce sedentary behaviour.</w:t>
            </w:r>
          </w:p>
        </w:tc>
      </w:tr>
    </w:tbl>
    <w:p w14:paraId="64379CC1" w14:textId="09D6CA11" w:rsidR="001A202A" w:rsidRPr="001A202A" w:rsidRDefault="00104FB5" w:rsidP="001A202A">
      <w:pPr>
        <w:pStyle w:val="Heading1"/>
      </w:pPr>
      <w:bookmarkStart w:id="1" w:name="_Toc410717546"/>
      <w:bookmarkStart w:id="2" w:name="_Toc63257287"/>
      <w:bookmarkStart w:id="3" w:name="_Toc63265748"/>
      <w:r>
        <w:t>Remember to document</w:t>
      </w:r>
      <w:bookmarkEnd w:id="1"/>
      <w:bookmarkEnd w:id="2"/>
      <w:bookmarkEnd w:id="3"/>
    </w:p>
    <w:p w14:paraId="5C85014F" w14:textId="77777777" w:rsidR="00305343" w:rsidRPr="00305343" w:rsidRDefault="00305343" w:rsidP="004B75A1">
      <w:pPr>
        <w:pStyle w:val="Bullet1"/>
      </w:pPr>
      <w:r w:rsidRPr="00305343">
        <w:t>It is important that any concerns you have identified are documented and/or reported using your organisation’s agreed processes.</w:t>
      </w:r>
    </w:p>
    <w:p w14:paraId="7590169A" w14:textId="2AC4CEF1" w:rsidR="00305343" w:rsidRDefault="00305343" w:rsidP="004B75A1">
      <w:pPr>
        <w:pStyle w:val="Bullet1"/>
      </w:pPr>
      <w:r w:rsidRPr="00305343">
        <w:t xml:space="preserve">Remember to review </w:t>
      </w:r>
      <w:r w:rsidR="0008338F">
        <w:t>other</w:t>
      </w:r>
      <w:r w:rsidRPr="00305343">
        <w:t xml:space="preserve"> relevant assessments that outline how to support the resident with everyday physical activities if; a resident has a fall, or if there are any changes in a resident’s mobility.</w:t>
      </w:r>
    </w:p>
    <w:p w14:paraId="63EE4AC8" w14:textId="77777777" w:rsidR="00BE28E0" w:rsidRDefault="00BE28E0" w:rsidP="00BE28E0">
      <w:pPr>
        <w:pStyle w:val="Bullet1"/>
        <w:numPr>
          <w:ilvl w:val="0"/>
          <w:numId w:val="0"/>
        </w:numPr>
      </w:pPr>
      <w:r>
        <w:t>This advice has been developed with the assistance of Associate Professor Dr Prue Morgan, Department of Physiotherapy, Monash University.</w:t>
      </w:r>
    </w:p>
    <w:p w14:paraId="65114E1B" w14:textId="77777777" w:rsidR="00BE28E0" w:rsidRPr="00305343" w:rsidRDefault="00BE28E0" w:rsidP="004E1D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2E29B50A" w14:textId="46A771D4" w:rsidR="00C97BB5" w:rsidRDefault="0055119B" w:rsidP="004B75A1">
            <w:pPr>
              <w:pStyle w:val="Accessibilitypara"/>
            </w:pPr>
            <w:bookmarkStart w:id="4" w:name="_Hlk37240926"/>
            <w:r w:rsidRPr="0055119B">
              <w:t xml:space="preserve">To receive this document in another format </w:t>
            </w:r>
            <w:hyperlink r:id="rId18" w:history="1">
              <w:r w:rsidR="004B75A1">
                <w:rPr>
                  <w:rStyle w:val="Hyperlink"/>
                </w:rPr>
                <w:t>email DSC Response</w:t>
              </w:r>
            </w:hyperlink>
            <w:r w:rsidR="00C97BB5" w:rsidRPr="00104CC1">
              <w:rPr>
                <w:color w:val="007B4B"/>
              </w:rPr>
              <w:t xml:space="preserve"> </w:t>
            </w:r>
            <w:r w:rsidR="00C97BB5" w:rsidRPr="00104CC1">
              <w:t>&lt;disndis.dscresponse</w:t>
            </w:r>
            <w:r w:rsidR="00C97BB5">
              <w:t>@</w:t>
            </w:r>
            <w:r w:rsidR="00C97BB5" w:rsidRPr="00104CC1">
              <w:t>dhhs.vic.gov.au&gt;</w:t>
            </w:r>
            <w:r w:rsidR="00C97BB5">
              <w:t xml:space="preserve"> </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20C6B992"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AA7B86">
              <w:t>March 2021</w:t>
            </w:r>
            <w:r w:rsidRPr="0055119B">
              <w:t>.</w:t>
            </w:r>
          </w:p>
          <w:p w14:paraId="51FCE217" w14:textId="02C9CA91" w:rsidR="0055119B" w:rsidRPr="0055119B" w:rsidRDefault="0055119B" w:rsidP="00E33237">
            <w:pPr>
              <w:pStyle w:val="Imprint"/>
            </w:pPr>
            <w:bookmarkStart w:id="5" w:name="_Hlk62746129"/>
            <w:r w:rsidRPr="0055119B">
              <w:t>ISBN</w:t>
            </w:r>
            <w:r w:rsidR="00C36C0D">
              <w:t xml:space="preserve"> </w:t>
            </w:r>
            <w:r w:rsidR="00C36C0D" w:rsidRPr="00C36C0D">
              <w:rPr>
                <w:rFonts w:cs="Arial"/>
                <w:color w:val="201F1E"/>
                <w:sz w:val="21"/>
                <w:szCs w:val="21"/>
                <w:shd w:val="clear" w:color="auto" w:fill="FFFFFF"/>
              </w:rPr>
              <w:t>(978-1-76096-103-9)</w:t>
            </w:r>
          </w:p>
          <w:p w14:paraId="0C92739F" w14:textId="3D4F4A7A" w:rsidR="0055119B" w:rsidRDefault="0055119B" w:rsidP="00E33237">
            <w:pPr>
              <w:pStyle w:val="Imprint"/>
            </w:pPr>
            <w:r w:rsidRPr="0055119B">
              <w:t xml:space="preserve">Available at </w:t>
            </w:r>
            <w:hyperlink r:id="rId19" w:history="1">
              <w:r w:rsidR="00172F35">
                <w:rPr>
                  <w:rStyle w:val="Hyperlink"/>
                </w:rPr>
                <w:t>Practice resources -</w:t>
              </w:r>
              <w:r w:rsidR="00172F35">
                <w:rPr>
                  <w:rStyle w:val="Hyperlink"/>
                </w:rPr>
                <w:t xml:space="preserve"> </w:t>
              </w:r>
              <w:r w:rsidR="00172F35">
                <w:rPr>
                  <w:rStyle w:val="Hyperlink"/>
                </w:rPr>
                <w:t>DFFH Service Providers</w:t>
              </w:r>
            </w:hyperlink>
            <w:bookmarkEnd w:id="5"/>
            <w:r w:rsidR="00172F35">
              <w:t xml:space="preserve">  &lt;https://providers.dffh.vic.gov.au/practice-resources&gt;</w:t>
            </w:r>
          </w:p>
        </w:tc>
      </w:tr>
      <w:bookmarkEnd w:id="4"/>
    </w:tbl>
    <w:p w14:paraId="312DEA78"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D15D" w14:textId="77777777" w:rsidR="004828E5" w:rsidRDefault="004828E5">
      <w:r>
        <w:separator/>
      </w:r>
    </w:p>
    <w:p w14:paraId="304FAD69" w14:textId="77777777" w:rsidR="004828E5" w:rsidRDefault="004828E5"/>
  </w:endnote>
  <w:endnote w:type="continuationSeparator" w:id="0">
    <w:p w14:paraId="03CA2FF4" w14:textId="77777777" w:rsidR="004828E5" w:rsidRDefault="004828E5">
      <w:r>
        <w:continuationSeparator/>
      </w:r>
    </w:p>
    <w:p w14:paraId="7E9E43EE" w14:textId="77777777" w:rsidR="004828E5" w:rsidRDefault="00482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B84E" w14:textId="77777777" w:rsidR="00B7493C" w:rsidRDefault="00B74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7777777" w:rsidR="00E261B3" w:rsidRPr="00F65AA9" w:rsidRDefault="00B14B5F" w:rsidP="00EF2C72">
    <w:pPr>
      <w:pStyle w:val="Footer"/>
    </w:pPr>
    <w:r>
      <w:rPr>
        <w:noProof/>
        <w:lang w:eastAsia="en-AU"/>
      </w:rPr>
      <w:drawing>
        <wp:anchor distT="0" distB="0" distL="114300" distR="114300" simplePos="0" relativeHeight="251675136" behindDoc="1" locked="1" layoutInCell="1" allowOverlap="1" wp14:anchorId="0B82E1DA" wp14:editId="4FE66E90">
          <wp:simplePos x="0" y="0"/>
          <wp:positionH relativeFrom="page">
            <wp:align>right</wp:align>
          </wp:positionH>
          <wp:positionV relativeFrom="page">
            <wp:align>bottom</wp:align>
          </wp:positionV>
          <wp:extent cx="7560000" cy="1008000"/>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F220AE8" wp14:editId="1809441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276C5C28"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276C5C28"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03183191"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03183191"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95C3" w14:textId="77777777" w:rsidR="004828E5" w:rsidRDefault="004828E5" w:rsidP="00207717">
      <w:pPr>
        <w:spacing w:before="120"/>
      </w:pPr>
      <w:r>
        <w:separator/>
      </w:r>
    </w:p>
  </w:footnote>
  <w:footnote w:type="continuationSeparator" w:id="0">
    <w:p w14:paraId="5C21052C" w14:textId="77777777" w:rsidR="004828E5" w:rsidRDefault="004828E5">
      <w:r>
        <w:continuationSeparator/>
      </w:r>
    </w:p>
    <w:p w14:paraId="79D058ED" w14:textId="77777777" w:rsidR="004828E5" w:rsidRDefault="00482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0B5F" w14:textId="77777777" w:rsidR="00B7493C" w:rsidRDefault="00B7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650F8844" w:rsidR="00EF2C72" w:rsidRDefault="008A61AF" w:rsidP="00EF2C72">
    <w:pPr>
      <w:pStyle w:val="Header"/>
      <w:spacing w:after="0"/>
    </w:pPr>
    <w:r>
      <w:rPr>
        <w:noProof/>
      </w:rPr>
      <w:drawing>
        <wp:anchor distT="0" distB="0" distL="114300" distR="114300" simplePos="0" relativeHeight="251678208" behindDoc="1" locked="1" layoutInCell="1" allowOverlap="1" wp14:anchorId="1FEB86ED" wp14:editId="10EA68D1">
          <wp:simplePos x="0" y="0"/>
          <wp:positionH relativeFrom="page">
            <wp:align>left</wp:align>
          </wp:positionH>
          <wp:positionV relativeFrom="page">
            <wp:align>top</wp:align>
          </wp:positionV>
          <wp:extent cx="7560000" cy="20808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4400" w14:textId="77777777" w:rsidR="00B7493C" w:rsidRDefault="00B749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2D3461A" w:rsidR="00E261B3" w:rsidRPr="0051568D" w:rsidRDefault="00845AFA" w:rsidP="0017674D">
    <w:pPr>
      <w:pStyle w:val="Header"/>
    </w:pPr>
    <w:r>
      <w:rPr>
        <w:noProof/>
      </w:rPr>
      <w:drawing>
        <wp:anchor distT="0" distB="0" distL="114300" distR="114300" simplePos="0" relativeHeight="251676160" behindDoc="1" locked="1" layoutInCell="1" allowOverlap="1" wp14:anchorId="21338710" wp14:editId="2809BE45">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84035">
      <w:t>Practice advice</w:t>
    </w:r>
    <w:r w:rsidR="00B7493C">
      <w:t xml:space="preserve"> –f</w:t>
    </w:r>
    <w:r w:rsidR="00D84035">
      <w:t>alls minimisation</w:t>
    </w:r>
    <w:r w:rsidR="00B7493C">
      <w:t>:</w:t>
    </w:r>
    <w:r w:rsidR="00B7493C" w:rsidRPr="00B7493C">
      <w:t xml:space="preserve"> For disability support workers supporting residents in group homes</w:t>
    </w:r>
    <w:r w:rsidR="00B14B5F">
      <w:ptab w:relativeTo="margin" w:alignment="right" w:leader="none"/>
    </w:r>
    <w:r w:rsidR="00B14B5F" w:rsidRPr="00DE6C85">
      <w:rPr>
        <w:b/>
        <w:bCs/>
      </w:rPr>
      <w:fldChar w:fldCharType="begin"/>
    </w:r>
    <w:r w:rsidR="00B14B5F" w:rsidRPr="00DE6C85">
      <w:rPr>
        <w:b/>
        <w:bCs/>
      </w:rPr>
      <w:instrText xml:space="preserve"> PAGE</w:instrText>
    </w:r>
    <w:r w:rsidR="0038277F">
      <w:rPr>
        <w:b/>
        <w:bCs/>
      </w:rPr>
      <w:instrText xml:space="preserve"> </w:instrText>
    </w:r>
    <w:r w:rsidR="00B14B5F" w:rsidRPr="00DE6C85">
      <w:rPr>
        <w:b/>
        <w:bCs/>
      </w:rPr>
      <w:instrText xml:space="preserv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01043303">
    <w:abstractNumId w:val="10"/>
  </w:num>
  <w:num w:numId="2" w16cid:durableId="1281300862">
    <w:abstractNumId w:val="17"/>
  </w:num>
  <w:num w:numId="3" w16cid:durableId="843202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089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263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601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486168">
    <w:abstractNumId w:val="21"/>
  </w:num>
  <w:num w:numId="8" w16cid:durableId="537789163">
    <w:abstractNumId w:val="16"/>
  </w:num>
  <w:num w:numId="9" w16cid:durableId="1020280628">
    <w:abstractNumId w:val="20"/>
  </w:num>
  <w:num w:numId="10" w16cid:durableId="13249656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87392">
    <w:abstractNumId w:val="22"/>
  </w:num>
  <w:num w:numId="12" w16cid:durableId="560098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1483672">
    <w:abstractNumId w:val="18"/>
  </w:num>
  <w:num w:numId="14" w16cid:durableId="608510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5500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1606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987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1420402">
    <w:abstractNumId w:val="24"/>
  </w:num>
  <w:num w:numId="19" w16cid:durableId="1647588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275100">
    <w:abstractNumId w:val="14"/>
  </w:num>
  <w:num w:numId="21" w16cid:durableId="653024934">
    <w:abstractNumId w:val="12"/>
  </w:num>
  <w:num w:numId="22" w16cid:durableId="1909416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8134350">
    <w:abstractNumId w:val="15"/>
  </w:num>
  <w:num w:numId="24" w16cid:durableId="1051921180">
    <w:abstractNumId w:val="25"/>
  </w:num>
  <w:num w:numId="25" w16cid:durableId="2002192554">
    <w:abstractNumId w:val="23"/>
  </w:num>
  <w:num w:numId="26" w16cid:durableId="537933326">
    <w:abstractNumId w:val="19"/>
  </w:num>
  <w:num w:numId="27" w16cid:durableId="2012831299">
    <w:abstractNumId w:val="11"/>
  </w:num>
  <w:num w:numId="28" w16cid:durableId="986789099">
    <w:abstractNumId w:val="26"/>
  </w:num>
  <w:num w:numId="29" w16cid:durableId="1952324851">
    <w:abstractNumId w:val="9"/>
  </w:num>
  <w:num w:numId="30" w16cid:durableId="16473336">
    <w:abstractNumId w:val="7"/>
  </w:num>
  <w:num w:numId="31" w16cid:durableId="1837527978">
    <w:abstractNumId w:val="6"/>
  </w:num>
  <w:num w:numId="32" w16cid:durableId="1019545406">
    <w:abstractNumId w:val="5"/>
  </w:num>
  <w:num w:numId="33" w16cid:durableId="767969825">
    <w:abstractNumId w:val="4"/>
  </w:num>
  <w:num w:numId="34" w16cid:durableId="1928269288">
    <w:abstractNumId w:val="8"/>
  </w:num>
  <w:num w:numId="35" w16cid:durableId="653410566">
    <w:abstractNumId w:val="3"/>
  </w:num>
  <w:num w:numId="36" w16cid:durableId="882643780">
    <w:abstractNumId w:val="2"/>
  </w:num>
  <w:num w:numId="37" w16cid:durableId="328605076">
    <w:abstractNumId w:val="1"/>
  </w:num>
  <w:num w:numId="38" w16cid:durableId="133110916">
    <w:abstractNumId w:val="0"/>
  </w:num>
  <w:num w:numId="39" w16cid:durableId="774247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1090668">
    <w:abstractNumId w:val="20"/>
  </w:num>
  <w:num w:numId="41" w16cid:durableId="944189594">
    <w:abstractNumId w:val="20"/>
  </w:num>
  <w:num w:numId="42" w16cid:durableId="164712071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276CA"/>
    <w:rsid w:val="00033D81"/>
    <w:rsid w:val="00037366"/>
    <w:rsid w:val="00041BF0"/>
    <w:rsid w:val="00042C8A"/>
    <w:rsid w:val="0004536B"/>
    <w:rsid w:val="00046B68"/>
    <w:rsid w:val="000527DD"/>
    <w:rsid w:val="00053F82"/>
    <w:rsid w:val="000578B2"/>
    <w:rsid w:val="00060959"/>
    <w:rsid w:val="00060C8F"/>
    <w:rsid w:val="0006298A"/>
    <w:rsid w:val="00063B6E"/>
    <w:rsid w:val="000645B8"/>
    <w:rsid w:val="000663CD"/>
    <w:rsid w:val="000733FE"/>
    <w:rsid w:val="00074219"/>
    <w:rsid w:val="00074ED5"/>
    <w:rsid w:val="0008338F"/>
    <w:rsid w:val="000836D1"/>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3B8C"/>
    <w:rsid w:val="0010447F"/>
    <w:rsid w:val="00104FB5"/>
    <w:rsid w:val="00104FE3"/>
    <w:rsid w:val="0010714F"/>
    <w:rsid w:val="001120C5"/>
    <w:rsid w:val="00120BD3"/>
    <w:rsid w:val="00122FEA"/>
    <w:rsid w:val="001232BD"/>
    <w:rsid w:val="00124ED5"/>
    <w:rsid w:val="001276FA"/>
    <w:rsid w:val="001437BF"/>
    <w:rsid w:val="001447B3"/>
    <w:rsid w:val="001513C6"/>
    <w:rsid w:val="00152073"/>
    <w:rsid w:val="00156598"/>
    <w:rsid w:val="00161939"/>
    <w:rsid w:val="00161AA0"/>
    <w:rsid w:val="00161D2E"/>
    <w:rsid w:val="00161F3E"/>
    <w:rsid w:val="00162093"/>
    <w:rsid w:val="00162CA9"/>
    <w:rsid w:val="00165459"/>
    <w:rsid w:val="00165A57"/>
    <w:rsid w:val="001712C2"/>
    <w:rsid w:val="00172BAF"/>
    <w:rsid w:val="00172F35"/>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32E1"/>
    <w:rsid w:val="00243599"/>
    <w:rsid w:val="00246207"/>
    <w:rsid w:val="00246C5E"/>
    <w:rsid w:val="002502A8"/>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34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77F"/>
    <w:rsid w:val="003829E5"/>
    <w:rsid w:val="00386109"/>
    <w:rsid w:val="00386944"/>
    <w:rsid w:val="003956CC"/>
    <w:rsid w:val="00395C9A"/>
    <w:rsid w:val="003A0853"/>
    <w:rsid w:val="003A6B67"/>
    <w:rsid w:val="003B13B6"/>
    <w:rsid w:val="003B14C3"/>
    <w:rsid w:val="003B15E6"/>
    <w:rsid w:val="003B408A"/>
    <w:rsid w:val="003C08A2"/>
    <w:rsid w:val="003C2045"/>
    <w:rsid w:val="003C43A1"/>
    <w:rsid w:val="003C4FC0"/>
    <w:rsid w:val="003C55F4"/>
    <w:rsid w:val="003C7897"/>
    <w:rsid w:val="003C7A3F"/>
    <w:rsid w:val="003D23D1"/>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0EC9"/>
    <w:rsid w:val="00462E3D"/>
    <w:rsid w:val="00466E79"/>
    <w:rsid w:val="00470D7D"/>
    <w:rsid w:val="0047372D"/>
    <w:rsid w:val="00473BA3"/>
    <w:rsid w:val="004743DD"/>
    <w:rsid w:val="00474CEA"/>
    <w:rsid w:val="004828E5"/>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75A1"/>
    <w:rsid w:val="004C5541"/>
    <w:rsid w:val="004C6EEE"/>
    <w:rsid w:val="004C702B"/>
    <w:rsid w:val="004D0033"/>
    <w:rsid w:val="004D016B"/>
    <w:rsid w:val="004D1B22"/>
    <w:rsid w:val="004D23CC"/>
    <w:rsid w:val="004D36F2"/>
    <w:rsid w:val="004D4328"/>
    <w:rsid w:val="004E1106"/>
    <w:rsid w:val="004E138F"/>
    <w:rsid w:val="004E1DDC"/>
    <w:rsid w:val="004E4649"/>
    <w:rsid w:val="004E5C2B"/>
    <w:rsid w:val="004F00DD"/>
    <w:rsid w:val="004F0BA9"/>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2D7E"/>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DC4"/>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5C7B"/>
    <w:rsid w:val="00696F27"/>
    <w:rsid w:val="006A18C2"/>
    <w:rsid w:val="006A2135"/>
    <w:rsid w:val="006A3383"/>
    <w:rsid w:val="006B077C"/>
    <w:rsid w:val="006B16AF"/>
    <w:rsid w:val="006B6803"/>
    <w:rsid w:val="006D0F16"/>
    <w:rsid w:val="006D2A3F"/>
    <w:rsid w:val="006D2FBC"/>
    <w:rsid w:val="006E138B"/>
    <w:rsid w:val="006E1867"/>
    <w:rsid w:val="006F0330"/>
    <w:rsid w:val="006F1FDC"/>
    <w:rsid w:val="006F6B8C"/>
    <w:rsid w:val="00700B5B"/>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4B5"/>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2D75"/>
    <w:rsid w:val="00845AFA"/>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2A1A"/>
    <w:rsid w:val="00893AF6"/>
    <w:rsid w:val="00894BC4"/>
    <w:rsid w:val="008A28A8"/>
    <w:rsid w:val="008A5B32"/>
    <w:rsid w:val="008A61AF"/>
    <w:rsid w:val="008B2029"/>
    <w:rsid w:val="008B2EE4"/>
    <w:rsid w:val="008B3821"/>
    <w:rsid w:val="008B4D3D"/>
    <w:rsid w:val="008B57C7"/>
    <w:rsid w:val="008B585D"/>
    <w:rsid w:val="008C2F92"/>
    <w:rsid w:val="008C589D"/>
    <w:rsid w:val="008C6D51"/>
    <w:rsid w:val="008D2846"/>
    <w:rsid w:val="008D4236"/>
    <w:rsid w:val="008D462F"/>
    <w:rsid w:val="008D5C45"/>
    <w:rsid w:val="008D6DCF"/>
    <w:rsid w:val="008E00F7"/>
    <w:rsid w:val="008E4376"/>
    <w:rsid w:val="008E7A0A"/>
    <w:rsid w:val="008E7B49"/>
    <w:rsid w:val="008F59F6"/>
    <w:rsid w:val="00900719"/>
    <w:rsid w:val="009017AC"/>
    <w:rsid w:val="00902A9A"/>
    <w:rsid w:val="00904A1C"/>
    <w:rsid w:val="00905030"/>
    <w:rsid w:val="00906490"/>
    <w:rsid w:val="009111B2"/>
    <w:rsid w:val="00912E08"/>
    <w:rsid w:val="009151F5"/>
    <w:rsid w:val="0092015F"/>
    <w:rsid w:val="00924AE1"/>
    <w:rsid w:val="009257ED"/>
    <w:rsid w:val="009269B1"/>
    <w:rsid w:val="0092724D"/>
    <w:rsid w:val="009272B3"/>
    <w:rsid w:val="009315BE"/>
    <w:rsid w:val="0093338F"/>
    <w:rsid w:val="00934351"/>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30A3"/>
    <w:rsid w:val="009C5E77"/>
    <w:rsid w:val="009C7A7E"/>
    <w:rsid w:val="009D02E8"/>
    <w:rsid w:val="009D51D0"/>
    <w:rsid w:val="009D70A4"/>
    <w:rsid w:val="009D7B14"/>
    <w:rsid w:val="009E08D1"/>
    <w:rsid w:val="009E1B95"/>
    <w:rsid w:val="009E496F"/>
    <w:rsid w:val="009E4B0D"/>
    <w:rsid w:val="009E4D10"/>
    <w:rsid w:val="009E5250"/>
    <w:rsid w:val="009E7A69"/>
    <w:rsid w:val="009E7F92"/>
    <w:rsid w:val="009F02A3"/>
    <w:rsid w:val="009F20D3"/>
    <w:rsid w:val="009F2F27"/>
    <w:rsid w:val="009F34AA"/>
    <w:rsid w:val="009F6BCB"/>
    <w:rsid w:val="009F7B78"/>
    <w:rsid w:val="00A0027C"/>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44882"/>
    <w:rsid w:val="00A45125"/>
    <w:rsid w:val="00A54715"/>
    <w:rsid w:val="00A60023"/>
    <w:rsid w:val="00A605BA"/>
    <w:rsid w:val="00A6061C"/>
    <w:rsid w:val="00A62D44"/>
    <w:rsid w:val="00A6521B"/>
    <w:rsid w:val="00A67263"/>
    <w:rsid w:val="00A70061"/>
    <w:rsid w:val="00A7161C"/>
    <w:rsid w:val="00A77AA3"/>
    <w:rsid w:val="00A8236D"/>
    <w:rsid w:val="00A854EB"/>
    <w:rsid w:val="00A872E5"/>
    <w:rsid w:val="00A91406"/>
    <w:rsid w:val="00A96E65"/>
    <w:rsid w:val="00A96ECE"/>
    <w:rsid w:val="00A97C72"/>
    <w:rsid w:val="00AA310B"/>
    <w:rsid w:val="00AA63D4"/>
    <w:rsid w:val="00AA7B86"/>
    <w:rsid w:val="00AA7FA7"/>
    <w:rsid w:val="00AB05EF"/>
    <w:rsid w:val="00AB06E8"/>
    <w:rsid w:val="00AB1CD3"/>
    <w:rsid w:val="00AB352F"/>
    <w:rsid w:val="00AC274B"/>
    <w:rsid w:val="00AC414F"/>
    <w:rsid w:val="00AC4764"/>
    <w:rsid w:val="00AC5D3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2F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6E05"/>
    <w:rsid w:val="00B5133A"/>
    <w:rsid w:val="00B519CD"/>
    <w:rsid w:val="00B5273A"/>
    <w:rsid w:val="00B57329"/>
    <w:rsid w:val="00B60E61"/>
    <w:rsid w:val="00B62B50"/>
    <w:rsid w:val="00B635B7"/>
    <w:rsid w:val="00B63AE8"/>
    <w:rsid w:val="00B65950"/>
    <w:rsid w:val="00B66D83"/>
    <w:rsid w:val="00B672C0"/>
    <w:rsid w:val="00B676FD"/>
    <w:rsid w:val="00B678B6"/>
    <w:rsid w:val="00B7493C"/>
    <w:rsid w:val="00B75646"/>
    <w:rsid w:val="00B7629E"/>
    <w:rsid w:val="00B774BA"/>
    <w:rsid w:val="00B90729"/>
    <w:rsid w:val="00B907DA"/>
    <w:rsid w:val="00B923FF"/>
    <w:rsid w:val="00B950BC"/>
    <w:rsid w:val="00B9714C"/>
    <w:rsid w:val="00BA29AD"/>
    <w:rsid w:val="00BA33CF"/>
    <w:rsid w:val="00BA3F8D"/>
    <w:rsid w:val="00BB1001"/>
    <w:rsid w:val="00BB7A10"/>
    <w:rsid w:val="00BC60BE"/>
    <w:rsid w:val="00BC7468"/>
    <w:rsid w:val="00BC7D4F"/>
    <w:rsid w:val="00BC7ED7"/>
    <w:rsid w:val="00BD2850"/>
    <w:rsid w:val="00BD6AED"/>
    <w:rsid w:val="00BD7419"/>
    <w:rsid w:val="00BE28D2"/>
    <w:rsid w:val="00BE28E0"/>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430"/>
    <w:rsid w:val="00C231A0"/>
    <w:rsid w:val="00C26588"/>
    <w:rsid w:val="00C27DE9"/>
    <w:rsid w:val="00C32989"/>
    <w:rsid w:val="00C33388"/>
    <w:rsid w:val="00C35484"/>
    <w:rsid w:val="00C36C0D"/>
    <w:rsid w:val="00C4173A"/>
    <w:rsid w:val="00C50DED"/>
    <w:rsid w:val="00C52217"/>
    <w:rsid w:val="00C52DCC"/>
    <w:rsid w:val="00C602FF"/>
    <w:rsid w:val="00C61174"/>
    <w:rsid w:val="00C6123B"/>
    <w:rsid w:val="00C6148F"/>
    <w:rsid w:val="00C621B1"/>
    <w:rsid w:val="00C62F7A"/>
    <w:rsid w:val="00C63B9C"/>
    <w:rsid w:val="00C6682F"/>
    <w:rsid w:val="00C67BF4"/>
    <w:rsid w:val="00C7275E"/>
    <w:rsid w:val="00C74C5D"/>
    <w:rsid w:val="00C863C4"/>
    <w:rsid w:val="00C920EA"/>
    <w:rsid w:val="00C93C3E"/>
    <w:rsid w:val="00C94D19"/>
    <w:rsid w:val="00C97BB5"/>
    <w:rsid w:val="00CA12E3"/>
    <w:rsid w:val="00CA1476"/>
    <w:rsid w:val="00CA6611"/>
    <w:rsid w:val="00CA6AE6"/>
    <w:rsid w:val="00CA782F"/>
    <w:rsid w:val="00CB187B"/>
    <w:rsid w:val="00CB2835"/>
    <w:rsid w:val="00CB3285"/>
    <w:rsid w:val="00CB4500"/>
    <w:rsid w:val="00CB667E"/>
    <w:rsid w:val="00CC0C72"/>
    <w:rsid w:val="00CC2BFD"/>
    <w:rsid w:val="00CD3476"/>
    <w:rsid w:val="00CD64DF"/>
    <w:rsid w:val="00CE225F"/>
    <w:rsid w:val="00CF2F50"/>
    <w:rsid w:val="00CF6198"/>
    <w:rsid w:val="00D02919"/>
    <w:rsid w:val="00D04C61"/>
    <w:rsid w:val="00D05B8D"/>
    <w:rsid w:val="00D05B9B"/>
    <w:rsid w:val="00D065A2"/>
    <w:rsid w:val="00D079AA"/>
    <w:rsid w:val="00D07F00"/>
    <w:rsid w:val="00D1130F"/>
    <w:rsid w:val="00D115D4"/>
    <w:rsid w:val="00D17B72"/>
    <w:rsid w:val="00D3185C"/>
    <w:rsid w:val="00D3205F"/>
    <w:rsid w:val="00D3318E"/>
    <w:rsid w:val="00D33E72"/>
    <w:rsid w:val="00D35BD6"/>
    <w:rsid w:val="00D361B5"/>
    <w:rsid w:val="00D410A8"/>
    <w:rsid w:val="00D411A2"/>
    <w:rsid w:val="00D4606D"/>
    <w:rsid w:val="00D46D8C"/>
    <w:rsid w:val="00D50B9C"/>
    <w:rsid w:val="00D52D73"/>
    <w:rsid w:val="00D52E58"/>
    <w:rsid w:val="00D56B20"/>
    <w:rsid w:val="00D578B3"/>
    <w:rsid w:val="00D618F4"/>
    <w:rsid w:val="00D714CC"/>
    <w:rsid w:val="00D75EA7"/>
    <w:rsid w:val="00D81ADF"/>
    <w:rsid w:val="00D81F21"/>
    <w:rsid w:val="00D82EC9"/>
    <w:rsid w:val="00D84035"/>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013B"/>
    <w:rsid w:val="00E11332"/>
    <w:rsid w:val="00E11352"/>
    <w:rsid w:val="00E11464"/>
    <w:rsid w:val="00E170DC"/>
    <w:rsid w:val="00E17546"/>
    <w:rsid w:val="00E210B5"/>
    <w:rsid w:val="00E22C2E"/>
    <w:rsid w:val="00E261B3"/>
    <w:rsid w:val="00E26818"/>
    <w:rsid w:val="00E27FFC"/>
    <w:rsid w:val="00E30B15"/>
    <w:rsid w:val="00E33237"/>
    <w:rsid w:val="00E40181"/>
    <w:rsid w:val="00E54950"/>
    <w:rsid w:val="00E55FB3"/>
    <w:rsid w:val="00E56A01"/>
    <w:rsid w:val="00E629A1"/>
    <w:rsid w:val="00E6396F"/>
    <w:rsid w:val="00E6794C"/>
    <w:rsid w:val="00E71591"/>
    <w:rsid w:val="00E71CEB"/>
    <w:rsid w:val="00E7474F"/>
    <w:rsid w:val="00E80DE3"/>
    <w:rsid w:val="00E82C55"/>
    <w:rsid w:val="00E8787E"/>
    <w:rsid w:val="00E92AC3"/>
    <w:rsid w:val="00E97737"/>
    <w:rsid w:val="00EA2F6A"/>
    <w:rsid w:val="00EB00E0"/>
    <w:rsid w:val="00EB05D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2441"/>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3836"/>
    <w:rsid w:val="00F741F2"/>
    <w:rsid w:val="00F76CAB"/>
    <w:rsid w:val="00F772C6"/>
    <w:rsid w:val="00F815B5"/>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sndis.dscresponse@dhhs.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roviders.dffh.vic.gov.au/practice-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2AE82E32-EEDD-4162-98E5-B637C727F3FB}">
  <ds:schemaRefs>
    <ds:schemaRef ds:uri="http://schemas.openxmlformats.org/officeDocument/2006/bibliography"/>
  </ds:schemaRefs>
</ds:datastoreItem>
</file>

<file path=customXml/itemProps4.xml><?xml version="1.0" encoding="utf-8"?>
<ds:datastoreItem xmlns:ds="http://schemas.openxmlformats.org/officeDocument/2006/customXml" ds:itemID="{E44CDBA0-E91D-43A6-93FA-52E402AE2C84}"/>
</file>

<file path=docProps/app.xml><?xml version="1.0" encoding="utf-8"?>
<Properties xmlns="http://schemas.openxmlformats.org/officeDocument/2006/extended-properties" xmlns:vt="http://schemas.openxmlformats.org/officeDocument/2006/docPropsVTypes">
  <Template>DFFH A4 portrait factsheet Teal.dotx</Template>
  <TotalTime>19</TotalTime>
  <Pages>3</Pages>
  <Words>774</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Practice advice – Falls minimisation: For disability support workers supporting residents in group homes</vt:lpstr>
    </vt:vector>
  </TitlesOfParts>
  <Company>Victoria State Government, Department of Familes, Fairness and Housing</Company>
  <LinksUpToDate>false</LinksUpToDate>
  <CharactersWithSpaces>5402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advice – Falls minimisation: For disability support workers supporting residents in group homes</dc:title>
  <dc:subject>Falls minimisation: For disability support workers supporting residents in group homes</dc:subject>
  <dc:creator>NDIS Service Delivery</dc:creator>
  <cp:keywords>Practice advice; falls minimisation; disability; group homes</cp:keywords>
  <cp:revision>2</cp:revision>
  <cp:lastPrinted>2021-01-29T05:27:00Z</cp:lastPrinted>
  <dcterms:created xsi:type="dcterms:W3CDTF">2023-05-05T05:12:00Z</dcterms:created>
  <dcterms:modified xsi:type="dcterms:W3CDTF">2023-05-05T05:12:00Z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22 October 2020</vt:lpwstr>
  </property>
  <property fmtid="{D5CDD505-2E9C-101B-9397-08002B2CF9AE}" pid="5" name="TemplateVersion">
    <vt:i4>1</vt:i4>
  </property>
  <property fmtid="{D5CDD505-2E9C-101B-9397-08002B2CF9AE}" pid="6" name="Style">
    <vt:lpwstr>Visual style</vt:lpwstr>
  </property>
  <property fmtid="{D5CDD505-2E9C-101B-9397-08002B2CF9AE}" pid="7" name="MSIP_Label_efdf5488-3066-4b6c-8fea-9472b8a1f34c_Enabled">
    <vt:lpwstr>true</vt:lpwstr>
  </property>
  <property fmtid="{D5CDD505-2E9C-101B-9397-08002B2CF9AE}" pid="8" name="MSIP_Label_efdf5488-3066-4b6c-8fea-9472b8a1f34c_SetDate">
    <vt:lpwstr>2021-02-18T00:38:21Z</vt:lpwstr>
  </property>
  <property fmtid="{D5CDD505-2E9C-101B-9397-08002B2CF9AE}" pid="9" name="MSIP_Label_efdf5488-3066-4b6c-8fea-9472b8a1f34c_Method">
    <vt:lpwstr>Privileged</vt:lpwstr>
  </property>
  <property fmtid="{D5CDD505-2E9C-101B-9397-08002B2CF9AE}" pid="10" name="MSIP_Label_efdf5488-3066-4b6c-8fea-9472b8a1f34c_Name">
    <vt:lpwstr>efdf5488-3066-4b6c-8fea-9472b8a1f34c</vt:lpwstr>
  </property>
  <property fmtid="{D5CDD505-2E9C-101B-9397-08002B2CF9AE}" pid="11" name="MSIP_Label_efdf5488-3066-4b6c-8fea-9472b8a1f34c_SiteId">
    <vt:lpwstr>c0e0601f-0fac-449c-9c88-a104c4eb9f28</vt:lpwstr>
  </property>
  <property fmtid="{D5CDD505-2E9C-101B-9397-08002B2CF9AE}" pid="12" name="MSIP_Label_efdf5488-3066-4b6c-8fea-9472b8a1f34c_ActionId">
    <vt:lpwstr>04f80c64-c25e-4fec-8874-b9f6aa61e68e</vt:lpwstr>
  </property>
  <property fmtid="{D5CDD505-2E9C-101B-9397-08002B2CF9AE}" pid="13" name="MSIP_Label_efdf5488-3066-4b6c-8fea-9472b8a1f34c_ContentBits">
    <vt:lpwstr>0</vt:lpwstr>
  </property>
</Properties>
</file>