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62AC147D">
        <w:trPr>
          <w:cantSplit/>
        </w:trPr>
        <w:tc>
          <w:tcPr>
            <w:tcW w:w="0" w:type="auto"/>
            <w:tcMar>
              <w:top w:w="0" w:type="dxa"/>
              <w:left w:w="0" w:type="dxa"/>
              <w:right w:w="0" w:type="dxa"/>
            </w:tcMar>
          </w:tcPr>
          <w:p w14:paraId="60DDDA44" w14:textId="32544872" w:rsidR="00AD784C" w:rsidRDefault="00D1035D" w:rsidP="00431F42">
            <w:pPr>
              <w:pStyle w:val="Documenttitle"/>
            </w:pPr>
            <w:r>
              <w:t>Client Incide</w:t>
            </w:r>
            <w:r w:rsidR="002F1E4C">
              <w:t>n</w:t>
            </w:r>
            <w:r>
              <w:t>t Management System</w:t>
            </w:r>
          </w:p>
          <w:p w14:paraId="30E6956D" w14:textId="2B983DAB" w:rsidR="00D1035D" w:rsidRPr="00431F42" w:rsidRDefault="00D1035D" w:rsidP="00431F42">
            <w:pPr>
              <w:pStyle w:val="Documenttitle"/>
            </w:pPr>
            <w:r>
              <w:t>Policy update 2-2024</w:t>
            </w:r>
          </w:p>
        </w:tc>
      </w:tr>
      <w:tr w:rsidR="00AD784C" w14:paraId="246F9CB0" w14:textId="77777777" w:rsidTr="62AC147D">
        <w:trPr>
          <w:cantSplit/>
        </w:trPr>
        <w:tc>
          <w:tcPr>
            <w:tcW w:w="0" w:type="auto"/>
          </w:tcPr>
          <w:p w14:paraId="3BE48358" w14:textId="77777777" w:rsidR="00386109" w:rsidRDefault="002F1E4C" w:rsidP="00C12B05">
            <w:pPr>
              <w:pStyle w:val="Documentsubtitle"/>
            </w:pPr>
            <w:r>
              <w:t>New ‘Serious risk’ incident type; Reporting of client gender; services in scope; new ‘family violence and sexual assault services’ program type.</w:t>
            </w:r>
          </w:p>
          <w:p w14:paraId="6656E0A6" w14:textId="52F02B88" w:rsidR="002F1E4C" w:rsidRDefault="2B4BD387" w:rsidP="00C12B05">
            <w:pPr>
              <w:pStyle w:val="Documentsubtitle"/>
            </w:pPr>
            <w:r>
              <w:t xml:space="preserve">30 </w:t>
            </w:r>
            <w:r w:rsidR="00483E93">
              <w:t>May 2024</w:t>
            </w:r>
          </w:p>
          <w:p w14:paraId="14EEB3AC" w14:textId="7C530F55" w:rsidR="002F1E4C" w:rsidRPr="00A1389F" w:rsidRDefault="002F1E4C" w:rsidP="00C12B05">
            <w:pPr>
              <w:pStyle w:val="Documentsubtitle"/>
            </w:pPr>
          </w:p>
        </w:tc>
      </w:tr>
      <w:tr w:rsidR="00430393" w14:paraId="2AE57792" w14:textId="77777777" w:rsidTr="62AC147D">
        <w:trPr>
          <w:cantSplit/>
        </w:trPr>
        <w:tc>
          <w:tcPr>
            <w:tcW w:w="0" w:type="auto"/>
          </w:tcPr>
          <w:p w14:paraId="68DABF30" w14:textId="0BB6DC2A" w:rsidR="00430393" w:rsidRDefault="00430393" w:rsidP="00430393">
            <w:pPr>
              <w:pStyle w:val="Bannermarking"/>
            </w:pPr>
          </w:p>
        </w:tc>
      </w:tr>
      <w:tr w:rsidR="00431F42" w14:paraId="649C9799" w14:textId="77777777" w:rsidTr="62AC147D">
        <w:trPr>
          <w:trHeight w:val="7371"/>
        </w:trPr>
        <w:tc>
          <w:tcPr>
            <w:tcW w:w="7598" w:type="dxa"/>
            <w:vAlign w:val="center"/>
          </w:tcPr>
          <w:p w14:paraId="482C3FE9" w14:textId="01B7C9DF" w:rsidR="00431F42" w:rsidRDefault="00431F42" w:rsidP="00431F42">
            <w:pPr>
              <w:pStyle w:val="Documentsubtitle"/>
            </w:pPr>
          </w:p>
        </w:tc>
      </w:tr>
      <w:tr w:rsidR="00431F42" w14:paraId="0BAEE86B" w14:textId="77777777" w:rsidTr="62AC147D">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CB2BDC7" w14:textId="77777777" w:rsidTr="62AC147D">
        <w:trPr>
          <w:cantSplit/>
          <w:trHeight w:val="7088"/>
        </w:trPr>
        <w:tc>
          <w:tcPr>
            <w:tcW w:w="9288" w:type="dxa"/>
          </w:tcPr>
          <w:p w14:paraId="48A49346" w14:textId="7BEFB6A6" w:rsidR="009F2182" w:rsidRPr="006A2717" w:rsidRDefault="009F2182" w:rsidP="001C7128">
            <w:pPr>
              <w:pStyle w:val="Body"/>
              <w:spacing w:before="120"/>
              <w:rPr>
                <w:rFonts w:eastAsia="Times New Roman"/>
                <w:color w:val="87189D"/>
                <w:sz w:val="24"/>
                <w:szCs w:val="24"/>
              </w:rPr>
            </w:pPr>
          </w:p>
        </w:tc>
      </w:tr>
      <w:tr w:rsidR="009F2182" w14:paraId="2657A1D9" w14:textId="77777777" w:rsidTr="62AC147D">
        <w:trPr>
          <w:cantSplit/>
          <w:trHeight w:val="5103"/>
        </w:trPr>
        <w:tc>
          <w:tcPr>
            <w:tcW w:w="9288" w:type="dxa"/>
            <w:vAlign w:val="bottom"/>
          </w:tcPr>
          <w:p w14:paraId="2F742D29" w14:textId="336C86A1" w:rsidR="009F2182" w:rsidRPr="0055119B" w:rsidRDefault="009F2182" w:rsidP="009F2182">
            <w:pPr>
              <w:pStyle w:val="Accessibilitypara"/>
            </w:pPr>
            <w:r w:rsidRPr="0055119B">
              <w:t>To receive this document in another format</w:t>
            </w:r>
            <w:r>
              <w:t>,</w:t>
            </w:r>
            <w:r w:rsidRPr="0055119B">
              <w:t xml:space="preserve"> </w:t>
            </w:r>
            <w:hyperlink r:id="rId12" w:history="1">
              <w:r w:rsidRPr="006030E0">
                <w:rPr>
                  <w:rStyle w:val="Hyperlink"/>
                </w:rPr>
                <w:t xml:space="preserve">email </w:t>
              </w:r>
              <w:r w:rsidR="002F1E4C" w:rsidRPr="006030E0">
                <w:rPr>
                  <w:rStyle w:val="Hyperlink"/>
                </w:rPr>
                <w:t>the client incident management system team</w:t>
              </w:r>
            </w:hyperlink>
            <w:r w:rsidR="002F1E4C">
              <w:t xml:space="preserve"> </w:t>
            </w:r>
            <w:r w:rsidR="006030E0">
              <w:t>&lt;</w:t>
            </w:r>
            <w:r w:rsidR="006030E0" w:rsidRPr="006030E0">
              <w:t>Statewide.CIMS@dffh.vic.gov.au</w:t>
            </w:r>
            <w:r w:rsidR="006030E0">
              <w:t xml:space="preserve">&gt; </w:t>
            </w:r>
          </w:p>
          <w:p w14:paraId="16F54DB2" w14:textId="77777777" w:rsidR="009F2182" w:rsidRPr="0055119B" w:rsidRDefault="009F2182" w:rsidP="009F2182">
            <w:pPr>
              <w:pStyle w:val="Imprint"/>
            </w:pPr>
            <w:r w:rsidRPr="0055119B">
              <w:t>Authorised and published by the Victorian Government, 1 Treasury Place, Melbourne.</w:t>
            </w:r>
          </w:p>
          <w:p w14:paraId="5BB26A4C" w14:textId="5485C4B7" w:rsidR="009F2182" w:rsidRPr="0055119B" w:rsidRDefault="009F2182" w:rsidP="009F2182">
            <w:pPr>
              <w:pStyle w:val="Imprint"/>
            </w:pPr>
            <w:r>
              <w:t xml:space="preserve">© State of Victoria, Australia, Department of Families, Fairness and Housing, </w:t>
            </w:r>
            <w:r w:rsidR="6F7FE55D">
              <w:t>30 May</w:t>
            </w:r>
            <w:r w:rsidR="006030E0">
              <w:t xml:space="preserve"> 2024</w:t>
            </w:r>
            <w:r>
              <w:t>.</w:t>
            </w:r>
          </w:p>
          <w:p w14:paraId="20277F9E" w14:textId="4F37BDD2" w:rsidR="009F2182" w:rsidRDefault="009F2182" w:rsidP="006F6B76">
            <w:pPr>
              <w:pStyle w:val="Imprint"/>
            </w:pPr>
          </w:p>
        </w:tc>
      </w:tr>
      <w:tr w:rsidR="0008204A" w14:paraId="657B4CC4" w14:textId="77777777" w:rsidTr="62AC147D">
        <w:trPr>
          <w:cantSplit/>
        </w:trPr>
        <w:tc>
          <w:tcPr>
            <w:tcW w:w="9288" w:type="dxa"/>
          </w:tcPr>
          <w:p w14:paraId="14002AEC" w14:textId="77777777" w:rsidR="0008204A" w:rsidRPr="0055119B" w:rsidRDefault="0008204A" w:rsidP="0008204A">
            <w:pPr>
              <w:pStyle w:val="Body"/>
            </w:pPr>
          </w:p>
        </w:tc>
      </w:tr>
    </w:tbl>
    <w:p w14:paraId="0A182FBD" w14:textId="328F7B3D"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p w14:paraId="02D601C4" w14:textId="2E24AD70" w:rsidR="00CA20A1" w:rsidRDefault="00AD784C">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\h \z \t "Heading 1,1,Heading 2,2" </w:instrText>
      </w:r>
      <w:r>
        <w:fldChar w:fldCharType="separate"/>
      </w:r>
      <w:hyperlink w:anchor="_Toc163468590" w:history="1">
        <w:r w:rsidR="00CA20A1" w:rsidRPr="00EC0FA9">
          <w:rPr>
            <w:rStyle w:val="Hyperlink"/>
          </w:rPr>
          <w:t>Client Incident Management System: policy update 2-2024</w:t>
        </w:r>
        <w:r w:rsidR="00CA20A1">
          <w:rPr>
            <w:webHidden/>
          </w:rPr>
          <w:tab/>
        </w:r>
        <w:r w:rsidR="00CA20A1">
          <w:rPr>
            <w:webHidden/>
          </w:rPr>
          <w:fldChar w:fldCharType="begin"/>
        </w:r>
        <w:r w:rsidR="00CA20A1">
          <w:rPr>
            <w:webHidden/>
          </w:rPr>
          <w:instrText xml:space="preserve"> PAGEREF _Toc163468590 \h </w:instrText>
        </w:r>
        <w:r w:rsidR="00CA20A1">
          <w:rPr>
            <w:webHidden/>
          </w:rPr>
        </w:r>
        <w:r w:rsidR="00CA20A1">
          <w:rPr>
            <w:webHidden/>
          </w:rPr>
          <w:fldChar w:fldCharType="separate"/>
        </w:r>
        <w:r w:rsidR="00CA20A1">
          <w:rPr>
            <w:webHidden/>
          </w:rPr>
          <w:t>4</w:t>
        </w:r>
        <w:r w:rsidR="00CA20A1">
          <w:rPr>
            <w:webHidden/>
          </w:rPr>
          <w:fldChar w:fldCharType="end"/>
        </w:r>
      </w:hyperlink>
    </w:p>
    <w:p w14:paraId="670E647A" w14:textId="44A9BF53" w:rsidR="00CA20A1" w:rsidRDefault="00A201DF">
      <w:pPr>
        <w:pStyle w:val="TOC2"/>
        <w:rPr>
          <w:rFonts w:asciiTheme="minorHAnsi" w:eastAsiaTheme="minorEastAsia" w:hAnsiTheme="minorHAnsi" w:cstheme="minorBidi"/>
          <w:kern w:val="2"/>
          <w:sz w:val="22"/>
          <w:szCs w:val="22"/>
          <w:lang w:eastAsia="en-AU"/>
          <w14:ligatures w14:val="standardContextual"/>
        </w:rPr>
      </w:pPr>
      <w:hyperlink w:anchor="_Toc163468591" w:history="1">
        <w:r w:rsidR="00CA20A1" w:rsidRPr="00EC0FA9">
          <w:rPr>
            <w:rStyle w:val="Hyperlink"/>
          </w:rPr>
          <w:t>Using and applying this update</w:t>
        </w:r>
        <w:r w:rsidR="00CA20A1">
          <w:rPr>
            <w:webHidden/>
          </w:rPr>
          <w:tab/>
        </w:r>
        <w:r w:rsidR="00CA20A1">
          <w:rPr>
            <w:webHidden/>
          </w:rPr>
          <w:fldChar w:fldCharType="begin"/>
        </w:r>
        <w:r w:rsidR="00CA20A1">
          <w:rPr>
            <w:webHidden/>
          </w:rPr>
          <w:instrText xml:space="preserve"> PAGEREF _Toc163468591 \h </w:instrText>
        </w:r>
        <w:r w:rsidR="00CA20A1">
          <w:rPr>
            <w:webHidden/>
          </w:rPr>
        </w:r>
        <w:r w:rsidR="00CA20A1">
          <w:rPr>
            <w:webHidden/>
          </w:rPr>
          <w:fldChar w:fldCharType="separate"/>
        </w:r>
        <w:r w:rsidR="00CA20A1">
          <w:rPr>
            <w:webHidden/>
          </w:rPr>
          <w:t>4</w:t>
        </w:r>
        <w:r w:rsidR="00CA20A1">
          <w:rPr>
            <w:webHidden/>
          </w:rPr>
          <w:fldChar w:fldCharType="end"/>
        </w:r>
      </w:hyperlink>
    </w:p>
    <w:p w14:paraId="2E317B39" w14:textId="2C9D7D88" w:rsidR="00CA20A1" w:rsidRDefault="00A201DF">
      <w:pPr>
        <w:pStyle w:val="TOC2"/>
        <w:rPr>
          <w:rFonts w:asciiTheme="minorHAnsi" w:eastAsiaTheme="minorEastAsia" w:hAnsiTheme="minorHAnsi" w:cstheme="minorBidi"/>
          <w:kern w:val="2"/>
          <w:sz w:val="22"/>
          <w:szCs w:val="22"/>
          <w:lang w:eastAsia="en-AU"/>
          <w14:ligatures w14:val="standardContextual"/>
        </w:rPr>
      </w:pPr>
      <w:hyperlink w:anchor="_Toc163468592" w:history="1">
        <w:r w:rsidR="00CA20A1" w:rsidRPr="00EC0FA9">
          <w:rPr>
            <w:rStyle w:val="Hyperlink"/>
          </w:rPr>
          <w:t>New incident type - ‘Serious Risk’</w:t>
        </w:r>
        <w:r w:rsidR="00CA20A1">
          <w:rPr>
            <w:webHidden/>
          </w:rPr>
          <w:tab/>
        </w:r>
        <w:r w:rsidR="00CA20A1">
          <w:rPr>
            <w:webHidden/>
          </w:rPr>
          <w:fldChar w:fldCharType="begin"/>
        </w:r>
        <w:r w:rsidR="00CA20A1">
          <w:rPr>
            <w:webHidden/>
          </w:rPr>
          <w:instrText xml:space="preserve"> PAGEREF _Toc163468592 \h </w:instrText>
        </w:r>
        <w:r w:rsidR="00CA20A1">
          <w:rPr>
            <w:webHidden/>
          </w:rPr>
        </w:r>
        <w:r w:rsidR="00CA20A1">
          <w:rPr>
            <w:webHidden/>
          </w:rPr>
          <w:fldChar w:fldCharType="separate"/>
        </w:r>
        <w:r w:rsidR="00CA20A1">
          <w:rPr>
            <w:webHidden/>
          </w:rPr>
          <w:t>4</w:t>
        </w:r>
        <w:r w:rsidR="00CA20A1">
          <w:rPr>
            <w:webHidden/>
          </w:rPr>
          <w:fldChar w:fldCharType="end"/>
        </w:r>
      </w:hyperlink>
    </w:p>
    <w:p w14:paraId="3B50F2CE" w14:textId="53AFB644" w:rsidR="00CA20A1" w:rsidRDefault="00A201DF">
      <w:pPr>
        <w:pStyle w:val="TOC2"/>
        <w:rPr>
          <w:rFonts w:asciiTheme="minorHAnsi" w:eastAsiaTheme="minorEastAsia" w:hAnsiTheme="minorHAnsi" w:cstheme="minorBidi"/>
          <w:kern w:val="2"/>
          <w:sz w:val="22"/>
          <w:szCs w:val="22"/>
          <w:lang w:eastAsia="en-AU"/>
          <w14:ligatures w14:val="standardContextual"/>
        </w:rPr>
      </w:pPr>
      <w:hyperlink w:anchor="_Toc163468593" w:history="1">
        <w:r w:rsidR="00CA20A1" w:rsidRPr="00EC0FA9">
          <w:rPr>
            <w:rStyle w:val="Hyperlink"/>
          </w:rPr>
          <w:t>Reporting of client gender</w:t>
        </w:r>
        <w:r w:rsidR="00CA20A1">
          <w:rPr>
            <w:webHidden/>
          </w:rPr>
          <w:tab/>
        </w:r>
        <w:r w:rsidR="00CA20A1">
          <w:rPr>
            <w:webHidden/>
          </w:rPr>
          <w:fldChar w:fldCharType="begin"/>
        </w:r>
        <w:r w:rsidR="00CA20A1">
          <w:rPr>
            <w:webHidden/>
          </w:rPr>
          <w:instrText xml:space="preserve"> PAGEREF _Toc163468593 \h </w:instrText>
        </w:r>
        <w:r w:rsidR="00CA20A1">
          <w:rPr>
            <w:webHidden/>
          </w:rPr>
        </w:r>
        <w:r w:rsidR="00CA20A1">
          <w:rPr>
            <w:webHidden/>
          </w:rPr>
          <w:fldChar w:fldCharType="separate"/>
        </w:r>
        <w:r w:rsidR="00CA20A1">
          <w:rPr>
            <w:webHidden/>
          </w:rPr>
          <w:t>5</w:t>
        </w:r>
        <w:r w:rsidR="00CA20A1">
          <w:rPr>
            <w:webHidden/>
          </w:rPr>
          <w:fldChar w:fldCharType="end"/>
        </w:r>
      </w:hyperlink>
    </w:p>
    <w:p w14:paraId="2B7F8C0C" w14:textId="5B981A8D" w:rsidR="00CA20A1" w:rsidRDefault="00A201DF">
      <w:pPr>
        <w:pStyle w:val="TOC2"/>
        <w:rPr>
          <w:rFonts w:asciiTheme="minorHAnsi" w:eastAsiaTheme="minorEastAsia" w:hAnsiTheme="minorHAnsi" w:cstheme="minorBidi"/>
          <w:kern w:val="2"/>
          <w:sz w:val="22"/>
          <w:szCs w:val="22"/>
          <w:lang w:eastAsia="en-AU"/>
          <w14:ligatures w14:val="standardContextual"/>
        </w:rPr>
      </w:pPr>
      <w:hyperlink w:anchor="_Toc163468594" w:history="1">
        <w:r w:rsidR="00CA20A1" w:rsidRPr="00EC0FA9">
          <w:rPr>
            <w:rStyle w:val="Hyperlink"/>
          </w:rPr>
          <w:t>Services in scope of CIMS</w:t>
        </w:r>
        <w:r w:rsidR="00CA20A1">
          <w:rPr>
            <w:webHidden/>
          </w:rPr>
          <w:tab/>
        </w:r>
        <w:r w:rsidR="00CA20A1">
          <w:rPr>
            <w:webHidden/>
          </w:rPr>
          <w:fldChar w:fldCharType="begin"/>
        </w:r>
        <w:r w:rsidR="00CA20A1">
          <w:rPr>
            <w:webHidden/>
          </w:rPr>
          <w:instrText xml:space="preserve"> PAGEREF _Toc163468594 \h </w:instrText>
        </w:r>
        <w:r w:rsidR="00CA20A1">
          <w:rPr>
            <w:webHidden/>
          </w:rPr>
        </w:r>
        <w:r w:rsidR="00CA20A1">
          <w:rPr>
            <w:webHidden/>
          </w:rPr>
          <w:fldChar w:fldCharType="separate"/>
        </w:r>
        <w:r w:rsidR="00CA20A1">
          <w:rPr>
            <w:webHidden/>
          </w:rPr>
          <w:t>5</w:t>
        </w:r>
        <w:r w:rsidR="00CA20A1">
          <w:rPr>
            <w:webHidden/>
          </w:rPr>
          <w:fldChar w:fldCharType="end"/>
        </w:r>
      </w:hyperlink>
    </w:p>
    <w:p w14:paraId="572C7F93" w14:textId="419CD11F" w:rsidR="00CA20A1" w:rsidRDefault="00A201DF">
      <w:pPr>
        <w:pStyle w:val="TOC2"/>
        <w:rPr>
          <w:rFonts w:asciiTheme="minorHAnsi" w:eastAsiaTheme="minorEastAsia" w:hAnsiTheme="minorHAnsi" w:cstheme="minorBidi"/>
          <w:kern w:val="2"/>
          <w:sz w:val="22"/>
          <w:szCs w:val="22"/>
          <w:lang w:eastAsia="en-AU"/>
          <w14:ligatures w14:val="standardContextual"/>
        </w:rPr>
      </w:pPr>
      <w:hyperlink w:anchor="_Toc163468595" w:history="1">
        <w:r w:rsidR="00CA20A1" w:rsidRPr="00EC0FA9">
          <w:rPr>
            <w:rStyle w:val="Hyperlink"/>
          </w:rPr>
          <w:t>New ‘Family violence and sexual assault services’ program type</w:t>
        </w:r>
        <w:r w:rsidR="00CA20A1">
          <w:rPr>
            <w:webHidden/>
          </w:rPr>
          <w:tab/>
        </w:r>
        <w:r w:rsidR="00CA20A1">
          <w:rPr>
            <w:webHidden/>
          </w:rPr>
          <w:fldChar w:fldCharType="begin"/>
        </w:r>
        <w:r w:rsidR="00CA20A1">
          <w:rPr>
            <w:webHidden/>
          </w:rPr>
          <w:instrText xml:space="preserve"> PAGEREF _Toc163468595 \h </w:instrText>
        </w:r>
        <w:r w:rsidR="00CA20A1">
          <w:rPr>
            <w:webHidden/>
          </w:rPr>
        </w:r>
        <w:r w:rsidR="00CA20A1">
          <w:rPr>
            <w:webHidden/>
          </w:rPr>
          <w:fldChar w:fldCharType="separate"/>
        </w:r>
        <w:r w:rsidR="00CA20A1">
          <w:rPr>
            <w:webHidden/>
          </w:rPr>
          <w:t>5</w:t>
        </w:r>
        <w:r w:rsidR="00CA20A1">
          <w:rPr>
            <w:webHidden/>
          </w:rPr>
          <w:fldChar w:fldCharType="end"/>
        </w:r>
      </w:hyperlink>
    </w:p>
    <w:p w14:paraId="612714B9" w14:textId="75BA171E" w:rsidR="00CA20A1" w:rsidRDefault="00A201DF">
      <w:pPr>
        <w:pStyle w:val="TOC2"/>
        <w:rPr>
          <w:rFonts w:asciiTheme="minorHAnsi" w:eastAsiaTheme="minorEastAsia" w:hAnsiTheme="minorHAnsi" w:cstheme="minorBidi"/>
          <w:kern w:val="2"/>
          <w:sz w:val="22"/>
          <w:szCs w:val="22"/>
          <w:lang w:eastAsia="en-AU"/>
          <w14:ligatures w14:val="standardContextual"/>
        </w:rPr>
      </w:pPr>
      <w:hyperlink w:anchor="_Toc163468596" w:history="1">
        <w:r w:rsidR="00CA20A1" w:rsidRPr="00EC0FA9">
          <w:rPr>
            <w:rStyle w:val="Hyperlink"/>
          </w:rPr>
          <w:t>Collection notices</w:t>
        </w:r>
        <w:r w:rsidR="00CA20A1">
          <w:rPr>
            <w:webHidden/>
          </w:rPr>
          <w:tab/>
        </w:r>
        <w:r w:rsidR="00CA20A1">
          <w:rPr>
            <w:webHidden/>
          </w:rPr>
          <w:fldChar w:fldCharType="begin"/>
        </w:r>
        <w:r w:rsidR="00CA20A1">
          <w:rPr>
            <w:webHidden/>
          </w:rPr>
          <w:instrText xml:space="preserve"> PAGEREF _Toc163468596 \h </w:instrText>
        </w:r>
        <w:r w:rsidR="00CA20A1">
          <w:rPr>
            <w:webHidden/>
          </w:rPr>
        </w:r>
        <w:r w:rsidR="00CA20A1">
          <w:rPr>
            <w:webHidden/>
          </w:rPr>
          <w:fldChar w:fldCharType="separate"/>
        </w:r>
        <w:r w:rsidR="00CA20A1">
          <w:rPr>
            <w:webHidden/>
          </w:rPr>
          <w:t>6</w:t>
        </w:r>
        <w:r w:rsidR="00CA20A1">
          <w:rPr>
            <w:webHidden/>
          </w:rPr>
          <w:fldChar w:fldCharType="end"/>
        </w:r>
      </w:hyperlink>
    </w:p>
    <w:p w14:paraId="3352F3BF" w14:textId="77DB4F51" w:rsidR="00CA20A1" w:rsidRDefault="00A201DF">
      <w:pPr>
        <w:pStyle w:val="TOC2"/>
        <w:rPr>
          <w:rFonts w:asciiTheme="minorHAnsi" w:eastAsiaTheme="minorEastAsia" w:hAnsiTheme="minorHAnsi" w:cstheme="minorBidi"/>
          <w:kern w:val="2"/>
          <w:sz w:val="22"/>
          <w:szCs w:val="22"/>
          <w:lang w:eastAsia="en-AU"/>
          <w14:ligatures w14:val="standardContextual"/>
        </w:rPr>
      </w:pPr>
      <w:hyperlink w:anchor="_Toc163468597" w:history="1">
        <w:r w:rsidR="00CA20A1" w:rsidRPr="00EC0FA9">
          <w:rPr>
            <w:rStyle w:val="Hyperlink"/>
          </w:rPr>
          <w:t>Appendix D: Accountability mechanisms for service providers</w:t>
        </w:r>
        <w:r w:rsidR="00CA20A1">
          <w:rPr>
            <w:webHidden/>
          </w:rPr>
          <w:tab/>
        </w:r>
        <w:r w:rsidR="00CA20A1">
          <w:rPr>
            <w:webHidden/>
          </w:rPr>
          <w:fldChar w:fldCharType="begin"/>
        </w:r>
        <w:r w:rsidR="00CA20A1">
          <w:rPr>
            <w:webHidden/>
          </w:rPr>
          <w:instrText xml:space="preserve"> PAGEREF _Toc163468597 \h </w:instrText>
        </w:r>
        <w:r w:rsidR="00CA20A1">
          <w:rPr>
            <w:webHidden/>
          </w:rPr>
        </w:r>
        <w:r w:rsidR="00CA20A1">
          <w:rPr>
            <w:webHidden/>
          </w:rPr>
          <w:fldChar w:fldCharType="separate"/>
        </w:r>
        <w:r w:rsidR="00CA20A1">
          <w:rPr>
            <w:webHidden/>
          </w:rPr>
          <w:t>6</w:t>
        </w:r>
        <w:r w:rsidR="00CA20A1">
          <w:rPr>
            <w:webHidden/>
          </w:rPr>
          <w:fldChar w:fldCharType="end"/>
        </w:r>
      </w:hyperlink>
    </w:p>
    <w:p w14:paraId="42C49055" w14:textId="105DA781" w:rsidR="00FB1F6E" w:rsidRDefault="00AD784C" w:rsidP="00D079AA">
      <w:pPr>
        <w:pStyle w:val="Body"/>
      </w:pPr>
      <w:r>
        <w:fldChar w:fldCharType="end"/>
      </w:r>
    </w:p>
    <w:p w14:paraId="525F1500" w14:textId="77777777" w:rsidR="00CA20A1" w:rsidRPr="00AB50C1" w:rsidRDefault="00FB1F6E" w:rsidP="00CA20A1">
      <w:pPr>
        <w:pStyle w:val="Heading1"/>
        <w:spacing w:before="0"/>
      </w:pPr>
      <w:r>
        <w:br w:type="page"/>
      </w:r>
      <w:bookmarkStart w:id="0" w:name="_Toc161771003"/>
      <w:bookmarkStart w:id="1" w:name="_Toc163468590"/>
      <w:r w:rsidR="00CA20A1">
        <w:lastRenderedPageBreak/>
        <w:t>Client Incident Management System: policy update 2-2024</w:t>
      </w:r>
      <w:bookmarkEnd w:id="0"/>
      <w:bookmarkEnd w:id="1"/>
    </w:p>
    <w:p w14:paraId="24B58734" w14:textId="77777777" w:rsidR="00CA20A1" w:rsidRDefault="00CA20A1" w:rsidP="00CA20A1">
      <w:pPr>
        <w:pStyle w:val="DHHSbody"/>
      </w:pPr>
      <w:r>
        <w:t>Client incidents that occur during service delivery and result in harm to a client, or are reasonably likely to seriously harm a client, are required to be reported to the Department of Families, Fairness and Housing (the department) by all in-scope services in the Client Incident Management System (CIMS).</w:t>
      </w:r>
    </w:p>
    <w:p w14:paraId="6310A670" w14:textId="77777777" w:rsidR="00CA20A1" w:rsidRDefault="00CA20A1" w:rsidP="00CA20A1">
      <w:pPr>
        <w:pStyle w:val="DHHSbody"/>
      </w:pPr>
      <w:r>
        <w:t>Changes to the CIMS guide coming into effect 17 June are 2024 are in the following sections:</w:t>
      </w:r>
    </w:p>
    <w:p w14:paraId="10CDFAA5" w14:textId="77777777" w:rsidR="00CA20A1" w:rsidRDefault="00CA20A1" w:rsidP="00CA20A1">
      <w:pPr>
        <w:pStyle w:val="DHHSbullet1"/>
        <w:numPr>
          <w:ilvl w:val="0"/>
          <w:numId w:val="7"/>
        </w:numPr>
        <w:rPr>
          <w:rFonts w:eastAsia="Arial" w:cs="Arial"/>
        </w:rPr>
      </w:pPr>
      <w:r w:rsidRPr="3A3D2330">
        <w:t>Section 1.3 – CIMS services-in-scope updated to align with the terminology used in the Social Services Regulations 2023</w:t>
      </w:r>
    </w:p>
    <w:p w14:paraId="49154B41" w14:textId="77777777" w:rsidR="00CA20A1" w:rsidRDefault="00CA20A1" w:rsidP="00CA20A1">
      <w:pPr>
        <w:pStyle w:val="DHHSbullet1"/>
        <w:numPr>
          <w:ilvl w:val="0"/>
          <w:numId w:val="7"/>
        </w:numPr>
        <w:rPr>
          <w:rFonts w:eastAsia="Arial" w:cs="Arial"/>
        </w:rPr>
      </w:pPr>
      <w:r w:rsidRPr="3A3D2330">
        <w:t>Section 3.8.5 – Requirement for collection notices inserted</w:t>
      </w:r>
    </w:p>
    <w:p w14:paraId="50F4E91C" w14:textId="77777777" w:rsidR="00CA20A1" w:rsidRDefault="00CA20A1" w:rsidP="00CA20A1">
      <w:pPr>
        <w:pStyle w:val="DHHSbullet1"/>
        <w:numPr>
          <w:ilvl w:val="0"/>
          <w:numId w:val="7"/>
        </w:numPr>
        <w:rPr>
          <w:rFonts w:eastAsia="Arial" w:cs="Arial"/>
        </w:rPr>
      </w:pPr>
      <w:r w:rsidRPr="3A3D2330">
        <w:t>Appendix A – new incident type of ‘serious risk’ inserted</w:t>
      </w:r>
    </w:p>
    <w:p w14:paraId="5E9FB19C" w14:textId="77777777" w:rsidR="00CA20A1" w:rsidRDefault="00CA20A1" w:rsidP="00CA20A1">
      <w:pPr>
        <w:pStyle w:val="DHHSbullet1"/>
        <w:numPr>
          <w:ilvl w:val="0"/>
          <w:numId w:val="7"/>
        </w:numPr>
        <w:rPr>
          <w:rFonts w:eastAsia="Arial" w:cs="Arial"/>
        </w:rPr>
      </w:pPr>
      <w:r w:rsidRPr="3A3D2330">
        <w:t>Appendix C – CIMS services-in-scope updated to align with the terminology used in the Social Services Regulations 2023</w:t>
      </w:r>
    </w:p>
    <w:p w14:paraId="2F6D90BA" w14:textId="77777777" w:rsidR="00CA20A1" w:rsidRDefault="00CA20A1" w:rsidP="00CA20A1">
      <w:pPr>
        <w:pStyle w:val="DHHSbullet1"/>
        <w:numPr>
          <w:ilvl w:val="0"/>
          <w:numId w:val="7"/>
        </w:numPr>
        <w:rPr>
          <w:rFonts w:eastAsia="Arial" w:cs="Arial"/>
        </w:rPr>
      </w:pPr>
      <w:r w:rsidRPr="3A3D2330">
        <w:t>Appendix D – information on the Social Services Regulator inserted. CIMS information sharing with the Commission for Children and Young People and Social Services Regulator inserted.</w:t>
      </w:r>
    </w:p>
    <w:p w14:paraId="19560E5B" w14:textId="77777777" w:rsidR="00CA20A1" w:rsidRDefault="00CA20A1" w:rsidP="00CA20A1">
      <w:pPr>
        <w:pStyle w:val="DHHSbullet1"/>
        <w:numPr>
          <w:ilvl w:val="0"/>
          <w:numId w:val="7"/>
        </w:numPr>
      </w:pPr>
      <w:r w:rsidRPr="3A3D2330">
        <w:t>Appendix E – New gender and family violence and sexual assault services program fields inserted.</w:t>
      </w:r>
    </w:p>
    <w:p w14:paraId="3FD2C219" w14:textId="77777777" w:rsidR="00CA20A1" w:rsidRPr="00711B0C" w:rsidRDefault="00CA20A1" w:rsidP="00CA20A1">
      <w:pPr>
        <w:pStyle w:val="Heading2"/>
      </w:pPr>
      <w:bookmarkStart w:id="2" w:name="_Toc161771004"/>
      <w:bookmarkStart w:id="3" w:name="_Toc163468591"/>
      <w:r>
        <w:t>Using and applying this update</w:t>
      </w:r>
      <w:bookmarkEnd w:id="2"/>
      <w:bookmarkEnd w:id="3"/>
    </w:p>
    <w:p w14:paraId="136D2009" w14:textId="77777777" w:rsidR="00CA20A1" w:rsidRDefault="00CA20A1" w:rsidP="00CA20A1">
      <w:pPr>
        <w:pStyle w:val="DHHSbody"/>
      </w:pPr>
      <w:r>
        <w:t>This policy update supports the operation of the CIMS and is applicable from 17 June 2024. It should be read in conjunction with the Client incident management guide (the guide) and related summary documents, operational updates, and addenda that provide specific guidance for nominated program areas and service types.</w:t>
      </w:r>
    </w:p>
    <w:p w14:paraId="5C72C2C6" w14:textId="77777777" w:rsidR="00CA20A1" w:rsidRDefault="00CA20A1" w:rsidP="00CA20A1">
      <w:pPr>
        <w:pStyle w:val="DHHSbody"/>
      </w:pPr>
      <w:r>
        <w:t>The guidance provided in this update supersedes requirements and terminology in the guide and related documents in relation to:</w:t>
      </w:r>
    </w:p>
    <w:p w14:paraId="39A7070A" w14:textId="77777777" w:rsidR="00CA20A1" w:rsidRDefault="00CA20A1" w:rsidP="00CA20A1">
      <w:pPr>
        <w:pStyle w:val="DHHSbullet1"/>
        <w:numPr>
          <w:ilvl w:val="0"/>
          <w:numId w:val="7"/>
        </w:numPr>
      </w:pPr>
      <w:r>
        <w:t>Incidents which are reasonably likely to seriously harm a client.</w:t>
      </w:r>
    </w:p>
    <w:p w14:paraId="57C5CDB1" w14:textId="77777777" w:rsidR="00CA20A1" w:rsidRDefault="00CA20A1" w:rsidP="00CA20A1">
      <w:pPr>
        <w:pStyle w:val="DHHSbullet1"/>
        <w:numPr>
          <w:ilvl w:val="0"/>
          <w:numId w:val="7"/>
        </w:numPr>
      </w:pPr>
      <w:r>
        <w:t>Reporting of client gender.</w:t>
      </w:r>
    </w:p>
    <w:p w14:paraId="5A70EEF1" w14:textId="77777777" w:rsidR="00CA20A1" w:rsidRDefault="00CA20A1" w:rsidP="00CA20A1">
      <w:pPr>
        <w:pStyle w:val="DHHSbullet1"/>
        <w:numPr>
          <w:ilvl w:val="0"/>
          <w:numId w:val="7"/>
        </w:numPr>
      </w:pPr>
      <w:r>
        <w:t>Services in scope of CIMS.</w:t>
      </w:r>
    </w:p>
    <w:p w14:paraId="398B861E" w14:textId="77777777" w:rsidR="00CA20A1" w:rsidRDefault="00CA20A1" w:rsidP="00CA20A1">
      <w:pPr>
        <w:pStyle w:val="DHHSbullet1"/>
        <w:numPr>
          <w:ilvl w:val="0"/>
          <w:numId w:val="7"/>
        </w:numPr>
      </w:pPr>
      <w:r>
        <w:t>New ‘Family violence and sexual assault services’ program type.</w:t>
      </w:r>
    </w:p>
    <w:p w14:paraId="38A4FC53" w14:textId="77777777" w:rsidR="00CA20A1" w:rsidRDefault="00CA20A1" w:rsidP="00CA20A1">
      <w:pPr>
        <w:pStyle w:val="DHHSbullet1"/>
        <w:numPr>
          <w:ilvl w:val="0"/>
          <w:numId w:val="7"/>
        </w:numPr>
      </w:pPr>
      <w:r>
        <w:t>Collection notices</w:t>
      </w:r>
    </w:p>
    <w:p w14:paraId="2C70C44F" w14:textId="77777777" w:rsidR="00CA20A1" w:rsidRDefault="00CA20A1" w:rsidP="00CA20A1">
      <w:pPr>
        <w:pStyle w:val="DHHSbullet1"/>
        <w:ind w:left="0" w:firstLine="0"/>
      </w:pPr>
    </w:p>
    <w:p w14:paraId="7D27E176" w14:textId="77777777" w:rsidR="00CA20A1" w:rsidRDefault="00CA20A1" w:rsidP="00CA20A1">
      <w:pPr>
        <w:pStyle w:val="DHHSbullet1"/>
        <w:ind w:left="0" w:firstLine="0"/>
      </w:pPr>
      <w:r>
        <w:t>For service providers using the department-built client incident register to capture and transmit incident-related information to the department, the changes outlined in this policy update are applicable from 17 June 2024.</w:t>
      </w:r>
    </w:p>
    <w:p w14:paraId="7E01791B" w14:textId="77777777" w:rsidR="00CA20A1" w:rsidRDefault="00CA20A1" w:rsidP="00CA20A1">
      <w:pPr>
        <w:pStyle w:val="DHHSbodyafterbullets"/>
      </w:pPr>
      <w:r>
        <w:t>Service providers that have chosen to use the application program interface (API) to submit client incident information from their existing IT platforms to the department are required to update their standalone systems by 17 June 2024. Operational guidance to support these changes has been provided on 28 March 2024.</w:t>
      </w:r>
    </w:p>
    <w:p w14:paraId="198FE9C9" w14:textId="77777777" w:rsidR="00CA20A1" w:rsidRDefault="00CA20A1" w:rsidP="00CA20A1">
      <w:pPr>
        <w:pStyle w:val="DHHSbodyafterbullets"/>
      </w:pPr>
      <w:r>
        <w:t>Policy changes will not be applied retrospectively.</w:t>
      </w:r>
    </w:p>
    <w:p w14:paraId="410889EE" w14:textId="77777777" w:rsidR="00CA20A1" w:rsidRPr="00711B0C" w:rsidRDefault="00CA20A1" w:rsidP="00CA20A1">
      <w:pPr>
        <w:pStyle w:val="Heading2"/>
      </w:pPr>
      <w:bookmarkStart w:id="4" w:name="_Toc161771005"/>
      <w:bookmarkStart w:id="5" w:name="_Toc163468592"/>
      <w:r>
        <w:t>New incident type - ‘Serious Risk’</w:t>
      </w:r>
      <w:bookmarkEnd w:id="4"/>
      <w:bookmarkEnd w:id="5"/>
    </w:p>
    <w:p w14:paraId="7FA034FE" w14:textId="77777777" w:rsidR="00CA20A1" w:rsidRDefault="00CA20A1" w:rsidP="00CA20A1">
      <w:pPr>
        <w:pStyle w:val="DHHSbody"/>
      </w:pPr>
      <w:r>
        <w:t xml:space="preserve">CIMS is the framework for service providers in scope of the Social Services Regulator to fulfill their client incident reporting requirements under section 48(1) of the </w:t>
      </w:r>
      <w:r w:rsidRPr="7D815C3F">
        <w:rPr>
          <w:i/>
          <w:iCs/>
        </w:rPr>
        <w:t xml:space="preserve">Social Services Regulation Act </w:t>
      </w:r>
      <w:r>
        <w:t>2021. The introduction of a ‘serious risk’ incident type is required to ensure CIMS captures information required by the Regulator.</w:t>
      </w:r>
    </w:p>
    <w:p w14:paraId="401DE3B1" w14:textId="77777777" w:rsidR="00CA20A1" w:rsidRDefault="00CA20A1" w:rsidP="00CA20A1">
      <w:pPr>
        <w:pStyle w:val="DHHSbody"/>
        <w:rPr>
          <w:b/>
          <w:bCs/>
        </w:rPr>
      </w:pPr>
      <w:r w:rsidRPr="26EFB549">
        <w:rPr>
          <w:b/>
          <w:bCs/>
        </w:rPr>
        <w:t>Serious risk definition:</w:t>
      </w:r>
    </w:p>
    <w:p w14:paraId="55B4DB09" w14:textId="77777777" w:rsidR="00CA20A1" w:rsidRDefault="00CA20A1" w:rsidP="00CA20A1">
      <w:pPr>
        <w:pStyle w:val="DHHSbody"/>
      </w:pPr>
      <w:r>
        <w:lastRenderedPageBreak/>
        <w:t xml:space="preserve">To align with the </w:t>
      </w:r>
      <w:r w:rsidRPr="594872DE">
        <w:rPr>
          <w:i/>
          <w:iCs/>
        </w:rPr>
        <w:t xml:space="preserve">Social Services Regulation Act, </w:t>
      </w:r>
      <w:r>
        <w:t>2021, Serious risk is:</w:t>
      </w:r>
    </w:p>
    <w:p w14:paraId="1643CB07" w14:textId="77777777" w:rsidR="00CA20A1" w:rsidRDefault="00CA20A1" w:rsidP="00CA20A1">
      <w:pPr>
        <w:pStyle w:val="DHHSbody"/>
      </w:pPr>
      <w:r>
        <w:t>An incident that is reasonably likely to cause serious harm to a service user (s48(2)(b)).</w:t>
      </w:r>
    </w:p>
    <w:p w14:paraId="3946C810" w14:textId="3FCE8200" w:rsidR="004D476D" w:rsidRDefault="004D476D" w:rsidP="00CA20A1">
      <w:pPr>
        <w:pStyle w:val="DHHSbody"/>
      </w:pPr>
      <w:r>
        <w:t xml:space="preserve">Serious harm is defined </w:t>
      </w:r>
      <w:r w:rsidR="00BE552B">
        <w:t>in</w:t>
      </w:r>
      <w:r>
        <w:t xml:space="preserve"> the </w:t>
      </w:r>
      <w:r w:rsidRPr="00BE552B">
        <w:rPr>
          <w:i/>
          <w:iCs/>
        </w:rPr>
        <w:t>Social Services Regulation Act 2021</w:t>
      </w:r>
      <w:r>
        <w:t xml:space="preserve"> as</w:t>
      </w:r>
      <w:r w:rsidR="00BE552B">
        <w:t>:</w:t>
      </w:r>
    </w:p>
    <w:p w14:paraId="1DFB06C0" w14:textId="77777777" w:rsidR="004D476D" w:rsidRDefault="004D476D" w:rsidP="004D476D">
      <w:pPr>
        <w:pStyle w:val="ListParagraph"/>
        <w:numPr>
          <w:ilvl w:val="0"/>
          <w:numId w:val="43"/>
        </w:numPr>
        <w:spacing w:after="160" w:line="259" w:lineRule="auto"/>
        <w:rPr>
          <w:rFonts w:ascii="Arial" w:eastAsia="Arial" w:hAnsi="Arial" w:cs="Arial"/>
          <w:color w:val="000000" w:themeColor="text1"/>
        </w:rPr>
      </w:pPr>
      <w:r w:rsidRPr="26EFB549">
        <w:rPr>
          <w:rFonts w:ascii="Arial" w:eastAsia="Arial" w:hAnsi="Arial" w:cs="Arial"/>
          <w:color w:val="000000" w:themeColor="text1"/>
          <w:lang w:val="en-US"/>
        </w:rPr>
        <w:t>Death/Permanent or long-term serious impairment/Permanent of long-term serious disfigurement/Loss of foetus; and</w:t>
      </w:r>
    </w:p>
    <w:p w14:paraId="423EC01A" w14:textId="77777777" w:rsidR="004D476D" w:rsidRDefault="004D476D" w:rsidP="004D476D">
      <w:pPr>
        <w:pStyle w:val="ListParagraph"/>
        <w:numPr>
          <w:ilvl w:val="0"/>
          <w:numId w:val="43"/>
        </w:numPr>
        <w:spacing w:after="160" w:line="259" w:lineRule="auto"/>
        <w:rPr>
          <w:rFonts w:ascii="Arial" w:eastAsia="Arial" w:hAnsi="Arial" w:cs="Arial"/>
          <w:color w:val="000000" w:themeColor="text1"/>
        </w:rPr>
      </w:pPr>
      <w:r w:rsidRPr="26EFB549">
        <w:rPr>
          <w:rFonts w:ascii="Arial" w:eastAsia="Arial" w:hAnsi="Arial" w:cs="Arial"/>
          <w:color w:val="000000" w:themeColor="text1"/>
          <w:lang w:val="en-US"/>
        </w:rPr>
        <w:t>Permanent or long-term severe psychological injury or developmental delay.</w:t>
      </w:r>
    </w:p>
    <w:p w14:paraId="41D08E74" w14:textId="6480B904" w:rsidR="00CA20A1" w:rsidRDefault="00CA20A1" w:rsidP="00CA20A1">
      <w:pPr>
        <w:pStyle w:val="DHHSbody"/>
      </w:pPr>
      <w:r w:rsidRPr="26EFB549">
        <w:t xml:space="preserve">All incidents of serious risk </w:t>
      </w:r>
      <w:r w:rsidRPr="26EFB549">
        <w:rPr>
          <w:b/>
          <w:bCs/>
        </w:rPr>
        <w:t>must</w:t>
      </w:r>
      <w:r w:rsidRPr="26EFB549">
        <w:t xml:space="preserve"> be reported as non-major impact.</w:t>
      </w:r>
    </w:p>
    <w:p w14:paraId="78F5D9D8" w14:textId="77777777" w:rsidR="00CA20A1" w:rsidRDefault="00CA20A1" w:rsidP="00CA20A1">
      <w:pPr>
        <w:pStyle w:val="DHHSbody"/>
        <w:rPr>
          <w:b/>
          <w:bCs/>
        </w:rPr>
      </w:pPr>
      <w:r w:rsidRPr="4752EABE">
        <w:rPr>
          <w:b/>
          <w:bCs/>
        </w:rPr>
        <w:t>Serious risk implementation guidance:</w:t>
      </w:r>
    </w:p>
    <w:p w14:paraId="339F7941" w14:textId="77777777" w:rsidR="00CA20A1" w:rsidRDefault="00CA20A1" w:rsidP="00CA20A1">
      <w:pPr>
        <w:pStyle w:val="DHHSbody"/>
      </w:pPr>
      <w:r>
        <w:t>When reporting ‘serious risk’ in the CIMS IT platform, the service provider must select from one of two drop down options:</w:t>
      </w:r>
    </w:p>
    <w:p w14:paraId="07FB6FD5" w14:textId="77777777" w:rsidR="00CA20A1" w:rsidRDefault="00CA20A1" w:rsidP="00CA20A1">
      <w:pPr>
        <w:pStyle w:val="ListParagraph"/>
        <w:numPr>
          <w:ilvl w:val="0"/>
          <w:numId w:val="42"/>
        </w:numPr>
        <w:spacing w:after="160" w:line="259" w:lineRule="auto"/>
        <w:rPr>
          <w:rFonts w:ascii="Arial" w:eastAsia="Arial" w:hAnsi="Arial" w:cs="Arial"/>
          <w:color w:val="000000" w:themeColor="text1"/>
          <w:lang w:val="en-US"/>
        </w:rPr>
      </w:pPr>
      <w:r w:rsidRPr="4752EABE">
        <w:rPr>
          <w:rFonts w:ascii="Arial" w:eastAsia="Arial" w:hAnsi="Arial" w:cs="Arial"/>
          <w:b/>
          <w:bCs/>
          <w:color w:val="000000" w:themeColor="text1"/>
          <w:lang w:val="en-US"/>
        </w:rPr>
        <w:t>Likely death/serious impairment:</w:t>
      </w:r>
      <w:r w:rsidRPr="4752EABE">
        <w:rPr>
          <w:rFonts w:ascii="Arial" w:eastAsia="Arial" w:hAnsi="Arial" w:cs="Arial"/>
          <w:color w:val="000000" w:themeColor="text1"/>
          <w:lang w:val="en-US"/>
        </w:rPr>
        <w:t xml:space="preserve"> Reasonably likely to cause Death / Permanent or long-term serious impairment / Permanent or long-term serious disfigurement / Loss of foetus; or</w:t>
      </w:r>
    </w:p>
    <w:p w14:paraId="53FE0137" w14:textId="77777777" w:rsidR="00CA20A1" w:rsidRDefault="00CA20A1" w:rsidP="00CA20A1">
      <w:pPr>
        <w:pStyle w:val="ListParagraph"/>
        <w:numPr>
          <w:ilvl w:val="0"/>
          <w:numId w:val="42"/>
        </w:numPr>
        <w:spacing w:line="259" w:lineRule="auto"/>
        <w:ind w:right="-20"/>
        <w:rPr>
          <w:rFonts w:ascii="Arial" w:eastAsia="Arial" w:hAnsi="Arial" w:cs="Arial"/>
          <w:color w:val="000000" w:themeColor="text1"/>
        </w:rPr>
      </w:pPr>
      <w:r w:rsidRPr="594872DE">
        <w:rPr>
          <w:rFonts w:ascii="Arial" w:eastAsia="Arial" w:hAnsi="Arial" w:cs="Arial"/>
          <w:b/>
          <w:bCs/>
          <w:color w:val="000000" w:themeColor="text1"/>
          <w:lang w:val="en-US"/>
        </w:rPr>
        <w:t xml:space="preserve">Likely serious psychological harm: </w:t>
      </w:r>
      <w:r w:rsidRPr="594872DE">
        <w:rPr>
          <w:rFonts w:ascii="Arial" w:eastAsia="Arial" w:hAnsi="Arial" w:cs="Arial"/>
          <w:color w:val="000000" w:themeColor="text1"/>
          <w:lang w:val="en-US"/>
        </w:rPr>
        <w:t>Reasonably likely to cause</w:t>
      </w:r>
      <w:r w:rsidRPr="594872DE">
        <w:rPr>
          <w:rFonts w:ascii="Arial" w:eastAsia="Arial" w:hAnsi="Arial" w:cs="Arial"/>
          <w:b/>
          <w:bCs/>
          <w:color w:val="000000" w:themeColor="text1"/>
          <w:lang w:val="en-US"/>
        </w:rPr>
        <w:t xml:space="preserve"> </w:t>
      </w:r>
      <w:r w:rsidRPr="594872DE">
        <w:rPr>
          <w:rFonts w:ascii="Arial" w:eastAsia="Arial" w:hAnsi="Arial" w:cs="Arial"/>
          <w:color w:val="000000" w:themeColor="text1"/>
          <w:lang w:val="en-US"/>
        </w:rPr>
        <w:t>permanent or long-term severe psychological injury or developmental delay</w:t>
      </w:r>
    </w:p>
    <w:p w14:paraId="528175B8" w14:textId="77777777" w:rsidR="00CA20A1" w:rsidRDefault="00CA20A1" w:rsidP="00CA20A1">
      <w:pPr>
        <w:pStyle w:val="DHHSbodyafterbullets"/>
      </w:pPr>
      <w:r>
        <w:t>Serious risk cannot be selected as a secondary incident type. If unsure whether to report under a different non-major category or serious risk, the serious risk incident type must be used.</w:t>
      </w:r>
    </w:p>
    <w:p w14:paraId="4B8DEC69" w14:textId="58425E76" w:rsidR="00CA20A1" w:rsidRDefault="00AF1629" w:rsidP="00CA20A1">
      <w:pPr>
        <w:pStyle w:val="DHHSbody"/>
      </w:pPr>
      <w:r>
        <w:rPr>
          <w:b/>
          <w:bCs/>
        </w:rPr>
        <w:t xml:space="preserve">Table 1: </w:t>
      </w:r>
      <w:r w:rsidR="00CA20A1" w:rsidRPr="4752EABE">
        <w:rPr>
          <w:b/>
          <w:bCs/>
        </w:rPr>
        <w:t>Examples of a Serious risk incident</w:t>
      </w:r>
    </w:p>
    <w:tbl>
      <w:tblPr>
        <w:tblStyle w:val="TableGrid"/>
        <w:tblW w:w="0" w:type="auto"/>
        <w:tblLook w:val="04A0" w:firstRow="1" w:lastRow="0" w:firstColumn="1" w:lastColumn="0" w:noHBand="0" w:noVBand="1"/>
      </w:tblPr>
      <w:tblGrid>
        <w:gridCol w:w="2429"/>
        <w:gridCol w:w="2343"/>
        <w:gridCol w:w="2394"/>
        <w:gridCol w:w="2122"/>
      </w:tblGrid>
      <w:tr w:rsidR="00AF1629" w:rsidRPr="0081106F" w14:paraId="3DC87376" w14:textId="593C35EB" w:rsidTr="0081106F">
        <w:tc>
          <w:tcPr>
            <w:tcW w:w="2385" w:type="dxa"/>
            <w:shd w:val="clear" w:color="auto" w:fill="C6D9F1" w:themeFill="text2" w:themeFillTint="33"/>
          </w:tcPr>
          <w:p w14:paraId="222B725C" w14:textId="3FB1EEA3" w:rsidR="00AF1629" w:rsidRPr="0081106F" w:rsidRDefault="00AF1629" w:rsidP="00CA20A1">
            <w:pPr>
              <w:pStyle w:val="DHHSbody"/>
              <w:rPr>
                <w:b/>
                <w:bCs/>
              </w:rPr>
            </w:pPr>
            <w:r w:rsidRPr="0081106F">
              <w:rPr>
                <w:b/>
                <w:bCs/>
              </w:rPr>
              <w:t>Case example</w:t>
            </w:r>
          </w:p>
        </w:tc>
        <w:tc>
          <w:tcPr>
            <w:tcW w:w="2360" w:type="dxa"/>
            <w:shd w:val="clear" w:color="auto" w:fill="C6D9F1" w:themeFill="text2" w:themeFillTint="33"/>
          </w:tcPr>
          <w:p w14:paraId="77CEF1E9" w14:textId="0C611F16" w:rsidR="00AF1629" w:rsidRPr="0081106F" w:rsidRDefault="00AF1629" w:rsidP="00CA20A1">
            <w:pPr>
              <w:pStyle w:val="DHHSbody"/>
              <w:rPr>
                <w:b/>
                <w:bCs/>
              </w:rPr>
            </w:pPr>
            <w:r w:rsidRPr="0081106F">
              <w:rPr>
                <w:b/>
                <w:bCs/>
              </w:rPr>
              <w:t>Serious risk</w:t>
            </w:r>
          </w:p>
        </w:tc>
        <w:tc>
          <w:tcPr>
            <w:tcW w:w="2408" w:type="dxa"/>
            <w:shd w:val="clear" w:color="auto" w:fill="C6D9F1" w:themeFill="text2" w:themeFillTint="33"/>
          </w:tcPr>
          <w:p w14:paraId="59236437" w14:textId="665BA4FC" w:rsidR="00AF1629" w:rsidRPr="0081106F" w:rsidRDefault="00AF1629" w:rsidP="00CA20A1">
            <w:pPr>
              <w:pStyle w:val="DHHSbody"/>
              <w:rPr>
                <w:b/>
                <w:bCs/>
              </w:rPr>
            </w:pPr>
            <w:r w:rsidRPr="0081106F">
              <w:rPr>
                <w:b/>
                <w:bCs/>
              </w:rPr>
              <w:t>Reported under a different CIMS incident type</w:t>
            </w:r>
          </w:p>
        </w:tc>
        <w:tc>
          <w:tcPr>
            <w:tcW w:w="2135" w:type="dxa"/>
            <w:shd w:val="clear" w:color="auto" w:fill="C6D9F1" w:themeFill="text2" w:themeFillTint="33"/>
          </w:tcPr>
          <w:p w14:paraId="75ED5953" w14:textId="46F13563" w:rsidR="00AF1629" w:rsidRPr="0081106F" w:rsidRDefault="00AF1629" w:rsidP="00CA20A1">
            <w:pPr>
              <w:pStyle w:val="DHHSbody"/>
              <w:rPr>
                <w:b/>
                <w:bCs/>
              </w:rPr>
            </w:pPr>
            <w:r w:rsidRPr="0081106F">
              <w:rPr>
                <w:b/>
                <w:bCs/>
              </w:rPr>
              <w:t>Not reported in CIMS</w:t>
            </w:r>
          </w:p>
        </w:tc>
      </w:tr>
      <w:tr w:rsidR="00AF1629" w14:paraId="6BABA2C7" w14:textId="0FE0A9CB" w:rsidTr="00AF1629">
        <w:tc>
          <w:tcPr>
            <w:tcW w:w="2385" w:type="dxa"/>
          </w:tcPr>
          <w:p w14:paraId="4E025BC5" w14:textId="48104A5D" w:rsidR="00AF1629" w:rsidRDefault="0081106F" w:rsidP="00CA20A1">
            <w:pPr>
              <w:pStyle w:val="DHHSbody"/>
            </w:pPr>
            <w:r>
              <w:t>A client attempts suicide</w:t>
            </w:r>
          </w:p>
        </w:tc>
        <w:tc>
          <w:tcPr>
            <w:tcW w:w="2360" w:type="dxa"/>
          </w:tcPr>
          <w:p w14:paraId="4B876F9B" w14:textId="77777777" w:rsidR="00AF1629" w:rsidRDefault="00AF1629" w:rsidP="0081106F">
            <w:pPr>
              <w:pStyle w:val="DHHSbody"/>
              <w:jc w:val="center"/>
            </w:pPr>
          </w:p>
        </w:tc>
        <w:tc>
          <w:tcPr>
            <w:tcW w:w="2408" w:type="dxa"/>
          </w:tcPr>
          <w:p w14:paraId="25D15B63" w14:textId="3E9689BF" w:rsidR="00AF1629" w:rsidRDefault="0081106F" w:rsidP="0081106F">
            <w:pPr>
              <w:pStyle w:val="DHHSbody"/>
              <w:jc w:val="center"/>
            </w:pPr>
            <w:r>
              <w:t>X (attempted suicide)</w:t>
            </w:r>
          </w:p>
        </w:tc>
        <w:tc>
          <w:tcPr>
            <w:tcW w:w="2135" w:type="dxa"/>
          </w:tcPr>
          <w:p w14:paraId="38DE7CBB" w14:textId="77777777" w:rsidR="00AF1629" w:rsidRDefault="00AF1629" w:rsidP="0081106F">
            <w:pPr>
              <w:pStyle w:val="DHHSbody"/>
              <w:jc w:val="center"/>
            </w:pPr>
          </w:p>
        </w:tc>
      </w:tr>
      <w:tr w:rsidR="0081106F" w14:paraId="73EACD4B" w14:textId="77777777" w:rsidTr="00AF1629">
        <w:tc>
          <w:tcPr>
            <w:tcW w:w="2385" w:type="dxa"/>
          </w:tcPr>
          <w:p w14:paraId="1E0BECAF" w14:textId="1E20BA82" w:rsidR="0081106F" w:rsidRDefault="0081106F" w:rsidP="00CA20A1">
            <w:pPr>
              <w:pStyle w:val="DHHSbody"/>
            </w:pPr>
            <w:r>
              <w:t>The roof of a residential care facility falls in, the client is in the room at the time but is not injured</w:t>
            </w:r>
          </w:p>
        </w:tc>
        <w:tc>
          <w:tcPr>
            <w:tcW w:w="2360" w:type="dxa"/>
          </w:tcPr>
          <w:p w14:paraId="4A83C54C" w14:textId="67B176A0" w:rsidR="0081106F" w:rsidRDefault="0081106F" w:rsidP="0081106F">
            <w:pPr>
              <w:pStyle w:val="DHHSbody"/>
              <w:jc w:val="center"/>
            </w:pPr>
            <w:r>
              <w:t>X</w:t>
            </w:r>
          </w:p>
        </w:tc>
        <w:tc>
          <w:tcPr>
            <w:tcW w:w="2408" w:type="dxa"/>
          </w:tcPr>
          <w:p w14:paraId="3C34D8A4" w14:textId="77777777" w:rsidR="0081106F" w:rsidRDefault="0081106F" w:rsidP="0081106F">
            <w:pPr>
              <w:pStyle w:val="DHHSbody"/>
              <w:jc w:val="center"/>
            </w:pPr>
          </w:p>
        </w:tc>
        <w:tc>
          <w:tcPr>
            <w:tcW w:w="2135" w:type="dxa"/>
          </w:tcPr>
          <w:p w14:paraId="5267D1DC" w14:textId="77777777" w:rsidR="0081106F" w:rsidRDefault="0081106F" w:rsidP="0081106F">
            <w:pPr>
              <w:pStyle w:val="DHHSbody"/>
              <w:jc w:val="center"/>
            </w:pPr>
          </w:p>
        </w:tc>
      </w:tr>
      <w:tr w:rsidR="0081106F" w14:paraId="637DF07A" w14:textId="77777777" w:rsidTr="00AF1629">
        <w:tc>
          <w:tcPr>
            <w:tcW w:w="2385" w:type="dxa"/>
          </w:tcPr>
          <w:p w14:paraId="2EBDE602" w14:textId="141105AD" w:rsidR="0081106F" w:rsidRDefault="0081106F" w:rsidP="00CA20A1">
            <w:pPr>
              <w:pStyle w:val="DHHSbody"/>
            </w:pPr>
            <w:r>
              <w:t>A client participates in train surfing. No injuries are sustained.</w:t>
            </w:r>
          </w:p>
        </w:tc>
        <w:tc>
          <w:tcPr>
            <w:tcW w:w="2360" w:type="dxa"/>
          </w:tcPr>
          <w:p w14:paraId="462DAAFA" w14:textId="6C13809B" w:rsidR="0081106F" w:rsidRDefault="0081106F" w:rsidP="0081106F">
            <w:pPr>
              <w:pStyle w:val="DHHSbody"/>
              <w:jc w:val="center"/>
            </w:pPr>
            <w:r>
              <w:t>X</w:t>
            </w:r>
          </w:p>
        </w:tc>
        <w:tc>
          <w:tcPr>
            <w:tcW w:w="2408" w:type="dxa"/>
          </w:tcPr>
          <w:p w14:paraId="610500E6" w14:textId="77777777" w:rsidR="0081106F" w:rsidRDefault="0081106F" w:rsidP="0081106F">
            <w:pPr>
              <w:pStyle w:val="DHHSbody"/>
              <w:jc w:val="center"/>
            </w:pPr>
          </w:p>
        </w:tc>
        <w:tc>
          <w:tcPr>
            <w:tcW w:w="2135" w:type="dxa"/>
          </w:tcPr>
          <w:p w14:paraId="18006DB8" w14:textId="77777777" w:rsidR="0081106F" w:rsidRDefault="0081106F" w:rsidP="0081106F">
            <w:pPr>
              <w:pStyle w:val="DHHSbody"/>
              <w:jc w:val="center"/>
            </w:pPr>
          </w:p>
        </w:tc>
      </w:tr>
      <w:tr w:rsidR="0081106F" w14:paraId="7FFD3D08" w14:textId="77777777" w:rsidTr="00AF1629">
        <w:tc>
          <w:tcPr>
            <w:tcW w:w="2385" w:type="dxa"/>
          </w:tcPr>
          <w:p w14:paraId="0414C42B" w14:textId="32831E87" w:rsidR="0081106F" w:rsidRDefault="0081106F" w:rsidP="00CA20A1">
            <w:pPr>
              <w:pStyle w:val="DHHSbody"/>
            </w:pPr>
            <w:r>
              <w:t>A client reports being in a vehicle travelling at speeds of up to 120km/h in a residential area.</w:t>
            </w:r>
          </w:p>
        </w:tc>
        <w:tc>
          <w:tcPr>
            <w:tcW w:w="2360" w:type="dxa"/>
          </w:tcPr>
          <w:p w14:paraId="2BB6579A" w14:textId="399A6755" w:rsidR="0081106F" w:rsidRDefault="0081106F" w:rsidP="0081106F">
            <w:pPr>
              <w:pStyle w:val="DHHSbody"/>
              <w:jc w:val="center"/>
            </w:pPr>
            <w:r>
              <w:t>X</w:t>
            </w:r>
          </w:p>
        </w:tc>
        <w:tc>
          <w:tcPr>
            <w:tcW w:w="2408" w:type="dxa"/>
          </w:tcPr>
          <w:p w14:paraId="0D4B6858" w14:textId="77777777" w:rsidR="0081106F" w:rsidRDefault="0081106F" w:rsidP="0081106F">
            <w:pPr>
              <w:pStyle w:val="DHHSbody"/>
              <w:jc w:val="center"/>
            </w:pPr>
          </w:p>
        </w:tc>
        <w:tc>
          <w:tcPr>
            <w:tcW w:w="2135" w:type="dxa"/>
          </w:tcPr>
          <w:p w14:paraId="20EEB0B1" w14:textId="77777777" w:rsidR="0081106F" w:rsidRDefault="0081106F" w:rsidP="0081106F">
            <w:pPr>
              <w:pStyle w:val="DHHSbody"/>
              <w:jc w:val="center"/>
            </w:pPr>
          </w:p>
        </w:tc>
      </w:tr>
      <w:tr w:rsidR="0081106F" w14:paraId="6E579F31" w14:textId="77777777" w:rsidTr="00AF1629">
        <w:tc>
          <w:tcPr>
            <w:tcW w:w="2385" w:type="dxa"/>
          </w:tcPr>
          <w:p w14:paraId="400D1819" w14:textId="7A9247DA" w:rsidR="0081106F" w:rsidRDefault="0081106F" w:rsidP="00CA20A1">
            <w:pPr>
              <w:pStyle w:val="DHHSbody"/>
            </w:pPr>
            <w:r>
              <w:t>A client obtains an abortion</w:t>
            </w:r>
          </w:p>
        </w:tc>
        <w:tc>
          <w:tcPr>
            <w:tcW w:w="2360" w:type="dxa"/>
          </w:tcPr>
          <w:p w14:paraId="5162508C" w14:textId="77777777" w:rsidR="0081106F" w:rsidRDefault="0081106F" w:rsidP="0081106F">
            <w:pPr>
              <w:pStyle w:val="DHHSbody"/>
              <w:jc w:val="center"/>
            </w:pPr>
          </w:p>
        </w:tc>
        <w:tc>
          <w:tcPr>
            <w:tcW w:w="2408" w:type="dxa"/>
          </w:tcPr>
          <w:p w14:paraId="43B8E00E" w14:textId="77777777" w:rsidR="0081106F" w:rsidRDefault="0081106F" w:rsidP="0081106F">
            <w:pPr>
              <w:pStyle w:val="DHHSbody"/>
              <w:jc w:val="center"/>
            </w:pPr>
          </w:p>
        </w:tc>
        <w:tc>
          <w:tcPr>
            <w:tcW w:w="2135" w:type="dxa"/>
          </w:tcPr>
          <w:p w14:paraId="267840B8" w14:textId="58DB6E87" w:rsidR="0081106F" w:rsidRDefault="0081106F" w:rsidP="0081106F">
            <w:pPr>
              <w:pStyle w:val="DHHSbody"/>
              <w:jc w:val="center"/>
            </w:pPr>
            <w:r>
              <w:t>X</w:t>
            </w:r>
          </w:p>
        </w:tc>
      </w:tr>
      <w:tr w:rsidR="0081106F" w14:paraId="6A322277" w14:textId="77777777" w:rsidTr="00AF1629">
        <w:tc>
          <w:tcPr>
            <w:tcW w:w="2385" w:type="dxa"/>
          </w:tcPr>
          <w:p w14:paraId="62AC8AC7" w14:textId="77598580" w:rsidR="0081106F" w:rsidRDefault="0081106F" w:rsidP="00CA20A1">
            <w:pPr>
              <w:pStyle w:val="DHHSbody"/>
            </w:pPr>
            <w:r>
              <w:t>A client experiences a substance overdose.</w:t>
            </w:r>
          </w:p>
        </w:tc>
        <w:tc>
          <w:tcPr>
            <w:tcW w:w="2360" w:type="dxa"/>
          </w:tcPr>
          <w:p w14:paraId="1054CE36" w14:textId="77777777" w:rsidR="0081106F" w:rsidRDefault="0081106F" w:rsidP="0081106F">
            <w:pPr>
              <w:pStyle w:val="DHHSbody"/>
              <w:jc w:val="center"/>
            </w:pPr>
          </w:p>
        </w:tc>
        <w:tc>
          <w:tcPr>
            <w:tcW w:w="2408" w:type="dxa"/>
          </w:tcPr>
          <w:p w14:paraId="20779FE5" w14:textId="33E6A8C4" w:rsidR="0081106F" w:rsidRDefault="0081106F" w:rsidP="0081106F">
            <w:pPr>
              <w:pStyle w:val="DHHSbody"/>
              <w:jc w:val="center"/>
            </w:pPr>
            <w:r>
              <w:t>X (explained injury)</w:t>
            </w:r>
          </w:p>
        </w:tc>
        <w:tc>
          <w:tcPr>
            <w:tcW w:w="2135" w:type="dxa"/>
          </w:tcPr>
          <w:p w14:paraId="283DE976" w14:textId="77777777" w:rsidR="0081106F" w:rsidRDefault="0081106F" w:rsidP="0081106F">
            <w:pPr>
              <w:pStyle w:val="DHHSbody"/>
              <w:jc w:val="center"/>
            </w:pPr>
          </w:p>
        </w:tc>
      </w:tr>
      <w:tr w:rsidR="0081106F" w14:paraId="4B096FA5" w14:textId="77777777" w:rsidTr="00AF1629">
        <w:tc>
          <w:tcPr>
            <w:tcW w:w="2385" w:type="dxa"/>
          </w:tcPr>
          <w:p w14:paraId="49DBC83B" w14:textId="6ABB6995" w:rsidR="0081106F" w:rsidRDefault="0081106F" w:rsidP="00CA20A1">
            <w:pPr>
              <w:pStyle w:val="DHHSbody"/>
            </w:pPr>
            <w:r>
              <w:t>A client returns home substance affected. Strategies to address/manage/support the client’s substance use is part of their case management plan.</w:t>
            </w:r>
          </w:p>
        </w:tc>
        <w:tc>
          <w:tcPr>
            <w:tcW w:w="2360" w:type="dxa"/>
          </w:tcPr>
          <w:p w14:paraId="0F9D5B60" w14:textId="77777777" w:rsidR="0081106F" w:rsidRDefault="0081106F" w:rsidP="0081106F">
            <w:pPr>
              <w:pStyle w:val="DHHSbody"/>
              <w:jc w:val="center"/>
            </w:pPr>
          </w:p>
        </w:tc>
        <w:tc>
          <w:tcPr>
            <w:tcW w:w="2408" w:type="dxa"/>
          </w:tcPr>
          <w:p w14:paraId="22C7207C" w14:textId="77777777" w:rsidR="0081106F" w:rsidRDefault="0081106F" w:rsidP="0081106F">
            <w:pPr>
              <w:pStyle w:val="DHHSbody"/>
              <w:jc w:val="center"/>
            </w:pPr>
          </w:p>
        </w:tc>
        <w:tc>
          <w:tcPr>
            <w:tcW w:w="2135" w:type="dxa"/>
          </w:tcPr>
          <w:p w14:paraId="4C35E7C6" w14:textId="359C8280" w:rsidR="0081106F" w:rsidRDefault="0081106F" w:rsidP="0081106F">
            <w:pPr>
              <w:pStyle w:val="DHHSbody"/>
              <w:jc w:val="center"/>
            </w:pPr>
            <w:r>
              <w:t>X</w:t>
            </w:r>
          </w:p>
        </w:tc>
      </w:tr>
    </w:tbl>
    <w:p w14:paraId="1EB34672" w14:textId="742D50E0" w:rsidR="00CA20A1" w:rsidRPr="00AF1629" w:rsidRDefault="00CA20A1" w:rsidP="00CA20A1">
      <w:pPr>
        <w:pStyle w:val="DHHSbody"/>
      </w:pPr>
    </w:p>
    <w:p w14:paraId="5EA25622" w14:textId="77777777" w:rsidR="00CA20A1" w:rsidRPr="003072C6" w:rsidRDefault="00CA20A1" w:rsidP="00CA20A1">
      <w:pPr>
        <w:pStyle w:val="Heading2"/>
      </w:pPr>
      <w:bookmarkStart w:id="6" w:name="_Toc161771006"/>
      <w:bookmarkStart w:id="7" w:name="_Toc163468593"/>
      <w:r>
        <w:lastRenderedPageBreak/>
        <w:t>Reporting of client gender</w:t>
      </w:r>
      <w:bookmarkEnd w:id="6"/>
      <w:bookmarkEnd w:id="7"/>
    </w:p>
    <w:p w14:paraId="14CF4493" w14:textId="77777777" w:rsidR="00CA20A1" w:rsidRDefault="00CA20A1" w:rsidP="00CA20A1">
      <w:pPr>
        <w:pStyle w:val="DHHSbody"/>
      </w:pPr>
      <w:r>
        <w:t>A new field has been added to report the gender the client identifies with for all clients involved in an incident. The gender options align with Victorian Government policy and recognises and respects the gender diversity of clients. The gender options available align with those currently reported in the Children, Youth and Families case management system, CRIS.</w:t>
      </w:r>
    </w:p>
    <w:p w14:paraId="6E86764B" w14:textId="77777777" w:rsidR="00CA20A1" w:rsidRDefault="00CA20A1" w:rsidP="00CA20A1">
      <w:pPr>
        <w:pStyle w:val="DHHSbody"/>
        <w:rPr>
          <w:b/>
          <w:bCs/>
        </w:rPr>
      </w:pPr>
      <w:r>
        <w:t xml:space="preserve">The gender field is a </w:t>
      </w:r>
      <w:r w:rsidRPr="4752EABE">
        <w:rPr>
          <w:b/>
          <w:bCs/>
        </w:rPr>
        <w:t xml:space="preserve">non-mandatory field </w:t>
      </w:r>
      <w:r>
        <w:t xml:space="preserve">in the </w:t>
      </w:r>
      <w:r w:rsidRPr="4752EABE">
        <w:rPr>
          <w:i/>
          <w:iCs/>
        </w:rPr>
        <w:t>Client(s) involved in incident</w:t>
      </w:r>
      <w:r w:rsidRPr="4752EABE">
        <w:t xml:space="preserve"> page of CIMS reporting.</w:t>
      </w:r>
    </w:p>
    <w:p w14:paraId="3775129C" w14:textId="77777777" w:rsidR="00CA20A1" w:rsidRPr="003072C6" w:rsidRDefault="00CA20A1" w:rsidP="00CA20A1">
      <w:pPr>
        <w:pStyle w:val="Heading2"/>
      </w:pPr>
      <w:bookmarkStart w:id="8" w:name="_Toc161771007"/>
      <w:bookmarkStart w:id="9" w:name="_Toc163468594"/>
      <w:r>
        <w:t>Services in scope of CIMS</w:t>
      </w:r>
      <w:bookmarkEnd w:id="8"/>
      <w:bookmarkEnd w:id="9"/>
    </w:p>
    <w:p w14:paraId="2157ABC9" w14:textId="77777777" w:rsidR="00CA20A1" w:rsidRDefault="00CA20A1" w:rsidP="00CA20A1">
      <w:pPr>
        <w:pStyle w:val="DHHSbodyafterbullets"/>
      </w:pPr>
      <w:r>
        <w:t xml:space="preserve">The terminology for the services in scope of CIMS has been updated to align with the </w:t>
      </w:r>
      <w:r w:rsidRPr="4752EABE">
        <w:rPr>
          <w:i/>
          <w:iCs/>
        </w:rPr>
        <w:t>Social Services Regulations</w:t>
      </w:r>
      <w:r w:rsidRPr="4752EABE">
        <w:t xml:space="preserve"> 2023. </w:t>
      </w:r>
    </w:p>
    <w:p w14:paraId="3B6611F1" w14:textId="77777777" w:rsidR="00CA20A1" w:rsidRPr="003072C6" w:rsidRDefault="00CA20A1" w:rsidP="00CA20A1">
      <w:pPr>
        <w:pStyle w:val="Heading2"/>
      </w:pPr>
      <w:bookmarkStart w:id="10" w:name="_Toc161771008"/>
      <w:bookmarkStart w:id="11" w:name="_Toc163468595"/>
      <w:r>
        <w:t>New ‘Family violence and sexual assault services’ program type</w:t>
      </w:r>
      <w:bookmarkEnd w:id="10"/>
      <w:bookmarkEnd w:id="11"/>
    </w:p>
    <w:p w14:paraId="55CB0ECF" w14:textId="77777777" w:rsidR="00CA20A1" w:rsidRDefault="00CA20A1" w:rsidP="00CA20A1">
      <w:pPr>
        <w:pStyle w:val="DHHSbody"/>
      </w:pPr>
      <w:r>
        <w:t xml:space="preserve">A new program type has been added to the ‘Program’ drop down options on the Service details page of CIMS reporting, to improve the identification of incidents which occur in family violence and sexual assault services programs. </w:t>
      </w:r>
    </w:p>
    <w:p w14:paraId="6A04073E" w14:textId="77777777" w:rsidR="00CA20A1" w:rsidRDefault="00CA20A1" w:rsidP="00CA20A1">
      <w:pPr>
        <w:pStyle w:val="DHHSbody"/>
      </w:pPr>
      <w:r>
        <w:t>When selecting this program type, the service provider must select one of two drop-down options for the program service type:</w:t>
      </w:r>
    </w:p>
    <w:p w14:paraId="3796D2E1" w14:textId="77777777" w:rsidR="00CA20A1" w:rsidRDefault="00CA20A1" w:rsidP="00CA20A1">
      <w:pPr>
        <w:pStyle w:val="DHHSbody"/>
        <w:numPr>
          <w:ilvl w:val="0"/>
          <w:numId w:val="41"/>
        </w:numPr>
      </w:pPr>
      <w:r>
        <w:t>Family violence services; or</w:t>
      </w:r>
    </w:p>
    <w:p w14:paraId="3024D728" w14:textId="77777777" w:rsidR="00CA20A1" w:rsidRDefault="00CA20A1" w:rsidP="00CA20A1">
      <w:pPr>
        <w:pStyle w:val="DHHSbody"/>
        <w:numPr>
          <w:ilvl w:val="0"/>
          <w:numId w:val="41"/>
        </w:numPr>
      </w:pPr>
      <w:r>
        <w:t>Sexual assault services.</w:t>
      </w:r>
    </w:p>
    <w:p w14:paraId="105EF612" w14:textId="77777777" w:rsidR="00CA20A1" w:rsidRDefault="00CA20A1" w:rsidP="00CA20A1">
      <w:pPr>
        <w:pStyle w:val="Heading2"/>
      </w:pPr>
      <w:bookmarkStart w:id="12" w:name="_Toc161771009"/>
      <w:bookmarkStart w:id="13" w:name="_Toc163468596"/>
      <w:r>
        <w:t>Collection notices</w:t>
      </w:r>
      <w:bookmarkEnd w:id="12"/>
      <w:bookmarkEnd w:id="13"/>
    </w:p>
    <w:p w14:paraId="2612D088" w14:textId="77777777" w:rsidR="00CA20A1" w:rsidRDefault="00CA20A1" w:rsidP="00CA20A1">
      <w:pPr>
        <w:pStyle w:val="DHHSbody"/>
      </w:pPr>
      <w:r>
        <w:t xml:space="preserve">Service providers, as part of their existing service agreement with the department, must issue collection notices to their clients. Most information about clients will have been collected ahead of any incident in scope of CIMS and should have been collected in line with the requirements and/or appropriate collection notices at the time. </w:t>
      </w:r>
    </w:p>
    <w:p w14:paraId="3AD6A987" w14:textId="62218366" w:rsidR="00CA20A1" w:rsidRPr="008B1CC6" w:rsidRDefault="00CA20A1" w:rsidP="00CA20A1">
      <w:pPr>
        <w:pStyle w:val="DHHSbody"/>
      </w:pPr>
      <w:r>
        <w:t>When collecting personal information from non-clients, such as witnesses of an incident or the subject of allegation, the service provider must explain what information is being collected for the purposes of client incident reporting</w:t>
      </w:r>
      <w:r w:rsidR="005168F8">
        <w:t xml:space="preserve"> as required under the </w:t>
      </w:r>
      <w:r w:rsidR="005168F8">
        <w:rPr>
          <w:i/>
          <w:iCs/>
        </w:rPr>
        <w:t>Privacy and Data Protection Act 2014</w:t>
      </w:r>
      <w:r w:rsidR="005168F8">
        <w:t xml:space="preserve"> and the </w:t>
      </w:r>
      <w:r w:rsidR="005168F8">
        <w:rPr>
          <w:i/>
          <w:iCs/>
        </w:rPr>
        <w:t>Health Records Act 2001</w:t>
      </w:r>
      <w:r w:rsidR="005168F8">
        <w:t>.</w:t>
      </w:r>
      <w:r w:rsidR="00463126">
        <w:t xml:space="preserve"> </w:t>
      </w:r>
      <w:r w:rsidR="00E77C8D">
        <w:t xml:space="preserve">A collection notice template has been developed to assist service providers </w:t>
      </w:r>
      <w:r w:rsidR="008B1CC6">
        <w:t xml:space="preserve">. Providing this collection notice is not mandatory if the information is being conveyed to a clients and non-clients in another way. However, it is often difficult to ensure that an individual has been informed of each requirements under the </w:t>
      </w:r>
      <w:r w:rsidR="008B1CC6">
        <w:rPr>
          <w:i/>
          <w:iCs/>
        </w:rPr>
        <w:t>Privacy and Data Protection Act 2014</w:t>
      </w:r>
      <w:r w:rsidR="008B1CC6">
        <w:t xml:space="preserve"> and the </w:t>
      </w:r>
      <w:r w:rsidR="008B1CC6">
        <w:rPr>
          <w:i/>
          <w:iCs/>
        </w:rPr>
        <w:t>Health Records Act 2001</w:t>
      </w:r>
      <w:r w:rsidR="008B1CC6">
        <w:t xml:space="preserve"> without the use of a collection notice.</w:t>
      </w:r>
    </w:p>
    <w:p w14:paraId="58327BC1" w14:textId="7AFAE74E" w:rsidR="00CA20A1" w:rsidRDefault="00CA20A1" w:rsidP="00CA20A1">
      <w:pPr>
        <w:pStyle w:val="DHHSbody"/>
      </w:pPr>
      <w:r>
        <w:t xml:space="preserve">A collection notice explains what information is being collected, and how it will be collected, used, disclosed and stored. This includes how information may be shared with the Social Services Regulator under section 48(1) of the </w:t>
      </w:r>
      <w:r w:rsidRPr="6457422C">
        <w:rPr>
          <w:i/>
          <w:iCs/>
        </w:rPr>
        <w:t>Social Services Regulation Act</w:t>
      </w:r>
      <w:r w:rsidRPr="6457422C">
        <w:t xml:space="preserve"> 2021. Collection notice templates are available on the </w:t>
      </w:r>
      <w:hyperlink r:id="rId13" w:history="1">
        <w:r w:rsidRPr="004D476D">
          <w:rPr>
            <w:rStyle w:val="Hyperlink"/>
          </w:rPr>
          <w:t>CIMS webpage</w:t>
        </w:r>
      </w:hyperlink>
      <w:r w:rsidRPr="6457422C">
        <w:t xml:space="preserve"> at &lt;https</w:t>
      </w:r>
      <w:r>
        <w:t>://providers.dffh.vic.gov.au/cims&gt;</w:t>
      </w:r>
    </w:p>
    <w:p w14:paraId="23C2818B" w14:textId="77777777" w:rsidR="00CA20A1" w:rsidRDefault="00CA20A1" w:rsidP="00CA20A1">
      <w:pPr>
        <w:pStyle w:val="Heading2"/>
      </w:pPr>
      <w:bookmarkStart w:id="14" w:name="_Toc161771010"/>
      <w:bookmarkStart w:id="15" w:name="_Toc163468597"/>
      <w:r>
        <w:t>Appendix D: Accountability mechanisms for service providers</w:t>
      </w:r>
      <w:bookmarkEnd w:id="14"/>
      <w:bookmarkEnd w:id="15"/>
    </w:p>
    <w:p w14:paraId="77F07095" w14:textId="77777777" w:rsidR="00CA20A1" w:rsidRPr="004D476D" w:rsidRDefault="00CA20A1" w:rsidP="00CA20A1">
      <w:pPr>
        <w:pStyle w:val="DHHSbody"/>
      </w:pPr>
      <w:r w:rsidRPr="004D476D">
        <w:t>Appendix D, section D.3.5 has been updated to include the Social Services Regulator as an oversight mechanism with responsibility for reviewing the conduct and decisions of service providers.</w:t>
      </w:r>
    </w:p>
    <w:p w14:paraId="5E1C0215" w14:textId="77777777" w:rsidR="00CA20A1" w:rsidRPr="004D476D" w:rsidRDefault="00CA20A1" w:rsidP="00CA20A1">
      <w:pPr>
        <w:ind w:left="-20" w:right="-20"/>
        <w:rPr>
          <w:rFonts w:eastAsia="Arial" w:cs="Arial"/>
          <w:sz w:val="20"/>
        </w:rPr>
      </w:pPr>
      <w:r w:rsidRPr="004D476D">
        <w:rPr>
          <w:rFonts w:eastAsia="Arial" w:cs="Arial"/>
          <w:sz w:val="20"/>
        </w:rPr>
        <w:lastRenderedPageBreak/>
        <w:t xml:space="preserve">The </w:t>
      </w:r>
      <w:r w:rsidRPr="004D476D">
        <w:rPr>
          <w:rFonts w:eastAsia="Arial" w:cs="Arial"/>
          <w:i/>
          <w:iCs/>
          <w:sz w:val="20"/>
        </w:rPr>
        <w:t xml:space="preserve">Social Services Regulation Act </w:t>
      </w:r>
      <w:r w:rsidRPr="004D476D">
        <w:rPr>
          <w:rFonts w:eastAsia="Arial" w:cs="Arial"/>
          <w:sz w:val="20"/>
        </w:rPr>
        <w:t>2021 establishes a new framework for social services in Victoria. It begins on 1 July 2024.</w:t>
      </w:r>
    </w:p>
    <w:p w14:paraId="7388C681" w14:textId="77777777" w:rsidR="00CA20A1" w:rsidRPr="004D476D" w:rsidRDefault="00CA20A1" w:rsidP="00CA20A1">
      <w:pPr>
        <w:ind w:left="-20" w:right="-20"/>
        <w:rPr>
          <w:rFonts w:eastAsia="Arial" w:cs="Arial"/>
          <w:sz w:val="20"/>
        </w:rPr>
      </w:pPr>
      <w:r w:rsidRPr="004D476D">
        <w:rPr>
          <w:rFonts w:eastAsia="Arial" w:cs="Arial"/>
          <w:sz w:val="20"/>
        </w:rPr>
        <w:t>The initiatives in the Act will:</w:t>
      </w:r>
    </w:p>
    <w:p w14:paraId="61342BC3" w14:textId="77777777" w:rsidR="00CA20A1" w:rsidRPr="004D476D" w:rsidRDefault="00CA20A1" w:rsidP="00CA20A1">
      <w:pPr>
        <w:pStyle w:val="ListParagraph"/>
        <w:numPr>
          <w:ilvl w:val="0"/>
          <w:numId w:val="40"/>
        </w:numPr>
        <w:spacing w:after="40"/>
        <w:ind w:left="377" w:right="-20" w:hanging="397"/>
        <w:rPr>
          <w:rFonts w:ascii="Arial" w:eastAsia="Arial" w:hAnsi="Arial" w:cs="Arial"/>
        </w:rPr>
      </w:pPr>
      <w:r w:rsidRPr="004D476D">
        <w:rPr>
          <w:rFonts w:ascii="Arial" w:eastAsia="Arial" w:hAnsi="Arial" w:cs="Arial"/>
        </w:rPr>
        <w:t>support the safe delivery of social services</w:t>
      </w:r>
    </w:p>
    <w:p w14:paraId="297FBD12" w14:textId="77777777" w:rsidR="00CA20A1" w:rsidRPr="004D476D" w:rsidRDefault="00CA20A1" w:rsidP="00CA20A1">
      <w:pPr>
        <w:pStyle w:val="ListParagraph"/>
        <w:numPr>
          <w:ilvl w:val="0"/>
          <w:numId w:val="40"/>
        </w:numPr>
        <w:spacing w:after="40"/>
        <w:ind w:left="377" w:right="-20" w:hanging="397"/>
        <w:rPr>
          <w:rFonts w:ascii="Arial" w:eastAsia="Arial" w:hAnsi="Arial" w:cs="Arial"/>
        </w:rPr>
      </w:pPr>
      <w:r w:rsidRPr="004D476D">
        <w:rPr>
          <w:rFonts w:ascii="Arial" w:eastAsia="Arial" w:hAnsi="Arial" w:cs="Arial"/>
        </w:rPr>
        <w:t>ensure social service providers understand their role in protecting the rights of social service users</w:t>
      </w:r>
    </w:p>
    <w:p w14:paraId="24851E3A" w14:textId="77777777" w:rsidR="00CA20A1" w:rsidRPr="004D476D" w:rsidRDefault="00CA20A1" w:rsidP="00CA20A1">
      <w:pPr>
        <w:pStyle w:val="ListParagraph"/>
        <w:numPr>
          <w:ilvl w:val="0"/>
          <w:numId w:val="40"/>
        </w:numPr>
        <w:spacing w:after="40"/>
        <w:ind w:left="377" w:right="-20" w:hanging="397"/>
        <w:rPr>
          <w:rFonts w:ascii="Arial" w:eastAsia="Arial" w:hAnsi="Arial" w:cs="Arial"/>
        </w:rPr>
      </w:pPr>
      <w:r w:rsidRPr="004D476D">
        <w:rPr>
          <w:rFonts w:ascii="Arial" w:eastAsia="Arial" w:hAnsi="Arial" w:cs="Arial"/>
        </w:rPr>
        <w:t>define roles and responsibilities of social service providers</w:t>
      </w:r>
    </w:p>
    <w:p w14:paraId="21E563E0" w14:textId="77777777" w:rsidR="00CA20A1" w:rsidRPr="004D476D" w:rsidRDefault="00CA20A1" w:rsidP="00CA20A1">
      <w:pPr>
        <w:pStyle w:val="ListParagraph"/>
        <w:numPr>
          <w:ilvl w:val="0"/>
          <w:numId w:val="40"/>
        </w:numPr>
        <w:spacing w:after="40"/>
        <w:ind w:left="377" w:right="-20" w:hanging="397"/>
        <w:rPr>
          <w:rFonts w:ascii="Arial" w:eastAsia="Arial" w:hAnsi="Arial" w:cs="Arial"/>
        </w:rPr>
      </w:pPr>
      <w:r w:rsidRPr="004D476D">
        <w:rPr>
          <w:rFonts w:ascii="Arial" w:eastAsia="Arial" w:hAnsi="Arial" w:cs="Arial"/>
        </w:rPr>
        <w:t>give the new regulator monitoring and enforcement powers, so they can respond to risks of harm</w:t>
      </w:r>
    </w:p>
    <w:p w14:paraId="783542D1" w14:textId="77777777" w:rsidR="00CA20A1" w:rsidRPr="004D476D" w:rsidRDefault="00CA20A1" w:rsidP="00CA20A1">
      <w:pPr>
        <w:pStyle w:val="ListParagraph"/>
        <w:numPr>
          <w:ilvl w:val="0"/>
          <w:numId w:val="40"/>
        </w:numPr>
        <w:spacing w:after="40"/>
        <w:ind w:left="377" w:right="-20" w:hanging="397"/>
        <w:rPr>
          <w:rFonts w:ascii="Arial" w:eastAsia="Arial" w:hAnsi="Arial" w:cs="Arial"/>
        </w:rPr>
      </w:pPr>
      <w:r w:rsidRPr="004D476D">
        <w:rPr>
          <w:rFonts w:ascii="Arial" w:eastAsia="Arial" w:hAnsi="Arial" w:cs="Arial"/>
        </w:rPr>
        <w:t>improve information sharing between regulators so they can identify and respond to any risks of harm to service users.</w:t>
      </w:r>
    </w:p>
    <w:p w14:paraId="2E513FD7" w14:textId="77777777" w:rsidR="00CA20A1" w:rsidRPr="004D476D" w:rsidRDefault="00CA20A1" w:rsidP="00CA20A1">
      <w:pPr>
        <w:ind w:left="-20" w:right="-20"/>
        <w:rPr>
          <w:rFonts w:eastAsia="Arial" w:cs="Arial"/>
          <w:sz w:val="20"/>
        </w:rPr>
      </w:pPr>
      <w:r w:rsidRPr="004D476D">
        <w:rPr>
          <w:rFonts w:eastAsia="Arial" w:cs="Arial"/>
          <w:sz w:val="20"/>
        </w:rPr>
        <w:t>The new system will mean Victorian social service providers will have:</w:t>
      </w:r>
    </w:p>
    <w:p w14:paraId="7E0AF4F1" w14:textId="77777777" w:rsidR="00CA20A1" w:rsidRPr="004D476D" w:rsidRDefault="00CA20A1" w:rsidP="00CA20A1">
      <w:pPr>
        <w:pStyle w:val="ListParagraph"/>
        <w:numPr>
          <w:ilvl w:val="0"/>
          <w:numId w:val="40"/>
        </w:numPr>
        <w:spacing w:after="40"/>
        <w:ind w:left="377" w:right="-20" w:hanging="397"/>
        <w:rPr>
          <w:rFonts w:ascii="Arial" w:eastAsia="Arial" w:hAnsi="Arial" w:cs="Arial"/>
        </w:rPr>
      </w:pPr>
      <w:r w:rsidRPr="004D476D">
        <w:rPr>
          <w:rFonts w:ascii="Arial" w:eastAsia="Arial" w:hAnsi="Arial" w:cs="Arial"/>
        </w:rPr>
        <w:t>streamlined registration and reporting requirements,</w:t>
      </w:r>
    </w:p>
    <w:p w14:paraId="0563B997" w14:textId="77777777" w:rsidR="00CA20A1" w:rsidRPr="004D476D" w:rsidRDefault="00CA20A1" w:rsidP="00CA20A1">
      <w:pPr>
        <w:pStyle w:val="ListParagraph"/>
        <w:numPr>
          <w:ilvl w:val="0"/>
          <w:numId w:val="40"/>
        </w:numPr>
        <w:spacing w:after="40"/>
        <w:ind w:left="377" w:right="-20" w:hanging="397"/>
        <w:rPr>
          <w:rFonts w:ascii="Arial" w:eastAsia="Arial" w:hAnsi="Arial" w:cs="Arial"/>
        </w:rPr>
      </w:pPr>
      <w:r w:rsidRPr="004D476D">
        <w:rPr>
          <w:rFonts w:ascii="Arial" w:eastAsia="Arial" w:hAnsi="Arial" w:cs="Arial"/>
        </w:rPr>
        <w:t>a common set of social service standards</w:t>
      </w:r>
    </w:p>
    <w:p w14:paraId="5DD38908" w14:textId="77777777" w:rsidR="00CA20A1" w:rsidRPr="004D476D" w:rsidRDefault="00CA20A1" w:rsidP="00CA20A1">
      <w:pPr>
        <w:pStyle w:val="ListParagraph"/>
        <w:numPr>
          <w:ilvl w:val="0"/>
          <w:numId w:val="40"/>
        </w:numPr>
        <w:spacing w:after="40"/>
        <w:ind w:left="377" w:right="-20" w:hanging="397"/>
        <w:rPr>
          <w:rFonts w:ascii="Arial" w:eastAsia="Arial" w:hAnsi="Arial" w:cs="Arial"/>
        </w:rPr>
      </w:pPr>
      <w:r w:rsidRPr="004D476D">
        <w:rPr>
          <w:rFonts w:ascii="Arial" w:eastAsia="Arial" w:hAnsi="Arial" w:cs="Arial"/>
        </w:rPr>
        <w:t>a single independent regulator.</w:t>
      </w:r>
    </w:p>
    <w:p w14:paraId="173CD412" w14:textId="77777777" w:rsidR="00CA20A1" w:rsidRPr="004D476D" w:rsidRDefault="00CA20A1" w:rsidP="00CA20A1">
      <w:pPr>
        <w:ind w:left="-20" w:right="-20"/>
        <w:rPr>
          <w:rFonts w:eastAsia="Arial" w:cs="Arial"/>
          <w:sz w:val="20"/>
        </w:rPr>
      </w:pPr>
      <w:r w:rsidRPr="004D476D">
        <w:rPr>
          <w:rFonts w:eastAsia="Arial" w:cs="Arial"/>
          <w:sz w:val="20"/>
        </w:rPr>
        <w:t xml:space="preserve">The Social Services Regulator will replace the current Human Services Regulator. </w:t>
      </w:r>
    </w:p>
    <w:p w14:paraId="13A07A0D" w14:textId="77777777" w:rsidR="00CA20A1" w:rsidRPr="004D476D" w:rsidRDefault="00CA20A1" w:rsidP="00CA20A1">
      <w:pPr>
        <w:ind w:left="-20" w:right="-20"/>
        <w:rPr>
          <w:rFonts w:eastAsia="Arial" w:cs="Arial"/>
          <w:sz w:val="20"/>
        </w:rPr>
      </w:pPr>
      <w:r w:rsidRPr="004D476D">
        <w:rPr>
          <w:rFonts w:eastAsia="Arial" w:cs="Arial"/>
          <w:sz w:val="20"/>
        </w:rPr>
        <w:t xml:space="preserve">The new system will be more efficient and create a safer environment for all Victorians. </w:t>
      </w:r>
    </w:p>
    <w:p w14:paraId="0E771174" w14:textId="77777777" w:rsidR="00CA20A1" w:rsidRPr="004D476D" w:rsidRDefault="00CA20A1" w:rsidP="00CA20A1">
      <w:pPr>
        <w:ind w:left="-20" w:right="-20"/>
        <w:rPr>
          <w:rFonts w:eastAsia="Arial" w:cs="Arial"/>
          <w:sz w:val="20"/>
        </w:rPr>
      </w:pPr>
      <w:r w:rsidRPr="004D476D">
        <w:rPr>
          <w:rFonts w:eastAsia="Arial" w:cs="Arial"/>
          <w:sz w:val="20"/>
        </w:rPr>
        <w:t xml:space="preserve">CIMS is the framework for service providers to report serious incidents to the Regulator under section 48(1) of the </w:t>
      </w:r>
      <w:r w:rsidRPr="004D476D">
        <w:rPr>
          <w:rFonts w:eastAsia="Arial" w:cs="Arial"/>
          <w:i/>
          <w:iCs/>
          <w:sz w:val="20"/>
        </w:rPr>
        <w:t>Social Services Regulations Act</w:t>
      </w:r>
      <w:r w:rsidRPr="004D476D">
        <w:rPr>
          <w:rFonts w:eastAsia="Arial" w:cs="Arial"/>
          <w:sz w:val="20"/>
        </w:rPr>
        <w:t xml:space="preserve"> 2021 (the Act). Section 36(2) of the </w:t>
      </w:r>
      <w:r w:rsidRPr="004D476D">
        <w:rPr>
          <w:rFonts w:eastAsia="Arial" w:cs="Arial"/>
          <w:i/>
          <w:iCs/>
          <w:sz w:val="20"/>
        </w:rPr>
        <w:t xml:space="preserve">Social Services Regulations </w:t>
      </w:r>
      <w:r w:rsidRPr="004D476D">
        <w:rPr>
          <w:rFonts w:eastAsia="Arial" w:cs="Arial"/>
          <w:sz w:val="20"/>
        </w:rPr>
        <w:t>2023 details the prescribed information from CIMS that the Department will share with the Regulator to fulfill the requirements under section 48(1) of the Act.</w:t>
      </w:r>
    </w:p>
    <w:p w14:paraId="08E5429F" w14:textId="77777777" w:rsidR="00CA20A1" w:rsidRPr="004D476D" w:rsidRDefault="00CA20A1" w:rsidP="00CA20A1">
      <w:pPr>
        <w:ind w:left="-20" w:right="-20"/>
        <w:rPr>
          <w:sz w:val="20"/>
        </w:rPr>
      </w:pPr>
      <w:r w:rsidRPr="004D476D">
        <w:rPr>
          <w:rFonts w:eastAsia="Arial" w:cs="Arial"/>
          <w:sz w:val="20"/>
        </w:rPr>
        <w:t xml:space="preserve">See the </w:t>
      </w:r>
      <w:hyperlink r:id="rId14">
        <w:r w:rsidRPr="004D476D">
          <w:rPr>
            <w:rStyle w:val="Hyperlink"/>
            <w:rFonts w:eastAsia="Arial" w:cs="Arial"/>
            <w:sz w:val="20"/>
            <w:u w:val="single"/>
          </w:rPr>
          <w:t>Social Services Regulation Reform website</w:t>
        </w:r>
      </w:hyperlink>
      <w:r w:rsidRPr="004D476D">
        <w:rPr>
          <w:rFonts w:eastAsia="Arial" w:cs="Arial"/>
          <w:sz w:val="20"/>
        </w:rPr>
        <w:t xml:space="preserve"> at &lt;https://www.dffh.vic.gov.au/social-services-regulation-reform&gt; for more details.</w:t>
      </w:r>
    </w:p>
    <w:p w14:paraId="5E397912" w14:textId="77777777" w:rsidR="00CA20A1" w:rsidRDefault="00CA20A1" w:rsidP="00CA20A1">
      <w:pPr>
        <w:pStyle w:val="DHHSbody"/>
      </w:pPr>
    </w:p>
    <w:p w14:paraId="56D509EB" w14:textId="5DE680ED" w:rsidR="00FB1F6E" w:rsidRDefault="00FB1F6E">
      <w:pPr>
        <w:spacing w:after="0" w:line="240" w:lineRule="auto"/>
        <w:rPr>
          <w:rFonts w:eastAsia="Times"/>
        </w:rPr>
      </w:pPr>
    </w:p>
    <w:sectPr w:rsidR="00FB1F6E" w:rsidSect="006B443A">
      <w:headerReference w:type="even" r:id="rId15"/>
      <w:headerReference w:type="default" r:id="rId16"/>
      <w:footerReference w:type="even" r:id="rId17"/>
      <w:footerReference w:type="default" r:id="rId18"/>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46C80" w14:textId="77777777" w:rsidR="006B443A" w:rsidRDefault="006B443A">
      <w:r>
        <w:separator/>
      </w:r>
    </w:p>
    <w:p w14:paraId="78632025" w14:textId="77777777" w:rsidR="006B443A" w:rsidRDefault="006B443A"/>
  </w:endnote>
  <w:endnote w:type="continuationSeparator" w:id="0">
    <w:p w14:paraId="4648A711" w14:textId="77777777" w:rsidR="006B443A" w:rsidRDefault="006B443A">
      <w:r>
        <w:continuationSeparator/>
      </w:r>
    </w:p>
    <w:p w14:paraId="6C3E173B" w14:textId="77777777" w:rsidR="006B443A" w:rsidRDefault="006B443A"/>
  </w:endnote>
  <w:endnote w:type="continuationNotice" w:id="1">
    <w:p w14:paraId="2BF03204" w14:textId="77777777" w:rsidR="006B443A" w:rsidRDefault="006B44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57216"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26" type="#_x0000_t202" alt="{&quot;HashCode&quot;:904758361,&quot;Height&quot;:841.0,&quot;Width&quot;:595.0,&quot;Placement&quot;:&quot;Footer&quot;,&quot;Index&quot;:&quot;OddAndEven&quot;,&quot;Section&quot;:3,&quot;Top&quot;:0.0,&quot;Left&quot;:0.0}" style="position:absolute;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0"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Text Box 3" o:spid="_x0000_s1027" type="#_x0000_t202" alt="{&quot;HashCode&quot;:904758361,&quot;Height&quot;:841.0,&quot;Width&quot;:595.0,&quot;Placement&quot;:&quot;Footer&quot;,&quot;Index&quot;:&quot;Primary&quot;,&quot;Section&quot;:2,&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6192"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28" type="#_x0000_t202" alt="{&quot;HashCode&quot;:904758361,&quot;Height&quot;:841.0,&quot;Width&quot;:595.0,&quot;Placement&quot;:&quot;Footer&quot;,&quot;Index&quot;:&quot;Primary&quot;,&quot;Section&quot;:3,&quot;Top&quot;:0.0,&quot;Left&quot;:0.0}" style="position:absolute;margin-left:0;margin-top:802.35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74A71" w14:textId="77777777" w:rsidR="006B443A" w:rsidRDefault="006B443A" w:rsidP="00207717">
      <w:pPr>
        <w:spacing w:before="120"/>
      </w:pPr>
      <w:r>
        <w:separator/>
      </w:r>
    </w:p>
  </w:footnote>
  <w:footnote w:type="continuationSeparator" w:id="0">
    <w:p w14:paraId="76B08BA2" w14:textId="77777777" w:rsidR="006B443A" w:rsidRDefault="006B443A">
      <w:r>
        <w:continuationSeparator/>
      </w:r>
    </w:p>
    <w:p w14:paraId="6DE9B20C" w14:textId="77777777" w:rsidR="006B443A" w:rsidRDefault="006B443A"/>
  </w:footnote>
  <w:footnote w:type="continuationNotice" w:id="1">
    <w:p w14:paraId="409AF322" w14:textId="77777777" w:rsidR="006B443A" w:rsidRDefault="006B44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3D1A168B" w:rsidR="00562811" w:rsidRPr="001C7128" w:rsidRDefault="000A7D15" w:rsidP="001C7128">
    <w:pPr>
      <w:pStyle w:val="Header"/>
    </w:pPr>
    <w:r>
      <w:t>CIMS policy update 2-2024</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521E8E"/>
    <w:multiLevelType w:val="hybridMultilevel"/>
    <w:tmpl w:val="FFFFFFFF"/>
    <w:lvl w:ilvl="0" w:tplc="A9049A0A">
      <w:start w:val="1"/>
      <w:numFmt w:val="bullet"/>
      <w:lvlText w:val=""/>
      <w:lvlJc w:val="left"/>
      <w:pPr>
        <w:ind w:left="360" w:hanging="360"/>
      </w:pPr>
      <w:rPr>
        <w:rFonts w:ascii="Symbol" w:hAnsi="Symbol" w:hint="default"/>
      </w:rPr>
    </w:lvl>
    <w:lvl w:ilvl="1" w:tplc="213A06BE">
      <w:start w:val="1"/>
      <w:numFmt w:val="bullet"/>
      <w:lvlText w:val="o"/>
      <w:lvlJc w:val="left"/>
      <w:pPr>
        <w:ind w:left="1080" w:hanging="360"/>
      </w:pPr>
      <w:rPr>
        <w:rFonts w:ascii="Courier New" w:hAnsi="Courier New" w:hint="default"/>
      </w:rPr>
    </w:lvl>
    <w:lvl w:ilvl="2" w:tplc="17324AE4">
      <w:start w:val="1"/>
      <w:numFmt w:val="bullet"/>
      <w:lvlText w:val=""/>
      <w:lvlJc w:val="left"/>
      <w:pPr>
        <w:ind w:left="1800" w:hanging="360"/>
      </w:pPr>
      <w:rPr>
        <w:rFonts w:ascii="Wingdings" w:hAnsi="Wingdings" w:hint="default"/>
      </w:rPr>
    </w:lvl>
    <w:lvl w:ilvl="3" w:tplc="6EEA6962">
      <w:start w:val="1"/>
      <w:numFmt w:val="bullet"/>
      <w:lvlText w:val=""/>
      <w:lvlJc w:val="left"/>
      <w:pPr>
        <w:ind w:left="2520" w:hanging="360"/>
      </w:pPr>
      <w:rPr>
        <w:rFonts w:ascii="Symbol" w:hAnsi="Symbol" w:hint="default"/>
      </w:rPr>
    </w:lvl>
    <w:lvl w:ilvl="4" w:tplc="3BAA5BEC">
      <w:start w:val="1"/>
      <w:numFmt w:val="bullet"/>
      <w:lvlText w:val="o"/>
      <w:lvlJc w:val="left"/>
      <w:pPr>
        <w:ind w:left="3240" w:hanging="360"/>
      </w:pPr>
      <w:rPr>
        <w:rFonts w:ascii="Courier New" w:hAnsi="Courier New" w:hint="default"/>
      </w:rPr>
    </w:lvl>
    <w:lvl w:ilvl="5" w:tplc="CD2489B0">
      <w:start w:val="1"/>
      <w:numFmt w:val="bullet"/>
      <w:lvlText w:val=""/>
      <w:lvlJc w:val="left"/>
      <w:pPr>
        <w:ind w:left="3960" w:hanging="360"/>
      </w:pPr>
      <w:rPr>
        <w:rFonts w:ascii="Wingdings" w:hAnsi="Wingdings" w:hint="default"/>
      </w:rPr>
    </w:lvl>
    <w:lvl w:ilvl="6" w:tplc="87844F62">
      <w:start w:val="1"/>
      <w:numFmt w:val="bullet"/>
      <w:lvlText w:val=""/>
      <w:lvlJc w:val="left"/>
      <w:pPr>
        <w:ind w:left="4680" w:hanging="360"/>
      </w:pPr>
      <w:rPr>
        <w:rFonts w:ascii="Symbol" w:hAnsi="Symbol" w:hint="default"/>
      </w:rPr>
    </w:lvl>
    <w:lvl w:ilvl="7" w:tplc="C400B534">
      <w:start w:val="1"/>
      <w:numFmt w:val="bullet"/>
      <w:lvlText w:val="o"/>
      <w:lvlJc w:val="left"/>
      <w:pPr>
        <w:ind w:left="5400" w:hanging="360"/>
      </w:pPr>
      <w:rPr>
        <w:rFonts w:ascii="Courier New" w:hAnsi="Courier New" w:hint="default"/>
      </w:rPr>
    </w:lvl>
    <w:lvl w:ilvl="8" w:tplc="01D82600">
      <w:start w:val="1"/>
      <w:numFmt w:val="bullet"/>
      <w:lvlText w:val=""/>
      <w:lvlJc w:val="left"/>
      <w:pPr>
        <w:ind w:left="612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028099D"/>
    <w:multiLevelType w:val="hybridMultilevel"/>
    <w:tmpl w:val="FFFFFFFF"/>
    <w:lvl w:ilvl="0" w:tplc="A6522566">
      <w:start w:val="1"/>
      <w:numFmt w:val="bullet"/>
      <w:lvlText w:val="·"/>
      <w:lvlJc w:val="left"/>
      <w:pPr>
        <w:ind w:left="720" w:hanging="360"/>
      </w:pPr>
      <w:rPr>
        <w:rFonts w:ascii="Symbol" w:hAnsi="Symbol" w:hint="default"/>
      </w:rPr>
    </w:lvl>
    <w:lvl w:ilvl="1" w:tplc="25DA7178">
      <w:start w:val="1"/>
      <w:numFmt w:val="bullet"/>
      <w:lvlText w:val="o"/>
      <w:lvlJc w:val="left"/>
      <w:pPr>
        <w:ind w:left="1440" w:hanging="360"/>
      </w:pPr>
      <w:rPr>
        <w:rFonts w:ascii="Courier New" w:hAnsi="Courier New" w:hint="default"/>
      </w:rPr>
    </w:lvl>
    <w:lvl w:ilvl="2" w:tplc="9696A4AE">
      <w:start w:val="1"/>
      <w:numFmt w:val="bullet"/>
      <w:lvlText w:val=""/>
      <w:lvlJc w:val="left"/>
      <w:pPr>
        <w:ind w:left="2160" w:hanging="360"/>
      </w:pPr>
      <w:rPr>
        <w:rFonts w:ascii="Wingdings" w:hAnsi="Wingdings" w:hint="default"/>
      </w:rPr>
    </w:lvl>
    <w:lvl w:ilvl="3" w:tplc="3DE841BC">
      <w:start w:val="1"/>
      <w:numFmt w:val="bullet"/>
      <w:lvlText w:val=""/>
      <w:lvlJc w:val="left"/>
      <w:pPr>
        <w:ind w:left="2880" w:hanging="360"/>
      </w:pPr>
      <w:rPr>
        <w:rFonts w:ascii="Symbol" w:hAnsi="Symbol" w:hint="default"/>
      </w:rPr>
    </w:lvl>
    <w:lvl w:ilvl="4" w:tplc="5D4A6CF8">
      <w:start w:val="1"/>
      <w:numFmt w:val="bullet"/>
      <w:lvlText w:val="o"/>
      <w:lvlJc w:val="left"/>
      <w:pPr>
        <w:ind w:left="3600" w:hanging="360"/>
      </w:pPr>
      <w:rPr>
        <w:rFonts w:ascii="Courier New" w:hAnsi="Courier New" w:hint="default"/>
      </w:rPr>
    </w:lvl>
    <w:lvl w:ilvl="5" w:tplc="E0CCAB9A">
      <w:start w:val="1"/>
      <w:numFmt w:val="bullet"/>
      <w:lvlText w:val=""/>
      <w:lvlJc w:val="left"/>
      <w:pPr>
        <w:ind w:left="4320" w:hanging="360"/>
      </w:pPr>
      <w:rPr>
        <w:rFonts w:ascii="Wingdings" w:hAnsi="Wingdings" w:hint="default"/>
      </w:rPr>
    </w:lvl>
    <w:lvl w:ilvl="6" w:tplc="9E26AE26">
      <w:start w:val="1"/>
      <w:numFmt w:val="bullet"/>
      <w:lvlText w:val=""/>
      <w:lvlJc w:val="left"/>
      <w:pPr>
        <w:ind w:left="5040" w:hanging="360"/>
      </w:pPr>
      <w:rPr>
        <w:rFonts w:ascii="Symbol" w:hAnsi="Symbol" w:hint="default"/>
      </w:rPr>
    </w:lvl>
    <w:lvl w:ilvl="7" w:tplc="860E3F0E">
      <w:start w:val="1"/>
      <w:numFmt w:val="bullet"/>
      <w:lvlText w:val="o"/>
      <w:lvlJc w:val="left"/>
      <w:pPr>
        <w:ind w:left="5760" w:hanging="360"/>
      </w:pPr>
      <w:rPr>
        <w:rFonts w:ascii="Courier New" w:hAnsi="Courier New" w:hint="default"/>
      </w:rPr>
    </w:lvl>
    <w:lvl w:ilvl="8" w:tplc="89748FBC">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2F3059"/>
    <w:multiLevelType w:val="hybridMultilevel"/>
    <w:tmpl w:val="FFFFFFFF"/>
    <w:lvl w:ilvl="0" w:tplc="3446CDDA">
      <w:start w:val="1"/>
      <w:numFmt w:val="bullet"/>
      <w:lvlText w:val=""/>
      <w:lvlJc w:val="left"/>
      <w:pPr>
        <w:ind w:left="360" w:hanging="360"/>
      </w:pPr>
      <w:rPr>
        <w:rFonts w:ascii="Symbol" w:hAnsi="Symbol" w:hint="default"/>
      </w:rPr>
    </w:lvl>
    <w:lvl w:ilvl="1" w:tplc="A34E7D54">
      <w:start w:val="1"/>
      <w:numFmt w:val="bullet"/>
      <w:lvlText w:val="o"/>
      <w:lvlJc w:val="left"/>
      <w:pPr>
        <w:ind w:left="1080" w:hanging="360"/>
      </w:pPr>
      <w:rPr>
        <w:rFonts w:ascii="Courier New" w:hAnsi="Courier New" w:hint="default"/>
      </w:rPr>
    </w:lvl>
    <w:lvl w:ilvl="2" w:tplc="97C4DCBA">
      <w:start w:val="1"/>
      <w:numFmt w:val="bullet"/>
      <w:lvlText w:val=""/>
      <w:lvlJc w:val="left"/>
      <w:pPr>
        <w:ind w:left="1800" w:hanging="360"/>
      </w:pPr>
      <w:rPr>
        <w:rFonts w:ascii="Wingdings" w:hAnsi="Wingdings" w:hint="default"/>
      </w:rPr>
    </w:lvl>
    <w:lvl w:ilvl="3" w:tplc="74545402">
      <w:start w:val="1"/>
      <w:numFmt w:val="bullet"/>
      <w:lvlText w:val=""/>
      <w:lvlJc w:val="left"/>
      <w:pPr>
        <w:ind w:left="2520" w:hanging="360"/>
      </w:pPr>
      <w:rPr>
        <w:rFonts w:ascii="Symbol" w:hAnsi="Symbol" w:hint="default"/>
      </w:rPr>
    </w:lvl>
    <w:lvl w:ilvl="4" w:tplc="270C7C24">
      <w:start w:val="1"/>
      <w:numFmt w:val="bullet"/>
      <w:lvlText w:val="o"/>
      <w:lvlJc w:val="left"/>
      <w:pPr>
        <w:ind w:left="3240" w:hanging="360"/>
      </w:pPr>
      <w:rPr>
        <w:rFonts w:ascii="Courier New" w:hAnsi="Courier New" w:hint="default"/>
      </w:rPr>
    </w:lvl>
    <w:lvl w:ilvl="5" w:tplc="DDE4EDAE">
      <w:start w:val="1"/>
      <w:numFmt w:val="bullet"/>
      <w:lvlText w:val=""/>
      <w:lvlJc w:val="left"/>
      <w:pPr>
        <w:ind w:left="3960" w:hanging="360"/>
      </w:pPr>
      <w:rPr>
        <w:rFonts w:ascii="Wingdings" w:hAnsi="Wingdings" w:hint="default"/>
      </w:rPr>
    </w:lvl>
    <w:lvl w:ilvl="6" w:tplc="DAA23AF6">
      <w:start w:val="1"/>
      <w:numFmt w:val="bullet"/>
      <w:lvlText w:val=""/>
      <w:lvlJc w:val="left"/>
      <w:pPr>
        <w:ind w:left="4680" w:hanging="360"/>
      </w:pPr>
      <w:rPr>
        <w:rFonts w:ascii="Symbol" w:hAnsi="Symbol" w:hint="default"/>
      </w:rPr>
    </w:lvl>
    <w:lvl w:ilvl="7" w:tplc="58146032">
      <w:start w:val="1"/>
      <w:numFmt w:val="bullet"/>
      <w:lvlText w:val="o"/>
      <w:lvlJc w:val="left"/>
      <w:pPr>
        <w:ind w:left="5400" w:hanging="360"/>
      </w:pPr>
      <w:rPr>
        <w:rFonts w:ascii="Courier New" w:hAnsi="Courier New" w:hint="default"/>
      </w:rPr>
    </w:lvl>
    <w:lvl w:ilvl="8" w:tplc="CBA28248">
      <w:start w:val="1"/>
      <w:numFmt w:val="bullet"/>
      <w:lvlText w:val=""/>
      <w:lvlJc w:val="left"/>
      <w:pPr>
        <w:ind w:left="6120" w:hanging="360"/>
      </w:pPr>
      <w:rPr>
        <w:rFonts w:ascii="Wingdings" w:hAnsi="Wingding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21FDE3D"/>
    <w:multiLevelType w:val="hybridMultilevel"/>
    <w:tmpl w:val="FFFFFFFF"/>
    <w:lvl w:ilvl="0" w:tplc="1A6ADD8A">
      <w:start w:val="1"/>
      <w:numFmt w:val="bullet"/>
      <w:lvlText w:val=""/>
      <w:lvlJc w:val="left"/>
      <w:pPr>
        <w:ind w:left="360" w:hanging="360"/>
      </w:pPr>
      <w:rPr>
        <w:rFonts w:ascii="Symbol" w:hAnsi="Symbol" w:hint="default"/>
      </w:rPr>
    </w:lvl>
    <w:lvl w:ilvl="1" w:tplc="7DD2894A">
      <w:start w:val="1"/>
      <w:numFmt w:val="bullet"/>
      <w:lvlText w:val="o"/>
      <w:lvlJc w:val="left"/>
      <w:pPr>
        <w:ind w:left="1080" w:hanging="360"/>
      </w:pPr>
      <w:rPr>
        <w:rFonts w:ascii="Courier New" w:hAnsi="Courier New" w:hint="default"/>
      </w:rPr>
    </w:lvl>
    <w:lvl w:ilvl="2" w:tplc="448E79C2">
      <w:start w:val="1"/>
      <w:numFmt w:val="bullet"/>
      <w:lvlText w:val=""/>
      <w:lvlJc w:val="left"/>
      <w:pPr>
        <w:ind w:left="1800" w:hanging="360"/>
      </w:pPr>
      <w:rPr>
        <w:rFonts w:ascii="Wingdings" w:hAnsi="Wingdings" w:hint="default"/>
      </w:rPr>
    </w:lvl>
    <w:lvl w:ilvl="3" w:tplc="8A347604">
      <w:start w:val="1"/>
      <w:numFmt w:val="bullet"/>
      <w:lvlText w:val=""/>
      <w:lvlJc w:val="left"/>
      <w:pPr>
        <w:ind w:left="2520" w:hanging="360"/>
      </w:pPr>
      <w:rPr>
        <w:rFonts w:ascii="Symbol" w:hAnsi="Symbol" w:hint="default"/>
      </w:rPr>
    </w:lvl>
    <w:lvl w:ilvl="4" w:tplc="11E84A26">
      <w:start w:val="1"/>
      <w:numFmt w:val="bullet"/>
      <w:lvlText w:val="o"/>
      <w:lvlJc w:val="left"/>
      <w:pPr>
        <w:ind w:left="3240" w:hanging="360"/>
      </w:pPr>
      <w:rPr>
        <w:rFonts w:ascii="Courier New" w:hAnsi="Courier New" w:hint="default"/>
      </w:rPr>
    </w:lvl>
    <w:lvl w:ilvl="5" w:tplc="E09A1738">
      <w:start w:val="1"/>
      <w:numFmt w:val="bullet"/>
      <w:lvlText w:val=""/>
      <w:lvlJc w:val="left"/>
      <w:pPr>
        <w:ind w:left="3960" w:hanging="360"/>
      </w:pPr>
      <w:rPr>
        <w:rFonts w:ascii="Wingdings" w:hAnsi="Wingdings" w:hint="default"/>
      </w:rPr>
    </w:lvl>
    <w:lvl w:ilvl="6" w:tplc="302C8988">
      <w:start w:val="1"/>
      <w:numFmt w:val="bullet"/>
      <w:lvlText w:val=""/>
      <w:lvlJc w:val="left"/>
      <w:pPr>
        <w:ind w:left="4680" w:hanging="360"/>
      </w:pPr>
      <w:rPr>
        <w:rFonts w:ascii="Symbol" w:hAnsi="Symbol" w:hint="default"/>
      </w:rPr>
    </w:lvl>
    <w:lvl w:ilvl="7" w:tplc="9E64EA6E">
      <w:start w:val="1"/>
      <w:numFmt w:val="bullet"/>
      <w:lvlText w:val="o"/>
      <w:lvlJc w:val="left"/>
      <w:pPr>
        <w:ind w:left="5400" w:hanging="360"/>
      </w:pPr>
      <w:rPr>
        <w:rFonts w:ascii="Courier New" w:hAnsi="Courier New" w:hint="default"/>
      </w:rPr>
    </w:lvl>
    <w:lvl w:ilvl="8" w:tplc="23469F68">
      <w:start w:val="1"/>
      <w:numFmt w:val="bullet"/>
      <w:lvlText w:val=""/>
      <w:lvlJc w:val="left"/>
      <w:pPr>
        <w:ind w:left="6120" w:hanging="360"/>
      </w:pPr>
      <w:rPr>
        <w:rFonts w:ascii="Wingdings" w:hAnsi="Wingding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945818">
    <w:abstractNumId w:val="10"/>
  </w:num>
  <w:num w:numId="2" w16cid:durableId="1436631641">
    <w:abstractNumId w:val="18"/>
  </w:num>
  <w:num w:numId="3" w16cid:durableId="14986190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25370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17891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3148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17847">
    <w:abstractNumId w:val="22"/>
  </w:num>
  <w:num w:numId="8" w16cid:durableId="499586939">
    <w:abstractNumId w:val="17"/>
  </w:num>
  <w:num w:numId="9" w16cid:durableId="1269629612">
    <w:abstractNumId w:val="21"/>
  </w:num>
  <w:num w:numId="10" w16cid:durableId="4435480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7183941">
    <w:abstractNumId w:val="24"/>
  </w:num>
  <w:num w:numId="12" w16cid:durableId="4735282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6036321">
    <w:abstractNumId w:val="19"/>
  </w:num>
  <w:num w:numId="14" w16cid:durableId="9399896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28395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04054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78331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5914982">
    <w:abstractNumId w:val="27"/>
  </w:num>
  <w:num w:numId="19" w16cid:durableId="4101298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9979058">
    <w:abstractNumId w:val="14"/>
  </w:num>
  <w:num w:numId="21" w16cid:durableId="1062868385">
    <w:abstractNumId w:val="12"/>
  </w:num>
  <w:num w:numId="22" w16cid:durableId="19565201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9196179">
    <w:abstractNumId w:val="15"/>
  </w:num>
  <w:num w:numId="24" w16cid:durableId="2130198284">
    <w:abstractNumId w:val="29"/>
  </w:num>
  <w:num w:numId="25" w16cid:durableId="1570192691">
    <w:abstractNumId w:val="26"/>
  </w:num>
  <w:num w:numId="26" w16cid:durableId="428501072">
    <w:abstractNumId w:val="20"/>
  </w:num>
  <w:num w:numId="27" w16cid:durableId="1554272960">
    <w:abstractNumId w:val="11"/>
  </w:num>
  <w:num w:numId="28" w16cid:durableId="466631665">
    <w:abstractNumId w:val="30"/>
  </w:num>
  <w:num w:numId="29" w16cid:durableId="244607642">
    <w:abstractNumId w:val="9"/>
  </w:num>
  <w:num w:numId="30" w16cid:durableId="1702824958">
    <w:abstractNumId w:val="7"/>
  </w:num>
  <w:num w:numId="31" w16cid:durableId="929001741">
    <w:abstractNumId w:val="6"/>
  </w:num>
  <w:num w:numId="32" w16cid:durableId="871310267">
    <w:abstractNumId w:val="5"/>
  </w:num>
  <w:num w:numId="33" w16cid:durableId="1330673140">
    <w:abstractNumId w:val="4"/>
  </w:num>
  <w:num w:numId="34" w16cid:durableId="1827670586">
    <w:abstractNumId w:val="8"/>
  </w:num>
  <w:num w:numId="35" w16cid:durableId="718280695">
    <w:abstractNumId w:val="3"/>
  </w:num>
  <w:num w:numId="36" w16cid:durableId="513030677">
    <w:abstractNumId w:val="2"/>
  </w:num>
  <w:num w:numId="37" w16cid:durableId="823816978">
    <w:abstractNumId w:val="1"/>
  </w:num>
  <w:num w:numId="38" w16cid:durableId="523909183">
    <w:abstractNumId w:val="0"/>
  </w:num>
  <w:num w:numId="39" w16cid:durableId="15710415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26116405">
    <w:abstractNumId w:val="23"/>
  </w:num>
  <w:num w:numId="41" w16cid:durableId="11297289">
    <w:abstractNumId w:val="28"/>
  </w:num>
  <w:num w:numId="42" w16cid:durableId="1320571037">
    <w:abstractNumId w:val="16"/>
  </w:num>
  <w:num w:numId="43" w16cid:durableId="16163997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170F"/>
    <w:rsid w:val="0008204A"/>
    <w:rsid w:val="0008508E"/>
    <w:rsid w:val="00087951"/>
    <w:rsid w:val="0009113B"/>
    <w:rsid w:val="00093402"/>
    <w:rsid w:val="000939ED"/>
    <w:rsid w:val="00094DA3"/>
    <w:rsid w:val="00096CD1"/>
    <w:rsid w:val="000A012C"/>
    <w:rsid w:val="000A0EB9"/>
    <w:rsid w:val="000A186C"/>
    <w:rsid w:val="000A1EA4"/>
    <w:rsid w:val="000A2476"/>
    <w:rsid w:val="000A641A"/>
    <w:rsid w:val="000A7D15"/>
    <w:rsid w:val="000B3EDB"/>
    <w:rsid w:val="000B543D"/>
    <w:rsid w:val="000B55F9"/>
    <w:rsid w:val="000B5BF7"/>
    <w:rsid w:val="000B6BC8"/>
    <w:rsid w:val="000C0303"/>
    <w:rsid w:val="000C42EA"/>
    <w:rsid w:val="000C4546"/>
    <w:rsid w:val="000D02EC"/>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390C"/>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71DD"/>
    <w:rsid w:val="00177995"/>
    <w:rsid w:val="00177A8C"/>
    <w:rsid w:val="00181A38"/>
    <w:rsid w:val="0018244E"/>
    <w:rsid w:val="00183356"/>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44DF"/>
    <w:rsid w:val="001E68A5"/>
    <w:rsid w:val="001E6BB0"/>
    <w:rsid w:val="001E7282"/>
    <w:rsid w:val="001E7CE9"/>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63B3"/>
    <w:rsid w:val="002802E3"/>
    <w:rsid w:val="0028213D"/>
    <w:rsid w:val="00282A7F"/>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1E4C"/>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2E67"/>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7BF4"/>
    <w:rsid w:val="0042084E"/>
    <w:rsid w:val="00421EEF"/>
    <w:rsid w:val="00424D65"/>
    <w:rsid w:val="0042526D"/>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3126"/>
    <w:rsid w:val="00466E79"/>
    <w:rsid w:val="00470D7D"/>
    <w:rsid w:val="0047372D"/>
    <w:rsid w:val="00473BA3"/>
    <w:rsid w:val="004743DD"/>
    <w:rsid w:val="00474CEA"/>
    <w:rsid w:val="00483968"/>
    <w:rsid w:val="00483E93"/>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014B"/>
    <w:rsid w:val="004C5541"/>
    <w:rsid w:val="004C6EEE"/>
    <w:rsid w:val="004C702B"/>
    <w:rsid w:val="004D0033"/>
    <w:rsid w:val="004D016B"/>
    <w:rsid w:val="004D1B22"/>
    <w:rsid w:val="004D23CC"/>
    <w:rsid w:val="004D36F2"/>
    <w:rsid w:val="004D476D"/>
    <w:rsid w:val="004E1106"/>
    <w:rsid w:val="004E138F"/>
    <w:rsid w:val="004E4649"/>
    <w:rsid w:val="004E5C2B"/>
    <w:rsid w:val="004F00DD"/>
    <w:rsid w:val="004F2133"/>
    <w:rsid w:val="004F5398"/>
    <w:rsid w:val="004F55F1"/>
    <w:rsid w:val="004F6936"/>
    <w:rsid w:val="00503DC6"/>
    <w:rsid w:val="0050542B"/>
    <w:rsid w:val="00506F5D"/>
    <w:rsid w:val="00510C37"/>
    <w:rsid w:val="005126D0"/>
    <w:rsid w:val="00514667"/>
    <w:rsid w:val="0051568D"/>
    <w:rsid w:val="005168F8"/>
    <w:rsid w:val="00516ECB"/>
    <w:rsid w:val="00526AC7"/>
    <w:rsid w:val="00526C15"/>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AB9"/>
    <w:rsid w:val="005B7A63"/>
    <w:rsid w:val="005C0955"/>
    <w:rsid w:val="005C49DA"/>
    <w:rsid w:val="005C50F3"/>
    <w:rsid w:val="005C54B5"/>
    <w:rsid w:val="005C5D80"/>
    <w:rsid w:val="005C5D91"/>
    <w:rsid w:val="005D07B8"/>
    <w:rsid w:val="005D4D30"/>
    <w:rsid w:val="005D6597"/>
    <w:rsid w:val="005E14E7"/>
    <w:rsid w:val="005E26A3"/>
    <w:rsid w:val="005E2ECB"/>
    <w:rsid w:val="005E447E"/>
    <w:rsid w:val="005E4FD1"/>
    <w:rsid w:val="005F0775"/>
    <w:rsid w:val="005F0CF5"/>
    <w:rsid w:val="005F21EB"/>
    <w:rsid w:val="005F64CF"/>
    <w:rsid w:val="006030E0"/>
    <w:rsid w:val="006041AD"/>
    <w:rsid w:val="006042B5"/>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546"/>
    <w:rsid w:val="00693D14"/>
    <w:rsid w:val="00696F27"/>
    <w:rsid w:val="006A18C2"/>
    <w:rsid w:val="006A2717"/>
    <w:rsid w:val="006A3383"/>
    <w:rsid w:val="006B077C"/>
    <w:rsid w:val="006B0C81"/>
    <w:rsid w:val="006B443A"/>
    <w:rsid w:val="006B6803"/>
    <w:rsid w:val="006C50BD"/>
    <w:rsid w:val="006D0F16"/>
    <w:rsid w:val="006D2A3F"/>
    <w:rsid w:val="006D2FBC"/>
    <w:rsid w:val="006D3EF9"/>
    <w:rsid w:val="006D6E34"/>
    <w:rsid w:val="006E138B"/>
    <w:rsid w:val="006E1867"/>
    <w:rsid w:val="006F0330"/>
    <w:rsid w:val="006F1FDC"/>
    <w:rsid w:val="006F6B76"/>
    <w:rsid w:val="006F6B8C"/>
    <w:rsid w:val="007013EF"/>
    <w:rsid w:val="0070255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BA1"/>
    <w:rsid w:val="007D5E1C"/>
    <w:rsid w:val="007E0DE2"/>
    <w:rsid w:val="007E3667"/>
    <w:rsid w:val="007E3B98"/>
    <w:rsid w:val="007E417A"/>
    <w:rsid w:val="007F31B6"/>
    <w:rsid w:val="007F546C"/>
    <w:rsid w:val="007F625F"/>
    <w:rsid w:val="007F665E"/>
    <w:rsid w:val="00800412"/>
    <w:rsid w:val="0080587B"/>
    <w:rsid w:val="00806468"/>
    <w:rsid w:val="0081106F"/>
    <w:rsid w:val="008119CA"/>
    <w:rsid w:val="008130C4"/>
    <w:rsid w:val="008155F0"/>
    <w:rsid w:val="00816735"/>
    <w:rsid w:val="00816760"/>
    <w:rsid w:val="00820141"/>
    <w:rsid w:val="00820E0C"/>
    <w:rsid w:val="00823275"/>
    <w:rsid w:val="0082366F"/>
    <w:rsid w:val="00831B47"/>
    <w:rsid w:val="008338A2"/>
    <w:rsid w:val="00841AA9"/>
    <w:rsid w:val="008474FE"/>
    <w:rsid w:val="00853EE4"/>
    <w:rsid w:val="00855535"/>
    <w:rsid w:val="00857C5A"/>
    <w:rsid w:val="0086255E"/>
    <w:rsid w:val="008633F0"/>
    <w:rsid w:val="00863B7C"/>
    <w:rsid w:val="00867D9D"/>
    <w:rsid w:val="00872E0A"/>
    <w:rsid w:val="00873594"/>
    <w:rsid w:val="00875285"/>
    <w:rsid w:val="00877635"/>
    <w:rsid w:val="00884B62"/>
    <w:rsid w:val="0088529C"/>
    <w:rsid w:val="00887903"/>
    <w:rsid w:val="0089270A"/>
    <w:rsid w:val="00893AF6"/>
    <w:rsid w:val="00894BC4"/>
    <w:rsid w:val="00896890"/>
    <w:rsid w:val="008A28A8"/>
    <w:rsid w:val="008A5B32"/>
    <w:rsid w:val="008B1CC6"/>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807"/>
    <w:rsid w:val="008E7A0A"/>
    <w:rsid w:val="008E7B49"/>
    <w:rsid w:val="008F59F6"/>
    <w:rsid w:val="00900719"/>
    <w:rsid w:val="009017AC"/>
    <w:rsid w:val="00902A9A"/>
    <w:rsid w:val="00904A1C"/>
    <w:rsid w:val="00905030"/>
    <w:rsid w:val="00906490"/>
    <w:rsid w:val="009111B2"/>
    <w:rsid w:val="009151F5"/>
    <w:rsid w:val="00924AE1"/>
    <w:rsid w:val="00924B57"/>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01DF"/>
    <w:rsid w:val="00A22229"/>
    <w:rsid w:val="00A24442"/>
    <w:rsid w:val="00A24ADA"/>
    <w:rsid w:val="00A31871"/>
    <w:rsid w:val="00A32577"/>
    <w:rsid w:val="00A330BB"/>
    <w:rsid w:val="00A446F5"/>
    <w:rsid w:val="00A44882"/>
    <w:rsid w:val="00A45125"/>
    <w:rsid w:val="00A5008B"/>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A72AA"/>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1629"/>
    <w:rsid w:val="00AF26F3"/>
    <w:rsid w:val="00AF5F04"/>
    <w:rsid w:val="00B00672"/>
    <w:rsid w:val="00B01B4D"/>
    <w:rsid w:val="00B04489"/>
    <w:rsid w:val="00B06571"/>
    <w:rsid w:val="00B068BA"/>
    <w:rsid w:val="00B07217"/>
    <w:rsid w:val="00B13851"/>
    <w:rsid w:val="00B13B1C"/>
    <w:rsid w:val="00B14B5F"/>
    <w:rsid w:val="00B21F90"/>
    <w:rsid w:val="00B22291"/>
    <w:rsid w:val="00B231AE"/>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6E8"/>
    <w:rsid w:val="00BE4A64"/>
    <w:rsid w:val="00BE552B"/>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1A9B"/>
    <w:rsid w:val="00C920EA"/>
    <w:rsid w:val="00C93C3E"/>
    <w:rsid w:val="00CA12E3"/>
    <w:rsid w:val="00CA1476"/>
    <w:rsid w:val="00CA20A1"/>
    <w:rsid w:val="00CA6611"/>
    <w:rsid w:val="00CA6AE6"/>
    <w:rsid w:val="00CA782F"/>
    <w:rsid w:val="00CB187B"/>
    <w:rsid w:val="00CB2835"/>
    <w:rsid w:val="00CB3285"/>
    <w:rsid w:val="00CB4500"/>
    <w:rsid w:val="00CB5EA8"/>
    <w:rsid w:val="00CC0C72"/>
    <w:rsid w:val="00CC2BFD"/>
    <w:rsid w:val="00CC6F40"/>
    <w:rsid w:val="00CD3476"/>
    <w:rsid w:val="00CD64DF"/>
    <w:rsid w:val="00CD768F"/>
    <w:rsid w:val="00CE225F"/>
    <w:rsid w:val="00CF230C"/>
    <w:rsid w:val="00CF2F50"/>
    <w:rsid w:val="00CF6198"/>
    <w:rsid w:val="00D02919"/>
    <w:rsid w:val="00D04C61"/>
    <w:rsid w:val="00D05B8D"/>
    <w:rsid w:val="00D05B9B"/>
    <w:rsid w:val="00D065A2"/>
    <w:rsid w:val="00D079AA"/>
    <w:rsid w:val="00D07F00"/>
    <w:rsid w:val="00D1035D"/>
    <w:rsid w:val="00D1130F"/>
    <w:rsid w:val="00D1571F"/>
    <w:rsid w:val="00D17B72"/>
    <w:rsid w:val="00D24BDF"/>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640AD"/>
    <w:rsid w:val="00D714CC"/>
    <w:rsid w:val="00D75EA7"/>
    <w:rsid w:val="00D77252"/>
    <w:rsid w:val="00D81ADF"/>
    <w:rsid w:val="00D81F21"/>
    <w:rsid w:val="00D83D06"/>
    <w:rsid w:val="00D864F2"/>
    <w:rsid w:val="00D943F8"/>
    <w:rsid w:val="00D95470"/>
    <w:rsid w:val="00D96B55"/>
    <w:rsid w:val="00DA2619"/>
    <w:rsid w:val="00DA4239"/>
    <w:rsid w:val="00DA588C"/>
    <w:rsid w:val="00DA65DE"/>
    <w:rsid w:val="00DB0B61"/>
    <w:rsid w:val="00DB1474"/>
    <w:rsid w:val="00DB2962"/>
    <w:rsid w:val="00DB52FB"/>
    <w:rsid w:val="00DB5F76"/>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C8D"/>
    <w:rsid w:val="00E80DE3"/>
    <w:rsid w:val="00E82C55"/>
    <w:rsid w:val="00E8787E"/>
    <w:rsid w:val="00E9067A"/>
    <w:rsid w:val="00E92AC3"/>
    <w:rsid w:val="00EA2F6A"/>
    <w:rsid w:val="00EB00E0"/>
    <w:rsid w:val="00EB05D5"/>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5144"/>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0BA"/>
    <w:rsid w:val="00F815B5"/>
    <w:rsid w:val="00F85195"/>
    <w:rsid w:val="00F857D4"/>
    <w:rsid w:val="00F868E3"/>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31E"/>
    <w:rsid w:val="00FE3FA7"/>
    <w:rsid w:val="00FE4081"/>
    <w:rsid w:val="00FF2A4E"/>
    <w:rsid w:val="00FF2FCE"/>
    <w:rsid w:val="00FF4F7D"/>
    <w:rsid w:val="00FF6D9D"/>
    <w:rsid w:val="00FF7620"/>
    <w:rsid w:val="00FF7DD5"/>
    <w:rsid w:val="2B4BD387"/>
    <w:rsid w:val="62AC147D"/>
    <w:rsid w:val="6F7FE55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1209105D-2282-43FB-A13B-726850E0E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Body"/>
    <w:uiPriority w:val="3"/>
    <w:rsid w:val="00F15144"/>
    <w:pPr>
      <w:numPr>
        <w:ilvl w:val="1"/>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customStyle="1" w:styleId="DHHSbody">
    <w:name w:val="DHHS body"/>
    <w:qFormat/>
    <w:rsid w:val="00CA20A1"/>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CA20A1"/>
    <w:pPr>
      <w:spacing w:after="40"/>
      <w:ind w:left="284" w:hanging="284"/>
    </w:pPr>
  </w:style>
  <w:style w:type="paragraph" w:customStyle="1" w:styleId="DHHSbullet2">
    <w:name w:val="DHHS bullet 2"/>
    <w:basedOn w:val="DHHSbody"/>
    <w:uiPriority w:val="2"/>
    <w:qFormat/>
    <w:rsid w:val="00CA20A1"/>
    <w:pPr>
      <w:spacing w:after="40"/>
      <w:ind w:left="567" w:hanging="283"/>
    </w:pPr>
  </w:style>
  <w:style w:type="paragraph" w:customStyle="1" w:styleId="DHHSbodyafterbullets">
    <w:name w:val="DHHS body after bullets"/>
    <w:basedOn w:val="DHHSbody"/>
    <w:uiPriority w:val="11"/>
    <w:rsid w:val="00CA20A1"/>
    <w:pPr>
      <w:spacing w:before="120"/>
    </w:pPr>
  </w:style>
  <w:style w:type="paragraph" w:styleId="ListParagraph">
    <w:name w:val="List Paragraph"/>
    <w:basedOn w:val="Normal"/>
    <w:uiPriority w:val="34"/>
    <w:qFormat/>
    <w:rsid w:val="00CA20A1"/>
    <w:pPr>
      <w:spacing w:after="0" w:line="240" w:lineRule="auto"/>
      <w:ind w:left="720"/>
      <w:contextualSpacing/>
    </w:pPr>
    <w:rPr>
      <w:rFonts w:ascii="Cambria" w:hAnsi="Cambr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viders.dffh.vic.gov.au/cim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tewide.cims@dffh.vic.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fh.vic.gov.au/social-services-regulation-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51ef5222-d273-4e86-adbf-8aa3d9e99a84">
      <UserInfo>
        <DisplayName>CIMS Review (DFFH)</DisplayName>
        <AccountId>765</AccountId>
        <AccountType/>
      </UserInfo>
      <UserInfo>
        <DisplayName>Madison Wilding (DFFH)</DisplayName>
        <AccountId>958</AccountId>
        <AccountType/>
      </UserInfo>
      <UserInfo>
        <DisplayName>Helen Zenkis (DFFH)</DisplayName>
        <AccountId>80</AccountId>
        <AccountType/>
      </UserInfo>
      <UserInfo>
        <DisplayName>Shane D Wilson (DFFH)</DisplayName>
        <AccountId>114</AccountId>
        <AccountType/>
      </UserInfo>
      <UserInfo>
        <DisplayName>Carmen Yiu (DFFH)</DisplayName>
        <AccountId>24</AccountId>
        <AccountType/>
      </UserInfo>
    </SharedWithUsers>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EA740-49ED-4CB9-A8ED-7C2F42853EBF}"/>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59098f23-3ca6-4eec-8c4e-6f77ceae2d9e"/>
    <ds:schemaRef ds:uri="5ce0f2b5-5be5-4508-bce9-d7011ece0659"/>
    <ds:schemaRef ds:uri="http://purl.org/dc/elements/1.1/"/>
    <ds:schemaRef ds:uri="http://schemas.microsoft.com/office/2006/metadata/properties"/>
    <ds:schemaRef ds:uri="http://schemas.microsoft.com/office/infopath/2007/PartnerControls"/>
    <ds:schemaRef ds:uri="4e6cfa50-9814-4036-b2f8-54bb7ef1e7f8"/>
    <ds:schemaRef ds:uri="http://schemas.microsoft.com/sharepoint/v3"/>
    <ds:schemaRef ds:uri="http://schemas.microsoft.com/sharepoint/v4"/>
    <ds:schemaRef ds:uri="http://purl.org/dc/terms/"/>
    <ds:schemaRef ds:uri="http://schemas.openxmlformats.org/package/2006/metadata/core-properties"/>
    <ds:schemaRef ds:uri="9bb0acc9-d7bd-4cdf-ad2b-ac1699117d04"/>
    <ds:schemaRef ds:uri="131e7afd-8cb4-4255-a884-cbcde2747e4c"/>
    <ds:schemaRef ds:uri="http://www.w3.org/XML/1998/namespace"/>
    <ds:schemaRef ds:uri="http://purl.org/dc/dcmitype/"/>
    <ds:schemaRef ds:uri="69a4a4bc-c101-4486-8aee-c67e58ed4746"/>
    <ds:schemaRef ds:uri="ec1398ba-5a60-46a3-8146-eb897584b7aa"/>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1577</Words>
  <Characters>8989</Characters>
  <Application>Microsoft Office Word</Application>
  <DocSecurity>0</DocSecurity>
  <Lines>74</Lines>
  <Paragraphs>21</Paragraphs>
  <ScaleCrop>false</ScaleCrop>
  <Company>Victoria State Government, Department of Families, Fairness and Housing</Company>
  <LinksUpToDate>false</LinksUpToDate>
  <CharactersWithSpaces>10545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Incident Management System (CIMS) - Policy update 2-2024</dc:title>
  <dc:subject>Policy update 2-2024</dc:subject>
  <cp:keywords>CIMS, incident reporting, client incident reporting, CIMS policy</cp:keywords>
  <cp:revision>2</cp:revision>
  <cp:lastPrinted>2021-01-30T00:27:00Z</cp:lastPrinted>
  <dcterms:created xsi:type="dcterms:W3CDTF">2024-05-28T04:15:00Z</dcterms:created>
  <dcterms:modified xsi:type="dcterms:W3CDTF">2024-05-28T04:15:00Z</dcterms:modified>
  <cp:category>CIMS, incident reporting, client incident reporting, CIMS policy</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2400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Report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https://dhhsvicgovau.sharepoint.com/:w:/s/dffh/EUFx9wiVtCxIpqmWHMxnErYBmFzUz4wEpq_QdLjy8AuQaA</vt:lpwstr>
  </property>
  <property fmtid="{D5CDD505-2E9C-101B-9397-08002B2CF9AE}" pid="21" name="Link">
    <vt:lpwstr>https://dhhsvicgovau.sharepoint.com/:w:/s/dffh/EUFx9wiVtCxIpqmWHMxnErYBmFzUz4wEpq_QdLjy8AuQaA, https://dhhsvicgovau.sharepoint.com/:w:/s/dffh/EUFx9wiVtCxIpqmWHMxnErYBmFzUz4wEpq_QdLjy8AuQaA</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