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88CC" w14:textId="5E9F78D8" w:rsidR="0074696E" w:rsidRPr="004C6EEE" w:rsidRDefault="00457807" w:rsidP="00AD784C">
      <w:pPr>
        <w:pStyle w:val="Spacerparatopoffirstpage"/>
      </w:pPr>
      <w:r>
        <w:rPr>
          <w:lang w:eastAsia="en-AU"/>
        </w:rPr>
        <w:drawing>
          <wp:anchor distT="0" distB="0" distL="114300" distR="114300" simplePos="0" relativeHeight="251657728" behindDoc="1" locked="1" layoutInCell="0" allowOverlap="1" wp14:anchorId="4E6CA9C6" wp14:editId="39B9F6D5">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r w:rsidR="00934D3F">
        <w:t xml:space="preserve"> </w:t>
      </w:r>
      <w:bookmarkStart w:id="0" w:name="_GoBack"/>
      <w:bookmarkEnd w:id="0"/>
    </w:p>
    <w:p w14:paraId="0E53F97E"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040"/>
      </w:tblGrid>
      <w:tr w:rsidR="00AD784C" w14:paraId="2A3A98E4" w14:textId="77777777" w:rsidTr="00B47469">
        <w:trPr>
          <w:trHeight w:val="912"/>
        </w:trPr>
        <w:tc>
          <w:tcPr>
            <w:tcW w:w="8040" w:type="dxa"/>
            <w:shd w:val="clear" w:color="auto" w:fill="auto"/>
            <w:vAlign w:val="bottom"/>
          </w:tcPr>
          <w:p w14:paraId="46970228" w14:textId="77777777" w:rsidR="00AD784C" w:rsidRPr="00DE4E5C" w:rsidRDefault="00F777DC" w:rsidP="000025A2">
            <w:pPr>
              <w:pStyle w:val="DHHSmainheading"/>
              <w:spacing w:line="270" w:lineRule="atLeast"/>
              <w:rPr>
                <w:sz w:val="44"/>
                <w:szCs w:val="44"/>
              </w:rPr>
            </w:pPr>
            <w:r w:rsidRPr="00F777DC">
              <w:rPr>
                <w:rFonts w:cs="Arial"/>
                <w:sz w:val="44"/>
                <w:szCs w:val="44"/>
              </w:rPr>
              <w:t>Placement prevention services</w:t>
            </w:r>
            <w:r w:rsidR="00F922BE" w:rsidRPr="00DE4E5C">
              <w:rPr>
                <w:rFonts w:cs="Arial"/>
                <w:sz w:val="44"/>
                <w:szCs w:val="44"/>
              </w:rPr>
              <w:br/>
            </w:r>
            <w:r>
              <w:rPr>
                <w:rFonts w:cs="Arial"/>
                <w:sz w:val="44"/>
                <w:szCs w:val="44"/>
              </w:rPr>
              <w:t>31218</w:t>
            </w:r>
          </w:p>
        </w:tc>
      </w:tr>
      <w:tr w:rsidR="00AD784C" w14:paraId="4F13385C" w14:textId="77777777" w:rsidTr="00B47469">
        <w:trPr>
          <w:trHeight w:hRule="exact" w:val="1191"/>
        </w:trPr>
        <w:tc>
          <w:tcPr>
            <w:tcW w:w="8040" w:type="dxa"/>
            <w:shd w:val="clear" w:color="auto" w:fill="auto"/>
            <w:tcMar>
              <w:top w:w="170" w:type="dxa"/>
              <w:bottom w:w="510" w:type="dxa"/>
            </w:tcMar>
          </w:tcPr>
          <w:p w14:paraId="25082CEF" w14:textId="77777777" w:rsidR="000E1740" w:rsidRDefault="00F922BE" w:rsidP="005E76EA">
            <w:pPr>
              <w:pStyle w:val="DHHSmainsubheading"/>
              <w:rPr>
                <w:szCs w:val="28"/>
              </w:rPr>
            </w:pPr>
            <w:r>
              <w:rPr>
                <w:szCs w:val="28"/>
              </w:rPr>
              <w:t>Outcome objective</w:t>
            </w:r>
            <w:r w:rsidR="00DE4E5C">
              <w:rPr>
                <w:szCs w:val="28"/>
              </w:rPr>
              <w:t>:</w:t>
            </w:r>
            <w:r>
              <w:rPr>
                <w:szCs w:val="28"/>
              </w:rPr>
              <w:t xml:space="preserve"> </w:t>
            </w:r>
            <w:r w:rsidR="000E1740">
              <w:rPr>
                <w:szCs w:val="28"/>
              </w:rPr>
              <w:t>Victorians are safe and secure</w:t>
            </w:r>
          </w:p>
          <w:p w14:paraId="45B098F4" w14:textId="77777777" w:rsidR="00DE4E5C" w:rsidRDefault="00F922BE" w:rsidP="005E76EA">
            <w:pPr>
              <w:pStyle w:val="DHHSmainsubheading"/>
              <w:rPr>
                <w:szCs w:val="28"/>
              </w:rPr>
            </w:pPr>
            <w:r>
              <w:rPr>
                <w:szCs w:val="28"/>
              </w:rPr>
              <w:t xml:space="preserve">Output group: </w:t>
            </w:r>
            <w:r w:rsidR="00A21BDA" w:rsidRPr="00A21BDA">
              <w:rPr>
                <w:szCs w:val="28"/>
              </w:rPr>
              <w:t>Child protection and family services</w:t>
            </w:r>
          </w:p>
          <w:p w14:paraId="22E89119" w14:textId="77777777" w:rsidR="00F922BE" w:rsidRPr="00AD784C" w:rsidRDefault="00F922BE" w:rsidP="00D1443D">
            <w:pPr>
              <w:pStyle w:val="DHHSmainsubheading"/>
              <w:rPr>
                <w:szCs w:val="28"/>
              </w:rPr>
            </w:pPr>
            <w:r>
              <w:rPr>
                <w:szCs w:val="28"/>
              </w:rPr>
              <w:t xml:space="preserve">Output: </w:t>
            </w:r>
            <w:r w:rsidR="00A21BDA" w:rsidRPr="00A21BDA">
              <w:rPr>
                <w:szCs w:val="28"/>
              </w:rPr>
              <w:t>Placement services</w:t>
            </w:r>
          </w:p>
        </w:tc>
      </w:tr>
    </w:tbl>
    <w:p w14:paraId="2F65F7D1"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75E0D0F5" w14:textId="77777777" w:rsidR="00A62D44" w:rsidRDefault="00B70F76" w:rsidP="00685F51">
      <w:pPr>
        <w:pStyle w:val="Heading1"/>
      </w:pPr>
      <w:r w:rsidRPr="00B70F76">
        <w:t>1.</w:t>
      </w:r>
      <w:r>
        <w:t xml:space="preserve"> </w:t>
      </w:r>
      <w:r w:rsidR="00DF6BAF">
        <w:t xml:space="preserve">Service Objective </w:t>
      </w:r>
    </w:p>
    <w:p w14:paraId="4CBD4482" w14:textId="77777777" w:rsidR="009F7CFC" w:rsidRDefault="00376A46" w:rsidP="006544C7">
      <w:pPr>
        <w:pStyle w:val="DHHSbody"/>
        <w:rPr>
          <w:b/>
        </w:rPr>
      </w:pPr>
      <w:bookmarkStart w:id="2" w:name="_Toc256778633"/>
      <w:r w:rsidRPr="00376A46">
        <w:rPr>
          <w:rStyle w:val="DHHSbodyChar"/>
          <w:bCs/>
        </w:rPr>
        <w:t>To provide specialist case management and support services to children and young people who are subject to protective services involvement and are living at home or independently, who are at risk of significant harm or abuse and are in need of additional case support.</w:t>
      </w:r>
    </w:p>
    <w:p w14:paraId="13FA12A9" w14:textId="77777777" w:rsidR="00DF6BAF" w:rsidRDefault="00DE4E5C" w:rsidP="00685F51">
      <w:pPr>
        <w:pStyle w:val="Heading1"/>
      </w:pPr>
      <w:r>
        <w:t>2</w:t>
      </w:r>
      <w:r w:rsidR="00B70F76" w:rsidRPr="00B70F76">
        <w:t xml:space="preserve">. </w:t>
      </w:r>
      <w:r w:rsidR="00DF6BAF">
        <w:t>Description of the service</w:t>
      </w:r>
    </w:p>
    <w:p w14:paraId="7BAA924A" w14:textId="77777777" w:rsidR="00376A46" w:rsidRDefault="00376A46" w:rsidP="00376A46">
      <w:pPr>
        <w:pStyle w:val="DHHSbody"/>
      </w:pPr>
      <w:r>
        <w:t>Placement prevention services include a number of support programs including intensive case management and innovative support services.</w:t>
      </w:r>
    </w:p>
    <w:p w14:paraId="59BB2A3A" w14:textId="77777777" w:rsidR="00376A46" w:rsidRDefault="00376A46" w:rsidP="00376A46">
      <w:pPr>
        <w:pStyle w:val="DHHSbody"/>
      </w:pPr>
      <w:r>
        <w:t>Intensive case management services provide multidisciplinary, intensive case management and youth outreach services targeted at young people aged 12 to 18 years, not in out-of-home care, who are subject to protective services involvement and who demonstrate a high level of risk behaviours.</w:t>
      </w:r>
    </w:p>
    <w:p w14:paraId="7C4FCAF5" w14:textId="77777777" w:rsidR="009F7CFC" w:rsidRPr="009F7CFC" w:rsidRDefault="00376A46" w:rsidP="00376A46">
      <w:pPr>
        <w:pStyle w:val="DHHSbody"/>
        <w:rPr>
          <w:b/>
          <w:bCs/>
        </w:rPr>
      </w:pPr>
      <w:r>
        <w:t>Innovative support services are division-specific models of support developed to meet the needs of clients.</w:t>
      </w:r>
    </w:p>
    <w:p w14:paraId="1C2A1BAE" w14:textId="77777777" w:rsidR="00B70F76" w:rsidRPr="00B70F76" w:rsidRDefault="00DF6BAF" w:rsidP="00685F51">
      <w:pPr>
        <w:pStyle w:val="Heading1"/>
      </w:pPr>
      <w:r>
        <w:t xml:space="preserve">3. </w:t>
      </w:r>
      <w:r w:rsidR="00B70F76" w:rsidRPr="00B70F76">
        <w:t>Client group</w:t>
      </w:r>
    </w:p>
    <w:p w14:paraId="1674B3A9" w14:textId="77777777" w:rsidR="009F7CFC" w:rsidRDefault="00376A46" w:rsidP="00E51804">
      <w:pPr>
        <w:pStyle w:val="DHHSbody"/>
        <w:rPr>
          <w:b/>
          <w:bCs/>
        </w:rPr>
      </w:pPr>
      <w:r w:rsidRPr="00376A46">
        <w:t>Children and young people who are subject to protective services involvement and living at home or independently, and who are at risk of significant harm or abuse and are in need of additional case support.</w:t>
      </w:r>
    </w:p>
    <w:p w14:paraId="161D1EE2" w14:textId="77777777" w:rsidR="002D1AA5" w:rsidRDefault="00DF6BAF" w:rsidP="00685F51">
      <w:pPr>
        <w:pStyle w:val="Heading1"/>
      </w:pPr>
      <w:r>
        <w:t>4</w:t>
      </w:r>
      <w:r w:rsidR="00B70F76">
        <w:t xml:space="preserve">. Obligations specific to this </w:t>
      </w:r>
      <w:r w:rsidR="00EC4117">
        <w:t>activity</w:t>
      </w:r>
    </w:p>
    <w:p w14:paraId="76367853"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22B2F925" w14:textId="77777777" w:rsidR="00FA3628" w:rsidRPr="001F3DE2" w:rsidRDefault="00FA3628" w:rsidP="00685F51">
      <w:pPr>
        <w:pStyle w:val="Heading2"/>
      </w:pPr>
      <w:r w:rsidRPr="001F3DE2">
        <w:t xml:space="preserve">4a.  Registration and Accreditation </w:t>
      </w:r>
    </w:p>
    <w:p w14:paraId="470CD6FC" w14:textId="77777777" w:rsidR="00FA3628" w:rsidRPr="00685F51" w:rsidRDefault="00FA3628" w:rsidP="00685F51">
      <w:pPr>
        <w:pStyle w:val="DHHSbullet1"/>
        <w:rPr>
          <w:rStyle w:val="DHHSbodyChar"/>
        </w:rPr>
      </w:pPr>
      <w:r w:rsidRPr="00685F51">
        <w:rPr>
          <w:rStyle w:val="DHHSbodyChar"/>
        </w:rPr>
        <w:t>Independent review and accreditation against the department’s Human Services Standards, unless exempted</w:t>
      </w:r>
    </w:p>
    <w:p w14:paraId="52A05385" w14:textId="77777777" w:rsidR="00376A46" w:rsidRPr="00685F51" w:rsidRDefault="00376A46" w:rsidP="00685F51">
      <w:pPr>
        <w:pStyle w:val="DHHSbullet1"/>
        <w:rPr>
          <w:rStyle w:val="DHHSbodyChar"/>
        </w:rPr>
      </w:pPr>
      <w:r w:rsidRPr="00685F51">
        <w:rPr>
          <w:rStyle w:val="DHHSbodyChar"/>
        </w:rPr>
        <w:t>Registration under the Children, Youth and Families Act 2005</w:t>
      </w:r>
    </w:p>
    <w:p w14:paraId="7C2FF615" w14:textId="77777777" w:rsidR="00FA3628" w:rsidRPr="001F3DE2" w:rsidRDefault="00FA3628" w:rsidP="00685F51">
      <w:pPr>
        <w:pStyle w:val="Heading2"/>
      </w:pPr>
      <w:r w:rsidRPr="001F3DE2">
        <w:t xml:space="preserve">4b. Program requirements and other policy guidelines </w:t>
      </w:r>
    </w:p>
    <w:bookmarkStart w:id="3" w:name="_Toc421023841"/>
    <w:bookmarkStart w:id="4" w:name="_Toc475953722"/>
    <w:bookmarkStart w:id="5" w:name="_Toc477437702"/>
    <w:bookmarkStart w:id="6" w:name="_Toc529373787"/>
    <w:p w14:paraId="5700773E" w14:textId="77777777" w:rsidR="006A5B95" w:rsidRPr="006A5B95" w:rsidRDefault="00685F51" w:rsidP="006544C7">
      <w:pPr>
        <w:pStyle w:val="DHHSbullet1"/>
      </w:pPr>
      <w:r w:rsidRPr="00685F51">
        <w:rPr>
          <w:color w:val="7030A0"/>
        </w:rPr>
        <w:fldChar w:fldCharType="begin"/>
      </w:r>
      <w:r w:rsidRPr="00685F51">
        <w:rPr>
          <w:color w:val="7030A0"/>
        </w:rPr>
        <w:instrText xml:space="preserve"> HYPERLINK "http://www.cpmanual.vic.gov.au/sites/default/files/Best%20interests%20case%20practice%20model%20summary%20guide%202012%203002.pdf" </w:instrText>
      </w:r>
      <w:r w:rsidRPr="00685F51">
        <w:rPr>
          <w:color w:val="7030A0"/>
        </w:rPr>
        <w:fldChar w:fldCharType="separate"/>
      </w:r>
      <w:r w:rsidR="006544C7" w:rsidRPr="00685F51">
        <w:rPr>
          <w:rStyle w:val="Hyperlink"/>
          <w:color w:val="7030A0"/>
        </w:rPr>
        <w:t>Child Protection Practice Manual</w:t>
      </w:r>
      <w:r w:rsidRPr="00685F51">
        <w:rPr>
          <w:color w:val="7030A0"/>
        </w:rPr>
        <w:fldChar w:fldCharType="end"/>
      </w:r>
      <w:r w:rsidR="006544C7" w:rsidRPr="00685F51">
        <w:rPr>
          <w:color w:val="7030A0"/>
        </w:rPr>
        <w:t xml:space="preserve"> </w:t>
      </w:r>
    </w:p>
    <w:p w14:paraId="47EB69DA" w14:textId="52A2812B" w:rsidR="006544C7" w:rsidRDefault="006544C7" w:rsidP="006A5B95">
      <w:pPr>
        <w:pStyle w:val="DHHSbullet1"/>
        <w:numPr>
          <w:ilvl w:val="0"/>
          <w:numId w:val="0"/>
        </w:numPr>
        <w:ind w:left="284"/>
      </w:pPr>
      <w:r>
        <w:t>&lt;http://www.cpmanual.vic.gov.au&gt;</w:t>
      </w:r>
    </w:p>
    <w:p w14:paraId="3F421EB8" w14:textId="77777777" w:rsidR="00D75FFD" w:rsidRDefault="00D75FFD" w:rsidP="006A5B95">
      <w:pPr>
        <w:pStyle w:val="DHHSbullet1"/>
        <w:numPr>
          <w:ilvl w:val="0"/>
          <w:numId w:val="0"/>
        </w:numPr>
        <w:ind w:left="284"/>
      </w:pPr>
    </w:p>
    <w:p w14:paraId="2D48B25A" w14:textId="77777777" w:rsidR="00575BC9" w:rsidRPr="00575BC9" w:rsidRDefault="00DF6BAF" w:rsidP="00685F51">
      <w:pPr>
        <w:pStyle w:val="Heading1"/>
      </w:pPr>
      <w:r>
        <w:lastRenderedPageBreak/>
        <w:t>5</w:t>
      </w:r>
      <w:r w:rsidR="00575BC9">
        <w:t xml:space="preserve">. </w:t>
      </w:r>
      <w:bookmarkEnd w:id="3"/>
      <w:bookmarkEnd w:id="4"/>
      <w:bookmarkEnd w:id="5"/>
      <w:bookmarkEnd w:id="6"/>
      <w:r w:rsidR="0017293C">
        <w:t>Performance</w:t>
      </w:r>
    </w:p>
    <w:p w14:paraId="58EEFE96" w14:textId="77777777" w:rsidR="00575BC9" w:rsidRPr="001F1A17" w:rsidRDefault="00E05E8D" w:rsidP="00685F51">
      <w:pPr>
        <w:pStyle w:val="DHHSbody"/>
      </w:pPr>
      <w:r>
        <w:t>Funding is subject to</w:t>
      </w:r>
      <w:r w:rsidR="0017293C">
        <w:t xml:space="preserve"> achieving</w:t>
      </w:r>
      <w:r>
        <w:t xml:space="preserve"> the</w:t>
      </w:r>
      <w:r w:rsidR="00575BC9" w:rsidRPr="00171F04">
        <w:t xml:space="preserve"> </w:t>
      </w:r>
      <w:r w:rsidR="00895643">
        <w:t xml:space="preserve">performance </w:t>
      </w:r>
      <w:r>
        <w:t xml:space="preserve">targets </w:t>
      </w:r>
      <w:r w:rsidR="00895643">
        <w:t xml:space="preserve">specified in </w:t>
      </w:r>
      <w:r w:rsidR="00575BC9">
        <w:t>Schedule 2 of the Service Agreement</w:t>
      </w:r>
      <w:r w:rsidR="00895643">
        <w:t>.</w:t>
      </w:r>
      <w:r w:rsidR="006C7A1F">
        <w:t xml:space="preserve"> </w:t>
      </w:r>
      <w:r>
        <w:t xml:space="preserve">Performance is measured as follows:  </w:t>
      </w:r>
    </w:p>
    <w:p w14:paraId="63A99CCD" w14:textId="77777777" w:rsidR="00575BC9" w:rsidRPr="000E2F2F" w:rsidRDefault="00E05E8D" w:rsidP="00685F51">
      <w:pPr>
        <w:pStyle w:val="Heading2"/>
        <w:rPr>
          <w:color w:val="FF0000"/>
        </w:rPr>
      </w:pPr>
      <w:r>
        <w:t>Key performance measure</w:t>
      </w:r>
      <w:r w:rsidR="00A21BDA">
        <w:t xml:space="preserve"> 1</w:t>
      </w:r>
      <w:r w:rsidR="00575BC9" w:rsidRPr="00575BC9">
        <w:t xml:space="preserve">: </w:t>
      </w:r>
      <w:r w:rsidR="00376A46" w:rsidRPr="00376A46">
        <w:rPr>
          <w:rFonts w:eastAsia="Times"/>
        </w:rPr>
        <w:t>Daily average number of clients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76A46" w:rsidRPr="00C237A0" w14:paraId="0336900E" w14:textId="77777777" w:rsidTr="00685F51">
        <w:trPr>
          <w:cantSplit/>
          <w:trHeight w:hRule="exact" w:val="1695"/>
        </w:trPr>
        <w:tc>
          <w:tcPr>
            <w:tcW w:w="2835" w:type="dxa"/>
          </w:tcPr>
          <w:p w14:paraId="7CF15C48" w14:textId="77777777" w:rsidR="00376A46" w:rsidRPr="0017293C" w:rsidRDefault="00376A46" w:rsidP="0017293C">
            <w:pPr>
              <w:pStyle w:val="DHHStablecolhead"/>
            </w:pPr>
            <w:r w:rsidRPr="00575BC9">
              <w:t>Aim/objective</w:t>
            </w:r>
          </w:p>
        </w:tc>
        <w:tc>
          <w:tcPr>
            <w:tcW w:w="7379" w:type="dxa"/>
          </w:tcPr>
          <w:p w14:paraId="526E2101" w14:textId="77777777" w:rsidR="00B92561" w:rsidRDefault="00B92561" w:rsidP="00B92561">
            <w:pPr>
              <w:pStyle w:val="DHHStabletext"/>
            </w:pPr>
            <w:r>
              <w:t>This performance measure provides quantitative information about the number of clients receiving a service each day, averaged over the reference period.</w:t>
            </w:r>
          </w:p>
          <w:p w14:paraId="65F4FE19" w14:textId="77777777" w:rsidR="00B92561" w:rsidRDefault="00B92561" w:rsidP="00B92561">
            <w:pPr>
              <w:pStyle w:val="DHHStabletext"/>
            </w:pPr>
            <w:r>
              <w:t>The services include:</w:t>
            </w:r>
          </w:p>
          <w:p w14:paraId="02C50404" w14:textId="77777777" w:rsidR="00B92561" w:rsidRDefault="00B92561" w:rsidP="006A5B95">
            <w:pPr>
              <w:pStyle w:val="DHHStablebullet"/>
            </w:pPr>
            <w:r>
              <w:t>Intensive case management services (ICMS)</w:t>
            </w:r>
          </w:p>
          <w:p w14:paraId="5B37B563" w14:textId="77777777" w:rsidR="00376A46" w:rsidRPr="00DD2E97" w:rsidRDefault="00B92561" w:rsidP="006A5B95">
            <w:pPr>
              <w:pStyle w:val="DHHStablebullet"/>
            </w:pPr>
            <w:r>
              <w:t>Innovative support services (IS)</w:t>
            </w:r>
          </w:p>
        </w:tc>
      </w:tr>
      <w:tr w:rsidR="00B8690F" w:rsidRPr="00C237A0" w14:paraId="2DE8179D" w14:textId="77777777" w:rsidTr="00685F51">
        <w:trPr>
          <w:cantSplit/>
          <w:trHeight w:hRule="exact" w:val="340"/>
        </w:trPr>
        <w:tc>
          <w:tcPr>
            <w:tcW w:w="2835" w:type="dxa"/>
          </w:tcPr>
          <w:p w14:paraId="5F412195" w14:textId="77777777" w:rsidR="00B8690F" w:rsidRPr="0017293C" w:rsidRDefault="00B8690F" w:rsidP="0017293C">
            <w:pPr>
              <w:pStyle w:val="DHHStablecolhead"/>
            </w:pPr>
            <w:r w:rsidRPr="00575BC9">
              <w:t>Target</w:t>
            </w:r>
          </w:p>
        </w:tc>
        <w:tc>
          <w:tcPr>
            <w:tcW w:w="7379" w:type="dxa"/>
          </w:tcPr>
          <w:p w14:paraId="60B22952" w14:textId="77777777" w:rsidR="00B8690F" w:rsidRPr="002F7C4B" w:rsidRDefault="00B8690F" w:rsidP="0017293C">
            <w:pPr>
              <w:pStyle w:val="DHHSbody"/>
              <w:spacing w:after="0"/>
              <w:rPr>
                <w:color w:val="7030A0"/>
              </w:rPr>
            </w:pPr>
            <w:r>
              <w:t>The performance measure target is provided in the Service Agreement.</w:t>
            </w:r>
          </w:p>
        </w:tc>
      </w:tr>
      <w:tr w:rsidR="00B8690F" w:rsidRPr="00C237A0" w14:paraId="3EC4D74C" w14:textId="77777777" w:rsidTr="00685F51">
        <w:trPr>
          <w:cantSplit/>
          <w:trHeight w:hRule="exact" w:val="340"/>
        </w:trPr>
        <w:tc>
          <w:tcPr>
            <w:tcW w:w="2835" w:type="dxa"/>
          </w:tcPr>
          <w:p w14:paraId="3BDEC04C" w14:textId="77777777" w:rsidR="00B8690F" w:rsidRPr="0017293C" w:rsidRDefault="00B8690F" w:rsidP="0017293C">
            <w:pPr>
              <w:pStyle w:val="DHHStablecolhead"/>
            </w:pPr>
            <w:r w:rsidRPr="00575BC9">
              <w:t>Type of count</w:t>
            </w:r>
          </w:p>
        </w:tc>
        <w:tc>
          <w:tcPr>
            <w:tcW w:w="7379" w:type="dxa"/>
          </w:tcPr>
          <w:p w14:paraId="6B83EA6A" w14:textId="3DEF8A54" w:rsidR="00B8690F" w:rsidRPr="00C237A0" w:rsidRDefault="00B8690F" w:rsidP="006544C7">
            <w:pPr>
              <w:pStyle w:val="DHHStabletext"/>
              <w:spacing w:before="0" w:after="0"/>
            </w:pPr>
            <w:r>
              <w:t>Non-cumulative</w:t>
            </w:r>
          </w:p>
        </w:tc>
      </w:tr>
      <w:tr w:rsidR="00376A46" w:rsidRPr="00C237A0" w14:paraId="11ECE273" w14:textId="77777777" w:rsidTr="00685F51">
        <w:trPr>
          <w:cantSplit/>
          <w:trHeight w:hRule="exact" w:val="2145"/>
        </w:trPr>
        <w:tc>
          <w:tcPr>
            <w:tcW w:w="2835" w:type="dxa"/>
          </w:tcPr>
          <w:p w14:paraId="208462F1" w14:textId="77777777" w:rsidR="00376A46" w:rsidRPr="0017293C" w:rsidRDefault="00376A46" w:rsidP="0017293C">
            <w:pPr>
              <w:pStyle w:val="DHHStablecolhead"/>
            </w:pPr>
            <w:r w:rsidRPr="00575BC9">
              <w:t>Counting rule</w:t>
            </w:r>
          </w:p>
        </w:tc>
        <w:tc>
          <w:tcPr>
            <w:tcW w:w="7379" w:type="dxa"/>
          </w:tcPr>
          <w:p w14:paraId="11D47359" w14:textId="77777777" w:rsidR="00376A46" w:rsidRPr="00DD2E97" w:rsidRDefault="00376A46" w:rsidP="00503DE8">
            <w:pPr>
              <w:pStyle w:val="DHHStabletext"/>
            </w:pPr>
            <w:r w:rsidRPr="00DD2E97">
              <w:t>Daily average number of clients is equivalent to the total number of days of service provided during the reference period, divided by the number of days in the reference period.</w:t>
            </w:r>
          </w:p>
          <w:p w14:paraId="1E59CEDD" w14:textId="77777777" w:rsidR="00376A46" w:rsidRPr="00DD2E97" w:rsidRDefault="00376A46" w:rsidP="00503DE8">
            <w:pPr>
              <w:pStyle w:val="DHHStabletext"/>
            </w:pPr>
            <w:r w:rsidRPr="00DD2E97">
              <w:t xml:space="preserve">For example: </w:t>
            </w:r>
          </w:p>
          <w:p w14:paraId="7661AA3B" w14:textId="77777777" w:rsidR="00376A46" w:rsidRPr="00DD2E97" w:rsidRDefault="00376A46" w:rsidP="00503DE8">
            <w:pPr>
              <w:pStyle w:val="DHHStabletext"/>
            </w:pPr>
            <w:r w:rsidRPr="00DD2E97">
              <w:t xml:space="preserve">During the 31 days of the January period, a total of 155 days of service were provided. This equates to an average of </w:t>
            </w:r>
            <w:r>
              <w:t>five</w:t>
            </w:r>
            <w:r w:rsidRPr="00DD2E97">
              <w:t xml:space="preserve"> clients per day.</w:t>
            </w:r>
          </w:p>
          <w:p w14:paraId="1BCC913F" w14:textId="77777777" w:rsidR="00376A46" w:rsidRPr="00DD2E97" w:rsidRDefault="00376A46" w:rsidP="00503DE8">
            <w:pPr>
              <w:pStyle w:val="DHHStabletext"/>
            </w:pPr>
            <w:r w:rsidRPr="00DD2E97">
              <w:t>155/31 = 5</w:t>
            </w:r>
          </w:p>
        </w:tc>
      </w:tr>
      <w:tr w:rsidR="00376A46" w:rsidRPr="00C237A0" w14:paraId="44A3AAC5" w14:textId="77777777" w:rsidTr="00685F51">
        <w:trPr>
          <w:cantSplit/>
          <w:trHeight w:hRule="exact" w:val="1126"/>
        </w:trPr>
        <w:tc>
          <w:tcPr>
            <w:tcW w:w="2835" w:type="dxa"/>
          </w:tcPr>
          <w:p w14:paraId="47B810F8" w14:textId="77777777" w:rsidR="00376A46" w:rsidRPr="0017293C" w:rsidRDefault="00376A46" w:rsidP="0017293C">
            <w:pPr>
              <w:pStyle w:val="DHHStablecolhead"/>
            </w:pPr>
            <w:r w:rsidRPr="00575BC9">
              <w:t>Data source(s) collection</w:t>
            </w:r>
          </w:p>
        </w:tc>
        <w:tc>
          <w:tcPr>
            <w:tcW w:w="7379" w:type="dxa"/>
          </w:tcPr>
          <w:p w14:paraId="7B6FE6F6" w14:textId="77777777" w:rsidR="00376A46" w:rsidRPr="00DD2E97" w:rsidRDefault="00376A46" w:rsidP="00503DE8">
            <w:pPr>
              <w:pStyle w:val="DHHStabletext"/>
            </w:pPr>
            <w:r w:rsidRPr="00DD2E97">
              <w:t>Organisations enter information via:</w:t>
            </w:r>
          </w:p>
          <w:p w14:paraId="0EFC68A7" w14:textId="77777777" w:rsidR="00376A46" w:rsidRPr="00DD2E97" w:rsidRDefault="00376A46" w:rsidP="00503DE8">
            <w:pPr>
              <w:pStyle w:val="DHHStablebullet"/>
              <w:numPr>
                <w:ilvl w:val="6"/>
                <w:numId w:val="1"/>
              </w:numPr>
            </w:pPr>
            <w:r w:rsidRPr="00DD2E97">
              <w:t>Client Relationship Information System</w:t>
            </w:r>
            <w:r>
              <w:t xml:space="preserve"> for Service Providers (CRISSP)</w:t>
            </w:r>
          </w:p>
          <w:p w14:paraId="044776C2" w14:textId="77777777" w:rsidR="00376A46" w:rsidRPr="00DD2E97" w:rsidRDefault="00376A46" w:rsidP="00503DE8">
            <w:pPr>
              <w:pStyle w:val="DHHStablebullet"/>
              <w:numPr>
                <w:ilvl w:val="6"/>
                <w:numId w:val="1"/>
              </w:numPr>
            </w:pPr>
            <w:r>
              <w:t>s</w:t>
            </w:r>
            <w:r w:rsidRPr="00864500">
              <w:t>upplementary reporting tools, as requested</w:t>
            </w:r>
            <w:r>
              <w:t>.</w:t>
            </w:r>
          </w:p>
        </w:tc>
      </w:tr>
      <w:tr w:rsidR="00376A46" w:rsidRPr="00C237A0" w14:paraId="43B291D1" w14:textId="77777777" w:rsidTr="00685F51">
        <w:trPr>
          <w:cantSplit/>
          <w:trHeight w:hRule="exact" w:val="727"/>
        </w:trPr>
        <w:tc>
          <w:tcPr>
            <w:tcW w:w="2835" w:type="dxa"/>
          </w:tcPr>
          <w:p w14:paraId="55DB2D8B" w14:textId="77777777" w:rsidR="00376A46" w:rsidRPr="0017293C" w:rsidRDefault="00376A46" w:rsidP="0017293C">
            <w:pPr>
              <w:pStyle w:val="DHHStablecolhead"/>
            </w:pPr>
            <w:r w:rsidRPr="00575BC9">
              <w:t>Definition of terms</w:t>
            </w:r>
          </w:p>
        </w:tc>
        <w:tc>
          <w:tcPr>
            <w:tcW w:w="7379" w:type="dxa"/>
          </w:tcPr>
          <w:p w14:paraId="546F0F80" w14:textId="77777777" w:rsidR="00376A46" w:rsidRPr="00DD2E97" w:rsidRDefault="00376A46" w:rsidP="00503DE8">
            <w:pPr>
              <w:pStyle w:val="DHHStabletext"/>
            </w:pPr>
            <w:r w:rsidRPr="00DD2E97">
              <w:t>For intensive case management services and innovative support services, the client is defined as the child or young person receiving the service.</w:t>
            </w:r>
          </w:p>
        </w:tc>
      </w:tr>
    </w:tbl>
    <w:p w14:paraId="3490E37B" w14:textId="77777777" w:rsidR="006544C7" w:rsidRPr="000E2F2F" w:rsidRDefault="00241595" w:rsidP="00685F51">
      <w:pPr>
        <w:pStyle w:val="Heading2"/>
        <w:rPr>
          <w:color w:val="FF0000"/>
        </w:rPr>
      </w:pPr>
      <w:r>
        <w:t>P</w:t>
      </w:r>
      <w:r w:rsidR="006544C7">
        <w:t xml:space="preserve">erformance measure 2 </w:t>
      </w:r>
      <w:r w:rsidR="006544C7" w:rsidRPr="00575BC9">
        <w:t xml:space="preserve">: </w:t>
      </w:r>
      <w:r w:rsidR="00376A46" w:rsidRPr="00376A46">
        <w:rPr>
          <w:rStyle w:val="DHHSbodyChar"/>
        </w:rPr>
        <w:t>Percentage of children and young people who are subject to protective involvement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376A46" w:rsidRPr="00C237A0" w14:paraId="3787646D" w14:textId="77777777" w:rsidTr="00685F51">
        <w:trPr>
          <w:cantSplit/>
          <w:trHeight w:hRule="exact" w:val="886"/>
        </w:trPr>
        <w:tc>
          <w:tcPr>
            <w:tcW w:w="2835" w:type="dxa"/>
          </w:tcPr>
          <w:p w14:paraId="3573B662" w14:textId="77777777" w:rsidR="00376A46" w:rsidRPr="0017293C" w:rsidRDefault="00376A46" w:rsidP="00503DE8">
            <w:pPr>
              <w:pStyle w:val="DHHStablecolhead"/>
            </w:pPr>
            <w:r w:rsidRPr="00575BC9">
              <w:t>Aim/objective</w:t>
            </w:r>
          </w:p>
        </w:tc>
        <w:tc>
          <w:tcPr>
            <w:tcW w:w="7379" w:type="dxa"/>
          </w:tcPr>
          <w:p w14:paraId="33289921" w14:textId="77777777" w:rsidR="00376A46" w:rsidRPr="00B62B6C" w:rsidRDefault="00B92561" w:rsidP="00503DE8">
            <w:pPr>
              <w:pStyle w:val="DHHStabletext"/>
            </w:pPr>
            <w:r w:rsidRPr="00B92561">
              <w:t>This performance measure provides information about the proportion of clients that are subject to protective services involvement.</w:t>
            </w:r>
          </w:p>
        </w:tc>
      </w:tr>
      <w:tr w:rsidR="006544C7" w:rsidRPr="00C237A0" w14:paraId="0C82C97A" w14:textId="77777777" w:rsidTr="00685F51">
        <w:trPr>
          <w:cantSplit/>
          <w:trHeight w:hRule="exact" w:val="340"/>
        </w:trPr>
        <w:tc>
          <w:tcPr>
            <w:tcW w:w="2835" w:type="dxa"/>
          </w:tcPr>
          <w:p w14:paraId="6024707A" w14:textId="77777777" w:rsidR="006544C7" w:rsidRPr="0017293C" w:rsidRDefault="006544C7" w:rsidP="00503DE8">
            <w:pPr>
              <w:pStyle w:val="DHHStablecolhead"/>
            </w:pPr>
            <w:r w:rsidRPr="00575BC9">
              <w:t>Target</w:t>
            </w:r>
          </w:p>
        </w:tc>
        <w:tc>
          <w:tcPr>
            <w:tcW w:w="7379" w:type="dxa"/>
          </w:tcPr>
          <w:p w14:paraId="70FBF213" w14:textId="77777777" w:rsidR="006544C7" w:rsidRPr="002F7C4B" w:rsidRDefault="00B92561" w:rsidP="00503DE8">
            <w:pPr>
              <w:pStyle w:val="DHHSbody"/>
              <w:spacing w:after="0"/>
              <w:rPr>
                <w:color w:val="7030A0"/>
              </w:rPr>
            </w:pPr>
            <w:r>
              <w:t>90 per cent</w:t>
            </w:r>
          </w:p>
        </w:tc>
      </w:tr>
      <w:tr w:rsidR="006544C7" w:rsidRPr="00C237A0" w14:paraId="68BFC45C" w14:textId="77777777" w:rsidTr="00685F51">
        <w:trPr>
          <w:cantSplit/>
          <w:trHeight w:hRule="exact" w:val="340"/>
        </w:trPr>
        <w:tc>
          <w:tcPr>
            <w:tcW w:w="2835" w:type="dxa"/>
          </w:tcPr>
          <w:p w14:paraId="1078097E" w14:textId="77777777" w:rsidR="006544C7" w:rsidRPr="0017293C" w:rsidRDefault="006544C7" w:rsidP="00503DE8">
            <w:pPr>
              <w:pStyle w:val="DHHStablecolhead"/>
            </w:pPr>
            <w:r w:rsidRPr="00575BC9">
              <w:t>Type of count</w:t>
            </w:r>
          </w:p>
        </w:tc>
        <w:tc>
          <w:tcPr>
            <w:tcW w:w="7379" w:type="dxa"/>
          </w:tcPr>
          <w:p w14:paraId="6810D4C7" w14:textId="28133412" w:rsidR="006544C7" w:rsidRPr="00C237A0" w:rsidRDefault="006544C7" w:rsidP="00376A46">
            <w:pPr>
              <w:pStyle w:val="DHHStabletext"/>
              <w:spacing w:before="0" w:after="0"/>
            </w:pPr>
            <w:r>
              <w:t>Non-cumulative</w:t>
            </w:r>
          </w:p>
        </w:tc>
      </w:tr>
      <w:tr w:rsidR="00376A46" w:rsidRPr="00C237A0" w14:paraId="6BC0590C" w14:textId="77777777" w:rsidTr="00685F51">
        <w:trPr>
          <w:cantSplit/>
          <w:trHeight w:hRule="exact" w:val="2429"/>
        </w:trPr>
        <w:tc>
          <w:tcPr>
            <w:tcW w:w="2835" w:type="dxa"/>
          </w:tcPr>
          <w:p w14:paraId="1FDCF71C" w14:textId="77777777" w:rsidR="00376A46" w:rsidRPr="0017293C" w:rsidRDefault="00376A46" w:rsidP="00503DE8">
            <w:pPr>
              <w:pStyle w:val="DHHStablecolhead"/>
            </w:pPr>
            <w:r w:rsidRPr="00575BC9">
              <w:t>Counting rule</w:t>
            </w:r>
          </w:p>
        </w:tc>
        <w:tc>
          <w:tcPr>
            <w:tcW w:w="7379" w:type="dxa"/>
          </w:tcPr>
          <w:p w14:paraId="7B00A00B" w14:textId="77777777" w:rsidR="00376A46" w:rsidRPr="00B62B6C" w:rsidRDefault="00376A46" w:rsidP="00503DE8">
            <w:pPr>
              <w:pStyle w:val="DHHStabletext"/>
            </w:pPr>
            <w:r w:rsidRPr="00B62B6C">
              <w:t>Percentage is calculated based on the number of clients</w:t>
            </w:r>
            <w:r>
              <w:t xml:space="preserve"> who are subject to protective involvement </w:t>
            </w:r>
            <w:r w:rsidRPr="00B62B6C">
              <w:t>receiving a service during the reference period with an open case in CRIS divided by the total number of clients receiving a service during the reference period.</w:t>
            </w:r>
          </w:p>
          <w:p w14:paraId="6208D302" w14:textId="77777777" w:rsidR="00376A46" w:rsidRPr="00B62B6C" w:rsidRDefault="00376A46" w:rsidP="00503DE8">
            <w:pPr>
              <w:pStyle w:val="DHHStabletext"/>
            </w:pPr>
            <w:r w:rsidRPr="00B62B6C">
              <w:t>For example:</w:t>
            </w:r>
          </w:p>
          <w:p w14:paraId="0793EE3D" w14:textId="77777777" w:rsidR="00376A46" w:rsidRPr="00B62B6C" w:rsidRDefault="00376A46" w:rsidP="00503DE8">
            <w:pPr>
              <w:pStyle w:val="DHHStabletext"/>
            </w:pPr>
            <w:r w:rsidRPr="00B62B6C">
              <w:t>During the 31 days of the January period, a total of 45 clients out of 50 had protective services i</w:t>
            </w:r>
            <w:r>
              <w:t>nvolvement. This equates to 90 per cent.</w:t>
            </w:r>
          </w:p>
          <w:p w14:paraId="51274CF6" w14:textId="77777777" w:rsidR="00376A46" w:rsidRPr="00B62B6C" w:rsidRDefault="00376A46" w:rsidP="00503DE8">
            <w:pPr>
              <w:pStyle w:val="DHHStabletext"/>
            </w:pPr>
            <w:r>
              <w:t>(45/50) x 100 = 90 per cent</w:t>
            </w:r>
          </w:p>
        </w:tc>
      </w:tr>
      <w:tr w:rsidR="00376A46" w:rsidRPr="00C237A0" w14:paraId="6DB24BC5" w14:textId="77777777" w:rsidTr="00685F51">
        <w:trPr>
          <w:cantSplit/>
          <w:trHeight w:hRule="exact" w:val="1141"/>
        </w:trPr>
        <w:tc>
          <w:tcPr>
            <w:tcW w:w="2835" w:type="dxa"/>
          </w:tcPr>
          <w:p w14:paraId="4D251FD6" w14:textId="77777777" w:rsidR="00376A46" w:rsidRPr="0017293C" w:rsidRDefault="00376A46" w:rsidP="00503DE8">
            <w:pPr>
              <w:pStyle w:val="DHHStablecolhead"/>
            </w:pPr>
            <w:r w:rsidRPr="00575BC9">
              <w:lastRenderedPageBreak/>
              <w:t>Data source(s) collection</w:t>
            </w:r>
          </w:p>
        </w:tc>
        <w:tc>
          <w:tcPr>
            <w:tcW w:w="7379" w:type="dxa"/>
          </w:tcPr>
          <w:p w14:paraId="244345F6" w14:textId="77777777" w:rsidR="00376A46" w:rsidRPr="00B62B6C" w:rsidRDefault="00376A46" w:rsidP="00503DE8">
            <w:pPr>
              <w:pStyle w:val="DHHStabletext"/>
            </w:pPr>
            <w:r w:rsidRPr="00B62B6C">
              <w:t>Data is collated by extracting information from</w:t>
            </w:r>
          </w:p>
          <w:p w14:paraId="43DFB373" w14:textId="77777777" w:rsidR="00376A46" w:rsidRPr="00B62B6C" w:rsidRDefault="00376A46" w:rsidP="00503DE8">
            <w:pPr>
              <w:pStyle w:val="DHHStablebullet"/>
              <w:numPr>
                <w:ilvl w:val="6"/>
                <w:numId w:val="1"/>
              </w:numPr>
            </w:pPr>
            <w:r w:rsidRPr="00B62B6C">
              <w:t>Client Relationship Information System for Service Providers (CRISSP)</w:t>
            </w:r>
          </w:p>
          <w:p w14:paraId="77F42EBF" w14:textId="77777777" w:rsidR="00376A46" w:rsidRPr="00B62B6C" w:rsidRDefault="00376A46" w:rsidP="00503DE8">
            <w:pPr>
              <w:pStyle w:val="DHHStablebullet"/>
              <w:numPr>
                <w:ilvl w:val="6"/>
                <w:numId w:val="1"/>
              </w:numPr>
            </w:pPr>
            <w:r w:rsidRPr="00B62B6C">
              <w:t>Client Information Manageme</w:t>
            </w:r>
            <w:r>
              <w:t>nt System (CRIS).</w:t>
            </w:r>
          </w:p>
        </w:tc>
      </w:tr>
      <w:tr w:rsidR="00376A46" w:rsidRPr="00C237A0" w14:paraId="1FB70467" w14:textId="77777777" w:rsidTr="00685F51">
        <w:trPr>
          <w:cantSplit/>
          <w:trHeight w:hRule="exact" w:val="1696"/>
        </w:trPr>
        <w:tc>
          <w:tcPr>
            <w:tcW w:w="2835" w:type="dxa"/>
          </w:tcPr>
          <w:p w14:paraId="6C11C477" w14:textId="77777777" w:rsidR="00376A46" w:rsidRPr="0017293C" w:rsidRDefault="00376A46" w:rsidP="00503DE8">
            <w:pPr>
              <w:pStyle w:val="DHHStablecolhead"/>
            </w:pPr>
            <w:r w:rsidRPr="00575BC9">
              <w:t>Definition of terms</w:t>
            </w:r>
          </w:p>
        </w:tc>
        <w:tc>
          <w:tcPr>
            <w:tcW w:w="7379" w:type="dxa"/>
          </w:tcPr>
          <w:p w14:paraId="00AB0BD6" w14:textId="77777777" w:rsidR="00376A46" w:rsidRPr="00260503" w:rsidRDefault="00376A46" w:rsidP="00503DE8">
            <w:pPr>
              <w:pStyle w:val="DHHStabletext"/>
              <w:rPr>
                <w:i/>
              </w:rPr>
            </w:pPr>
            <w:r w:rsidRPr="00B62B6C">
              <w:t xml:space="preserve">Children and young people are defined in accordance with the </w:t>
            </w:r>
            <w:r w:rsidRPr="00260503">
              <w:rPr>
                <w:i/>
              </w:rPr>
              <w:t>Children Youth and Families Act 2005.</w:t>
            </w:r>
          </w:p>
          <w:p w14:paraId="3CF1B4EF" w14:textId="77777777" w:rsidR="00376A46" w:rsidRPr="00B62B6C" w:rsidRDefault="00376A46" w:rsidP="00503DE8">
            <w:pPr>
              <w:pStyle w:val="DHHStabletext"/>
            </w:pPr>
            <w:r w:rsidRPr="00B62B6C">
              <w:t>Protective services involvement refers to children and young people who are either subject to a protective investigation, period of protective intervention (where on-going risk has been substantiated) or a current protective order at the time of the referral / report.</w:t>
            </w:r>
          </w:p>
        </w:tc>
      </w:tr>
    </w:tbl>
    <w:p w14:paraId="4B309E9C" w14:textId="77777777" w:rsidR="00575BC9" w:rsidRPr="00575BC9" w:rsidRDefault="00DF6BAF" w:rsidP="00685F51">
      <w:pPr>
        <w:pStyle w:val="Heading1"/>
      </w:pPr>
      <w:r>
        <w:t>6</w:t>
      </w:r>
      <w:r w:rsidR="00575BC9">
        <w:t>. Data collection</w:t>
      </w:r>
    </w:p>
    <w:p w14:paraId="2341B38B" w14:textId="77777777" w:rsidR="00575BC9" w:rsidRDefault="00A11FC5" w:rsidP="00685F51">
      <w:pPr>
        <w:pStyle w:val="DHHSbody"/>
      </w:pPr>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647E2484" w14:textId="77777777" w:rsidTr="00E51804">
        <w:trPr>
          <w:trHeight w:hRule="exact" w:val="340"/>
          <w:tblHeader/>
        </w:trPr>
        <w:tc>
          <w:tcPr>
            <w:tcW w:w="2580" w:type="dxa"/>
            <w:vAlign w:val="center"/>
          </w:tcPr>
          <w:p w14:paraId="2A91B26A" w14:textId="77777777" w:rsidR="00575BC9" w:rsidRPr="00575BC9" w:rsidRDefault="00575BC9" w:rsidP="0017293C">
            <w:pPr>
              <w:pStyle w:val="DHHStablecolhead"/>
              <w:spacing w:before="0" w:after="0"/>
            </w:pPr>
            <w:r w:rsidRPr="00575BC9">
              <w:t>Data collection name</w:t>
            </w:r>
          </w:p>
        </w:tc>
        <w:tc>
          <w:tcPr>
            <w:tcW w:w="2580" w:type="dxa"/>
            <w:vAlign w:val="center"/>
          </w:tcPr>
          <w:p w14:paraId="32765AF5" w14:textId="77777777" w:rsidR="00575BC9" w:rsidRPr="00575BC9" w:rsidRDefault="00575BC9" w:rsidP="0017293C">
            <w:pPr>
              <w:pStyle w:val="DHHStablecolhead"/>
              <w:spacing w:before="0" w:after="0"/>
            </w:pPr>
            <w:r w:rsidRPr="00575BC9">
              <w:t xml:space="preserve">Data system </w:t>
            </w:r>
          </w:p>
        </w:tc>
        <w:tc>
          <w:tcPr>
            <w:tcW w:w="2580" w:type="dxa"/>
            <w:vAlign w:val="center"/>
          </w:tcPr>
          <w:p w14:paraId="018C49AA" w14:textId="77777777" w:rsidR="00575BC9" w:rsidRPr="00575BC9" w:rsidRDefault="00575BC9" w:rsidP="0017293C">
            <w:pPr>
              <w:pStyle w:val="DHHStablecolhead"/>
              <w:spacing w:before="0" w:after="0"/>
            </w:pPr>
            <w:r w:rsidRPr="00575BC9">
              <w:t xml:space="preserve">Data set </w:t>
            </w:r>
          </w:p>
        </w:tc>
        <w:tc>
          <w:tcPr>
            <w:tcW w:w="2508" w:type="dxa"/>
            <w:vAlign w:val="center"/>
          </w:tcPr>
          <w:p w14:paraId="7DF2BE5E" w14:textId="77777777" w:rsidR="00575BC9" w:rsidRPr="00575BC9" w:rsidRDefault="00575BC9" w:rsidP="0017293C">
            <w:pPr>
              <w:pStyle w:val="DHHStablecolhead"/>
              <w:spacing w:before="0" w:after="0"/>
            </w:pPr>
            <w:r w:rsidRPr="00575BC9">
              <w:t>Reporting cycle</w:t>
            </w:r>
          </w:p>
        </w:tc>
      </w:tr>
      <w:tr w:rsidR="00C15686" w:rsidRPr="00C237A0" w14:paraId="726657F3" w14:textId="77777777" w:rsidTr="00503DE8">
        <w:trPr>
          <w:trHeight w:val="20"/>
        </w:trPr>
        <w:tc>
          <w:tcPr>
            <w:tcW w:w="2580" w:type="dxa"/>
          </w:tcPr>
          <w:p w14:paraId="564BD7CF" w14:textId="77777777" w:rsidR="00C15686" w:rsidRDefault="00C15686" w:rsidP="00503DE8">
            <w:pPr>
              <w:pStyle w:val="DHHStabletext"/>
              <w:rPr>
                <w:rFonts w:cs="Arial"/>
              </w:rPr>
            </w:pPr>
            <w:r>
              <w:rPr>
                <w:rFonts w:cs="Arial"/>
              </w:rPr>
              <w:t>Out-of-home care</w:t>
            </w:r>
          </w:p>
        </w:tc>
        <w:tc>
          <w:tcPr>
            <w:tcW w:w="2580" w:type="dxa"/>
          </w:tcPr>
          <w:p w14:paraId="36A303B4" w14:textId="77777777" w:rsidR="00C15686" w:rsidRDefault="00C15686" w:rsidP="00503DE8">
            <w:pPr>
              <w:pStyle w:val="DHHStabletext"/>
              <w:rPr>
                <w:rFonts w:cs="Arial"/>
              </w:rPr>
            </w:pPr>
            <w:r>
              <w:rPr>
                <w:rFonts w:cs="Arial"/>
              </w:rPr>
              <w:t>CRISSP</w:t>
            </w:r>
          </w:p>
        </w:tc>
        <w:tc>
          <w:tcPr>
            <w:tcW w:w="2580" w:type="dxa"/>
          </w:tcPr>
          <w:p w14:paraId="26D1F2A0" w14:textId="77777777" w:rsidR="00C15686" w:rsidRPr="006E3679" w:rsidRDefault="00C15686" w:rsidP="00503DE8">
            <w:pPr>
              <w:pStyle w:val="DHHStabletext"/>
              <w:rPr>
                <w:rFonts w:cs="Arial"/>
              </w:rPr>
            </w:pPr>
            <w:r>
              <w:rPr>
                <w:rFonts w:cs="Arial"/>
              </w:rPr>
              <w:t>Client placement support services</w:t>
            </w:r>
            <w:r w:rsidDel="000A0123">
              <w:rPr>
                <w:rFonts w:cs="Arial"/>
              </w:rPr>
              <w:t xml:space="preserve"> </w:t>
            </w:r>
          </w:p>
        </w:tc>
        <w:tc>
          <w:tcPr>
            <w:tcW w:w="2508" w:type="dxa"/>
          </w:tcPr>
          <w:p w14:paraId="5F559C9F" w14:textId="77777777" w:rsidR="00C15686" w:rsidRPr="006E3679" w:rsidRDefault="00C15686" w:rsidP="00503DE8">
            <w:pPr>
              <w:pStyle w:val="DHHStabletext"/>
              <w:rPr>
                <w:rFonts w:cs="Arial"/>
              </w:rPr>
            </w:pPr>
            <w:r>
              <w:rPr>
                <w:rFonts w:cs="Arial"/>
              </w:rPr>
              <w:t>Ongoing</w:t>
            </w:r>
          </w:p>
        </w:tc>
      </w:tr>
      <w:bookmarkEnd w:id="2"/>
    </w:tbl>
    <w:p w14:paraId="5B48FD76" w14:textId="77777777" w:rsidR="006C7A1F" w:rsidRDefault="006C7A1F" w:rsidP="00AA3CA8">
      <w:pPr>
        <w:rPr>
          <w:sz w:val="4"/>
          <w:szCs w:val="4"/>
        </w:rPr>
      </w:pPr>
    </w:p>
    <w:p w14:paraId="1A307F32" w14:textId="77777777" w:rsidR="006C7A1F" w:rsidRDefault="006C7A1F" w:rsidP="00AA3CA8">
      <w:pPr>
        <w:rPr>
          <w:sz w:val="4"/>
          <w:szCs w:val="4"/>
        </w:rPr>
      </w:pPr>
    </w:p>
    <w:p w14:paraId="518C6725" w14:textId="77777777" w:rsidR="006C7A1F" w:rsidRDefault="006C7A1F" w:rsidP="00AA3CA8">
      <w:pPr>
        <w:rPr>
          <w:sz w:val="4"/>
          <w:szCs w:val="4"/>
        </w:rPr>
      </w:pPr>
    </w:p>
    <w:p w14:paraId="125DE94F" w14:textId="77777777" w:rsidR="00DF6BAF" w:rsidRPr="00AA0F86" w:rsidRDefault="00DF6BAF" w:rsidP="00AA3CA8">
      <w:pPr>
        <w:rPr>
          <w:rFonts w:eastAsia="MS Gothic"/>
          <w:b/>
          <w:bCs/>
          <w:sz w:val="24"/>
          <w:szCs w:val="26"/>
          <w:lang w:eastAsia="en-US"/>
        </w:rPr>
      </w:pPr>
    </w:p>
    <w:p w14:paraId="37CC40A2" w14:textId="77777777" w:rsidR="006C7A1F" w:rsidRDefault="006C7A1F" w:rsidP="00AA3CA8">
      <w:pPr>
        <w:rPr>
          <w:sz w:val="4"/>
          <w:szCs w:val="4"/>
        </w:rPr>
      </w:pPr>
    </w:p>
    <w:p w14:paraId="31D864E3" w14:textId="77777777" w:rsidR="006C7A1F" w:rsidRDefault="006C7A1F" w:rsidP="00AA3CA8">
      <w:pPr>
        <w:rPr>
          <w:sz w:val="4"/>
          <w:szCs w:val="4"/>
        </w:rPr>
      </w:pPr>
    </w:p>
    <w:p w14:paraId="55A330BB" w14:textId="77777777" w:rsidR="006C7A1F" w:rsidRDefault="006C7A1F" w:rsidP="00AA3CA8">
      <w:pPr>
        <w:rPr>
          <w:sz w:val="4"/>
          <w:szCs w:val="4"/>
        </w:rPr>
      </w:pPr>
    </w:p>
    <w:p w14:paraId="70914EB9" w14:textId="77777777" w:rsidR="000667DA" w:rsidRDefault="000667DA" w:rsidP="00AA3CA8">
      <w:pPr>
        <w:rPr>
          <w:sz w:val="4"/>
          <w:szCs w:val="4"/>
        </w:rPr>
      </w:pPr>
    </w:p>
    <w:p w14:paraId="1185F26A" w14:textId="77777777" w:rsidR="000667DA" w:rsidRDefault="000667DA" w:rsidP="00AA3CA8">
      <w:pPr>
        <w:rPr>
          <w:sz w:val="4"/>
          <w:szCs w:val="4"/>
        </w:rPr>
      </w:pPr>
    </w:p>
    <w:p w14:paraId="5AB192DD" w14:textId="77777777" w:rsidR="006C7A1F" w:rsidRDefault="006C7A1F" w:rsidP="00AA3CA8">
      <w:pPr>
        <w:rPr>
          <w:sz w:val="4"/>
          <w:szCs w:val="4"/>
        </w:rPr>
      </w:pPr>
    </w:p>
    <w:p w14:paraId="695C17A0" w14:textId="77777777" w:rsidR="006C7A1F" w:rsidRPr="006C7A1F" w:rsidRDefault="006C7A1F" w:rsidP="00AA3CA8">
      <w:pPr>
        <w:rPr>
          <w:sz w:val="4"/>
          <w:szCs w:val="4"/>
        </w:rPr>
      </w:pPr>
    </w:p>
    <w:tbl>
      <w:tblPr>
        <w:tblW w:w="5000" w:type="pct"/>
        <w:tblInd w:w="113" w:type="dxa"/>
        <w:tblCellMar>
          <w:top w:w="113" w:type="dxa"/>
          <w:bottom w:w="57" w:type="dxa"/>
        </w:tblCellMar>
        <w:tblLook w:val="00A0" w:firstRow="1" w:lastRow="0" w:firstColumn="1" w:lastColumn="0" w:noHBand="0" w:noVBand="0"/>
      </w:tblPr>
      <w:tblGrid>
        <w:gridCol w:w="10194"/>
      </w:tblGrid>
      <w:tr w:rsidR="006A7939" w:rsidRPr="002802E3" w14:paraId="6B9E5DB9" w14:textId="77777777" w:rsidTr="00B47469">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03522F" w14:textId="77777777" w:rsidR="00B47469" w:rsidRDefault="00B47469" w:rsidP="00B47469">
            <w:pPr>
              <w:pStyle w:val="DHHSaccessibilitypara"/>
            </w:pPr>
            <w:r>
              <w:t xml:space="preserve">To receive this publication in an accessible format </w:t>
            </w:r>
            <w:hyperlink r:id="rId20" w:history="1">
              <w:r>
                <w:rPr>
                  <w:rStyle w:val="Hyperlink"/>
                </w:rPr>
                <w:t>email Service Agreement Policy</w:t>
              </w:r>
            </w:hyperlink>
            <w:r>
              <w:t xml:space="preserve"> &lt;</w:t>
            </w:r>
            <w:hyperlink r:id="rId21" w:history="1">
              <w:r>
                <w:rPr>
                  <w:rStyle w:val="Hyperlink"/>
                </w:rPr>
                <w:t>sapolicy@dhhs.vic.gov.au</w:t>
              </w:r>
            </w:hyperlink>
            <w:r>
              <w:t>&gt;</w:t>
            </w:r>
          </w:p>
          <w:p w14:paraId="53748E9E" w14:textId="0A464639" w:rsidR="00B47469" w:rsidRDefault="00B47469" w:rsidP="00B47469">
            <w:pPr>
              <w:pStyle w:val="DHHSbody"/>
              <w:rPr>
                <w:sz w:val="16"/>
                <w:szCs w:val="16"/>
              </w:rPr>
            </w:pPr>
            <w:r>
              <w:rPr>
                <w:sz w:val="16"/>
                <w:szCs w:val="16"/>
              </w:rPr>
              <w:t xml:space="preserve">Authorised and published by the Victorian Government, 1 Treasury Place, Melbourne. © State of Victoria, Department of Health and Human Services, July 2019. </w:t>
            </w:r>
            <w:r w:rsidR="007471D2">
              <w:rPr>
                <w:sz w:val="16"/>
                <w:szCs w:val="16"/>
              </w:rPr>
              <w:t>Updated November 2020.</w:t>
            </w:r>
            <w:r>
              <w:rPr>
                <w:sz w:val="16"/>
                <w:szCs w:val="16"/>
              </w:rPr>
              <w:t>Where the term ‘Aboriginal’ is used it refers to both Aboriginal and Torres Strait Islander people. Indigenous is retained when it is part of the title of a report, program or quotation. ISSN 2207-8347 (online/PDF/Word)</w:t>
            </w:r>
          </w:p>
          <w:p w14:paraId="3990306B" w14:textId="77777777" w:rsidR="006A7939" w:rsidRPr="00CA4422" w:rsidRDefault="00B47469" w:rsidP="00B47469">
            <w:pPr>
              <w:pStyle w:val="DHHSbody"/>
              <w:spacing w:line="240" w:lineRule="auto"/>
            </w:pPr>
            <w:r>
              <w:t xml:space="preserve">Available on the department’s </w:t>
            </w:r>
            <w:hyperlink r:id="rId22" w:history="1">
              <w:r>
                <w:rPr>
                  <w:rStyle w:val="Hyperlink"/>
                </w:rPr>
                <w:t>Health and human services activity search</w:t>
              </w:r>
            </w:hyperlink>
            <w:r>
              <w:t xml:space="preserve"> &lt;</w:t>
            </w:r>
            <w:hyperlink r:id="rId23" w:history="1">
              <w:r>
                <w:rPr>
                  <w:rStyle w:val="Hyperlink"/>
                  <w:lang w:eastAsia="en-AU"/>
                </w:rPr>
                <w:t>http://providers.dhhs.vic.gov.au/health-human-services-activity-search</w:t>
              </w:r>
            </w:hyperlink>
            <w:r>
              <w:rPr>
                <w:color w:val="000000"/>
                <w:lang w:eastAsia="en-AU"/>
              </w:rPr>
              <w:t>&gt;</w:t>
            </w:r>
          </w:p>
        </w:tc>
      </w:tr>
    </w:tbl>
    <w:p w14:paraId="357E6EC7"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C6202" w14:textId="77777777" w:rsidR="00076EE4" w:rsidRDefault="00076EE4">
      <w:r>
        <w:separator/>
      </w:r>
    </w:p>
  </w:endnote>
  <w:endnote w:type="continuationSeparator" w:id="0">
    <w:p w14:paraId="0EED2604" w14:textId="77777777" w:rsidR="00076EE4" w:rsidRDefault="0007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C7D7A" w14:textId="77777777" w:rsidR="007471D2" w:rsidRDefault="00747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04180"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56BBE824" wp14:editId="01C58C64">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2FF2" w14:textId="77777777" w:rsidR="007471D2" w:rsidRDefault="007471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CBDE" w14:textId="327936CD" w:rsidR="009D70A4" w:rsidRPr="00A11421" w:rsidRDefault="007471D2" w:rsidP="0051568D">
    <w:pPr>
      <w:pStyle w:val="DHHSfooter"/>
    </w:pPr>
    <w:r>
      <w:t xml:space="preserve">Child Protection Family Services 31218 </w:t>
    </w:r>
    <w:r w:rsidR="00677E1C" w:rsidRPr="00677E1C">
      <w:t>Placement Prevention Services</w:t>
    </w:r>
    <w:r w:rsidR="009D70A4" w:rsidRPr="00A11421">
      <w:tab/>
    </w:r>
    <w:r w:rsidR="009D70A4" w:rsidRPr="00A11421">
      <w:fldChar w:fldCharType="begin"/>
    </w:r>
    <w:r w:rsidR="009D70A4" w:rsidRPr="00A11421">
      <w:instrText xml:space="preserve"> PAGE </w:instrText>
    </w:r>
    <w:r w:rsidR="009D70A4" w:rsidRPr="00A11421">
      <w:fldChar w:fldCharType="separate"/>
    </w:r>
    <w:r w:rsidR="00376A4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1444A" w14:textId="77777777" w:rsidR="00076EE4" w:rsidRDefault="00076EE4" w:rsidP="002862F1">
      <w:pPr>
        <w:spacing w:before="120"/>
      </w:pPr>
      <w:r>
        <w:separator/>
      </w:r>
    </w:p>
  </w:footnote>
  <w:footnote w:type="continuationSeparator" w:id="0">
    <w:p w14:paraId="0367CF4B" w14:textId="77777777" w:rsidR="00076EE4" w:rsidRDefault="0007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778E0" w14:textId="77777777" w:rsidR="007471D2" w:rsidRDefault="00747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0051" w14:textId="77777777" w:rsidR="007471D2" w:rsidRDefault="00747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D719F" w14:textId="77777777" w:rsidR="007471D2" w:rsidRDefault="007471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8F2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9" w15:restartNumberingAfterBreak="0">
    <w:nsid w:val="4EB2364E"/>
    <w:multiLevelType w:val="hybridMultilevel"/>
    <w:tmpl w:val="89420D5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11"/>
  </w:num>
  <w:num w:numId="10">
    <w:abstractNumId w:val="13"/>
  </w:num>
  <w:num w:numId="11">
    <w:abstractNumId w:val="6"/>
  </w:num>
  <w:num w:numId="12">
    <w:abstractNumId w:val="7"/>
  </w:num>
  <w:num w:numId="13">
    <w:abstractNumId w:val="4"/>
  </w:num>
  <w:num w:numId="14">
    <w:abstractNumId w:val="12"/>
  </w:num>
  <w:num w:numId="15">
    <w:abstractNumId w:val="2"/>
  </w:num>
  <w:num w:numId="16">
    <w:abstractNumId w:val="9"/>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25A2"/>
    <w:rsid w:val="000072B6"/>
    <w:rsid w:val="0001021B"/>
    <w:rsid w:val="00011D89"/>
    <w:rsid w:val="000214DC"/>
    <w:rsid w:val="00024D89"/>
    <w:rsid w:val="000250B6"/>
    <w:rsid w:val="00033D81"/>
    <w:rsid w:val="00041BF0"/>
    <w:rsid w:val="0004536B"/>
    <w:rsid w:val="00046B68"/>
    <w:rsid w:val="000527DD"/>
    <w:rsid w:val="000578B2"/>
    <w:rsid w:val="00060959"/>
    <w:rsid w:val="000663CD"/>
    <w:rsid w:val="000667DA"/>
    <w:rsid w:val="000733FE"/>
    <w:rsid w:val="00074219"/>
    <w:rsid w:val="00074ED5"/>
    <w:rsid w:val="00076EE4"/>
    <w:rsid w:val="0009038C"/>
    <w:rsid w:val="0009113B"/>
    <w:rsid w:val="000918C3"/>
    <w:rsid w:val="00094DA3"/>
    <w:rsid w:val="00096CD1"/>
    <w:rsid w:val="000A012C"/>
    <w:rsid w:val="000A0EB9"/>
    <w:rsid w:val="000A186C"/>
    <w:rsid w:val="000B23FD"/>
    <w:rsid w:val="000B543D"/>
    <w:rsid w:val="000B5BF7"/>
    <w:rsid w:val="000B6BC8"/>
    <w:rsid w:val="000C42EA"/>
    <w:rsid w:val="000C4546"/>
    <w:rsid w:val="000D1242"/>
    <w:rsid w:val="000D3756"/>
    <w:rsid w:val="000E1740"/>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595"/>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76A46"/>
    <w:rsid w:val="003829E5"/>
    <w:rsid w:val="00382AFC"/>
    <w:rsid w:val="003956CC"/>
    <w:rsid w:val="00395C9A"/>
    <w:rsid w:val="003A6B67"/>
    <w:rsid w:val="003B15E6"/>
    <w:rsid w:val="003C2045"/>
    <w:rsid w:val="003C43A1"/>
    <w:rsid w:val="003C4FC0"/>
    <w:rsid w:val="003C542D"/>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013"/>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44C7"/>
    <w:rsid w:val="006557A7"/>
    <w:rsid w:val="00656290"/>
    <w:rsid w:val="006621D7"/>
    <w:rsid w:val="0066302A"/>
    <w:rsid w:val="00670597"/>
    <w:rsid w:val="006706D0"/>
    <w:rsid w:val="00673455"/>
    <w:rsid w:val="00677574"/>
    <w:rsid w:val="00677E1C"/>
    <w:rsid w:val="0068454C"/>
    <w:rsid w:val="00685F51"/>
    <w:rsid w:val="00691B62"/>
    <w:rsid w:val="00693D14"/>
    <w:rsid w:val="00697090"/>
    <w:rsid w:val="006A18C2"/>
    <w:rsid w:val="006A5B95"/>
    <w:rsid w:val="006A7939"/>
    <w:rsid w:val="006B077C"/>
    <w:rsid w:val="006B6803"/>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471D2"/>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338A2"/>
    <w:rsid w:val="008370FF"/>
    <w:rsid w:val="00841AA9"/>
    <w:rsid w:val="00853EE4"/>
    <w:rsid w:val="00855535"/>
    <w:rsid w:val="0086255E"/>
    <w:rsid w:val="008633F0"/>
    <w:rsid w:val="00867D9D"/>
    <w:rsid w:val="0087116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4D3F"/>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9F7CFC"/>
    <w:rsid w:val="00A0057A"/>
    <w:rsid w:val="00A11421"/>
    <w:rsid w:val="00A11FC5"/>
    <w:rsid w:val="00A157B1"/>
    <w:rsid w:val="00A20D71"/>
    <w:rsid w:val="00A21BDA"/>
    <w:rsid w:val="00A22229"/>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7469"/>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2561"/>
    <w:rsid w:val="00B950BC"/>
    <w:rsid w:val="00B960B6"/>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15686"/>
    <w:rsid w:val="00C27201"/>
    <w:rsid w:val="00C27DE9"/>
    <w:rsid w:val="00C33388"/>
    <w:rsid w:val="00C35484"/>
    <w:rsid w:val="00C4173A"/>
    <w:rsid w:val="00C602FF"/>
    <w:rsid w:val="00C61174"/>
    <w:rsid w:val="00C6148F"/>
    <w:rsid w:val="00C62F7A"/>
    <w:rsid w:val="00C63B9C"/>
    <w:rsid w:val="00C6682F"/>
    <w:rsid w:val="00C7275E"/>
    <w:rsid w:val="00C74C5D"/>
    <w:rsid w:val="00C77250"/>
    <w:rsid w:val="00C863C4"/>
    <w:rsid w:val="00C93C3E"/>
    <w:rsid w:val="00CA12E3"/>
    <w:rsid w:val="00CA4422"/>
    <w:rsid w:val="00CA6611"/>
    <w:rsid w:val="00CA6AE6"/>
    <w:rsid w:val="00CA782F"/>
    <w:rsid w:val="00CC0C72"/>
    <w:rsid w:val="00CC2BFD"/>
    <w:rsid w:val="00CC3FB0"/>
    <w:rsid w:val="00CD3476"/>
    <w:rsid w:val="00CD64DF"/>
    <w:rsid w:val="00CF2F50"/>
    <w:rsid w:val="00CF6A3E"/>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75FFD"/>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68C7"/>
    <w:rsid w:val="00DF6BAF"/>
    <w:rsid w:val="00DF731A"/>
    <w:rsid w:val="00E05E8D"/>
    <w:rsid w:val="00E1293B"/>
    <w:rsid w:val="00E170DC"/>
    <w:rsid w:val="00E26818"/>
    <w:rsid w:val="00E27FFC"/>
    <w:rsid w:val="00E30B15"/>
    <w:rsid w:val="00E327EB"/>
    <w:rsid w:val="00E40181"/>
    <w:rsid w:val="00E437CE"/>
    <w:rsid w:val="00E51804"/>
    <w:rsid w:val="00E53D0C"/>
    <w:rsid w:val="00E56A01"/>
    <w:rsid w:val="00E629A1"/>
    <w:rsid w:val="00E71591"/>
    <w:rsid w:val="00E82C55"/>
    <w:rsid w:val="00E92AC3"/>
    <w:rsid w:val="00EA4E6D"/>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3133"/>
    <w:rsid w:val="00F76CAB"/>
    <w:rsid w:val="00F772C6"/>
    <w:rsid w:val="00F777DC"/>
    <w:rsid w:val="00F815B5"/>
    <w:rsid w:val="00F85195"/>
    <w:rsid w:val="00F87FCF"/>
    <w:rsid w:val="00F922BE"/>
    <w:rsid w:val="00F93281"/>
    <w:rsid w:val="00F938BA"/>
    <w:rsid w:val="00FA2C46"/>
    <w:rsid w:val="00FA3525"/>
    <w:rsid w:val="00FA3628"/>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F02C68"/>
  <w15:docId w15:val="{987811FE-77E2-4BEE-8C9A-6367728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685F51"/>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685F51"/>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685F51"/>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685F51"/>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customStyle="1" w:styleId="DHSTableText">
    <w:name w:val="DHS Table Text"/>
    <w:rsid w:val="000E1740"/>
    <w:pPr>
      <w:spacing w:before="80" w:after="60"/>
    </w:pPr>
    <w:rPr>
      <w:rFonts w:ascii="Arial" w:hAnsi="Arial"/>
      <w:lang w:eastAsia="en-US"/>
    </w:rPr>
  </w:style>
  <w:style w:type="numbering" w:customStyle="1" w:styleId="Bullets">
    <w:name w:val="Bullets"/>
    <w:rsid w:val="00C77250"/>
    <w:pPr>
      <w:numPr>
        <w:numId w:val="17"/>
      </w:numPr>
    </w:pPr>
  </w:style>
  <w:style w:type="character" w:styleId="UnresolvedMention">
    <w:name w:val="Unresolved Mention"/>
    <w:basedOn w:val="DefaultParagraphFont"/>
    <w:uiPriority w:val="99"/>
    <w:semiHidden/>
    <w:unhideWhenUsed/>
    <w:rsid w:val="00685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64225785">
      <w:bodyDiv w:val="1"/>
      <w:marLeft w:val="0"/>
      <w:marRight w:val="0"/>
      <w:marTop w:val="0"/>
      <w:marBottom w:val="0"/>
      <w:divBdr>
        <w:top w:val="none" w:sz="0" w:space="0" w:color="auto"/>
        <w:left w:val="none" w:sz="0" w:space="0" w:color="auto"/>
        <w:bottom w:val="none" w:sz="0" w:space="0" w:color="auto"/>
        <w:right w:val="none" w:sz="0" w:space="0" w:color="auto"/>
      </w:divBdr>
    </w:div>
    <w:div w:id="16882152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sapolicy@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sapolicy@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roviders.dhhs.vic.gov.au/health-human-services-activity-search"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31899-F58F-41AE-A18E-13A535C79B88}">
  <ds:schemaRefs>
    <ds:schemaRef ds:uri="http://schemas.microsoft.com/sharepoint/v3/contenttype/forms"/>
  </ds:schemaRefs>
</ds:datastoreItem>
</file>

<file path=customXml/itemProps2.xml><?xml version="1.0" encoding="utf-8"?>
<ds:datastoreItem xmlns:ds="http://schemas.openxmlformats.org/officeDocument/2006/customXml" ds:itemID="{88CC244F-5233-4E72-A8B0-0C1DC11E69F3}">
  <ds:schemaRefs>
    <ds:schemaRef ds:uri="http://schemas.microsoft.com/office/2006/metadata/properties"/>
    <ds:schemaRef ds:uri="http://schemas.microsoft.com/office/infopath/2007/PartnerControls"/>
    <ds:schemaRef ds:uri="a0a1cdb3-76af-40bd-93b0-f7d150250ba2"/>
  </ds:schemaRefs>
</ds:datastoreItem>
</file>

<file path=customXml/itemProps3.xml><?xml version="1.0" encoding="utf-8"?>
<ds:datastoreItem xmlns:ds="http://schemas.openxmlformats.org/officeDocument/2006/customXml" ds:itemID="{B951BF8F-3734-4049-AD69-F0BBB0D11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A66C5-8480-49E2-B372-3B73D628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 description human services Placement Prevention Services-31218</vt:lpstr>
    </vt:vector>
  </TitlesOfParts>
  <Company>Department of Health and Human Services</Company>
  <LinksUpToDate>false</LinksUpToDate>
  <CharactersWithSpaces>5656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Placement Prevention Services-31218</dc:title>
  <dc:subject>service agreement activity descriptions</dc:subject>
  <dc:creator>Service Agreement Policy unit</dc:creator>
  <cp:keywords>service agreement;Activity description;human services; Child Protection and Family Services; Placement Prevention Services;31218</cp:keywords>
  <cp:lastModifiedBy>Alice York (DHHS)</cp:lastModifiedBy>
  <cp:revision>2</cp:revision>
  <cp:lastPrinted>2019-01-08T23:20:00Z</cp:lastPrinted>
  <dcterms:created xsi:type="dcterms:W3CDTF">2020-12-31T03:48:00Z</dcterms:created>
  <dcterms:modified xsi:type="dcterms:W3CDTF">2020-12-31T03:48:00Z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2020-12-31T03:48:45Z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e92dd95b-6d76-46aa-a45c-faae6f9482b8</vt:lpwstr>
  </property>
  <property fmtid="{D5CDD505-2E9C-101B-9397-08002B2CF9AE}" pid="10" name="MSIP_Label_efdf5488-3066-4b6c-8fea-9472b8a1f34c_ContentBits">
    <vt:lpwstr>0</vt:lpwstr>
  </property>
</Properties>
</file>