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CCA16" w14:textId="77777777" w:rsidR="0074696E" w:rsidRPr="004C6EEE" w:rsidRDefault="00A5244C" w:rsidP="00AD784C">
      <w:pPr>
        <w:pStyle w:val="Spacerparatopoffirstpage"/>
      </w:pPr>
      <w:r>
        <w:drawing>
          <wp:anchor distT="0" distB="0" distL="114300" distR="114300" simplePos="0" relativeHeight="251658240" behindDoc="1" locked="1" layoutInCell="1" allowOverlap="1" wp14:anchorId="1D9EF1AA" wp14:editId="75A9D6EE">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94186EF"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12E7D6C" w14:textId="77777777" w:rsidTr="00CF4148">
        <w:trPr>
          <w:trHeight w:val="1418"/>
        </w:trPr>
        <w:tc>
          <w:tcPr>
            <w:tcW w:w="7825" w:type="dxa"/>
            <w:vAlign w:val="bottom"/>
          </w:tcPr>
          <w:p w14:paraId="51E2499A" w14:textId="619C52CB" w:rsidR="00AD784C" w:rsidRPr="00161AA0" w:rsidRDefault="00AD784C" w:rsidP="00EC20FF">
            <w:pPr>
              <w:pStyle w:val="Documenttitle"/>
            </w:pPr>
          </w:p>
        </w:tc>
      </w:tr>
      <w:tr w:rsidR="000B2117" w14:paraId="3A10CE2A" w14:textId="77777777" w:rsidTr="009C1CB1">
        <w:trPr>
          <w:trHeight w:val="1247"/>
        </w:trPr>
        <w:tc>
          <w:tcPr>
            <w:tcW w:w="7825" w:type="dxa"/>
          </w:tcPr>
          <w:p w14:paraId="1F8E8854" w14:textId="45212876" w:rsidR="000B2117" w:rsidRPr="00A1389F" w:rsidRDefault="000B2117" w:rsidP="00CF4148">
            <w:pPr>
              <w:pStyle w:val="Documentsubtitle"/>
            </w:pPr>
          </w:p>
        </w:tc>
      </w:tr>
      <w:tr w:rsidR="00CF4148" w14:paraId="7A465A31" w14:textId="77777777" w:rsidTr="00CF4148">
        <w:trPr>
          <w:trHeight w:val="284"/>
        </w:trPr>
        <w:tc>
          <w:tcPr>
            <w:tcW w:w="7825" w:type="dxa"/>
          </w:tcPr>
          <w:p w14:paraId="31C1FE52" w14:textId="77777777" w:rsidR="00CF4148" w:rsidRPr="00250DC4" w:rsidRDefault="00313EE1" w:rsidP="00CF4148">
            <w:pPr>
              <w:pStyle w:val="Bannermarking"/>
            </w:pPr>
            <w:fldSimple w:instr="FILLIN  &quot;Type the protective marking&quot; \d OFFICIAL \o  \* MERGEFORMAT">
              <w:r w:rsidR="00116F44">
                <w:t>OFFICIAL</w:t>
              </w:r>
            </w:fldSimple>
          </w:p>
        </w:tc>
      </w:tr>
    </w:tbl>
    <w:p w14:paraId="77C4D95A" w14:textId="606D7131" w:rsidR="007173CA" w:rsidRDefault="007173CA" w:rsidP="00D079AA">
      <w:pPr>
        <w:pStyle w:val="Body"/>
      </w:pPr>
    </w:p>
    <w:p w14:paraId="55D337D2"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29E841FC" w14:textId="77777777" w:rsidR="006164BA" w:rsidRDefault="006164BA" w:rsidP="00116F44">
      <w:pPr>
        <w:jc w:val="center"/>
        <w:rPr>
          <w:rFonts w:cs="Arial"/>
          <w:b/>
          <w:bCs/>
          <w:sz w:val="36"/>
          <w:szCs w:val="36"/>
        </w:rPr>
      </w:pPr>
      <w:bookmarkStart w:id="0" w:name="_Hlk86319756"/>
      <w:bookmarkStart w:id="1" w:name="_Hlk41913885"/>
    </w:p>
    <w:p w14:paraId="59F769BF" w14:textId="77777777" w:rsidR="006164BA" w:rsidRDefault="006164BA" w:rsidP="00116F44">
      <w:pPr>
        <w:jc w:val="center"/>
        <w:rPr>
          <w:rFonts w:cs="Arial"/>
          <w:b/>
          <w:bCs/>
          <w:sz w:val="36"/>
          <w:szCs w:val="36"/>
        </w:rPr>
      </w:pPr>
    </w:p>
    <w:p w14:paraId="43982C1B" w14:textId="77777777" w:rsidR="006164BA" w:rsidRDefault="006164BA" w:rsidP="00116F44">
      <w:pPr>
        <w:jc w:val="center"/>
        <w:rPr>
          <w:rFonts w:cs="Arial"/>
          <w:b/>
          <w:bCs/>
          <w:sz w:val="36"/>
          <w:szCs w:val="36"/>
        </w:rPr>
      </w:pPr>
    </w:p>
    <w:p w14:paraId="2FFB7D76" w14:textId="77777777" w:rsidR="006164BA" w:rsidRDefault="006164BA" w:rsidP="00116F44">
      <w:pPr>
        <w:jc w:val="center"/>
        <w:rPr>
          <w:rFonts w:cs="Arial"/>
          <w:b/>
          <w:bCs/>
          <w:sz w:val="36"/>
          <w:szCs w:val="36"/>
        </w:rPr>
      </w:pPr>
    </w:p>
    <w:p w14:paraId="53C9D15C" w14:textId="3FE0D942" w:rsidR="00116F44" w:rsidRPr="009913BE" w:rsidRDefault="00116F44" w:rsidP="006933CD">
      <w:pPr>
        <w:pStyle w:val="Heading1"/>
        <w:jc w:val="center"/>
      </w:pPr>
      <w:bookmarkStart w:id="2" w:name="_Toc90530571"/>
      <w:r w:rsidRPr="009913BE">
        <w:t>Operational Protocol</w:t>
      </w:r>
      <w:bookmarkEnd w:id="2"/>
    </w:p>
    <w:p w14:paraId="00718759" w14:textId="77777777" w:rsidR="00116F44" w:rsidRPr="009913BE" w:rsidRDefault="00116F44" w:rsidP="006933CD">
      <w:pPr>
        <w:pStyle w:val="Heading1"/>
        <w:jc w:val="center"/>
      </w:pPr>
      <w:bookmarkStart w:id="3" w:name="_Toc90530572"/>
      <w:r w:rsidRPr="009913BE">
        <w:t>between</w:t>
      </w:r>
      <w:bookmarkEnd w:id="3"/>
    </w:p>
    <w:p w14:paraId="1E621B67" w14:textId="625999C4" w:rsidR="00116F44" w:rsidRPr="009913BE" w:rsidRDefault="00116F44" w:rsidP="006933CD">
      <w:pPr>
        <w:pStyle w:val="Heading1"/>
        <w:jc w:val="center"/>
      </w:pPr>
      <w:bookmarkStart w:id="4" w:name="_Toc90530573"/>
      <w:r w:rsidRPr="009913BE">
        <w:t xml:space="preserve">Office of the Public Advocate </w:t>
      </w:r>
      <w:r>
        <w:t>–</w:t>
      </w:r>
      <w:r w:rsidRPr="009913BE">
        <w:t xml:space="preserve"> Community Visitors Program</w:t>
      </w:r>
      <w:bookmarkEnd w:id="4"/>
    </w:p>
    <w:p w14:paraId="34C20F7E" w14:textId="77777777" w:rsidR="00116F44" w:rsidRPr="009913BE" w:rsidRDefault="00116F44" w:rsidP="006933CD">
      <w:pPr>
        <w:pStyle w:val="Heading1"/>
        <w:jc w:val="center"/>
      </w:pPr>
      <w:bookmarkStart w:id="5" w:name="_Toc90530574"/>
      <w:r w:rsidRPr="009913BE">
        <w:t>and</w:t>
      </w:r>
      <w:bookmarkEnd w:id="5"/>
    </w:p>
    <w:p w14:paraId="13D92849" w14:textId="226CD370" w:rsidR="00116F44" w:rsidRPr="009913BE" w:rsidRDefault="00116F44" w:rsidP="006933CD">
      <w:pPr>
        <w:pStyle w:val="Heading1"/>
        <w:jc w:val="center"/>
      </w:pPr>
      <w:bookmarkStart w:id="6" w:name="_Toc90530575"/>
      <w:r w:rsidRPr="009913BE">
        <w:t>Department of Families, Fairness and Housing –</w:t>
      </w:r>
      <w:bookmarkEnd w:id="6"/>
    </w:p>
    <w:p w14:paraId="0CEB29A3" w14:textId="43F8445B" w:rsidR="00116F44" w:rsidRPr="009913BE" w:rsidRDefault="00116F44" w:rsidP="006933CD">
      <w:pPr>
        <w:pStyle w:val="Heading1"/>
        <w:jc w:val="center"/>
      </w:pPr>
      <w:bookmarkStart w:id="7" w:name="_Toc90530576"/>
      <w:r w:rsidRPr="009913BE">
        <w:t>Human Services Regulator</w:t>
      </w:r>
      <w:bookmarkEnd w:id="7"/>
    </w:p>
    <w:bookmarkEnd w:id="0"/>
    <w:p w14:paraId="2311634F" w14:textId="77777777" w:rsidR="00F32368" w:rsidRPr="00F32368" w:rsidRDefault="00F32368" w:rsidP="00F32368">
      <w:pPr>
        <w:pStyle w:val="Body"/>
      </w:pPr>
    </w:p>
    <w:p w14:paraId="1786DB5A" w14:textId="77777777" w:rsidR="00116F44" w:rsidRDefault="00116F44">
      <w:pPr>
        <w:spacing w:after="0" w:line="240" w:lineRule="auto"/>
        <w:rPr>
          <w:rFonts w:eastAsia="Times"/>
          <w:color w:val="87189D"/>
        </w:rPr>
      </w:pPr>
      <w:bookmarkStart w:id="8" w:name="_Toc63257285"/>
      <w:bookmarkStart w:id="9" w:name="_Toc63265746"/>
      <w:bookmarkEnd w:id="1"/>
      <w:r>
        <w:rPr>
          <w:color w:val="87189D"/>
        </w:rPr>
        <w:br w:type="page"/>
      </w:r>
    </w:p>
    <w:p w14:paraId="5D7F507D" w14:textId="77777777" w:rsidR="003B1BDC" w:rsidRPr="003B1BDC" w:rsidRDefault="003B1BDC" w:rsidP="003B1BDC">
      <w:pPr>
        <w:pStyle w:val="Body"/>
      </w:pPr>
    </w:p>
    <w:sdt>
      <w:sdtPr>
        <w:rPr>
          <w:rFonts w:eastAsia="Times New Roman" w:cs="Times New Roman"/>
          <w:b w:val="0"/>
          <w:bCs w:val="0"/>
          <w:color w:val="auto"/>
          <w:sz w:val="21"/>
          <w:szCs w:val="20"/>
          <w:lang w:val="en-AU"/>
        </w:rPr>
        <w:id w:val="1812821494"/>
        <w:docPartObj>
          <w:docPartGallery w:val="Table of Contents"/>
          <w:docPartUnique/>
        </w:docPartObj>
      </w:sdtPr>
      <w:sdtEndPr>
        <w:rPr>
          <w:noProof/>
        </w:rPr>
      </w:sdtEndPr>
      <w:sdtContent>
        <w:p w14:paraId="514D5BF6" w14:textId="1654227E" w:rsidR="00041DC4" w:rsidRDefault="00041DC4" w:rsidP="00041DC4">
          <w:pPr>
            <w:pStyle w:val="TOCHeading"/>
            <w:numPr>
              <w:ilvl w:val="0"/>
              <w:numId w:val="0"/>
            </w:numPr>
            <w:ind w:left="426" w:hanging="426"/>
            <w:rPr>
              <w:rFonts w:asciiTheme="minorHAnsi" w:eastAsiaTheme="minorEastAsia" w:hAnsiTheme="minorHAnsi" w:cstheme="minorBidi"/>
              <w:b w:val="0"/>
              <w:sz w:val="22"/>
              <w:szCs w:val="22"/>
              <w:lang w:eastAsia="en-AU"/>
            </w:rPr>
          </w:pPr>
          <w:r>
            <w:t>Contents</w:t>
          </w:r>
          <w:r>
            <w:fldChar w:fldCharType="begin"/>
          </w:r>
          <w:r>
            <w:instrText xml:space="preserve"> TOC \o "1-3" \h \z \u </w:instrText>
          </w:r>
          <w:r>
            <w:fldChar w:fldCharType="separate"/>
          </w:r>
        </w:p>
        <w:p w14:paraId="5C56A7D0" w14:textId="4310A002" w:rsidR="00041DC4" w:rsidRDefault="00041DC4">
          <w:pPr>
            <w:pStyle w:val="TOC1"/>
            <w:rPr>
              <w:rFonts w:asciiTheme="minorHAnsi" w:eastAsiaTheme="minorEastAsia" w:hAnsiTheme="minorHAnsi" w:cstheme="minorBidi"/>
              <w:b w:val="0"/>
              <w:sz w:val="22"/>
              <w:szCs w:val="22"/>
              <w:lang w:eastAsia="en-AU"/>
            </w:rPr>
          </w:pPr>
        </w:p>
        <w:p w14:paraId="0370AE9B" w14:textId="7817D34E" w:rsidR="00041DC4" w:rsidRDefault="00AE259E">
          <w:pPr>
            <w:pStyle w:val="TOC1"/>
            <w:rPr>
              <w:rFonts w:asciiTheme="minorHAnsi" w:eastAsiaTheme="minorEastAsia" w:hAnsiTheme="minorHAnsi" w:cstheme="minorBidi"/>
              <w:b w:val="0"/>
              <w:sz w:val="22"/>
              <w:szCs w:val="22"/>
              <w:lang w:eastAsia="en-AU"/>
            </w:rPr>
          </w:pPr>
          <w:hyperlink w:anchor="_Toc90530577" w:history="1">
            <w:r w:rsidR="00041DC4" w:rsidRPr="00B95324">
              <w:rPr>
                <w:rStyle w:val="Hyperlink"/>
              </w:rPr>
              <w:t>1. Intended purpose</w:t>
            </w:r>
            <w:r w:rsidR="00041DC4">
              <w:rPr>
                <w:webHidden/>
              </w:rPr>
              <w:tab/>
            </w:r>
            <w:r w:rsidR="00041DC4">
              <w:rPr>
                <w:webHidden/>
              </w:rPr>
              <w:fldChar w:fldCharType="begin"/>
            </w:r>
            <w:r w:rsidR="00041DC4">
              <w:rPr>
                <w:webHidden/>
              </w:rPr>
              <w:instrText xml:space="preserve"> PAGEREF _Toc90530577 \h </w:instrText>
            </w:r>
            <w:r w:rsidR="00041DC4">
              <w:rPr>
                <w:webHidden/>
              </w:rPr>
            </w:r>
            <w:r w:rsidR="00041DC4">
              <w:rPr>
                <w:webHidden/>
              </w:rPr>
              <w:fldChar w:fldCharType="separate"/>
            </w:r>
            <w:r w:rsidR="00451692">
              <w:rPr>
                <w:webHidden/>
              </w:rPr>
              <w:t>3</w:t>
            </w:r>
            <w:r w:rsidR="00041DC4">
              <w:rPr>
                <w:webHidden/>
              </w:rPr>
              <w:fldChar w:fldCharType="end"/>
            </w:r>
          </w:hyperlink>
        </w:p>
        <w:p w14:paraId="14E73432" w14:textId="31B4181D" w:rsidR="00041DC4" w:rsidRDefault="00AE259E">
          <w:pPr>
            <w:pStyle w:val="TOC1"/>
            <w:rPr>
              <w:rFonts w:asciiTheme="minorHAnsi" w:eastAsiaTheme="minorEastAsia" w:hAnsiTheme="minorHAnsi" w:cstheme="minorBidi"/>
              <w:b w:val="0"/>
              <w:sz w:val="22"/>
              <w:szCs w:val="22"/>
              <w:lang w:eastAsia="en-AU"/>
            </w:rPr>
          </w:pPr>
          <w:hyperlink w:anchor="_Toc90530578" w:history="1">
            <w:r w:rsidR="00041DC4" w:rsidRPr="00B95324">
              <w:rPr>
                <w:rStyle w:val="Hyperlink"/>
              </w:rPr>
              <w:t>2. Background</w:t>
            </w:r>
            <w:r w:rsidR="00041DC4">
              <w:rPr>
                <w:webHidden/>
              </w:rPr>
              <w:tab/>
            </w:r>
            <w:r w:rsidR="00041DC4">
              <w:rPr>
                <w:webHidden/>
              </w:rPr>
              <w:fldChar w:fldCharType="begin"/>
            </w:r>
            <w:r w:rsidR="00041DC4">
              <w:rPr>
                <w:webHidden/>
              </w:rPr>
              <w:instrText xml:space="preserve"> PAGEREF _Toc90530578 \h </w:instrText>
            </w:r>
            <w:r w:rsidR="00041DC4">
              <w:rPr>
                <w:webHidden/>
              </w:rPr>
            </w:r>
            <w:r w:rsidR="00041DC4">
              <w:rPr>
                <w:webHidden/>
              </w:rPr>
              <w:fldChar w:fldCharType="separate"/>
            </w:r>
            <w:r w:rsidR="00451692">
              <w:rPr>
                <w:webHidden/>
              </w:rPr>
              <w:t>3</w:t>
            </w:r>
            <w:r w:rsidR="00041DC4">
              <w:rPr>
                <w:webHidden/>
              </w:rPr>
              <w:fldChar w:fldCharType="end"/>
            </w:r>
          </w:hyperlink>
        </w:p>
        <w:p w14:paraId="04CA2B5F" w14:textId="61A8D943" w:rsidR="00041DC4" w:rsidRDefault="00AE259E">
          <w:pPr>
            <w:pStyle w:val="TOC1"/>
            <w:rPr>
              <w:rFonts w:asciiTheme="minorHAnsi" w:eastAsiaTheme="minorEastAsia" w:hAnsiTheme="minorHAnsi" w:cstheme="minorBidi"/>
              <w:b w:val="0"/>
              <w:sz w:val="22"/>
              <w:szCs w:val="22"/>
              <w:lang w:eastAsia="en-AU"/>
            </w:rPr>
          </w:pPr>
          <w:hyperlink w:anchor="_Toc90530579" w:history="1">
            <w:r w:rsidR="00041DC4" w:rsidRPr="00B95324">
              <w:rPr>
                <w:rStyle w:val="Hyperlink"/>
              </w:rPr>
              <w:t>3. Organisations</w:t>
            </w:r>
            <w:r w:rsidR="00041DC4">
              <w:rPr>
                <w:webHidden/>
              </w:rPr>
              <w:tab/>
            </w:r>
            <w:r w:rsidR="00041DC4">
              <w:rPr>
                <w:webHidden/>
              </w:rPr>
              <w:fldChar w:fldCharType="begin"/>
            </w:r>
            <w:r w:rsidR="00041DC4">
              <w:rPr>
                <w:webHidden/>
              </w:rPr>
              <w:instrText xml:space="preserve"> PAGEREF _Toc90530579 \h </w:instrText>
            </w:r>
            <w:r w:rsidR="00041DC4">
              <w:rPr>
                <w:webHidden/>
              </w:rPr>
            </w:r>
            <w:r w:rsidR="00041DC4">
              <w:rPr>
                <w:webHidden/>
              </w:rPr>
              <w:fldChar w:fldCharType="separate"/>
            </w:r>
            <w:r w:rsidR="00451692">
              <w:rPr>
                <w:webHidden/>
              </w:rPr>
              <w:t>3</w:t>
            </w:r>
            <w:r w:rsidR="00041DC4">
              <w:rPr>
                <w:webHidden/>
              </w:rPr>
              <w:fldChar w:fldCharType="end"/>
            </w:r>
          </w:hyperlink>
        </w:p>
        <w:p w14:paraId="5AEEA0BF" w14:textId="166B3B38" w:rsidR="00041DC4" w:rsidRDefault="00AE259E">
          <w:pPr>
            <w:pStyle w:val="TOC1"/>
            <w:rPr>
              <w:rFonts w:asciiTheme="minorHAnsi" w:eastAsiaTheme="minorEastAsia" w:hAnsiTheme="minorHAnsi" w:cstheme="minorBidi"/>
              <w:b w:val="0"/>
              <w:sz w:val="22"/>
              <w:szCs w:val="22"/>
              <w:lang w:eastAsia="en-AU"/>
            </w:rPr>
          </w:pPr>
          <w:hyperlink w:anchor="_Toc90530580" w:history="1">
            <w:r w:rsidR="00041DC4" w:rsidRPr="00B95324">
              <w:rPr>
                <w:rStyle w:val="Hyperlink"/>
              </w:rPr>
              <w:t>4. Legislated functions of the HSR and the CVP</w:t>
            </w:r>
            <w:r w:rsidR="00041DC4">
              <w:rPr>
                <w:webHidden/>
              </w:rPr>
              <w:tab/>
            </w:r>
            <w:r w:rsidR="00041DC4">
              <w:rPr>
                <w:webHidden/>
              </w:rPr>
              <w:fldChar w:fldCharType="begin"/>
            </w:r>
            <w:r w:rsidR="00041DC4">
              <w:rPr>
                <w:webHidden/>
              </w:rPr>
              <w:instrText xml:space="preserve"> PAGEREF _Toc90530580 \h </w:instrText>
            </w:r>
            <w:r w:rsidR="00041DC4">
              <w:rPr>
                <w:webHidden/>
              </w:rPr>
            </w:r>
            <w:r w:rsidR="00041DC4">
              <w:rPr>
                <w:webHidden/>
              </w:rPr>
              <w:fldChar w:fldCharType="separate"/>
            </w:r>
            <w:r w:rsidR="00451692">
              <w:rPr>
                <w:webHidden/>
              </w:rPr>
              <w:t>5</w:t>
            </w:r>
            <w:r w:rsidR="00041DC4">
              <w:rPr>
                <w:webHidden/>
              </w:rPr>
              <w:fldChar w:fldCharType="end"/>
            </w:r>
          </w:hyperlink>
        </w:p>
        <w:p w14:paraId="0F9992EF" w14:textId="6038F2D8" w:rsidR="00041DC4" w:rsidRDefault="00AE259E">
          <w:pPr>
            <w:pStyle w:val="TOC1"/>
            <w:rPr>
              <w:rFonts w:asciiTheme="minorHAnsi" w:eastAsiaTheme="minorEastAsia" w:hAnsiTheme="minorHAnsi" w:cstheme="minorBidi"/>
              <w:b w:val="0"/>
              <w:sz w:val="22"/>
              <w:szCs w:val="22"/>
              <w:lang w:eastAsia="en-AU"/>
            </w:rPr>
          </w:pPr>
          <w:hyperlink w:anchor="_Toc90530581" w:history="1">
            <w:r w:rsidR="00041DC4" w:rsidRPr="00B95324">
              <w:rPr>
                <w:rStyle w:val="Hyperlink"/>
              </w:rPr>
              <w:t>5. Term</w:t>
            </w:r>
            <w:r w:rsidR="00041DC4">
              <w:rPr>
                <w:webHidden/>
              </w:rPr>
              <w:tab/>
            </w:r>
            <w:r w:rsidR="00041DC4">
              <w:rPr>
                <w:webHidden/>
              </w:rPr>
              <w:fldChar w:fldCharType="begin"/>
            </w:r>
            <w:r w:rsidR="00041DC4">
              <w:rPr>
                <w:webHidden/>
              </w:rPr>
              <w:instrText xml:space="preserve"> PAGEREF _Toc90530581 \h </w:instrText>
            </w:r>
            <w:r w:rsidR="00041DC4">
              <w:rPr>
                <w:webHidden/>
              </w:rPr>
            </w:r>
            <w:r w:rsidR="00041DC4">
              <w:rPr>
                <w:webHidden/>
              </w:rPr>
              <w:fldChar w:fldCharType="separate"/>
            </w:r>
            <w:r w:rsidR="00451692">
              <w:rPr>
                <w:webHidden/>
              </w:rPr>
              <w:t>5</w:t>
            </w:r>
            <w:r w:rsidR="00041DC4">
              <w:rPr>
                <w:webHidden/>
              </w:rPr>
              <w:fldChar w:fldCharType="end"/>
            </w:r>
          </w:hyperlink>
        </w:p>
        <w:p w14:paraId="11A6A29C" w14:textId="571ED7E5" w:rsidR="00041DC4" w:rsidRDefault="00AE259E">
          <w:pPr>
            <w:pStyle w:val="TOC1"/>
            <w:rPr>
              <w:rFonts w:asciiTheme="minorHAnsi" w:eastAsiaTheme="minorEastAsia" w:hAnsiTheme="minorHAnsi" w:cstheme="minorBidi"/>
              <w:b w:val="0"/>
              <w:sz w:val="22"/>
              <w:szCs w:val="22"/>
              <w:lang w:eastAsia="en-AU"/>
            </w:rPr>
          </w:pPr>
          <w:hyperlink w:anchor="_Toc90530582" w:history="1">
            <w:r w:rsidR="00041DC4" w:rsidRPr="00B95324">
              <w:rPr>
                <w:rStyle w:val="Hyperlink"/>
              </w:rPr>
              <w:t>6. Notifications between Parties</w:t>
            </w:r>
            <w:r w:rsidR="00041DC4">
              <w:rPr>
                <w:webHidden/>
              </w:rPr>
              <w:tab/>
            </w:r>
            <w:r w:rsidR="00041DC4">
              <w:rPr>
                <w:webHidden/>
              </w:rPr>
              <w:fldChar w:fldCharType="begin"/>
            </w:r>
            <w:r w:rsidR="00041DC4">
              <w:rPr>
                <w:webHidden/>
              </w:rPr>
              <w:instrText xml:space="preserve"> PAGEREF _Toc90530582 \h </w:instrText>
            </w:r>
            <w:r w:rsidR="00041DC4">
              <w:rPr>
                <w:webHidden/>
              </w:rPr>
            </w:r>
            <w:r w:rsidR="00041DC4">
              <w:rPr>
                <w:webHidden/>
              </w:rPr>
              <w:fldChar w:fldCharType="separate"/>
            </w:r>
            <w:r w:rsidR="00451692">
              <w:rPr>
                <w:webHidden/>
              </w:rPr>
              <w:t>5</w:t>
            </w:r>
            <w:r w:rsidR="00041DC4">
              <w:rPr>
                <w:webHidden/>
              </w:rPr>
              <w:fldChar w:fldCharType="end"/>
            </w:r>
          </w:hyperlink>
        </w:p>
        <w:p w14:paraId="40B8EE99" w14:textId="122AFF92" w:rsidR="00041DC4" w:rsidRDefault="00AE259E">
          <w:pPr>
            <w:pStyle w:val="TOC1"/>
            <w:rPr>
              <w:rFonts w:asciiTheme="minorHAnsi" w:eastAsiaTheme="minorEastAsia" w:hAnsiTheme="minorHAnsi" w:cstheme="minorBidi"/>
              <w:b w:val="0"/>
              <w:sz w:val="22"/>
              <w:szCs w:val="22"/>
              <w:lang w:eastAsia="en-AU"/>
            </w:rPr>
          </w:pPr>
          <w:hyperlink w:anchor="_Toc90530583" w:history="1">
            <w:r w:rsidR="00041DC4" w:rsidRPr="00B95324">
              <w:rPr>
                <w:rStyle w:val="Hyperlink"/>
              </w:rPr>
              <w:t>7. Human Services Regulator / Community Visitors Program meetings</w:t>
            </w:r>
            <w:r w:rsidR="00041DC4">
              <w:rPr>
                <w:webHidden/>
              </w:rPr>
              <w:tab/>
            </w:r>
            <w:r w:rsidR="00041DC4">
              <w:rPr>
                <w:webHidden/>
              </w:rPr>
              <w:fldChar w:fldCharType="begin"/>
            </w:r>
            <w:r w:rsidR="00041DC4">
              <w:rPr>
                <w:webHidden/>
              </w:rPr>
              <w:instrText xml:space="preserve"> PAGEREF _Toc90530583 \h </w:instrText>
            </w:r>
            <w:r w:rsidR="00041DC4">
              <w:rPr>
                <w:webHidden/>
              </w:rPr>
            </w:r>
            <w:r w:rsidR="00041DC4">
              <w:rPr>
                <w:webHidden/>
              </w:rPr>
              <w:fldChar w:fldCharType="separate"/>
            </w:r>
            <w:r w:rsidR="00451692">
              <w:rPr>
                <w:webHidden/>
              </w:rPr>
              <w:t>11</w:t>
            </w:r>
            <w:r w:rsidR="00041DC4">
              <w:rPr>
                <w:webHidden/>
              </w:rPr>
              <w:fldChar w:fldCharType="end"/>
            </w:r>
          </w:hyperlink>
        </w:p>
        <w:p w14:paraId="11A638B4" w14:textId="5CCFE790" w:rsidR="00041DC4" w:rsidRDefault="00AE259E">
          <w:pPr>
            <w:pStyle w:val="TOC1"/>
            <w:rPr>
              <w:rFonts w:asciiTheme="minorHAnsi" w:eastAsiaTheme="minorEastAsia" w:hAnsiTheme="minorHAnsi" w:cstheme="minorBidi"/>
              <w:b w:val="0"/>
              <w:sz w:val="22"/>
              <w:szCs w:val="22"/>
              <w:lang w:eastAsia="en-AU"/>
            </w:rPr>
          </w:pPr>
          <w:hyperlink w:anchor="_Toc90530584" w:history="1">
            <w:r w:rsidR="00041DC4" w:rsidRPr="00B95324">
              <w:rPr>
                <w:rStyle w:val="Hyperlink"/>
              </w:rPr>
              <w:t>8. Confidentiality and Privacy</w:t>
            </w:r>
            <w:r w:rsidR="00041DC4">
              <w:rPr>
                <w:webHidden/>
              </w:rPr>
              <w:tab/>
            </w:r>
            <w:r w:rsidR="00041DC4">
              <w:rPr>
                <w:webHidden/>
              </w:rPr>
              <w:fldChar w:fldCharType="begin"/>
            </w:r>
            <w:r w:rsidR="00041DC4">
              <w:rPr>
                <w:webHidden/>
              </w:rPr>
              <w:instrText xml:space="preserve"> PAGEREF _Toc90530584 \h </w:instrText>
            </w:r>
            <w:r w:rsidR="00041DC4">
              <w:rPr>
                <w:webHidden/>
              </w:rPr>
            </w:r>
            <w:r w:rsidR="00041DC4">
              <w:rPr>
                <w:webHidden/>
              </w:rPr>
              <w:fldChar w:fldCharType="separate"/>
            </w:r>
            <w:r w:rsidR="00451692">
              <w:rPr>
                <w:webHidden/>
              </w:rPr>
              <w:t>13</w:t>
            </w:r>
            <w:r w:rsidR="00041DC4">
              <w:rPr>
                <w:webHidden/>
              </w:rPr>
              <w:fldChar w:fldCharType="end"/>
            </w:r>
          </w:hyperlink>
        </w:p>
        <w:p w14:paraId="30DA120E" w14:textId="497C15A8" w:rsidR="00041DC4" w:rsidRDefault="00AE259E">
          <w:pPr>
            <w:pStyle w:val="TOC1"/>
            <w:rPr>
              <w:rFonts w:asciiTheme="minorHAnsi" w:eastAsiaTheme="minorEastAsia" w:hAnsiTheme="minorHAnsi" w:cstheme="minorBidi"/>
              <w:b w:val="0"/>
              <w:sz w:val="22"/>
              <w:szCs w:val="22"/>
              <w:lang w:eastAsia="en-AU"/>
            </w:rPr>
          </w:pPr>
          <w:hyperlink w:anchor="_Toc90530585" w:history="1">
            <w:r w:rsidR="00041DC4" w:rsidRPr="00B95324">
              <w:rPr>
                <w:rStyle w:val="Hyperlink"/>
              </w:rPr>
              <w:t>9. Review</w:t>
            </w:r>
            <w:r w:rsidR="00041DC4">
              <w:rPr>
                <w:webHidden/>
              </w:rPr>
              <w:tab/>
            </w:r>
            <w:r w:rsidR="00041DC4">
              <w:rPr>
                <w:webHidden/>
              </w:rPr>
              <w:fldChar w:fldCharType="begin"/>
            </w:r>
            <w:r w:rsidR="00041DC4">
              <w:rPr>
                <w:webHidden/>
              </w:rPr>
              <w:instrText xml:space="preserve"> PAGEREF _Toc90530585 \h </w:instrText>
            </w:r>
            <w:r w:rsidR="00041DC4">
              <w:rPr>
                <w:webHidden/>
              </w:rPr>
            </w:r>
            <w:r w:rsidR="00041DC4">
              <w:rPr>
                <w:webHidden/>
              </w:rPr>
              <w:fldChar w:fldCharType="separate"/>
            </w:r>
            <w:r w:rsidR="00451692">
              <w:rPr>
                <w:webHidden/>
              </w:rPr>
              <w:t>13</w:t>
            </w:r>
            <w:r w:rsidR="00041DC4">
              <w:rPr>
                <w:webHidden/>
              </w:rPr>
              <w:fldChar w:fldCharType="end"/>
            </w:r>
          </w:hyperlink>
        </w:p>
        <w:p w14:paraId="38F3738F" w14:textId="17E3AFC3" w:rsidR="00041DC4" w:rsidRDefault="00AE259E">
          <w:pPr>
            <w:pStyle w:val="TOC1"/>
            <w:rPr>
              <w:rFonts w:asciiTheme="minorHAnsi" w:eastAsiaTheme="minorEastAsia" w:hAnsiTheme="minorHAnsi" w:cstheme="minorBidi"/>
              <w:b w:val="0"/>
              <w:sz w:val="22"/>
              <w:szCs w:val="22"/>
              <w:lang w:eastAsia="en-AU"/>
            </w:rPr>
          </w:pPr>
          <w:hyperlink w:anchor="_Toc90530586" w:history="1">
            <w:r w:rsidR="00041DC4" w:rsidRPr="00B95324">
              <w:rPr>
                <w:rStyle w:val="Hyperlink"/>
              </w:rPr>
              <w:t>10. Dispute Resolution</w:t>
            </w:r>
            <w:r w:rsidR="00041DC4">
              <w:rPr>
                <w:webHidden/>
              </w:rPr>
              <w:tab/>
            </w:r>
            <w:r w:rsidR="00041DC4">
              <w:rPr>
                <w:webHidden/>
              </w:rPr>
              <w:fldChar w:fldCharType="begin"/>
            </w:r>
            <w:r w:rsidR="00041DC4">
              <w:rPr>
                <w:webHidden/>
              </w:rPr>
              <w:instrText xml:space="preserve"> PAGEREF _Toc90530586 \h </w:instrText>
            </w:r>
            <w:r w:rsidR="00041DC4">
              <w:rPr>
                <w:webHidden/>
              </w:rPr>
            </w:r>
            <w:r w:rsidR="00041DC4">
              <w:rPr>
                <w:webHidden/>
              </w:rPr>
              <w:fldChar w:fldCharType="separate"/>
            </w:r>
            <w:r w:rsidR="00451692">
              <w:rPr>
                <w:webHidden/>
              </w:rPr>
              <w:t>13</w:t>
            </w:r>
            <w:r w:rsidR="00041DC4">
              <w:rPr>
                <w:webHidden/>
              </w:rPr>
              <w:fldChar w:fldCharType="end"/>
            </w:r>
          </w:hyperlink>
        </w:p>
        <w:p w14:paraId="6EA511EF" w14:textId="1DFCB078" w:rsidR="00041DC4" w:rsidRDefault="00AE259E">
          <w:pPr>
            <w:pStyle w:val="TOC1"/>
            <w:rPr>
              <w:rFonts w:asciiTheme="minorHAnsi" w:eastAsiaTheme="minorEastAsia" w:hAnsiTheme="minorHAnsi" w:cstheme="minorBidi"/>
              <w:b w:val="0"/>
              <w:sz w:val="22"/>
              <w:szCs w:val="22"/>
              <w:lang w:eastAsia="en-AU"/>
            </w:rPr>
          </w:pPr>
          <w:hyperlink w:anchor="_Toc90530587" w:history="1">
            <w:r w:rsidR="00041DC4" w:rsidRPr="00B95324">
              <w:rPr>
                <w:rStyle w:val="Hyperlink"/>
              </w:rPr>
              <w:t>Signing page</w:t>
            </w:r>
            <w:r w:rsidR="00041DC4">
              <w:rPr>
                <w:webHidden/>
              </w:rPr>
              <w:tab/>
            </w:r>
            <w:r w:rsidR="00041DC4">
              <w:rPr>
                <w:webHidden/>
              </w:rPr>
              <w:fldChar w:fldCharType="begin"/>
            </w:r>
            <w:r w:rsidR="00041DC4">
              <w:rPr>
                <w:webHidden/>
              </w:rPr>
              <w:instrText xml:space="preserve"> PAGEREF _Toc90530587 \h </w:instrText>
            </w:r>
            <w:r w:rsidR="00041DC4">
              <w:rPr>
                <w:webHidden/>
              </w:rPr>
            </w:r>
            <w:r w:rsidR="00041DC4">
              <w:rPr>
                <w:webHidden/>
              </w:rPr>
              <w:fldChar w:fldCharType="separate"/>
            </w:r>
            <w:r w:rsidR="00451692">
              <w:rPr>
                <w:webHidden/>
              </w:rPr>
              <w:t>14</w:t>
            </w:r>
            <w:r w:rsidR="00041DC4">
              <w:rPr>
                <w:webHidden/>
              </w:rPr>
              <w:fldChar w:fldCharType="end"/>
            </w:r>
          </w:hyperlink>
        </w:p>
        <w:p w14:paraId="4DADE79F" w14:textId="70427C25" w:rsidR="00041DC4" w:rsidRDefault="00AE259E">
          <w:pPr>
            <w:pStyle w:val="TOC1"/>
            <w:rPr>
              <w:rFonts w:asciiTheme="minorHAnsi" w:eastAsiaTheme="minorEastAsia" w:hAnsiTheme="minorHAnsi" w:cstheme="minorBidi"/>
              <w:b w:val="0"/>
              <w:sz w:val="22"/>
              <w:szCs w:val="22"/>
              <w:lang w:eastAsia="en-AU"/>
            </w:rPr>
          </w:pPr>
          <w:hyperlink w:anchor="_Toc90530588" w:history="1">
            <w:r w:rsidR="00041DC4" w:rsidRPr="00B95324">
              <w:rPr>
                <w:rStyle w:val="Hyperlink"/>
              </w:rPr>
              <w:t>Appendix 1: Glossary</w:t>
            </w:r>
            <w:r w:rsidR="00041DC4">
              <w:rPr>
                <w:webHidden/>
              </w:rPr>
              <w:tab/>
            </w:r>
            <w:r w:rsidR="00041DC4">
              <w:rPr>
                <w:webHidden/>
              </w:rPr>
              <w:fldChar w:fldCharType="begin"/>
            </w:r>
            <w:r w:rsidR="00041DC4">
              <w:rPr>
                <w:webHidden/>
              </w:rPr>
              <w:instrText xml:space="preserve"> PAGEREF _Toc90530588 \h </w:instrText>
            </w:r>
            <w:r w:rsidR="00041DC4">
              <w:rPr>
                <w:webHidden/>
              </w:rPr>
            </w:r>
            <w:r w:rsidR="00041DC4">
              <w:rPr>
                <w:webHidden/>
              </w:rPr>
              <w:fldChar w:fldCharType="separate"/>
            </w:r>
            <w:r w:rsidR="00451692">
              <w:rPr>
                <w:webHidden/>
              </w:rPr>
              <w:t>15</w:t>
            </w:r>
            <w:r w:rsidR="00041DC4">
              <w:rPr>
                <w:webHidden/>
              </w:rPr>
              <w:fldChar w:fldCharType="end"/>
            </w:r>
          </w:hyperlink>
        </w:p>
        <w:p w14:paraId="239BAAE3" w14:textId="6AC2D18C" w:rsidR="00041DC4" w:rsidRDefault="00AE259E">
          <w:pPr>
            <w:pStyle w:val="TOC1"/>
            <w:rPr>
              <w:rFonts w:asciiTheme="minorHAnsi" w:eastAsiaTheme="minorEastAsia" w:hAnsiTheme="minorHAnsi" w:cstheme="minorBidi"/>
              <w:b w:val="0"/>
              <w:sz w:val="22"/>
              <w:szCs w:val="22"/>
              <w:lang w:eastAsia="en-AU"/>
            </w:rPr>
          </w:pPr>
          <w:hyperlink w:anchor="_Toc90530589" w:history="1">
            <w:r w:rsidR="00041DC4" w:rsidRPr="00B95324">
              <w:rPr>
                <w:rStyle w:val="Hyperlink"/>
              </w:rPr>
              <w:t>Appendix 2: Organisational contact points</w:t>
            </w:r>
            <w:r w:rsidR="00041DC4">
              <w:rPr>
                <w:webHidden/>
              </w:rPr>
              <w:tab/>
            </w:r>
            <w:r w:rsidR="00041DC4">
              <w:rPr>
                <w:webHidden/>
              </w:rPr>
              <w:fldChar w:fldCharType="begin"/>
            </w:r>
            <w:r w:rsidR="00041DC4">
              <w:rPr>
                <w:webHidden/>
              </w:rPr>
              <w:instrText xml:space="preserve"> PAGEREF _Toc90530589 \h </w:instrText>
            </w:r>
            <w:r w:rsidR="00041DC4">
              <w:rPr>
                <w:webHidden/>
              </w:rPr>
            </w:r>
            <w:r w:rsidR="00041DC4">
              <w:rPr>
                <w:webHidden/>
              </w:rPr>
              <w:fldChar w:fldCharType="separate"/>
            </w:r>
            <w:r w:rsidR="00451692">
              <w:rPr>
                <w:webHidden/>
              </w:rPr>
              <w:t>16</w:t>
            </w:r>
            <w:r w:rsidR="00041DC4">
              <w:rPr>
                <w:webHidden/>
              </w:rPr>
              <w:fldChar w:fldCharType="end"/>
            </w:r>
          </w:hyperlink>
        </w:p>
        <w:p w14:paraId="25F77E10" w14:textId="17FADED7" w:rsidR="00041DC4" w:rsidRDefault="00AE259E">
          <w:pPr>
            <w:pStyle w:val="TOC2"/>
            <w:rPr>
              <w:rFonts w:asciiTheme="minorHAnsi" w:eastAsiaTheme="minorEastAsia" w:hAnsiTheme="minorHAnsi" w:cstheme="minorBidi"/>
              <w:sz w:val="22"/>
              <w:szCs w:val="22"/>
              <w:lang w:eastAsia="en-AU"/>
            </w:rPr>
          </w:pPr>
          <w:hyperlink w:anchor="_Toc90530590" w:history="1">
            <w:r w:rsidR="00041DC4" w:rsidRPr="00B95324">
              <w:rPr>
                <w:rStyle w:val="Hyperlink"/>
                <w:rFonts w:cs="Arial"/>
                <w:bCs/>
              </w:rPr>
              <w:t>Human Services Regulator</w:t>
            </w:r>
            <w:r w:rsidR="00041DC4">
              <w:rPr>
                <w:webHidden/>
              </w:rPr>
              <w:tab/>
            </w:r>
            <w:r w:rsidR="00041DC4">
              <w:rPr>
                <w:webHidden/>
              </w:rPr>
              <w:fldChar w:fldCharType="begin"/>
            </w:r>
            <w:r w:rsidR="00041DC4">
              <w:rPr>
                <w:webHidden/>
              </w:rPr>
              <w:instrText xml:space="preserve"> PAGEREF _Toc90530590 \h </w:instrText>
            </w:r>
            <w:r w:rsidR="00041DC4">
              <w:rPr>
                <w:webHidden/>
              </w:rPr>
            </w:r>
            <w:r w:rsidR="00041DC4">
              <w:rPr>
                <w:webHidden/>
              </w:rPr>
              <w:fldChar w:fldCharType="separate"/>
            </w:r>
            <w:r w:rsidR="00451692">
              <w:rPr>
                <w:webHidden/>
              </w:rPr>
              <w:t>16</w:t>
            </w:r>
            <w:r w:rsidR="00041DC4">
              <w:rPr>
                <w:webHidden/>
              </w:rPr>
              <w:fldChar w:fldCharType="end"/>
            </w:r>
          </w:hyperlink>
        </w:p>
        <w:p w14:paraId="22ABFD1D" w14:textId="53CCD4ED" w:rsidR="00041DC4" w:rsidRDefault="00AE259E">
          <w:pPr>
            <w:pStyle w:val="TOC2"/>
            <w:rPr>
              <w:rFonts w:asciiTheme="minorHAnsi" w:eastAsiaTheme="minorEastAsia" w:hAnsiTheme="minorHAnsi" w:cstheme="minorBidi"/>
              <w:sz w:val="22"/>
              <w:szCs w:val="22"/>
              <w:lang w:eastAsia="en-AU"/>
            </w:rPr>
          </w:pPr>
          <w:hyperlink w:anchor="_Toc90530591" w:history="1">
            <w:r w:rsidR="00041DC4" w:rsidRPr="00B95324">
              <w:rPr>
                <w:rStyle w:val="Hyperlink"/>
                <w:rFonts w:cs="Arial"/>
                <w:bCs/>
              </w:rPr>
              <w:t>Community Visitors Program</w:t>
            </w:r>
            <w:r w:rsidR="00041DC4">
              <w:rPr>
                <w:webHidden/>
              </w:rPr>
              <w:tab/>
            </w:r>
            <w:r w:rsidR="00041DC4">
              <w:rPr>
                <w:webHidden/>
              </w:rPr>
              <w:fldChar w:fldCharType="begin"/>
            </w:r>
            <w:r w:rsidR="00041DC4">
              <w:rPr>
                <w:webHidden/>
              </w:rPr>
              <w:instrText xml:space="preserve"> PAGEREF _Toc90530591 \h </w:instrText>
            </w:r>
            <w:r w:rsidR="00041DC4">
              <w:rPr>
                <w:webHidden/>
              </w:rPr>
            </w:r>
            <w:r w:rsidR="00041DC4">
              <w:rPr>
                <w:webHidden/>
              </w:rPr>
              <w:fldChar w:fldCharType="separate"/>
            </w:r>
            <w:r w:rsidR="00451692">
              <w:rPr>
                <w:webHidden/>
              </w:rPr>
              <w:t>16</w:t>
            </w:r>
            <w:r w:rsidR="00041DC4">
              <w:rPr>
                <w:webHidden/>
              </w:rPr>
              <w:fldChar w:fldCharType="end"/>
            </w:r>
          </w:hyperlink>
        </w:p>
        <w:p w14:paraId="3B19F815" w14:textId="5AE6DA59" w:rsidR="00041DC4" w:rsidRDefault="00AE259E">
          <w:pPr>
            <w:pStyle w:val="TOC1"/>
            <w:rPr>
              <w:rFonts w:asciiTheme="minorHAnsi" w:eastAsiaTheme="minorEastAsia" w:hAnsiTheme="minorHAnsi" w:cstheme="minorBidi"/>
              <w:b w:val="0"/>
              <w:sz w:val="22"/>
              <w:szCs w:val="22"/>
              <w:lang w:eastAsia="en-AU"/>
            </w:rPr>
          </w:pPr>
          <w:hyperlink w:anchor="_Toc90530592" w:history="1">
            <w:r w:rsidR="00041DC4" w:rsidRPr="00B95324">
              <w:rPr>
                <w:rStyle w:val="Hyperlink"/>
              </w:rPr>
              <w:t>Appendix 3: CVP Notification for Investigation drafting template</w:t>
            </w:r>
            <w:r w:rsidR="00041DC4">
              <w:rPr>
                <w:webHidden/>
              </w:rPr>
              <w:tab/>
            </w:r>
            <w:r w:rsidR="00041DC4">
              <w:rPr>
                <w:webHidden/>
              </w:rPr>
              <w:fldChar w:fldCharType="begin"/>
            </w:r>
            <w:r w:rsidR="00041DC4">
              <w:rPr>
                <w:webHidden/>
              </w:rPr>
              <w:instrText xml:space="preserve"> PAGEREF _Toc90530592 \h </w:instrText>
            </w:r>
            <w:r w:rsidR="00041DC4">
              <w:rPr>
                <w:webHidden/>
              </w:rPr>
            </w:r>
            <w:r w:rsidR="00041DC4">
              <w:rPr>
                <w:webHidden/>
              </w:rPr>
              <w:fldChar w:fldCharType="separate"/>
            </w:r>
            <w:r w:rsidR="00451692">
              <w:rPr>
                <w:webHidden/>
              </w:rPr>
              <w:t>17</w:t>
            </w:r>
            <w:r w:rsidR="00041DC4">
              <w:rPr>
                <w:webHidden/>
              </w:rPr>
              <w:fldChar w:fldCharType="end"/>
            </w:r>
          </w:hyperlink>
        </w:p>
        <w:p w14:paraId="6E4F2075" w14:textId="4D626734" w:rsidR="00041DC4" w:rsidRDefault="00AE259E">
          <w:pPr>
            <w:pStyle w:val="TOC1"/>
            <w:rPr>
              <w:rFonts w:asciiTheme="minorHAnsi" w:eastAsiaTheme="minorEastAsia" w:hAnsiTheme="minorHAnsi" w:cstheme="minorBidi"/>
              <w:b w:val="0"/>
              <w:sz w:val="22"/>
              <w:szCs w:val="22"/>
              <w:lang w:eastAsia="en-AU"/>
            </w:rPr>
          </w:pPr>
          <w:hyperlink w:anchor="_Toc90530593" w:history="1">
            <w:r w:rsidR="00041DC4" w:rsidRPr="00B95324">
              <w:rPr>
                <w:rStyle w:val="Hyperlink"/>
              </w:rPr>
              <w:t>Appendix 4: CVP Confidential Supplementary Report</w:t>
            </w:r>
            <w:r w:rsidR="00041DC4">
              <w:rPr>
                <w:webHidden/>
              </w:rPr>
              <w:tab/>
            </w:r>
            <w:r w:rsidR="00041DC4">
              <w:rPr>
                <w:webHidden/>
              </w:rPr>
              <w:fldChar w:fldCharType="begin"/>
            </w:r>
            <w:r w:rsidR="00041DC4">
              <w:rPr>
                <w:webHidden/>
              </w:rPr>
              <w:instrText xml:space="preserve"> PAGEREF _Toc90530593 \h </w:instrText>
            </w:r>
            <w:r w:rsidR="00041DC4">
              <w:rPr>
                <w:webHidden/>
              </w:rPr>
            </w:r>
            <w:r w:rsidR="00041DC4">
              <w:rPr>
                <w:webHidden/>
              </w:rPr>
              <w:fldChar w:fldCharType="separate"/>
            </w:r>
            <w:r w:rsidR="00451692">
              <w:rPr>
                <w:webHidden/>
              </w:rPr>
              <w:t>18</w:t>
            </w:r>
            <w:r w:rsidR="00041DC4">
              <w:rPr>
                <w:webHidden/>
              </w:rPr>
              <w:fldChar w:fldCharType="end"/>
            </w:r>
          </w:hyperlink>
        </w:p>
        <w:p w14:paraId="6C9D18BE" w14:textId="45597311" w:rsidR="00041DC4" w:rsidRDefault="00AE259E">
          <w:pPr>
            <w:pStyle w:val="TOC1"/>
            <w:rPr>
              <w:rFonts w:asciiTheme="minorHAnsi" w:eastAsiaTheme="minorEastAsia" w:hAnsiTheme="minorHAnsi" w:cstheme="minorBidi"/>
              <w:b w:val="0"/>
              <w:sz w:val="22"/>
              <w:szCs w:val="22"/>
              <w:lang w:eastAsia="en-AU"/>
            </w:rPr>
          </w:pPr>
          <w:hyperlink w:anchor="_Toc90530594" w:history="1">
            <w:r w:rsidR="00041DC4" w:rsidRPr="00B95324">
              <w:rPr>
                <w:rStyle w:val="Hyperlink"/>
              </w:rPr>
              <w:t>Appendix 5: HSR NFI Outcome Report template</w:t>
            </w:r>
            <w:r w:rsidR="00041DC4">
              <w:rPr>
                <w:webHidden/>
              </w:rPr>
              <w:tab/>
            </w:r>
            <w:r w:rsidR="00041DC4">
              <w:rPr>
                <w:webHidden/>
              </w:rPr>
              <w:fldChar w:fldCharType="begin"/>
            </w:r>
            <w:r w:rsidR="00041DC4">
              <w:rPr>
                <w:webHidden/>
              </w:rPr>
              <w:instrText xml:space="preserve"> PAGEREF _Toc90530594 \h </w:instrText>
            </w:r>
            <w:r w:rsidR="00041DC4">
              <w:rPr>
                <w:webHidden/>
              </w:rPr>
            </w:r>
            <w:r w:rsidR="00041DC4">
              <w:rPr>
                <w:webHidden/>
              </w:rPr>
              <w:fldChar w:fldCharType="separate"/>
            </w:r>
            <w:r w:rsidR="00451692">
              <w:rPr>
                <w:webHidden/>
              </w:rPr>
              <w:t>19</w:t>
            </w:r>
            <w:r w:rsidR="00041DC4">
              <w:rPr>
                <w:webHidden/>
              </w:rPr>
              <w:fldChar w:fldCharType="end"/>
            </w:r>
          </w:hyperlink>
        </w:p>
        <w:p w14:paraId="76999F4C" w14:textId="634CDFEA" w:rsidR="00041DC4" w:rsidRDefault="00041DC4">
          <w:r>
            <w:rPr>
              <w:b/>
              <w:bCs/>
              <w:noProof/>
            </w:rPr>
            <w:fldChar w:fldCharType="end"/>
          </w:r>
        </w:p>
      </w:sdtContent>
    </w:sdt>
    <w:p w14:paraId="1EF9D083" w14:textId="77777777" w:rsidR="00116F44" w:rsidRDefault="00116F44" w:rsidP="00116F44">
      <w:pPr>
        <w:rPr>
          <w:rFonts w:cs="Arial"/>
        </w:rPr>
      </w:pPr>
      <w:r>
        <w:rPr>
          <w:rFonts w:cs="Arial"/>
        </w:rPr>
        <w:br w:type="page"/>
      </w:r>
    </w:p>
    <w:p w14:paraId="70C10522" w14:textId="36D5A457" w:rsidR="00116F44" w:rsidRPr="00BD5344" w:rsidRDefault="00BD5344" w:rsidP="00BD5344">
      <w:pPr>
        <w:pStyle w:val="Heading1"/>
      </w:pPr>
      <w:bookmarkStart w:id="10" w:name="_Toc90530577"/>
      <w:r w:rsidRPr="00BD5344">
        <w:lastRenderedPageBreak/>
        <w:t xml:space="preserve">1. </w:t>
      </w:r>
      <w:r w:rsidR="00116F44" w:rsidRPr="00BD5344">
        <w:t>Intended purpose</w:t>
      </w:r>
      <w:bookmarkEnd w:id="10"/>
    </w:p>
    <w:p w14:paraId="37EED77F" w14:textId="77777777" w:rsidR="00116F44" w:rsidRDefault="00116F44" w:rsidP="00116F44">
      <w:pPr>
        <w:pStyle w:val="DHHSbody"/>
      </w:pPr>
      <w:r w:rsidRPr="00A75118">
        <w:t xml:space="preserve">This protocol establishes the agreed respective roles, information sharing practices, and notification procedures between the Human Services Regulator (HSR) of the Department of Families, Fairness and Housing (the department) and the Community Visitors Program of the Office of the Public Advocate (OPA). </w:t>
      </w:r>
    </w:p>
    <w:p w14:paraId="60CDFD93" w14:textId="2C4DA9E2" w:rsidR="00116F44" w:rsidRPr="00D525D9" w:rsidRDefault="00BD5344" w:rsidP="00BD5344">
      <w:pPr>
        <w:pStyle w:val="Heading1"/>
      </w:pPr>
      <w:bookmarkStart w:id="11" w:name="_Toc90530578"/>
      <w:r>
        <w:t xml:space="preserve">2. </w:t>
      </w:r>
      <w:r w:rsidR="00116F44" w:rsidRPr="00D525D9">
        <w:t>Background</w:t>
      </w:r>
      <w:bookmarkEnd w:id="11"/>
    </w:p>
    <w:p w14:paraId="5985D375" w14:textId="7E82676D" w:rsidR="00116F44" w:rsidRPr="005B588D" w:rsidRDefault="00116F44" w:rsidP="00116F44">
      <w:pPr>
        <w:rPr>
          <w:rFonts w:cs="Arial"/>
          <w:sz w:val="22"/>
          <w:szCs w:val="22"/>
        </w:rPr>
      </w:pPr>
      <w:r w:rsidRPr="005B588D">
        <w:rPr>
          <w:rFonts w:cs="Arial"/>
          <w:sz w:val="22"/>
          <w:szCs w:val="22"/>
        </w:rPr>
        <w:t xml:space="preserve">The objective of the </w:t>
      </w:r>
      <w:r w:rsidRPr="005B588D">
        <w:rPr>
          <w:rFonts w:cs="Arial"/>
          <w:i/>
          <w:sz w:val="22"/>
          <w:szCs w:val="22"/>
        </w:rPr>
        <w:t>Supported Residential Services (Private Proprietors) Act 2010</w:t>
      </w:r>
      <w:r w:rsidRPr="005B588D">
        <w:rPr>
          <w:rFonts w:cs="Arial"/>
          <w:sz w:val="22"/>
          <w:szCs w:val="22"/>
        </w:rPr>
        <w:t xml:space="preserve"> (the SRS Act) is to </w:t>
      </w:r>
      <w:r w:rsidRPr="005B588D">
        <w:rPr>
          <w:rFonts w:cs="Arial"/>
          <w:color w:val="000000"/>
          <w:sz w:val="22"/>
          <w:szCs w:val="22"/>
        </w:rPr>
        <w:t>protect the safety and wellbeing of </w:t>
      </w:r>
      <w:r w:rsidRPr="005B588D">
        <w:rPr>
          <w:rFonts w:cs="Arial"/>
          <w:sz w:val="22"/>
          <w:szCs w:val="22"/>
        </w:rPr>
        <w:t>residents</w:t>
      </w:r>
      <w:r w:rsidRPr="005B588D">
        <w:rPr>
          <w:rFonts w:cs="Arial"/>
          <w:color w:val="000000"/>
          <w:sz w:val="22"/>
          <w:szCs w:val="22"/>
        </w:rPr>
        <w:t> living in private </w:t>
      </w:r>
      <w:r w:rsidRPr="005B588D">
        <w:rPr>
          <w:rFonts w:cs="Arial"/>
          <w:sz w:val="22"/>
          <w:szCs w:val="22"/>
        </w:rPr>
        <w:t>supported residential services (SRS).</w:t>
      </w:r>
    </w:p>
    <w:p w14:paraId="7E0E0E49" w14:textId="77777777" w:rsidR="00116F44" w:rsidRPr="005B588D" w:rsidRDefault="00116F44" w:rsidP="00116F44">
      <w:pPr>
        <w:rPr>
          <w:rFonts w:cs="Arial"/>
          <w:sz w:val="22"/>
          <w:szCs w:val="22"/>
        </w:rPr>
      </w:pPr>
      <w:r w:rsidRPr="005B588D">
        <w:rPr>
          <w:rFonts w:eastAsia="Verdana" w:cs="Arial"/>
          <w:color w:val="000000" w:themeColor="text1"/>
          <w:sz w:val="22"/>
          <w:szCs w:val="22"/>
        </w:rPr>
        <w:t xml:space="preserve">Residents of SRS have the same rights and responsibilities as other members of the community and should be empowered to exercise those rights and responsibilities. </w:t>
      </w:r>
    </w:p>
    <w:p w14:paraId="7C46FE1A" w14:textId="77777777" w:rsidR="00116F44" w:rsidRPr="005B588D" w:rsidRDefault="00116F44" w:rsidP="00116F44">
      <w:pPr>
        <w:rPr>
          <w:rFonts w:cs="Arial"/>
          <w:sz w:val="22"/>
          <w:szCs w:val="22"/>
        </w:rPr>
      </w:pPr>
      <w:r w:rsidRPr="005B588D">
        <w:rPr>
          <w:rFonts w:eastAsia="Verdana" w:cs="Arial"/>
          <w:color w:val="000000" w:themeColor="text1"/>
          <w:sz w:val="22"/>
          <w:szCs w:val="22"/>
        </w:rPr>
        <w:t xml:space="preserve">The individual rights of residents should be respected by recognising a resident’s right to: </w:t>
      </w:r>
    </w:p>
    <w:p w14:paraId="4A8F27C0" w14:textId="77777777" w:rsidR="00116F44" w:rsidRPr="005B588D" w:rsidRDefault="00116F44" w:rsidP="00116F44">
      <w:pPr>
        <w:pStyle w:val="ListParagraph"/>
        <w:numPr>
          <w:ilvl w:val="0"/>
          <w:numId w:val="7"/>
        </w:numPr>
      </w:pPr>
      <w:r w:rsidRPr="005B588D">
        <w:t xml:space="preserve">Privacy </w:t>
      </w:r>
    </w:p>
    <w:p w14:paraId="70F4D7C6" w14:textId="77777777" w:rsidR="00116F44" w:rsidRPr="005B588D" w:rsidRDefault="00116F44" w:rsidP="00116F44">
      <w:pPr>
        <w:pStyle w:val="ListParagraph"/>
        <w:numPr>
          <w:ilvl w:val="0"/>
          <w:numId w:val="7"/>
        </w:numPr>
      </w:pPr>
      <w:r w:rsidRPr="005B588D">
        <w:t xml:space="preserve">Freedom of expression </w:t>
      </w:r>
    </w:p>
    <w:p w14:paraId="7C06BDC3" w14:textId="77777777" w:rsidR="00116F44" w:rsidRPr="005B588D" w:rsidRDefault="00116F44" w:rsidP="00116F44">
      <w:pPr>
        <w:pStyle w:val="ListParagraph"/>
        <w:numPr>
          <w:ilvl w:val="0"/>
          <w:numId w:val="7"/>
        </w:numPr>
      </w:pPr>
      <w:r w:rsidRPr="005B588D">
        <w:t xml:space="preserve">Fair and equal treatment </w:t>
      </w:r>
    </w:p>
    <w:p w14:paraId="29AAE557" w14:textId="77777777" w:rsidR="00116F44" w:rsidRPr="005B588D" w:rsidRDefault="00116F44" w:rsidP="00116F44">
      <w:pPr>
        <w:pStyle w:val="ListParagraph"/>
        <w:numPr>
          <w:ilvl w:val="0"/>
          <w:numId w:val="7"/>
        </w:numPr>
      </w:pPr>
      <w:r w:rsidRPr="005B588D">
        <w:t xml:space="preserve">Dignity and respect </w:t>
      </w:r>
    </w:p>
    <w:p w14:paraId="1C2D0C0E" w14:textId="77777777" w:rsidR="00116F44" w:rsidRPr="005B588D" w:rsidRDefault="00116F44" w:rsidP="00116F44">
      <w:pPr>
        <w:pStyle w:val="ListParagraph"/>
        <w:numPr>
          <w:ilvl w:val="0"/>
          <w:numId w:val="7"/>
        </w:numPr>
      </w:pPr>
      <w:r w:rsidRPr="005B588D">
        <w:t xml:space="preserve">Freedom from abuse, neglect or exploitation. </w:t>
      </w:r>
    </w:p>
    <w:p w14:paraId="07343993" w14:textId="18193231" w:rsidR="00116F44" w:rsidRDefault="00BD5344" w:rsidP="00BD5344">
      <w:pPr>
        <w:pStyle w:val="Heading1"/>
      </w:pPr>
      <w:bookmarkStart w:id="12" w:name="_Toc90530579"/>
      <w:r>
        <w:t xml:space="preserve">3. </w:t>
      </w:r>
      <w:r w:rsidR="00116F44" w:rsidRPr="00D525D9">
        <w:t>Organisations</w:t>
      </w:r>
      <w:bookmarkEnd w:id="12"/>
    </w:p>
    <w:p w14:paraId="799170A0" w14:textId="751FE077" w:rsidR="00116F44" w:rsidRPr="00C600E4" w:rsidRDefault="00116F44" w:rsidP="000A30EA">
      <w:pPr>
        <w:pStyle w:val="Heading4"/>
      </w:pPr>
      <w:r w:rsidRPr="00C600E4">
        <w:t>3.1 Community Visitor</w:t>
      </w:r>
      <w:r w:rsidR="00ED11C2">
        <w:t>s</w:t>
      </w:r>
      <w:r w:rsidRPr="00C600E4">
        <w:t xml:space="preserve"> Program (CVP)</w:t>
      </w:r>
    </w:p>
    <w:p w14:paraId="5B9A9B1E" w14:textId="77777777" w:rsidR="00116F44" w:rsidRDefault="00116F44" w:rsidP="00116F44">
      <w:pPr>
        <w:pStyle w:val="Body"/>
        <w:rPr>
          <w:rFonts w:ascii="Segoe UI" w:hAnsi="Segoe UI" w:cs="Segoe UI"/>
          <w:sz w:val="18"/>
          <w:szCs w:val="18"/>
        </w:rPr>
      </w:pPr>
      <w:r>
        <w:rPr>
          <w:rStyle w:val="normaltextrun"/>
          <w:rFonts w:cs="Arial"/>
          <w:sz w:val="22"/>
          <w:szCs w:val="22"/>
        </w:rPr>
        <w:t>Community Visitors are independent Governor in Council appointed volunteers who have a unique role in monitoring the quality of services for people who are vulnerable and living in SRS. The terms and conditions of appointment, functions, and powers of Community Visitors are provided at Part 9 of the SRS Act.</w:t>
      </w:r>
    </w:p>
    <w:p w14:paraId="553DA471" w14:textId="77777777" w:rsidR="00116F44" w:rsidRDefault="00116F44" w:rsidP="00116F44">
      <w:pPr>
        <w:pStyle w:val="Body"/>
        <w:rPr>
          <w:rFonts w:ascii="Segoe UI" w:hAnsi="Segoe UI" w:cs="Segoe UI"/>
          <w:sz w:val="18"/>
          <w:szCs w:val="18"/>
        </w:rPr>
      </w:pPr>
      <w:r>
        <w:rPr>
          <w:rStyle w:val="normaltextrun"/>
          <w:rFonts w:cs="Arial"/>
          <w:sz w:val="22"/>
          <w:szCs w:val="22"/>
        </w:rPr>
        <w:t xml:space="preserve">Although there are other standards and monitoring processes that address service quality, the Community Visitors Program is unique in its focus on the welfare and rights of the individual resident and the role of volunteers </w:t>
      </w:r>
    </w:p>
    <w:p w14:paraId="38DA5506" w14:textId="77777777" w:rsidR="00116F44" w:rsidRDefault="00116F44" w:rsidP="00116F44">
      <w:pPr>
        <w:pStyle w:val="Body"/>
        <w:rPr>
          <w:rFonts w:ascii="Segoe UI" w:hAnsi="Segoe UI" w:cs="Segoe UI"/>
          <w:sz w:val="18"/>
          <w:szCs w:val="18"/>
        </w:rPr>
      </w:pPr>
      <w:r>
        <w:rPr>
          <w:rStyle w:val="normaltextrun"/>
          <w:rFonts w:cs="Arial"/>
          <w:sz w:val="22"/>
          <w:szCs w:val="22"/>
        </w:rPr>
        <w:t>The core role of the Community Visitor is to safeguard the interests and rights of vulnerable people who have a disability and are living in eligible services.</w:t>
      </w:r>
      <w:r>
        <w:rPr>
          <w:rStyle w:val="eop"/>
          <w:rFonts w:cs="Arial"/>
          <w:sz w:val="22"/>
          <w:szCs w:val="22"/>
        </w:rPr>
        <w:t> </w:t>
      </w:r>
    </w:p>
    <w:p w14:paraId="2AFC9615" w14:textId="77777777" w:rsidR="00116F44" w:rsidRDefault="00116F44" w:rsidP="00116F44">
      <w:pPr>
        <w:pStyle w:val="Body"/>
        <w:rPr>
          <w:rFonts w:ascii="Segoe UI" w:hAnsi="Segoe UI" w:cs="Segoe UI"/>
          <w:sz w:val="18"/>
          <w:szCs w:val="18"/>
        </w:rPr>
      </w:pPr>
      <w:r>
        <w:rPr>
          <w:rStyle w:val="normaltextrun"/>
          <w:rFonts w:cs="Arial"/>
          <w:sz w:val="22"/>
          <w:szCs w:val="22"/>
        </w:rPr>
        <w:t>Community Visitors do this by identifying and reporting issues and problems from the perspective of the individual resident and by referring these for resolution within the service system.</w:t>
      </w:r>
    </w:p>
    <w:p w14:paraId="3716615F" w14:textId="7D834F7A" w:rsidR="00116F44" w:rsidRPr="009913BE" w:rsidRDefault="00116F44" w:rsidP="000A30EA">
      <w:pPr>
        <w:pStyle w:val="Heading4"/>
      </w:pPr>
      <w:r>
        <w:t xml:space="preserve">3.2 </w:t>
      </w:r>
      <w:r w:rsidRPr="009913BE">
        <w:t>Human Services Regulator (HSR)</w:t>
      </w:r>
    </w:p>
    <w:p w14:paraId="70A246C3" w14:textId="77777777" w:rsidR="00116F44" w:rsidRPr="005B588D" w:rsidRDefault="00116F44" w:rsidP="00116F44">
      <w:pPr>
        <w:pStyle w:val="paragraph"/>
        <w:spacing w:before="0" w:beforeAutospacing="0" w:after="0" w:afterAutospacing="0"/>
        <w:textAlignment w:val="baseline"/>
        <w:rPr>
          <w:rStyle w:val="eop"/>
          <w:rFonts w:cs="Arial"/>
          <w:sz w:val="22"/>
          <w:szCs w:val="22"/>
        </w:rPr>
      </w:pPr>
      <w:r w:rsidRPr="005B588D">
        <w:rPr>
          <w:rStyle w:val="normaltextrun"/>
          <w:rFonts w:ascii="Arial" w:hAnsi="Arial" w:cs="Arial"/>
          <w:sz w:val="22"/>
          <w:szCs w:val="22"/>
        </w:rPr>
        <w:t>The role of the HSR is to regulate human services to minimise harm and to protect the safety and rights of children, young people and adults by:</w:t>
      </w:r>
      <w:r w:rsidRPr="005B588D">
        <w:rPr>
          <w:rStyle w:val="eop"/>
          <w:rFonts w:cs="Arial"/>
          <w:sz w:val="22"/>
          <w:szCs w:val="22"/>
        </w:rPr>
        <w:t> </w:t>
      </w:r>
    </w:p>
    <w:p w14:paraId="1C818B19" w14:textId="77777777" w:rsidR="00116F44" w:rsidRPr="005B588D" w:rsidRDefault="00116F44" w:rsidP="00116F44">
      <w:pPr>
        <w:pStyle w:val="paragraph"/>
        <w:spacing w:before="0" w:beforeAutospacing="0" w:after="0" w:afterAutospacing="0"/>
        <w:textAlignment w:val="baseline"/>
        <w:rPr>
          <w:rFonts w:ascii="Arial" w:hAnsi="Arial" w:cs="Arial"/>
          <w:sz w:val="22"/>
          <w:szCs w:val="22"/>
        </w:rPr>
      </w:pPr>
    </w:p>
    <w:p w14:paraId="30C1F30F" w14:textId="77777777" w:rsidR="00116F44" w:rsidRPr="005B588D" w:rsidRDefault="00116F44" w:rsidP="00116F44">
      <w:pPr>
        <w:pStyle w:val="paragraph"/>
        <w:numPr>
          <w:ilvl w:val="0"/>
          <w:numId w:val="27"/>
        </w:numPr>
        <w:tabs>
          <w:tab w:val="clear" w:pos="720"/>
          <w:tab w:val="num" w:pos="1701"/>
        </w:tabs>
        <w:spacing w:before="0" w:beforeAutospacing="0" w:after="60" w:afterAutospacing="0"/>
        <w:ind w:left="1134" w:hanging="567"/>
        <w:textAlignment w:val="baseline"/>
        <w:rPr>
          <w:rFonts w:ascii="Arial" w:hAnsi="Arial" w:cs="Arial"/>
          <w:sz w:val="22"/>
          <w:szCs w:val="22"/>
        </w:rPr>
      </w:pPr>
      <w:r w:rsidRPr="005B588D">
        <w:rPr>
          <w:rStyle w:val="normaltextrun"/>
          <w:rFonts w:ascii="Arial" w:hAnsi="Arial" w:cs="Arial"/>
          <w:sz w:val="22"/>
          <w:szCs w:val="22"/>
        </w:rPr>
        <w:t>administering standards</w:t>
      </w:r>
      <w:r w:rsidRPr="005B588D">
        <w:rPr>
          <w:rStyle w:val="eop"/>
          <w:rFonts w:cs="Arial"/>
          <w:sz w:val="22"/>
          <w:szCs w:val="22"/>
        </w:rPr>
        <w:t> </w:t>
      </w:r>
    </w:p>
    <w:p w14:paraId="30E59BB1" w14:textId="77777777" w:rsidR="002D6E39" w:rsidRPr="002D6E39" w:rsidRDefault="00116F44" w:rsidP="00116F44">
      <w:pPr>
        <w:pStyle w:val="paragraph"/>
        <w:numPr>
          <w:ilvl w:val="0"/>
          <w:numId w:val="27"/>
        </w:numPr>
        <w:tabs>
          <w:tab w:val="clear" w:pos="720"/>
          <w:tab w:val="num" w:pos="1701"/>
        </w:tabs>
        <w:spacing w:before="0" w:beforeAutospacing="0" w:after="60" w:afterAutospacing="0"/>
        <w:ind w:left="1134" w:hanging="567"/>
        <w:textAlignment w:val="baseline"/>
        <w:rPr>
          <w:rStyle w:val="eop"/>
          <w:rFonts w:ascii="Arial" w:hAnsi="Arial" w:cs="Arial"/>
          <w:sz w:val="22"/>
          <w:szCs w:val="22"/>
        </w:rPr>
      </w:pPr>
      <w:r w:rsidRPr="005B588D">
        <w:rPr>
          <w:rStyle w:val="normaltextrun"/>
          <w:rFonts w:ascii="Arial" w:hAnsi="Arial" w:cs="Arial"/>
          <w:sz w:val="22"/>
          <w:szCs w:val="22"/>
        </w:rPr>
        <w:t>promoting good practice</w:t>
      </w:r>
      <w:r w:rsidRPr="005B588D">
        <w:rPr>
          <w:rStyle w:val="eop"/>
          <w:rFonts w:cs="Arial"/>
          <w:sz w:val="22"/>
          <w:szCs w:val="22"/>
        </w:rPr>
        <w:t> </w:t>
      </w:r>
    </w:p>
    <w:p w14:paraId="1B964A09" w14:textId="62820423" w:rsidR="00116F44" w:rsidRPr="005B588D" w:rsidRDefault="00116F44" w:rsidP="00116F44">
      <w:pPr>
        <w:pStyle w:val="paragraph"/>
        <w:numPr>
          <w:ilvl w:val="0"/>
          <w:numId w:val="27"/>
        </w:numPr>
        <w:tabs>
          <w:tab w:val="clear" w:pos="720"/>
          <w:tab w:val="num" w:pos="1701"/>
        </w:tabs>
        <w:spacing w:before="0" w:beforeAutospacing="0" w:after="60" w:afterAutospacing="0"/>
        <w:ind w:left="1134" w:hanging="567"/>
        <w:textAlignment w:val="baseline"/>
        <w:rPr>
          <w:rFonts w:ascii="Arial" w:hAnsi="Arial" w:cs="Arial"/>
          <w:sz w:val="22"/>
          <w:szCs w:val="22"/>
        </w:rPr>
      </w:pPr>
      <w:r w:rsidRPr="005B588D">
        <w:rPr>
          <w:rStyle w:val="normaltextrun"/>
          <w:rFonts w:ascii="Arial" w:hAnsi="Arial" w:cs="Arial"/>
          <w:sz w:val="22"/>
          <w:szCs w:val="22"/>
        </w:rPr>
        <w:t>monitoring and enforcing compliance with relevant laws, regulations and standards</w:t>
      </w:r>
      <w:r w:rsidRPr="005B588D">
        <w:rPr>
          <w:rStyle w:val="eop"/>
          <w:rFonts w:cs="Arial"/>
          <w:sz w:val="22"/>
          <w:szCs w:val="22"/>
        </w:rPr>
        <w:t> </w:t>
      </w:r>
    </w:p>
    <w:p w14:paraId="6FA30EF6" w14:textId="77777777" w:rsidR="00116F44" w:rsidRPr="005B588D" w:rsidRDefault="00116F44" w:rsidP="00116F44">
      <w:pPr>
        <w:pStyle w:val="paragraph"/>
        <w:numPr>
          <w:ilvl w:val="0"/>
          <w:numId w:val="28"/>
        </w:numPr>
        <w:tabs>
          <w:tab w:val="clear" w:pos="720"/>
          <w:tab w:val="num" w:pos="1701"/>
        </w:tabs>
        <w:spacing w:before="0" w:beforeAutospacing="0" w:after="60" w:afterAutospacing="0"/>
        <w:ind w:left="1134" w:hanging="567"/>
        <w:textAlignment w:val="baseline"/>
        <w:rPr>
          <w:rFonts w:ascii="Arial" w:hAnsi="Arial" w:cs="Arial"/>
          <w:sz w:val="22"/>
          <w:szCs w:val="22"/>
        </w:rPr>
      </w:pPr>
      <w:r w:rsidRPr="005B588D">
        <w:rPr>
          <w:rStyle w:val="normaltextrun"/>
          <w:rFonts w:ascii="Arial" w:hAnsi="Arial" w:cs="Arial"/>
          <w:sz w:val="22"/>
          <w:szCs w:val="22"/>
        </w:rPr>
        <w:lastRenderedPageBreak/>
        <w:t>building relationships. </w:t>
      </w:r>
      <w:r w:rsidRPr="005B588D">
        <w:rPr>
          <w:rStyle w:val="eop"/>
          <w:rFonts w:cs="Arial"/>
          <w:sz w:val="22"/>
          <w:szCs w:val="22"/>
        </w:rPr>
        <w:t> </w:t>
      </w:r>
    </w:p>
    <w:p w14:paraId="5D81EF72" w14:textId="77777777" w:rsidR="00116F44" w:rsidRDefault="00116F44" w:rsidP="00116F44">
      <w:pPr>
        <w:pStyle w:val="paragraph"/>
        <w:spacing w:before="0" w:beforeAutospacing="0" w:after="0" w:afterAutospacing="0"/>
        <w:textAlignment w:val="baseline"/>
        <w:rPr>
          <w:rStyle w:val="normaltextrun"/>
          <w:rFonts w:ascii="Arial" w:hAnsi="Arial" w:cs="Arial"/>
          <w:sz w:val="21"/>
          <w:szCs w:val="21"/>
        </w:rPr>
      </w:pPr>
    </w:p>
    <w:p w14:paraId="5CCBE0D3" w14:textId="5AA3E0E2" w:rsidR="00116F44" w:rsidRPr="005B588D" w:rsidRDefault="00116F44" w:rsidP="00116F44">
      <w:pPr>
        <w:pStyle w:val="paragraph"/>
        <w:spacing w:before="0" w:beforeAutospacing="0" w:after="0" w:afterAutospacing="0"/>
        <w:textAlignment w:val="baseline"/>
        <w:rPr>
          <w:rStyle w:val="eop"/>
          <w:rFonts w:cs="Arial"/>
          <w:sz w:val="22"/>
          <w:szCs w:val="22"/>
        </w:rPr>
      </w:pPr>
      <w:r w:rsidRPr="005B588D">
        <w:rPr>
          <w:rStyle w:val="normaltextrun"/>
          <w:rFonts w:ascii="Arial" w:hAnsi="Arial" w:cs="Arial"/>
          <w:sz w:val="22"/>
          <w:szCs w:val="22"/>
        </w:rPr>
        <w:t>The HSR regulates human services providers under the following legislation and regulatory schemes: </w:t>
      </w:r>
      <w:r w:rsidRPr="005B588D">
        <w:rPr>
          <w:rStyle w:val="eop"/>
          <w:rFonts w:cs="Arial"/>
          <w:sz w:val="22"/>
          <w:szCs w:val="22"/>
        </w:rPr>
        <w:t> </w:t>
      </w:r>
    </w:p>
    <w:p w14:paraId="147CD486" w14:textId="77777777" w:rsidR="00116F44" w:rsidRPr="005B588D" w:rsidRDefault="00116F44" w:rsidP="00116F44">
      <w:pPr>
        <w:pStyle w:val="paragraph"/>
        <w:spacing w:before="0" w:beforeAutospacing="0" w:after="0" w:afterAutospacing="0"/>
        <w:ind w:left="1134" w:hanging="567"/>
        <w:textAlignment w:val="baseline"/>
        <w:rPr>
          <w:rFonts w:ascii="Segoe UI" w:hAnsi="Segoe UI" w:cs="Segoe UI"/>
          <w:sz w:val="22"/>
          <w:szCs w:val="22"/>
        </w:rPr>
      </w:pPr>
    </w:p>
    <w:p w14:paraId="13F1D24D" w14:textId="77777777" w:rsidR="00116F44" w:rsidRPr="005B588D" w:rsidRDefault="00116F44" w:rsidP="00116F44">
      <w:pPr>
        <w:pStyle w:val="paragraph"/>
        <w:numPr>
          <w:ilvl w:val="0"/>
          <w:numId w:val="38"/>
        </w:numPr>
        <w:spacing w:before="0" w:beforeAutospacing="0" w:after="60" w:afterAutospacing="0"/>
        <w:ind w:left="714" w:hanging="357"/>
        <w:textAlignment w:val="baseline"/>
        <w:rPr>
          <w:rFonts w:ascii="Arial" w:hAnsi="Arial" w:cs="Arial"/>
          <w:sz w:val="22"/>
          <w:szCs w:val="22"/>
        </w:rPr>
      </w:pPr>
      <w:r w:rsidRPr="005B588D">
        <w:rPr>
          <w:rStyle w:val="normaltextrun"/>
          <w:rFonts w:ascii="Arial" w:hAnsi="Arial" w:cs="Arial"/>
          <w:i/>
          <w:iCs/>
          <w:sz w:val="22"/>
          <w:szCs w:val="22"/>
        </w:rPr>
        <w:t>Child Wellbeing and Safety Act 2005 </w:t>
      </w:r>
      <w:r w:rsidRPr="005B588D">
        <w:rPr>
          <w:rStyle w:val="normaltextrun"/>
          <w:rFonts w:ascii="Arial" w:hAnsi="Arial" w:cs="Arial"/>
          <w:sz w:val="22"/>
          <w:szCs w:val="22"/>
        </w:rPr>
        <w:t>(Child Safe Standards and Reportable Conduct Scheme) </w:t>
      </w:r>
      <w:r w:rsidRPr="005B588D">
        <w:rPr>
          <w:rStyle w:val="eop"/>
          <w:rFonts w:cs="Arial"/>
          <w:sz w:val="22"/>
          <w:szCs w:val="22"/>
        </w:rPr>
        <w:t> </w:t>
      </w:r>
    </w:p>
    <w:p w14:paraId="3F1DA199" w14:textId="77777777" w:rsidR="00116F44" w:rsidRPr="005B588D" w:rsidRDefault="00116F44" w:rsidP="00116F44">
      <w:pPr>
        <w:pStyle w:val="paragraph"/>
        <w:numPr>
          <w:ilvl w:val="0"/>
          <w:numId w:val="38"/>
        </w:numPr>
        <w:spacing w:before="0" w:beforeAutospacing="0" w:after="60" w:afterAutospacing="0"/>
        <w:ind w:left="714" w:hanging="357"/>
        <w:textAlignment w:val="baseline"/>
        <w:rPr>
          <w:rFonts w:ascii="Arial" w:hAnsi="Arial" w:cs="Arial"/>
          <w:sz w:val="22"/>
          <w:szCs w:val="22"/>
        </w:rPr>
      </w:pPr>
      <w:r w:rsidRPr="005B588D">
        <w:rPr>
          <w:rStyle w:val="normaltextrun"/>
          <w:rFonts w:ascii="Arial" w:hAnsi="Arial" w:cs="Arial"/>
          <w:i/>
          <w:iCs/>
          <w:sz w:val="22"/>
          <w:szCs w:val="22"/>
        </w:rPr>
        <w:t>Disability Act 2006</w:t>
      </w:r>
      <w:r w:rsidRPr="005B588D">
        <w:rPr>
          <w:rStyle w:val="normaltextrun"/>
          <w:rFonts w:ascii="Arial" w:hAnsi="Arial" w:cs="Arial"/>
          <w:sz w:val="22"/>
          <w:szCs w:val="22"/>
        </w:rPr>
        <w:t> (registration and Human Services Standards) </w:t>
      </w:r>
      <w:r w:rsidRPr="005B588D">
        <w:rPr>
          <w:rStyle w:val="eop"/>
          <w:rFonts w:cs="Arial"/>
          <w:sz w:val="22"/>
          <w:szCs w:val="22"/>
        </w:rPr>
        <w:t> </w:t>
      </w:r>
    </w:p>
    <w:p w14:paraId="6ECD4B50" w14:textId="77777777" w:rsidR="00116F44" w:rsidRPr="005B588D" w:rsidRDefault="00116F44" w:rsidP="00116F44">
      <w:pPr>
        <w:pStyle w:val="paragraph"/>
        <w:numPr>
          <w:ilvl w:val="0"/>
          <w:numId w:val="38"/>
        </w:numPr>
        <w:spacing w:before="0" w:beforeAutospacing="0" w:after="60" w:afterAutospacing="0"/>
        <w:ind w:left="714" w:hanging="357"/>
        <w:textAlignment w:val="baseline"/>
        <w:rPr>
          <w:rFonts w:ascii="Arial" w:hAnsi="Arial" w:cs="Arial"/>
          <w:sz w:val="22"/>
          <w:szCs w:val="22"/>
        </w:rPr>
      </w:pPr>
      <w:r w:rsidRPr="005B588D">
        <w:rPr>
          <w:rStyle w:val="normaltextrun"/>
          <w:rFonts w:ascii="Arial" w:hAnsi="Arial" w:cs="Arial"/>
          <w:i/>
          <w:iCs/>
          <w:sz w:val="22"/>
          <w:szCs w:val="22"/>
        </w:rPr>
        <w:t>Children, Youth and Families Act 2005 </w:t>
      </w:r>
      <w:r w:rsidRPr="005B588D">
        <w:rPr>
          <w:rStyle w:val="normaltextrun"/>
          <w:rFonts w:ascii="Arial" w:hAnsi="Arial" w:cs="Arial"/>
          <w:sz w:val="22"/>
          <w:szCs w:val="22"/>
        </w:rPr>
        <w:t>(registration, Human Services Standards and Victorian Carer Register, including reports of abuse and independent investigations under sections 81 and 82)  </w:t>
      </w:r>
      <w:r w:rsidRPr="005B588D">
        <w:rPr>
          <w:rStyle w:val="eop"/>
          <w:rFonts w:cs="Arial"/>
          <w:sz w:val="22"/>
          <w:szCs w:val="22"/>
        </w:rPr>
        <w:t> </w:t>
      </w:r>
    </w:p>
    <w:p w14:paraId="54CF2902" w14:textId="77777777" w:rsidR="00116F44" w:rsidRPr="005B588D" w:rsidRDefault="00116F44" w:rsidP="00116F44">
      <w:pPr>
        <w:pStyle w:val="paragraph"/>
        <w:numPr>
          <w:ilvl w:val="0"/>
          <w:numId w:val="38"/>
        </w:numPr>
        <w:spacing w:before="0" w:beforeAutospacing="0" w:after="60" w:afterAutospacing="0"/>
        <w:ind w:left="714" w:hanging="357"/>
        <w:textAlignment w:val="baseline"/>
        <w:rPr>
          <w:rStyle w:val="eop"/>
          <w:rFonts w:cs="Arial"/>
          <w:sz w:val="22"/>
          <w:szCs w:val="22"/>
        </w:rPr>
      </w:pPr>
      <w:r w:rsidRPr="005B588D">
        <w:rPr>
          <w:rStyle w:val="normaltextrun"/>
          <w:rFonts w:ascii="Arial" w:hAnsi="Arial" w:cs="Arial"/>
          <w:i/>
          <w:iCs/>
          <w:sz w:val="22"/>
          <w:szCs w:val="22"/>
        </w:rPr>
        <w:t>Supported Residential Services (Private Proprietors) Act 2010 </w:t>
      </w:r>
      <w:r w:rsidRPr="005B588D">
        <w:rPr>
          <w:rStyle w:val="normaltextrun"/>
          <w:rFonts w:ascii="Arial" w:hAnsi="Arial" w:cs="Arial"/>
          <w:sz w:val="22"/>
          <w:szCs w:val="22"/>
        </w:rPr>
        <w:t>(including </w:t>
      </w:r>
      <w:r w:rsidRPr="005B588D">
        <w:rPr>
          <w:rStyle w:val="normaltextrun"/>
          <w:rFonts w:ascii="Arial" w:hAnsi="Arial" w:cs="Arial"/>
          <w:i/>
          <w:iCs/>
          <w:sz w:val="22"/>
          <w:szCs w:val="22"/>
        </w:rPr>
        <w:t>the Supported Residential Services</w:t>
      </w:r>
      <w:r w:rsidRPr="005B588D">
        <w:rPr>
          <w:rStyle w:val="normaltextrun"/>
          <w:rFonts w:ascii="Arial" w:hAnsi="Arial" w:cs="Arial"/>
          <w:sz w:val="22"/>
          <w:szCs w:val="22"/>
        </w:rPr>
        <w:t> (</w:t>
      </w:r>
      <w:r w:rsidRPr="005B588D">
        <w:rPr>
          <w:rStyle w:val="normaltextrun"/>
          <w:rFonts w:ascii="Arial" w:hAnsi="Arial" w:cs="Arial"/>
          <w:i/>
          <w:iCs/>
          <w:sz w:val="22"/>
          <w:szCs w:val="22"/>
        </w:rPr>
        <w:t>Private Proprietors) Regulations 2012)</w:t>
      </w:r>
      <w:r w:rsidRPr="005B588D">
        <w:rPr>
          <w:rStyle w:val="eop"/>
          <w:rFonts w:cs="Arial"/>
          <w:sz w:val="22"/>
          <w:szCs w:val="22"/>
        </w:rPr>
        <w:t> </w:t>
      </w:r>
    </w:p>
    <w:p w14:paraId="2A650FC3" w14:textId="77777777" w:rsidR="00116F44" w:rsidRDefault="00116F44" w:rsidP="00116F44">
      <w:pPr>
        <w:pStyle w:val="paragraph"/>
        <w:spacing w:before="0" w:beforeAutospacing="0" w:after="0" w:afterAutospacing="0"/>
        <w:textAlignment w:val="baseline"/>
        <w:rPr>
          <w:rStyle w:val="normaltextrun"/>
          <w:rFonts w:ascii="Arial" w:hAnsi="Arial" w:cs="Arial"/>
          <w:sz w:val="21"/>
          <w:szCs w:val="21"/>
        </w:rPr>
      </w:pPr>
    </w:p>
    <w:p w14:paraId="021A841C" w14:textId="77777777" w:rsidR="00116F44" w:rsidRDefault="00116F44" w:rsidP="00116F44">
      <w:pPr>
        <w:pStyle w:val="DHHSbody"/>
      </w:pPr>
      <w:r>
        <w:t>The HSR has 4 teams:</w:t>
      </w:r>
    </w:p>
    <w:p w14:paraId="4E4AD899" w14:textId="77777777" w:rsidR="00116F44" w:rsidRDefault="00116F44" w:rsidP="00116F44">
      <w:pPr>
        <w:pStyle w:val="DHHSbody"/>
        <w:numPr>
          <w:ilvl w:val="0"/>
          <w:numId w:val="40"/>
        </w:numPr>
        <w:spacing w:after="60"/>
        <w:ind w:left="714" w:hanging="357"/>
      </w:pPr>
      <w:r>
        <w:t>Child Safeguarding</w:t>
      </w:r>
    </w:p>
    <w:p w14:paraId="286448CB" w14:textId="77777777" w:rsidR="00116F44" w:rsidRDefault="00116F44" w:rsidP="00116F44">
      <w:pPr>
        <w:pStyle w:val="DHHSbody"/>
        <w:numPr>
          <w:ilvl w:val="0"/>
          <w:numId w:val="40"/>
        </w:numPr>
        <w:spacing w:after="60"/>
        <w:ind w:left="714" w:hanging="357"/>
      </w:pPr>
      <w:r>
        <w:t>Standards and Regulation (including Supported Residential Services registration)</w:t>
      </w:r>
    </w:p>
    <w:p w14:paraId="2A494ABF" w14:textId="77777777" w:rsidR="00116F44" w:rsidRDefault="00116F44" w:rsidP="00116F44">
      <w:pPr>
        <w:pStyle w:val="DHHSbody"/>
        <w:numPr>
          <w:ilvl w:val="0"/>
          <w:numId w:val="40"/>
        </w:numPr>
        <w:spacing w:after="60"/>
        <w:ind w:left="714" w:hanging="357"/>
      </w:pPr>
      <w:r>
        <w:t>Regulatory Compliance and Enforcement Team (RCET)</w:t>
      </w:r>
    </w:p>
    <w:p w14:paraId="58C5414D" w14:textId="77777777" w:rsidR="00116F44" w:rsidRPr="009913BE" w:rsidRDefault="00116F44" w:rsidP="00116F44">
      <w:pPr>
        <w:pStyle w:val="DHHSbody"/>
        <w:numPr>
          <w:ilvl w:val="0"/>
          <w:numId w:val="40"/>
        </w:numPr>
        <w:spacing w:after="60"/>
        <w:ind w:left="714" w:hanging="357"/>
      </w:pPr>
      <w:r>
        <w:t>Strategy and Analytics</w:t>
      </w:r>
    </w:p>
    <w:p w14:paraId="2266FE7E" w14:textId="77777777" w:rsidR="00116F44" w:rsidRPr="00960225" w:rsidRDefault="00116F44" w:rsidP="00116F44">
      <w:pPr>
        <w:pStyle w:val="paragraph"/>
        <w:spacing w:before="0" w:beforeAutospacing="0" w:after="0" w:afterAutospacing="0"/>
        <w:textAlignment w:val="baseline"/>
        <w:rPr>
          <w:rStyle w:val="eop"/>
          <w:rFonts w:cs="Arial"/>
          <w:color w:val="000000"/>
          <w:sz w:val="22"/>
          <w:szCs w:val="22"/>
          <w:shd w:val="clear" w:color="auto" w:fill="FFFFFF"/>
        </w:rPr>
      </w:pPr>
    </w:p>
    <w:p w14:paraId="643DE13E" w14:textId="77777777" w:rsidR="00116F44" w:rsidRPr="00241915" w:rsidRDefault="00116F44" w:rsidP="00116F44">
      <w:pPr>
        <w:pStyle w:val="paragraph"/>
        <w:spacing w:before="0" w:beforeAutospacing="0" w:after="120" w:afterAutospacing="0"/>
        <w:textAlignment w:val="baseline"/>
        <w:rPr>
          <w:rStyle w:val="normaltextrun"/>
          <w:rFonts w:ascii="Arial" w:hAnsi="Arial" w:cs="Arial"/>
          <w:sz w:val="22"/>
          <w:szCs w:val="22"/>
        </w:rPr>
      </w:pPr>
      <w:r w:rsidRPr="00960225">
        <w:rPr>
          <w:rStyle w:val="normaltextrun"/>
          <w:rFonts w:ascii="Arial" w:hAnsi="Arial" w:cs="Arial"/>
          <w:sz w:val="22"/>
          <w:szCs w:val="22"/>
        </w:rPr>
        <w:t>The regulatory activities of the HSR are:</w:t>
      </w:r>
    </w:p>
    <w:p w14:paraId="34F6ED94" w14:textId="77777777" w:rsidR="00116F44" w:rsidRPr="00241915" w:rsidRDefault="00116F44" w:rsidP="00116F44">
      <w:pPr>
        <w:pStyle w:val="paragraph"/>
        <w:numPr>
          <w:ilvl w:val="0"/>
          <w:numId w:val="39"/>
        </w:numPr>
        <w:spacing w:before="0" w:beforeAutospacing="0" w:after="0" w:afterAutospacing="0"/>
        <w:ind w:left="709"/>
        <w:textAlignment w:val="baseline"/>
        <w:rPr>
          <w:rFonts w:ascii="Arial" w:hAnsi="Arial" w:cs="Arial"/>
          <w:sz w:val="22"/>
          <w:szCs w:val="22"/>
        </w:rPr>
      </w:pPr>
      <w:r w:rsidRPr="00241915">
        <w:rPr>
          <w:rStyle w:val="normaltextrun"/>
          <w:rFonts w:ascii="Arial" w:hAnsi="Arial" w:cs="Arial"/>
          <w:sz w:val="22"/>
          <w:szCs w:val="22"/>
        </w:rPr>
        <w:t>Approvals and registration</w:t>
      </w:r>
      <w:r w:rsidRPr="00241915">
        <w:rPr>
          <w:rStyle w:val="eop"/>
          <w:rFonts w:cs="Arial"/>
          <w:sz w:val="22"/>
          <w:szCs w:val="22"/>
        </w:rPr>
        <w:t> </w:t>
      </w:r>
    </w:p>
    <w:p w14:paraId="00050962" w14:textId="77777777" w:rsidR="00116F44" w:rsidRPr="00241915" w:rsidRDefault="00116F44" w:rsidP="00116F44">
      <w:pPr>
        <w:pStyle w:val="paragraph"/>
        <w:numPr>
          <w:ilvl w:val="0"/>
          <w:numId w:val="39"/>
        </w:numPr>
        <w:spacing w:before="0" w:beforeAutospacing="0" w:after="0" w:afterAutospacing="0"/>
        <w:ind w:left="709"/>
        <w:textAlignment w:val="baseline"/>
        <w:rPr>
          <w:rFonts w:ascii="Arial" w:hAnsi="Arial" w:cs="Arial"/>
          <w:sz w:val="22"/>
          <w:szCs w:val="22"/>
        </w:rPr>
      </w:pPr>
      <w:r w:rsidRPr="00241915">
        <w:rPr>
          <w:rStyle w:val="normaltextrun"/>
          <w:rFonts w:ascii="Arial" w:hAnsi="Arial" w:cs="Arial"/>
          <w:sz w:val="22"/>
          <w:szCs w:val="22"/>
        </w:rPr>
        <w:t>Education and information</w:t>
      </w:r>
      <w:r w:rsidRPr="00241915">
        <w:rPr>
          <w:rStyle w:val="eop"/>
          <w:rFonts w:cs="Arial"/>
          <w:sz w:val="22"/>
          <w:szCs w:val="22"/>
        </w:rPr>
        <w:t> </w:t>
      </w:r>
    </w:p>
    <w:p w14:paraId="5C459412" w14:textId="77777777" w:rsidR="00116F44" w:rsidRPr="00241915" w:rsidRDefault="00116F44" w:rsidP="00116F44">
      <w:pPr>
        <w:pStyle w:val="paragraph"/>
        <w:numPr>
          <w:ilvl w:val="0"/>
          <w:numId w:val="39"/>
        </w:numPr>
        <w:spacing w:before="0" w:beforeAutospacing="0" w:after="0" w:afterAutospacing="0"/>
        <w:ind w:left="709"/>
        <w:textAlignment w:val="baseline"/>
        <w:rPr>
          <w:rFonts w:ascii="Arial" w:hAnsi="Arial" w:cs="Arial"/>
          <w:sz w:val="22"/>
          <w:szCs w:val="22"/>
        </w:rPr>
      </w:pPr>
      <w:r w:rsidRPr="00241915">
        <w:rPr>
          <w:rStyle w:val="normaltextrun"/>
          <w:rFonts w:ascii="Arial" w:hAnsi="Arial" w:cs="Arial"/>
          <w:sz w:val="22"/>
          <w:szCs w:val="22"/>
        </w:rPr>
        <w:t>Support to comply</w:t>
      </w:r>
      <w:r w:rsidRPr="00241915">
        <w:rPr>
          <w:rStyle w:val="eop"/>
          <w:rFonts w:cs="Arial"/>
          <w:sz w:val="22"/>
          <w:szCs w:val="22"/>
        </w:rPr>
        <w:t> </w:t>
      </w:r>
    </w:p>
    <w:p w14:paraId="744E5B77" w14:textId="77777777" w:rsidR="00116F44" w:rsidRPr="00241915" w:rsidRDefault="00116F44" w:rsidP="00116F44">
      <w:pPr>
        <w:pStyle w:val="paragraph"/>
        <w:numPr>
          <w:ilvl w:val="0"/>
          <w:numId w:val="39"/>
        </w:numPr>
        <w:spacing w:before="0" w:beforeAutospacing="0" w:after="0" w:afterAutospacing="0"/>
        <w:ind w:left="709"/>
        <w:textAlignment w:val="baseline"/>
        <w:rPr>
          <w:rFonts w:ascii="Arial" w:hAnsi="Arial" w:cs="Arial"/>
          <w:sz w:val="22"/>
          <w:szCs w:val="22"/>
        </w:rPr>
      </w:pPr>
      <w:r w:rsidRPr="00241915">
        <w:rPr>
          <w:rStyle w:val="normaltextrun"/>
          <w:rFonts w:ascii="Arial" w:hAnsi="Arial" w:cs="Arial"/>
          <w:sz w:val="22"/>
          <w:szCs w:val="22"/>
        </w:rPr>
        <w:t>Target using data and information</w:t>
      </w:r>
      <w:r w:rsidRPr="00241915">
        <w:rPr>
          <w:rStyle w:val="eop"/>
          <w:rFonts w:cs="Arial"/>
          <w:sz w:val="22"/>
          <w:szCs w:val="22"/>
        </w:rPr>
        <w:t> </w:t>
      </w:r>
    </w:p>
    <w:p w14:paraId="7D17E5A1" w14:textId="77777777" w:rsidR="00116F44" w:rsidRPr="00241915" w:rsidRDefault="00116F44" w:rsidP="00116F44">
      <w:pPr>
        <w:pStyle w:val="paragraph"/>
        <w:numPr>
          <w:ilvl w:val="0"/>
          <w:numId w:val="39"/>
        </w:numPr>
        <w:spacing w:before="0" w:beforeAutospacing="0" w:after="0" w:afterAutospacing="0"/>
        <w:ind w:left="709"/>
        <w:textAlignment w:val="baseline"/>
        <w:rPr>
          <w:rFonts w:ascii="Arial" w:hAnsi="Arial" w:cs="Arial"/>
          <w:sz w:val="22"/>
          <w:szCs w:val="22"/>
        </w:rPr>
      </w:pPr>
      <w:r w:rsidRPr="00241915">
        <w:rPr>
          <w:rStyle w:val="normaltextrun"/>
          <w:rFonts w:ascii="Arial" w:hAnsi="Arial" w:cs="Arial"/>
          <w:sz w:val="22"/>
          <w:szCs w:val="22"/>
        </w:rPr>
        <w:t>Compliance monitoring.</w:t>
      </w:r>
      <w:r w:rsidRPr="00241915">
        <w:rPr>
          <w:rStyle w:val="eop"/>
          <w:rFonts w:cs="Arial"/>
          <w:sz w:val="22"/>
          <w:szCs w:val="22"/>
        </w:rPr>
        <w:t> </w:t>
      </w:r>
    </w:p>
    <w:p w14:paraId="18D14601" w14:textId="77777777" w:rsidR="00116F44" w:rsidRPr="00241915" w:rsidRDefault="00116F44" w:rsidP="00116F44">
      <w:pPr>
        <w:pStyle w:val="paragraph"/>
        <w:spacing w:before="0" w:beforeAutospacing="0" w:after="0" w:afterAutospacing="0"/>
        <w:textAlignment w:val="baseline"/>
        <w:rPr>
          <w:rStyle w:val="normaltextrun"/>
          <w:rFonts w:ascii="Arial" w:hAnsi="Arial" w:cs="Arial"/>
          <w:sz w:val="22"/>
          <w:szCs w:val="22"/>
        </w:rPr>
      </w:pPr>
    </w:p>
    <w:p w14:paraId="2F775939" w14:textId="77777777" w:rsidR="00116F44" w:rsidRDefault="00116F44" w:rsidP="00116F44">
      <w:pPr>
        <w:pStyle w:val="paragraph"/>
        <w:spacing w:before="0" w:beforeAutospacing="0" w:after="120" w:afterAutospacing="0"/>
        <w:textAlignment w:val="baseline"/>
        <w:rPr>
          <w:rStyle w:val="eop"/>
          <w:rFonts w:cs="Arial"/>
          <w:sz w:val="22"/>
          <w:szCs w:val="22"/>
        </w:rPr>
      </w:pPr>
      <w:r w:rsidRPr="00241915">
        <w:rPr>
          <w:rStyle w:val="normaltextrun"/>
          <w:rFonts w:ascii="Arial" w:hAnsi="Arial" w:cs="Arial"/>
          <w:sz w:val="22"/>
          <w:szCs w:val="22"/>
        </w:rPr>
        <w:t>To target</w:t>
      </w:r>
      <w:r w:rsidRPr="00241915">
        <w:rPr>
          <w:rStyle w:val="normaltextrun"/>
          <w:rFonts w:ascii="Arial" w:hAnsi="Arial" w:cs="Arial"/>
          <w:b/>
          <w:bCs/>
          <w:sz w:val="22"/>
          <w:szCs w:val="22"/>
        </w:rPr>
        <w:t> </w:t>
      </w:r>
      <w:r w:rsidRPr="00241915">
        <w:rPr>
          <w:rStyle w:val="normaltextrun"/>
          <w:rFonts w:ascii="Arial" w:hAnsi="Arial" w:cs="Arial"/>
          <w:sz w:val="22"/>
          <w:szCs w:val="22"/>
        </w:rPr>
        <w:t>efforts using intelligence, the HSR:</w:t>
      </w:r>
      <w:r w:rsidRPr="00241915">
        <w:rPr>
          <w:rStyle w:val="eop"/>
          <w:rFonts w:cs="Arial"/>
          <w:sz w:val="22"/>
          <w:szCs w:val="22"/>
        </w:rPr>
        <w:t> </w:t>
      </w:r>
    </w:p>
    <w:p w14:paraId="10A6B6C7" w14:textId="77777777" w:rsidR="00116F44" w:rsidRPr="00241915" w:rsidRDefault="00116F44" w:rsidP="00116F44">
      <w:pPr>
        <w:pStyle w:val="paragraph"/>
        <w:numPr>
          <w:ilvl w:val="0"/>
          <w:numId w:val="29"/>
        </w:numPr>
        <w:tabs>
          <w:tab w:val="clear" w:pos="720"/>
        </w:tabs>
        <w:spacing w:before="0" w:beforeAutospacing="0" w:after="0" w:afterAutospacing="0"/>
        <w:ind w:left="709" w:hanging="425"/>
        <w:textAlignment w:val="baseline"/>
        <w:rPr>
          <w:rFonts w:ascii="Arial" w:hAnsi="Arial" w:cs="Arial"/>
          <w:sz w:val="22"/>
          <w:szCs w:val="22"/>
        </w:rPr>
      </w:pPr>
      <w:r w:rsidRPr="00241915">
        <w:rPr>
          <w:rStyle w:val="normaltextrun"/>
          <w:rFonts w:ascii="Arial" w:hAnsi="Arial" w:cs="Arial"/>
          <w:sz w:val="22"/>
          <w:szCs w:val="22"/>
        </w:rPr>
        <w:t>Collects data</w:t>
      </w:r>
      <w:r w:rsidRPr="00241915">
        <w:rPr>
          <w:rStyle w:val="eop"/>
          <w:rFonts w:cs="Arial"/>
          <w:sz w:val="22"/>
          <w:szCs w:val="22"/>
        </w:rPr>
        <w:t> </w:t>
      </w:r>
    </w:p>
    <w:p w14:paraId="66BEA650" w14:textId="77777777" w:rsidR="00116F44" w:rsidRPr="00241915" w:rsidRDefault="00116F44" w:rsidP="00116F44">
      <w:pPr>
        <w:pStyle w:val="paragraph"/>
        <w:numPr>
          <w:ilvl w:val="0"/>
          <w:numId w:val="29"/>
        </w:numPr>
        <w:tabs>
          <w:tab w:val="clear" w:pos="720"/>
        </w:tabs>
        <w:spacing w:before="0" w:beforeAutospacing="0" w:after="0" w:afterAutospacing="0"/>
        <w:ind w:left="709" w:hanging="425"/>
        <w:textAlignment w:val="baseline"/>
        <w:rPr>
          <w:rFonts w:ascii="Arial" w:hAnsi="Arial" w:cs="Arial"/>
          <w:sz w:val="22"/>
          <w:szCs w:val="22"/>
        </w:rPr>
      </w:pPr>
      <w:r w:rsidRPr="00241915">
        <w:rPr>
          <w:rStyle w:val="normaltextrun"/>
          <w:rFonts w:ascii="Arial" w:hAnsi="Arial" w:cs="Arial"/>
          <w:sz w:val="22"/>
          <w:szCs w:val="22"/>
        </w:rPr>
        <w:t>Analyses trends</w:t>
      </w:r>
      <w:r w:rsidRPr="00241915">
        <w:rPr>
          <w:rStyle w:val="eop"/>
          <w:rFonts w:cs="Arial"/>
          <w:sz w:val="22"/>
          <w:szCs w:val="22"/>
        </w:rPr>
        <w:t> </w:t>
      </w:r>
    </w:p>
    <w:p w14:paraId="3AFF49D8" w14:textId="77777777" w:rsidR="00116F44" w:rsidRPr="00241915" w:rsidRDefault="00116F44" w:rsidP="00116F44">
      <w:pPr>
        <w:pStyle w:val="paragraph"/>
        <w:numPr>
          <w:ilvl w:val="0"/>
          <w:numId w:val="29"/>
        </w:numPr>
        <w:tabs>
          <w:tab w:val="clear" w:pos="720"/>
        </w:tabs>
        <w:spacing w:before="0" w:beforeAutospacing="0" w:after="0" w:afterAutospacing="0"/>
        <w:ind w:left="709" w:hanging="425"/>
        <w:textAlignment w:val="baseline"/>
        <w:rPr>
          <w:rFonts w:ascii="Arial" w:hAnsi="Arial" w:cs="Arial"/>
          <w:sz w:val="22"/>
          <w:szCs w:val="22"/>
        </w:rPr>
      </w:pPr>
      <w:r w:rsidRPr="00241915">
        <w:rPr>
          <w:rStyle w:val="normaltextrun"/>
          <w:rFonts w:ascii="Arial" w:hAnsi="Arial" w:cs="Arial"/>
          <w:sz w:val="22"/>
          <w:szCs w:val="22"/>
        </w:rPr>
        <w:t>Identifies risks</w:t>
      </w:r>
      <w:r w:rsidRPr="00241915">
        <w:rPr>
          <w:rStyle w:val="eop"/>
          <w:rFonts w:cs="Arial"/>
          <w:sz w:val="22"/>
          <w:szCs w:val="22"/>
        </w:rPr>
        <w:t> </w:t>
      </w:r>
    </w:p>
    <w:p w14:paraId="6EC0A3D4" w14:textId="77777777" w:rsidR="00116F44" w:rsidRPr="00241915" w:rsidRDefault="00116F44" w:rsidP="00116F44">
      <w:pPr>
        <w:pStyle w:val="paragraph"/>
        <w:numPr>
          <w:ilvl w:val="0"/>
          <w:numId w:val="30"/>
        </w:numPr>
        <w:tabs>
          <w:tab w:val="clear" w:pos="720"/>
        </w:tabs>
        <w:spacing w:before="0" w:beforeAutospacing="0" w:after="0" w:afterAutospacing="0"/>
        <w:ind w:left="709" w:hanging="425"/>
        <w:textAlignment w:val="baseline"/>
        <w:rPr>
          <w:rStyle w:val="normaltextrun"/>
          <w:rFonts w:ascii="Arial" w:hAnsi="Arial" w:cs="Arial"/>
          <w:sz w:val="22"/>
          <w:szCs w:val="22"/>
        </w:rPr>
      </w:pPr>
      <w:r w:rsidRPr="00241915">
        <w:rPr>
          <w:rStyle w:val="normaltextrun"/>
          <w:rFonts w:ascii="Arial" w:hAnsi="Arial" w:cs="Arial"/>
          <w:sz w:val="22"/>
          <w:szCs w:val="22"/>
        </w:rPr>
        <w:t>Shares information with peers.</w:t>
      </w:r>
      <w:r w:rsidRPr="00241915">
        <w:rPr>
          <w:rStyle w:val="eop"/>
          <w:rFonts w:cs="Arial"/>
          <w:sz w:val="22"/>
          <w:szCs w:val="22"/>
        </w:rPr>
        <w:t> </w:t>
      </w:r>
    </w:p>
    <w:p w14:paraId="6F59FD57" w14:textId="77777777" w:rsidR="00116F44" w:rsidRDefault="00116F44" w:rsidP="00116F44">
      <w:pPr>
        <w:pStyle w:val="paragraph"/>
        <w:spacing w:before="0" w:beforeAutospacing="0" w:after="0" w:afterAutospacing="0"/>
        <w:textAlignment w:val="baseline"/>
        <w:rPr>
          <w:rStyle w:val="normaltextrun"/>
          <w:rFonts w:ascii="Arial" w:hAnsi="Arial" w:cs="Arial"/>
          <w:sz w:val="22"/>
          <w:szCs w:val="22"/>
        </w:rPr>
      </w:pPr>
    </w:p>
    <w:p w14:paraId="6A58E039" w14:textId="77777777" w:rsidR="00116F44" w:rsidRPr="00241915" w:rsidRDefault="00116F44" w:rsidP="00116F44">
      <w:pPr>
        <w:pStyle w:val="paragraph"/>
        <w:spacing w:before="0" w:beforeAutospacing="0" w:after="120" w:afterAutospacing="0"/>
        <w:textAlignment w:val="baseline"/>
        <w:rPr>
          <w:rStyle w:val="eop"/>
          <w:rFonts w:cs="Arial"/>
          <w:sz w:val="22"/>
          <w:szCs w:val="22"/>
        </w:rPr>
      </w:pPr>
      <w:r w:rsidRPr="00241915">
        <w:rPr>
          <w:rStyle w:val="normaltextrun"/>
          <w:rFonts w:ascii="Arial" w:hAnsi="Arial" w:cs="Arial"/>
          <w:sz w:val="22"/>
          <w:szCs w:val="22"/>
        </w:rPr>
        <w:t>The HSR monitors duty holders’ compliance through:</w:t>
      </w:r>
    </w:p>
    <w:p w14:paraId="6E9EE104" w14:textId="77777777" w:rsidR="00116F44" w:rsidRPr="00241915" w:rsidRDefault="00116F44" w:rsidP="00116F44">
      <w:pPr>
        <w:pStyle w:val="paragraph"/>
        <w:numPr>
          <w:ilvl w:val="0"/>
          <w:numId w:val="31"/>
        </w:numPr>
        <w:tabs>
          <w:tab w:val="clear" w:pos="720"/>
        </w:tabs>
        <w:spacing w:before="0" w:beforeAutospacing="0" w:after="0" w:afterAutospacing="0"/>
        <w:ind w:left="284" w:firstLine="0"/>
        <w:textAlignment w:val="baseline"/>
        <w:rPr>
          <w:rFonts w:ascii="Arial" w:hAnsi="Arial" w:cs="Arial"/>
          <w:sz w:val="22"/>
          <w:szCs w:val="22"/>
        </w:rPr>
      </w:pPr>
      <w:r w:rsidRPr="00241915">
        <w:rPr>
          <w:rStyle w:val="normaltextrun"/>
          <w:rFonts w:ascii="Arial" w:hAnsi="Arial" w:cs="Arial"/>
          <w:sz w:val="22"/>
          <w:szCs w:val="22"/>
        </w:rPr>
        <w:t>Planned or responsive inspections</w:t>
      </w:r>
      <w:r w:rsidRPr="00241915">
        <w:rPr>
          <w:rStyle w:val="eop"/>
          <w:rFonts w:cs="Arial"/>
          <w:sz w:val="22"/>
          <w:szCs w:val="22"/>
        </w:rPr>
        <w:t> </w:t>
      </w:r>
    </w:p>
    <w:p w14:paraId="602B4F63" w14:textId="77777777" w:rsidR="00116F44" w:rsidRPr="00241915" w:rsidRDefault="00116F44" w:rsidP="00116F44">
      <w:pPr>
        <w:pStyle w:val="paragraph"/>
        <w:numPr>
          <w:ilvl w:val="0"/>
          <w:numId w:val="32"/>
        </w:numPr>
        <w:tabs>
          <w:tab w:val="clear" w:pos="720"/>
        </w:tabs>
        <w:spacing w:before="0" w:beforeAutospacing="0" w:after="0" w:afterAutospacing="0"/>
        <w:ind w:left="284" w:firstLine="0"/>
        <w:textAlignment w:val="baseline"/>
        <w:rPr>
          <w:rFonts w:ascii="Arial" w:hAnsi="Arial" w:cs="Arial"/>
          <w:sz w:val="22"/>
          <w:szCs w:val="22"/>
        </w:rPr>
      </w:pPr>
      <w:r w:rsidRPr="00241915">
        <w:rPr>
          <w:rStyle w:val="normaltextrun"/>
          <w:rFonts w:ascii="Arial" w:hAnsi="Arial" w:cs="Arial"/>
          <w:sz w:val="22"/>
          <w:szCs w:val="22"/>
        </w:rPr>
        <w:t>Desktop compliance assessments</w:t>
      </w:r>
      <w:r w:rsidRPr="00241915">
        <w:rPr>
          <w:rStyle w:val="eop"/>
          <w:rFonts w:cs="Arial"/>
          <w:sz w:val="22"/>
          <w:szCs w:val="22"/>
        </w:rPr>
        <w:t> </w:t>
      </w:r>
    </w:p>
    <w:p w14:paraId="78916965" w14:textId="77777777" w:rsidR="00116F44" w:rsidRPr="00241915" w:rsidRDefault="00116F44" w:rsidP="00116F44">
      <w:pPr>
        <w:pStyle w:val="paragraph"/>
        <w:numPr>
          <w:ilvl w:val="0"/>
          <w:numId w:val="32"/>
        </w:numPr>
        <w:tabs>
          <w:tab w:val="clear" w:pos="720"/>
        </w:tabs>
        <w:spacing w:before="0" w:beforeAutospacing="0" w:after="0" w:afterAutospacing="0"/>
        <w:ind w:left="284" w:firstLine="0"/>
        <w:textAlignment w:val="baseline"/>
        <w:rPr>
          <w:rFonts w:ascii="Arial" w:hAnsi="Arial" w:cs="Arial"/>
          <w:sz w:val="22"/>
          <w:szCs w:val="22"/>
        </w:rPr>
      </w:pPr>
      <w:r w:rsidRPr="00241915">
        <w:rPr>
          <w:rStyle w:val="normaltextrun"/>
          <w:rFonts w:ascii="Arial" w:hAnsi="Arial" w:cs="Arial"/>
          <w:sz w:val="22"/>
          <w:szCs w:val="22"/>
        </w:rPr>
        <w:t>Investigating issues and reports</w:t>
      </w:r>
      <w:r w:rsidRPr="00241915">
        <w:rPr>
          <w:rStyle w:val="eop"/>
          <w:rFonts w:cs="Arial"/>
          <w:sz w:val="22"/>
          <w:szCs w:val="22"/>
        </w:rPr>
        <w:t> </w:t>
      </w:r>
    </w:p>
    <w:p w14:paraId="7D853F20" w14:textId="77777777" w:rsidR="00116F44" w:rsidRPr="00241915" w:rsidRDefault="00116F44" w:rsidP="00116F44">
      <w:pPr>
        <w:pStyle w:val="paragraph"/>
        <w:numPr>
          <w:ilvl w:val="0"/>
          <w:numId w:val="32"/>
        </w:numPr>
        <w:tabs>
          <w:tab w:val="clear" w:pos="720"/>
        </w:tabs>
        <w:spacing w:before="0" w:beforeAutospacing="0" w:after="0" w:afterAutospacing="0"/>
        <w:ind w:left="284" w:firstLine="0"/>
        <w:textAlignment w:val="baseline"/>
        <w:rPr>
          <w:rFonts w:ascii="Arial" w:hAnsi="Arial" w:cs="Arial"/>
          <w:sz w:val="22"/>
          <w:szCs w:val="22"/>
        </w:rPr>
      </w:pPr>
      <w:r w:rsidRPr="00241915">
        <w:rPr>
          <w:rStyle w:val="normaltextrun"/>
          <w:rFonts w:ascii="Arial" w:hAnsi="Arial" w:cs="Arial"/>
          <w:sz w:val="22"/>
          <w:szCs w:val="22"/>
        </w:rPr>
        <w:t>Independent reviews against standards</w:t>
      </w:r>
      <w:r w:rsidRPr="00241915">
        <w:rPr>
          <w:rStyle w:val="eop"/>
          <w:rFonts w:cs="Arial"/>
          <w:sz w:val="22"/>
          <w:szCs w:val="22"/>
        </w:rPr>
        <w:t> </w:t>
      </w:r>
    </w:p>
    <w:p w14:paraId="7BD39D24" w14:textId="77777777" w:rsidR="00116F44" w:rsidRPr="00241915" w:rsidRDefault="00116F44" w:rsidP="00116F44">
      <w:pPr>
        <w:pStyle w:val="paragraph"/>
        <w:numPr>
          <w:ilvl w:val="0"/>
          <w:numId w:val="32"/>
        </w:numPr>
        <w:tabs>
          <w:tab w:val="clear" w:pos="720"/>
        </w:tabs>
        <w:spacing w:before="0" w:beforeAutospacing="0" w:after="0" w:afterAutospacing="0"/>
        <w:ind w:left="284" w:firstLine="0"/>
        <w:textAlignment w:val="baseline"/>
        <w:rPr>
          <w:rFonts w:ascii="Arial" w:hAnsi="Arial" w:cs="Arial"/>
          <w:sz w:val="22"/>
          <w:szCs w:val="22"/>
        </w:rPr>
      </w:pPr>
      <w:r w:rsidRPr="00241915">
        <w:rPr>
          <w:rStyle w:val="normaltextrun"/>
          <w:rFonts w:ascii="Arial" w:hAnsi="Arial" w:cs="Arial"/>
          <w:sz w:val="22"/>
          <w:szCs w:val="22"/>
        </w:rPr>
        <w:t>Investigating allegations of abuse. </w:t>
      </w:r>
      <w:r w:rsidRPr="00241915">
        <w:rPr>
          <w:rStyle w:val="eop"/>
          <w:rFonts w:cs="Arial"/>
          <w:sz w:val="22"/>
          <w:szCs w:val="22"/>
        </w:rPr>
        <w:t> </w:t>
      </w:r>
    </w:p>
    <w:p w14:paraId="00406B4A" w14:textId="77777777" w:rsidR="00116F44" w:rsidRPr="00241915" w:rsidRDefault="00116F44" w:rsidP="00116F44">
      <w:pPr>
        <w:pStyle w:val="paragraph"/>
        <w:spacing w:before="0" w:beforeAutospacing="0" w:after="0" w:afterAutospacing="0"/>
        <w:textAlignment w:val="baseline"/>
        <w:rPr>
          <w:rStyle w:val="normaltextrun"/>
          <w:rFonts w:ascii="Arial" w:hAnsi="Arial" w:cs="Arial"/>
          <w:sz w:val="22"/>
          <w:szCs w:val="22"/>
        </w:rPr>
      </w:pPr>
    </w:p>
    <w:p w14:paraId="42609714" w14:textId="77777777" w:rsidR="00116F44" w:rsidRPr="00241915" w:rsidRDefault="00116F44" w:rsidP="00116F44">
      <w:pPr>
        <w:pStyle w:val="paragraph"/>
        <w:spacing w:before="0" w:beforeAutospacing="0" w:after="120" w:afterAutospacing="0"/>
        <w:textAlignment w:val="baseline"/>
        <w:rPr>
          <w:rStyle w:val="eop"/>
          <w:rFonts w:cs="Arial"/>
          <w:sz w:val="22"/>
          <w:szCs w:val="22"/>
        </w:rPr>
      </w:pPr>
      <w:r w:rsidRPr="00241915">
        <w:rPr>
          <w:rStyle w:val="normaltextrun"/>
          <w:rFonts w:ascii="Arial" w:hAnsi="Arial" w:cs="Arial"/>
          <w:sz w:val="22"/>
          <w:szCs w:val="22"/>
        </w:rPr>
        <w:t>The HSR enforces compliance through remedy and sanctions</w:t>
      </w:r>
      <w:r w:rsidRPr="00241915">
        <w:rPr>
          <w:rStyle w:val="normaltextrun"/>
          <w:rFonts w:ascii="Arial" w:hAnsi="Arial" w:cs="Arial"/>
          <w:i/>
          <w:iCs/>
          <w:sz w:val="22"/>
          <w:szCs w:val="22"/>
        </w:rPr>
        <w:t> </w:t>
      </w:r>
      <w:r w:rsidRPr="00241915">
        <w:rPr>
          <w:rStyle w:val="normaltextrun"/>
          <w:rFonts w:ascii="Arial" w:hAnsi="Arial" w:cs="Arial"/>
          <w:sz w:val="22"/>
          <w:szCs w:val="22"/>
        </w:rPr>
        <w:t>based on:</w:t>
      </w:r>
      <w:r w:rsidRPr="00241915">
        <w:rPr>
          <w:rStyle w:val="eop"/>
          <w:rFonts w:cs="Arial"/>
          <w:sz w:val="22"/>
          <w:szCs w:val="22"/>
        </w:rPr>
        <w:t> </w:t>
      </w:r>
    </w:p>
    <w:p w14:paraId="0E909FA7" w14:textId="77777777" w:rsidR="00116F44" w:rsidRPr="00241915" w:rsidRDefault="00116F44" w:rsidP="00116F44">
      <w:pPr>
        <w:pStyle w:val="paragraph"/>
        <w:numPr>
          <w:ilvl w:val="0"/>
          <w:numId w:val="33"/>
        </w:numPr>
        <w:tabs>
          <w:tab w:val="clear" w:pos="720"/>
        </w:tabs>
        <w:spacing w:before="0" w:beforeAutospacing="0" w:after="0" w:afterAutospacing="0"/>
        <w:ind w:left="284" w:firstLine="0"/>
        <w:textAlignment w:val="baseline"/>
        <w:rPr>
          <w:rFonts w:ascii="Arial" w:hAnsi="Arial" w:cs="Arial"/>
          <w:sz w:val="22"/>
          <w:szCs w:val="22"/>
        </w:rPr>
      </w:pPr>
      <w:r w:rsidRPr="00241915">
        <w:rPr>
          <w:rStyle w:val="normaltextrun"/>
          <w:rFonts w:ascii="Arial" w:hAnsi="Arial" w:cs="Arial"/>
          <w:sz w:val="22"/>
          <w:szCs w:val="22"/>
        </w:rPr>
        <w:t>The impact and likelihood of harm</w:t>
      </w:r>
      <w:r w:rsidRPr="00241915">
        <w:rPr>
          <w:rStyle w:val="eop"/>
          <w:rFonts w:cs="Arial"/>
          <w:sz w:val="22"/>
          <w:szCs w:val="22"/>
        </w:rPr>
        <w:t> </w:t>
      </w:r>
    </w:p>
    <w:p w14:paraId="5D49932C" w14:textId="77777777" w:rsidR="00116F44" w:rsidRPr="00241915" w:rsidRDefault="00116F44" w:rsidP="00116F44">
      <w:pPr>
        <w:pStyle w:val="paragraph"/>
        <w:numPr>
          <w:ilvl w:val="0"/>
          <w:numId w:val="33"/>
        </w:numPr>
        <w:tabs>
          <w:tab w:val="clear" w:pos="720"/>
        </w:tabs>
        <w:spacing w:before="0" w:beforeAutospacing="0" w:after="0" w:afterAutospacing="0"/>
        <w:ind w:left="284" w:firstLine="0"/>
        <w:textAlignment w:val="baseline"/>
        <w:rPr>
          <w:rStyle w:val="eop"/>
          <w:rFonts w:cs="Arial"/>
          <w:sz w:val="22"/>
          <w:szCs w:val="22"/>
        </w:rPr>
      </w:pPr>
      <w:r w:rsidRPr="00241915">
        <w:rPr>
          <w:rStyle w:val="normaltextrun"/>
          <w:rFonts w:ascii="Arial" w:hAnsi="Arial" w:cs="Arial"/>
          <w:sz w:val="22"/>
          <w:szCs w:val="22"/>
        </w:rPr>
        <w:t>The duty holder’s behaviour and attitude to compliance.</w:t>
      </w:r>
      <w:r w:rsidRPr="00241915">
        <w:rPr>
          <w:rStyle w:val="eop"/>
          <w:rFonts w:cs="Arial"/>
          <w:sz w:val="22"/>
          <w:szCs w:val="22"/>
        </w:rPr>
        <w:t> </w:t>
      </w:r>
    </w:p>
    <w:p w14:paraId="6A9FE017" w14:textId="77777777" w:rsidR="00116F44" w:rsidRPr="00241915" w:rsidRDefault="00116F44" w:rsidP="00116F44">
      <w:pPr>
        <w:pStyle w:val="paragraph"/>
        <w:spacing w:before="0" w:beforeAutospacing="0" w:after="0" w:afterAutospacing="0"/>
        <w:ind w:left="720"/>
        <w:textAlignment w:val="baseline"/>
        <w:rPr>
          <w:rFonts w:ascii="Arial" w:hAnsi="Arial" w:cs="Arial"/>
          <w:sz w:val="22"/>
          <w:szCs w:val="22"/>
        </w:rPr>
      </w:pPr>
    </w:p>
    <w:p w14:paraId="1264BBC8" w14:textId="77777777" w:rsidR="00116F44" w:rsidRPr="00241915" w:rsidRDefault="00116F44" w:rsidP="00116F44">
      <w:pPr>
        <w:pStyle w:val="paragraph"/>
        <w:spacing w:before="0" w:beforeAutospacing="0" w:after="120" w:afterAutospacing="0"/>
        <w:textAlignment w:val="baseline"/>
        <w:rPr>
          <w:rFonts w:ascii="Calibri" w:hAnsi="Calibri"/>
          <w:sz w:val="22"/>
          <w:szCs w:val="22"/>
        </w:rPr>
      </w:pPr>
      <w:r w:rsidRPr="00241915">
        <w:rPr>
          <w:rStyle w:val="normaltextrun"/>
          <w:rFonts w:ascii="Arial" w:hAnsi="Arial" w:cs="Arial"/>
          <w:sz w:val="22"/>
          <w:szCs w:val="22"/>
        </w:rPr>
        <w:t>Remedies may include:</w:t>
      </w:r>
      <w:r w:rsidRPr="00241915">
        <w:rPr>
          <w:rStyle w:val="eop"/>
          <w:rFonts w:cs="Arial"/>
          <w:sz w:val="22"/>
          <w:szCs w:val="22"/>
        </w:rPr>
        <w:t> </w:t>
      </w:r>
    </w:p>
    <w:p w14:paraId="3D84B0F0" w14:textId="77777777" w:rsidR="00116F44" w:rsidRPr="00241915" w:rsidRDefault="00116F44" w:rsidP="00116F44">
      <w:pPr>
        <w:pStyle w:val="paragraph"/>
        <w:numPr>
          <w:ilvl w:val="0"/>
          <w:numId w:val="34"/>
        </w:numPr>
        <w:tabs>
          <w:tab w:val="clear" w:pos="720"/>
        </w:tabs>
        <w:spacing w:before="0" w:beforeAutospacing="0" w:after="0" w:afterAutospacing="0"/>
        <w:ind w:hanging="436"/>
        <w:textAlignment w:val="baseline"/>
        <w:rPr>
          <w:rFonts w:ascii="Calibri" w:hAnsi="Calibri"/>
          <w:sz w:val="22"/>
          <w:szCs w:val="22"/>
        </w:rPr>
      </w:pPr>
      <w:r w:rsidRPr="00241915">
        <w:rPr>
          <w:rStyle w:val="normaltextrun"/>
          <w:rFonts w:ascii="Arial" w:hAnsi="Arial" w:cs="Arial"/>
          <w:sz w:val="22"/>
          <w:szCs w:val="22"/>
        </w:rPr>
        <w:t>Issuing compliance guidance</w:t>
      </w:r>
      <w:r w:rsidRPr="00241915">
        <w:rPr>
          <w:rStyle w:val="eop"/>
          <w:rFonts w:cs="Arial"/>
          <w:sz w:val="22"/>
          <w:szCs w:val="22"/>
        </w:rPr>
        <w:t> </w:t>
      </w:r>
    </w:p>
    <w:p w14:paraId="2684B364" w14:textId="77777777" w:rsidR="00116F44" w:rsidRPr="00241915" w:rsidRDefault="00116F44" w:rsidP="00116F44">
      <w:pPr>
        <w:pStyle w:val="paragraph"/>
        <w:numPr>
          <w:ilvl w:val="0"/>
          <w:numId w:val="35"/>
        </w:numPr>
        <w:tabs>
          <w:tab w:val="clear" w:pos="720"/>
        </w:tabs>
        <w:spacing w:before="0" w:beforeAutospacing="0" w:after="0" w:afterAutospacing="0"/>
        <w:ind w:hanging="436"/>
        <w:textAlignment w:val="baseline"/>
        <w:rPr>
          <w:rFonts w:ascii="Calibri" w:hAnsi="Calibri"/>
          <w:sz w:val="22"/>
          <w:szCs w:val="22"/>
        </w:rPr>
      </w:pPr>
      <w:r w:rsidRPr="00241915">
        <w:rPr>
          <w:rStyle w:val="normaltextrun"/>
          <w:rFonts w:ascii="Arial" w:hAnsi="Arial" w:cs="Arial"/>
          <w:sz w:val="22"/>
          <w:szCs w:val="22"/>
        </w:rPr>
        <w:t>Notifications of non-compliance</w:t>
      </w:r>
      <w:r w:rsidRPr="00241915">
        <w:rPr>
          <w:rStyle w:val="eop"/>
          <w:rFonts w:cs="Arial"/>
          <w:sz w:val="22"/>
          <w:szCs w:val="22"/>
        </w:rPr>
        <w:t> </w:t>
      </w:r>
    </w:p>
    <w:p w14:paraId="4BE2D2C0" w14:textId="77777777" w:rsidR="00116F44" w:rsidRPr="00241915" w:rsidRDefault="00116F44" w:rsidP="00116F44">
      <w:pPr>
        <w:pStyle w:val="paragraph"/>
        <w:numPr>
          <w:ilvl w:val="0"/>
          <w:numId w:val="35"/>
        </w:numPr>
        <w:tabs>
          <w:tab w:val="clear" w:pos="720"/>
        </w:tabs>
        <w:spacing w:before="0" w:beforeAutospacing="0" w:after="0" w:afterAutospacing="0"/>
        <w:ind w:hanging="436"/>
        <w:textAlignment w:val="baseline"/>
        <w:rPr>
          <w:rFonts w:ascii="Calibri" w:hAnsi="Calibri"/>
          <w:sz w:val="22"/>
          <w:szCs w:val="22"/>
        </w:rPr>
      </w:pPr>
      <w:r w:rsidRPr="00241915">
        <w:rPr>
          <w:rStyle w:val="normaltextrun"/>
          <w:rFonts w:ascii="Arial" w:hAnsi="Arial" w:cs="Arial"/>
          <w:sz w:val="22"/>
          <w:szCs w:val="22"/>
        </w:rPr>
        <w:t>Remedial notices </w:t>
      </w:r>
      <w:r w:rsidRPr="00241915">
        <w:rPr>
          <w:rStyle w:val="eop"/>
          <w:rFonts w:cs="Arial"/>
          <w:sz w:val="22"/>
          <w:szCs w:val="22"/>
        </w:rPr>
        <w:t> </w:t>
      </w:r>
    </w:p>
    <w:p w14:paraId="57BBFE45" w14:textId="77777777" w:rsidR="00116F44" w:rsidRPr="00241915" w:rsidRDefault="00116F44" w:rsidP="00116F44">
      <w:pPr>
        <w:pStyle w:val="paragraph"/>
        <w:numPr>
          <w:ilvl w:val="0"/>
          <w:numId w:val="35"/>
        </w:numPr>
        <w:tabs>
          <w:tab w:val="clear" w:pos="720"/>
        </w:tabs>
        <w:spacing w:before="0" w:beforeAutospacing="0" w:after="0" w:afterAutospacing="0"/>
        <w:ind w:hanging="436"/>
        <w:textAlignment w:val="baseline"/>
        <w:rPr>
          <w:rStyle w:val="eop"/>
          <w:rFonts w:ascii="Calibri" w:hAnsi="Calibri"/>
          <w:sz w:val="22"/>
          <w:szCs w:val="22"/>
        </w:rPr>
      </w:pPr>
      <w:r w:rsidRPr="00241915">
        <w:rPr>
          <w:rStyle w:val="normaltextrun"/>
          <w:rFonts w:ascii="Arial" w:hAnsi="Arial" w:cs="Arial"/>
          <w:sz w:val="22"/>
          <w:szCs w:val="22"/>
        </w:rPr>
        <w:lastRenderedPageBreak/>
        <w:t>Applying conditions or restrictions on registrations. </w:t>
      </w:r>
      <w:r w:rsidRPr="00241915">
        <w:rPr>
          <w:rStyle w:val="eop"/>
          <w:rFonts w:cs="Arial"/>
          <w:sz w:val="22"/>
          <w:szCs w:val="22"/>
        </w:rPr>
        <w:t> </w:t>
      </w:r>
    </w:p>
    <w:p w14:paraId="621673D5" w14:textId="77777777" w:rsidR="00116F44" w:rsidRPr="00241915" w:rsidRDefault="00116F44" w:rsidP="00116F44">
      <w:pPr>
        <w:pStyle w:val="paragraph"/>
        <w:spacing w:before="0" w:beforeAutospacing="0" w:after="0" w:afterAutospacing="0"/>
        <w:ind w:left="720"/>
        <w:textAlignment w:val="baseline"/>
        <w:rPr>
          <w:rFonts w:ascii="Calibri" w:hAnsi="Calibri"/>
          <w:sz w:val="22"/>
          <w:szCs w:val="22"/>
        </w:rPr>
      </w:pPr>
    </w:p>
    <w:p w14:paraId="12669942" w14:textId="77777777" w:rsidR="00116F44" w:rsidRDefault="00116F44" w:rsidP="00116F44">
      <w:pPr>
        <w:pStyle w:val="paragraph"/>
        <w:spacing w:before="0" w:beforeAutospacing="0" w:after="0" w:afterAutospacing="0"/>
        <w:textAlignment w:val="baseline"/>
        <w:rPr>
          <w:rStyle w:val="normaltextrun"/>
          <w:rFonts w:ascii="Arial" w:hAnsi="Arial" w:cs="Arial"/>
          <w:sz w:val="22"/>
          <w:szCs w:val="22"/>
        </w:rPr>
      </w:pPr>
    </w:p>
    <w:p w14:paraId="05123B84" w14:textId="77777777" w:rsidR="00116F44" w:rsidRPr="00241915" w:rsidRDefault="00116F44" w:rsidP="00116F44">
      <w:pPr>
        <w:pStyle w:val="paragraph"/>
        <w:spacing w:before="0" w:beforeAutospacing="0" w:after="120" w:afterAutospacing="0"/>
        <w:textAlignment w:val="baseline"/>
        <w:rPr>
          <w:rStyle w:val="eop"/>
          <w:rFonts w:cs="Arial"/>
          <w:sz w:val="22"/>
          <w:szCs w:val="22"/>
        </w:rPr>
      </w:pPr>
      <w:r>
        <w:rPr>
          <w:rStyle w:val="normaltextrun"/>
          <w:rFonts w:ascii="Arial" w:hAnsi="Arial" w:cs="Arial"/>
          <w:sz w:val="22"/>
          <w:szCs w:val="22"/>
        </w:rPr>
        <w:t>N</w:t>
      </w:r>
      <w:r w:rsidRPr="00241915">
        <w:rPr>
          <w:rStyle w:val="normaltextrun"/>
          <w:rFonts w:ascii="Arial" w:hAnsi="Arial" w:cs="Arial"/>
          <w:sz w:val="22"/>
          <w:szCs w:val="22"/>
        </w:rPr>
        <w:t>on-compliance may lead to sanctions like:</w:t>
      </w:r>
      <w:r w:rsidRPr="00241915">
        <w:rPr>
          <w:rStyle w:val="eop"/>
          <w:rFonts w:cs="Arial"/>
          <w:sz w:val="22"/>
          <w:szCs w:val="22"/>
        </w:rPr>
        <w:t> </w:t>
      </w:r>
    </w:p>
    <w:p w14:paraId="2781F5D2" w14:textId="77777777" w:rsidR="00116F44" w:rsidRPr="00241915" w:rsidRDefault="00116F44" w:rsidP="00116F44">
      <w:pPr>
        <w:pStyle w:val="paragraph"/>
        <w:numPr>
          <w:ilvl w:val="0"/>
          <w:numId w:val="36"/>
        </w:numPr>
        <w:spacing w:before="0" w:beforeAutospacing="0" w:after="0" w:afterAutospacing="0"/>
        <w:ind w:hanging="436"/>
        <w:textAlignment w:val="baseline"/>
        <w:rPr>
          <w:rFonts w:ascii="Calibri" w:hAnsi="Calibri"/>
          <w:sz w:val="22"/>
          <w:szCs w:val="22"/>
        </w:rPr>
      </w:pPr>
      <w:r w:rsidRPr="00241915">
        <w:rPr>
          <w:rStyle w:val="normaltextrun"/>
          <w:rFonts w:ascii="Arial" w:hAnsi="Arial" w:cs="Arial"/>
          <w:sz w:val="22"/>
          <w:szCs w:val="22"/>
        </w:rPr>
        <w:t>Official warnings</w:t>
      </w:r>
      <w:r w:rsidRPr="00241915">
        <w:rPr>
          <w:rStyle w:val="eop"/>
          <w:rFonts w:cs="Arial"/>
          <w:sz w:val="22"/>
          <w:szCs w:val="22"/>
        </w:rPr>
        <w:t> </w:t>
      </w:r>
    </w:p>
    <w:p w14:paraId="3FC03BFA" w14:textId="77777777" w:rsidR="00116F44" w:rsidRPr="00241915" w:rsidRDefault="00116F44" w:rsidP="00116F44">
      <w:pPr>
        <w:pStyle w:val="paragraph"/>
        <w:numPr>
          <w:ilvl w:val="0"/>
          <w:numId w:val="37"/>
        </w:numPr>
        <w:spacing w:before="0" w:beforeAutospacing="0" w:after="0" w:afterAutospacing="0"/>
        <w:ind w:hanging="436"/>
        <w:textAlignment w:val="baseline"/>
        <w:rPr>
          <w:rFonts w:ascii="Calibri" w:hAnsi="Calibri"/>
          <w:sz w:val="22"/>
          <w:szCs w:val="22"/>
        </w:rPr>
      </w:pPr>
      <w:r w:rsidRPr="00241915">
        <w:rPr>
          <w:rStyle w:val="normaltextrun"/>
          <w:rFonts w:ascii="Arial" w:hAnsi="Arial" w:cs="Arial"/>
          <w:sz w:val="22"/>
          <w:szCs w:val="22"/>
        </w:rPr>
        <w:t>Infringements</w:t>
      </w:r>
      <w:r w:rsidRPr="00241915">
        <w:rPr>
          <w:rStyle w:val="eop"/>
          <w:rFonts w:cs="Arial"/>
          <w:sz w:val="22"/>
          <w:szCs w:val="22"/>
        </w:rPr>
        <w:t> </w:t>
      </w:r>
    </w:p>
    <w:p w14:paraId="4CC9B29F" w14:textId="77777777" w:rsidR="00116F44" w:rsidRPr="00241915" w:rsidRDefault="00116F44" w:rsidP="00116F44">
      <w:pPr>
        <w:pStyle w:val="paragraph"/>
        <w:numPr>
          <w:ilvl w:val="0"/>
          <w:numId w:val="37"/>
        </w:numPr>
        <w:spacing w:before="0" w:beforeAutospacing="0" w:after="0" w:afterAutospacing="0"/>
        <w:ind w:hanging="436"/>
        <w:textAlignment w:val="baseline"/>
        <w:rPr>
          <w:rFonts w:ascii="Calibri" w:hAnsi="Calibri"/>
          <w:sz w:val="22"/>
          <w:szCs w:val="22"/>
        </w:rPr>
      </w:pPr>
      <w:r w:rsidRPr="00241915">
        <w:rPr>
          <w:rStyle w:val="normaltextrun"/>
          <w:rFonts w:ascii="Arial" w:hAnsi="Arial" w:cs="Arial"/>
          <w:sz w:val="22"/>
          <w:szCs w:val="22"/>
        </w:rPr>
        <w:t>Suspending or cancelling registration</w:t>
      </w:r>
      <w:r w:rsidRPr="00241915">
        <w:rPr>
          <w:rStyle w:val="eop"/>
          <w:rFonts w:cs="Arial"/>
          <w:sz w:val="22"/>
          <w:szCs w:val="22"/>
        </w:rPr>
        <w:t> </w:t>
      </w:r>
    </w:p>
    <w:p w14:paraId="70D65E91" w14:textId="77777777" w:rsidR="00116F44" w:rsidRPr="00241915" w:rsidRDefault="00116F44" w:rsidP="00116F44">
      <w:pPr>
        <w:pStyle w:val="paragraph"/>
        <w:numPr>
          <w:ilvl w:val="0"/>
          <w:numId w:val="37"/>
        </w:numPr>
        <w:spacing w:before="0" w:beforeAutospacing="0" w:after="0" w:afterAutospacing="0"/>
        <w:ind w:hanging="436"/>
        <w:textAlignment w:val="baseline"/>
        <w:rPr>
          <w:rFonts w:ascii="Calibri" w:hAnsi="Calibri"/>
          <w:sz w:val="22"/>
          <w:szCs w:val="22"/>
        </w:rPr>
      </w:pPr>
      <w:r w:rsidRPr="00241915">
        <w:rPr>
          <w:rStyle w:val="normaltextrun"/>
          <w:rFonts w:ascii="Arial" w:hAnsi="Arial" w:cs="Arial"/>
          <w:sz w:val="22"/>
          <w:szCs w:val="22"/>
        </w:rPr>
        <w:t>Prosecution for offences under relevant laws.</w:t>
      </w:r>
      <w:r w:rsidRPr="00241915">
        <w:rPr>
          <w:rStyle w:val="eop"/>
          <w:rFonts w:cs="Arial"/>
          <w:sz w:val="22"/>
          <w:szCs w:val="22"/>
        </w:rPr>
        <w:t> </w:t>
      </w:r>
    </w:p>
    <w:p w14:paraId="6AF6D496" w14:textId="78F7AA85" w:rsidR="00116F44" w:rsidRPr="00D525D9" w:rsidRDefault="00BD5344" w:rsidP="00BD5344">
      <w:pPr>
        <w:pStyle w:val="Heading1"/>
      </w:pPr>
      <w:bookmarkStart w:id="13" w:name="_Toc90530580"/>
      <w:r>
        <w:t xml:space="preserve">4. </w:t>
      </w:r>
      <w:r w:rsidR="00116F44" w:rsidRPr="00D525D9">
        <w:t>Legislated functions of the HSR and the CVP</w:t>
      </w:r>
      <w:bookmarkEnd w:id="13"/>
      <w:r w:rsidR="00116F44" w:rsidRPr="00D525D9">
        <w:t xml:space="preserve"> </w:t>
      </w:r>
    </w:p>
    <w:p w14:paraId="1A467EB2" w14:textId="77777777" w:rsidR="00116F44" w:rsidRPr="007B4C73" w:rsidRDefault="00116F44" w:rsidP="00116F44">
      <w:pPr>
        <w:pStyle w:val="DHHSbody"/>
        <w:rPr>
          <w:i/>
          <w:iCs/>
        </w:rPr>
      </w:pPr>
      <w:r w:rsidRPr="009913BE">
        <w:t xml:space="preserve">The </w:t>
      </w:r>
      <w:r>
        <w:t xml:space="preserve">HSR and </w:t>
      </w:r>
      <w:r w:rsidRPr="009913BE">
        <w:t>CVP</w:t>
      </w:r>
      <w:r>
        <w:t xml:space="preserve"> </w:t>
      </w:r>
      <w:r w:rsidRPr="009913BE">
        <w:t>play important, but distinct, roles in facilitating th</w:t>
      </w:r>
      <w:r>
        <w:t>e</w:t>
      </w:r>
      <w:r w:rsidRPr="009913BE">
        <w:t xml:space="preserve"> objective</w:t>
      </w:r>
      <w:r>
        <w:t>s of the SRS Act</w:t>
      </w:r>
      <w:r w:rsidRPr="009913BE">
        <w:t xml:space="preserve"> and in ensuring that </w:t>
      </w:r>
      <w:r>
        <w:t xml:space="preserve">SRS </w:t>
      </w:r>
      <w:r w:rsidRPr="009913BE">
        <w:t xml:space="preserve">operate in line with the obligations and standards outlined in the </w:t>
      </w:r>
      <w:r>
        <w:t xml:space="preserve">SRS </w:t>
      </w:r>
      <w:r w:rsidRPr="009913BE">
        <w:t xml:space="preserve">Act and </w:t>
      </w:r>
      <w:r>
        <w:t xml:space="preserve">the </w:t>
      </w:r>
      <w:r w:rsidRPr="007B4C73">
        <w:rPr>
          <w:i/>
          <w:iCs/>
        </w:rPr>
        <w:t>Supported Residential Services (Private Proprietors) Regulations 2012 (the Regulations).</w:t>
      </w:r>
    </w:p>
    <w:p w14:paraId="1D77446A" w14:textId="77777777" w:rsidR="00116F44" w:rsidRPr="009913BE" w:rsidRDefault="00116F44" w:rsidP="000A30EA">
      <w:pPr>
        <w:pStyle w:val="Heading4"/>
      </w:pPr>
      <w:r>
        <w:t>4.1 Community Visitors Program:</w:t>
      </w:r>
    </w:p>
    <w:p w14:paraId="03885082" w14:textId="518273BA" w:rsidR="00116F44" w:rsidRPr="009913BE" w:rsidRDefault="00116F44" w:rsidP="00116F44">
      <w:pPr>
        <w:pStyle w:val="DHHSbody"/>
        <w:rPr>
          <w:rFonts w:cs="Arial"/>
        </w:rPr>
      </w:pPr>
      <w:r w:rsidRPr="009913BE">
        <w:rPr>
          <w:rFonts w:cs="Arial"/>
        </w:rPr>
        <w:t>The</w:t>
      </w:r>
      <w:r>
        <w:rPr>
          <w:rFonts w:cs="Arial"/>
        </w:rPr>
        <w:t xml:space="preserve"> legislative</w:t>
      </w:r>
      <w:r w:rsidRPr="009913BE">
        <w:rPr>
          <w:rFonts w:cs="Arial"/>
        </w:rPr>
        <w:t xml:space="preserve"> functions of a </w:t>
      </w:r>
      <w:r w:rsidRPr="00596AFA">
        <w:rPr>
          <w:rFonts w:cs="Arial"/>
        </w:rPr>
        <w:t>Community Visitor</w:t>
      </w:r>
      <w:r w:rsidRPr="009913BE">
        <w:rPr>
          <w:rFonts w:cs="Arial"/>
        </w:rPr>
        <w:t> appointed for a region are to visit any </w:t>
      </w:r>
      <w:r w:rsidRPr="00596AFA">
        <w:rPr>
          <w:rFonts w:cs="Arial"/>
        </w:rPr>
        <w:t>supported residential service</w:t>
      </w:r>
      <w:r w:rsidRPr="009913BE">
        <w:rPr>
          <w:rFonts w:cs="Arial"/>
        </w:rPr>
        <w:t> in the region and query:</w:t>
      </w:r>
    </w:p>
    <w:p w14:paraId="1F852EF8" w14:textId="2521DD81" w:rsidR="00116F44" w:rsidRPr="00551384" w:rsidRDefault="00116F44" w:rsidP="00116F44">
      <w:pPr>
        <w:pStyle w:val="ListParagraph"/>
      </w:pPr>
      <w:r w:rsidRPr="009913BE">
        <w:t>(a</w:t>
      </w:r>
      <w:r w:rsidRPr="00551384">
        <w:t>)     whether services are being delivered to </w:t>
      </w:r>
      <w:r w:rsidRPr="00596AFA">
        <w:t>residents</w:t>
      </w:r>
      <w:r w:rsidRPr="00551384">
        <w:t> in accordance with the principles of this Act and the accommodation and </w:t>
      </w:r>
      <w:r w:rsidRPr="00596AFA">
        <w:t>personal support</w:t>
      </w:r>
      <w:r w:rsidRPr="00551384">
        <w:t> standards prescribed under this Act;</w:t>
      </w:r>
    </w:p>
    <w:p w14:paraId="5367AC38" w14:textId="7CCF85F1" w:rsidR="00116F44" w:rsidRPr="00551384" w:rsidRDefault="00116F44" w:rsidP="00116F44">
      <w:pPr>
        <w:pStyle w:val="ListParagraph"/>
      </w:pPr>
      <w:r w:rsidRPr="00551384">
        <w:t>(b)     the status of any complaint made by or on behalf of a </w:t>
      </w:r>
      <w:r w:rsidRPr="00596AFA">
        <w:t>resident</w:t>
      </w:r>
      <w:r w:rsidRPr="00551384">
        <w:t> and the progress of its resolution, if applicable;</w:t>
      </w:r>
    </w:p>
    <w:p w14:paraId="4B46CF2A" w14:textId="374FA769" w:rsidR="00116F44" w:rsidRPr="00551384" w:rsidRDefault="00116F44" w:rsidP="00116F44">
      <w:pPr>
        <w:pStyle w:val="ListParagraph"/>
      </w:pPr>
      <w:r w:rsidRPr="00551384">
        <w:t>(c)     any other issue or concern raised with the </w:t>
      </w:r>
      <w:r w:rsidRPr="00596AFA">
        <w:t>community visitor</w:t>
      </w:r>
      <w:r w:rsidRPr="00551384">
        <w:t> by or on behalf of a </w:t>
      </w:r>
      <w:r w:rsidRPr="00596AFA">
        <w:t>resident</w:t>
      </w:r>
      <w:r w:rsidRPr="00551384">
        <w:t>.</w:t>
      </w:r>
    </w:p>
    <w:p w14:paraId="76864A88" w14:textId="1150A8B0" w:rsidR="00116F44" w:rsidRPr="00B970C5" w:rsidRDefault="00116F44" w:rsidP="000A30EA">
      <w:pPr>
        <w:pStyle w:val="Heading4"/>
      </w:pPr>
      <w:r>
        <w:t>4.2</w:t>
      </w:r>
      <w:r w:rsidR="00B75D89">
        <w:t xml:space="preserve"> </w:t>
      </w:r>
      <w:r>
        <w:t>Human Services Regulator:</w:t>
      </w:r>
    </w:p>
    <w:p w14:paraId="18E6402A" w14:textId="77777777" w:rsidR="00116F44" w:rsidRPr="009913BE" w:rsidRDefault="00116F44" w:rsidP="00116F44">
      <w:pPr>
        <w:pStyle w:val="DHHSbody"/>
      </w:pPr>
      <w:r w:rsidRPr="009913BE">
        <w:t>The HSR is delegated, through the relevant Instruments of Delegation</w:t>
      </w:r>
      <w:r>
        <w:t xml:space="preserve"> made under the SRS Act</w:t>
      </w:r>
      <w:r w:rsidRPr="009913BE">
        <w:t>, all of the powers and functions of the Minister for Disability, Ageing and Carers and the Secretary of the Department of Families, Fairness and Housing as outlined in the Act.</w:t>
      </w:r>
    </w:p>
    <w:p w14:paraId="54384F5E" w14:textId="4259D939" w:rsidR="00116F44" w:rsidRPr="00A53C23" w:rsidRDefault="00116F44" w:rsidP="000A30EA">
      <w:pPr>
        <w:pStyle w:val="Heading4"/>
      </w:pPr>
      <w:r w:rsidRPr="00A53C23">
        <w:t>4.3</w:t>
      </w:r>
      <w:r w:rsidR="00B75D89">
        <w:t xml:space="preserve"> </w:t>
      </w:r>
      <w:r w:rsidRPr="00A53C23">
        <w:t>Proposed changes to legislation and regulatory arrangements</w:t>
      </w:r>
    </w:p>
    <w:p w14:paraId="0F49A743" w14:textId="77777777" w:rsidR="00116F44" w:rsidRPr="00195F6D" w:rsidRDefault="00116F44" w:rsidP="00116F44">
      <w:pPr>
        <w:pStyle w:val="DHHSbody"/>
      </w:pPr>
      <w:r w:rsidRPr="00195F6D">
        <w:t xml:space="preserve">Both parties acknowledge that this protocol is being developed at a time when significant changes are underway regarding the regulation of social services in Victoria. The new </w:t>
      </w:r>
      <w:r w:rsidRPr="00195F6D">
        <w:rPr>
          <w:i/>
          <w:iCs/>
        </w:rPr>
        <w:t>Social Services Regulation Act 2021</w:t>
      </w:r>
      <w:r w:rsidRPr="00195F6D">
        <w:t xml:space="preserve"> will require the development of a new protocol once the new Social Services Regulator is established. </w:t>
      </w:r>
    </w:p>
    <w:p w14:paraId="17A26E37" w14:textId="58FE06A7" w:rsidR="00116F44" w:rsidRPr="00A53C23" w:rsidRDefault="00BD5344" w:rsidP="00BD5344">
      <w:pPr>
        <w:pStyle w:val="Heading1"/>
      </w:pPr>
      <w:bookmarkStart w:id="14" w:name="_Toc90530581"/>
      <w:r>
        <w:t xml:space="preserve">5. </w:t>
      </w:r>
      <w:r w:rsidR="00116F44" w:rsidRPr="00A53C23">
        <w:t>Term</w:t>
      </w:r>
      <w:bookmarkEnd w:id="14"/>
      <w:r w:rsidR="00116F44" w:rsidRPr="00A53C23">
        <w:t xml:space="preserve"> </w:t>
      </w:r>
    </w:p>
    <w:p w14:paraId="4D6AE249" w14:textId="77777777" w:rsidR="00116F44" w:rsidRPr="005B588D" w:rsidRDefault="00116F44" w:rsidP="00116F44">
      <w:pPr>
        <w:rPr>
          <w:rFonts w:cs="Arial"/>
          <w:sz w:val="22"/>
          <w:szCs w:val="22"/>
        </w:rPr>
      </w:pPr>
      <w:r w:rsidRPr="005B588D">
        <w:rPr>
          <w:rFonts w:cs="Arial"/>
          <w:sz w:val="22"/>
          <w:szCs w:val="22"/>
        </w:rPr>
        <w:t xml:space="preserve">This protocol will commence on </w:t>
      </w:r>
      <w:r w:rsidRPr="005B588D">
        <w:rPr>
          <w:rFonts w:cs="Arial"/>
          <w:b/>
          <w:bCs/>
          <w:sz w:val="22"/>
          <w:szCs w:val="22"/>
        </w:rPr>
        <w:t>01 / 01 / 2022</w:t>
      </w:r>
      <w:r w:rsidRPr="005B588D">
        <w:rPr>
          <w:rFonts w:cs="Arial"/>
          <w:sz w:val="22"/>
          <w:szCs w:val="22"/>
        </w:rPr>
        <w:t xml:space="preserve"> and continue until </w:t>
      </w:r>
      <w:r w:rsidRPr="005B588D">
        <w:rPr>
          <w:rFonts w:cs="Arial"/>
          <w:b/>
          <w:bCs/>
          <w:sz w:val="22"/>
          <w:szCs w:val="22"/>
        </w:rPr>
        <w:t>31 / 12 / 2022</w:t>
      </w:r>
    </w:p>
    <w:p w14:paraId="1877EE1A" w14:textId="34E34C0C" w:rsidR="00116F44" w:rsidRPr="00FD0E92" w:rsidRDefault="00BD5344" w:rsidP="00BD5344">
      <w:pPr>
        <w:pStyle w:val="Heading1"/>
        <w:rPr>
          <w:rFonts w:eastAsiaTheme="minorEastAsia"/>
        </w:rPr>
      </w:pPr>
      <w:bookmarkStart w:id="15" w:name="_Toc90530582"/>
      <w:r>
        <w:t xml:space="preserve">6. </w:t>
      </w:r>
      <w:r w:rsidR="00116F44" w:rsidRPr="00FD0E92">
        <w:t>Notifications between Parties</w:t>
      </w:r>
      <w:bookmarkEnd w:id="15"/>
    </w:p>
    <w:p w14:paraId="4BF61E48" w14:textId="77777777" w:rsidR="00116F44" w:rsidRPr="005B588D" w:rsidRDefault="00116F44" w:rsidP="00116F44">
      <w:pPr>
        <w:pStyle w:val="NormalWeb"/>
        <w:spacing w:before="0" w:beforeAutospacing="0" w:after="120" w:afterAutospacing="0"/>
        <w:jc w:val="both"/>
        <w:rPr>
          <w:rFonts w:ascii="Arial" w:eastAsia="Arial" w:hAnsi="Arial" w:cs="Arial"/>
          <w:color w:val="000000" w:themeColor="text1"/>
          <w:sz w:val="22"/>
          <w:szCs w:val="22"/>
        </w:rPr>
      </w:pPr>
      <w:r w:rsidRPr="005B588D">
        <w:rPr>
          <w:rFonts w:ascii="Arial" w:eastAsia="Arial" w:hAnsi="Arial" w:cs="Arial"/>
          <w:color w:val="000000" w:themeColor="text1"/>
          <w:sz w:val="22"/>
          <w:szCs w:val="22"/>
        </w:rPr>
        <w:t>This section outlines the agreed procedures for all notification types between parties.</w:t>
      </w:r>
    </w:p>
    <w:p w14:paraId="3BF48AE5" w14:textId="77777777" w:rsidR="00116F44" w:rsidRPr="005B588D" w:rsidRDefault="00116F44" w:rsidP="00116F44">
      <w:pPr>
        <w:pStyle w:val="NormalWeb"/>
        <w:spacing w:before="0" w:beforeAutospacing="0" w:after="120" w:afterAutospacing="0"/>
        <w:jc w:val="both"/>
        <w:rPr>
          <w:rFonts w:ascii="Arial" w:eastAsia="Arial" w:hAnsi="Arial" w:cs="Arial"/>
          <w:color w:val="000000" w:themeColor="text1"/>
          <w:sz w:val="22"/>
          <w:szCs w:val="22"/>
        </w:rPr>
      </w:pPr>
      <w:r w:rsidRPr="005B588D">
        <w:rPr>
          <w:rFonts w:ascii="Arial" w:eastAsia="Arial" w:hAnsi="Arial" w:cs="Arial"/>
          <w:color w:val="000000" w:themeColor="text1"/>
          <w:sz w:val="22"/>
          <w:szCs w:val="22"/>
        </w:rPr>
        <w:t xml:space="preserve">Definitions of terminology can be found at </w:t>
      </w:r>
      <w:r w:rsidRPr="005B588D">
        <w:rPr>
          <w:rFonts w:ascii="Arial" w:eastAsia="Arial" w:hAnsi="Arial" w:cs="Arial"/>
          <w:b/>
          <w:bCs/>
          <w:color w:val="000000" w:themeColor="text1"/>
          <w:sz w:val="22"/>
          <w:szCs w:val="22"/>
        </w:rPr>
        <w:t>Appendix 1: Glossary of terms</w:t>
      </w:r>
      <w:r w:rsidRPr="005B588D">
        <w:rPr>
          <w:rFonts w:ascii="Arial" w:eastAsia="Arial" w:hAnsi="Arial" w:cs="Arial"/>
          <w:color w:val="000000" w:themeColor="text1"/>
          <w:sz w:val="22"/>
          <w:szCs w:val="22"/>
        </w:rPr>
        <w:t>.</w:t>
      </w:r>
    </w:p>
    <w:p w14:paraId="2F814BC2" w14:textId="5F6F86A7" w:rsidR="00116F44" w:rsidRPr="005B588D" w:rsidRDefault="00116F44" w:rsidP="00116F44">
      <w:pPr>
        <w:rPr>
          <w:rFonts w:cs="Arial"/>
          <w:sz w:val="22"/>
          <w:szCs w:val="22"/>
          <w:lang w:eastAsia="en-AU"/>
        </w:rPr>
      </w:pPr>
      <w:r w:rsidRPr="005B588D">
        <w:rPr>
          <w:rFonts w:cs="Arial"/>
          <w:sz w:val="22"/>
          <w:szCs w:val="22"/>
          <w:lang w:eastAsia="en-AU"/>
        </w:rPr>
        <w:lastRenderedPageBreak/>
        <w:t xml:space="preserve">Emails for identified roles can be found in </w:t>
      </w:r>
      <w:r w:rsidRPr="005B588D">
        <w:rPr>
          <w:rFonts w:cs="Arial"/>
          <w:b/>
          <w:bCs/>
          <w:sz w:val="22"/>
          <w:szCs w:val="22"/>
          <w:lang w:eastAsia="en-AU"/>
        </w:rPr>
        <w:t>Appendix 2: o</w:t>
      </w:r>
      <w:r w:rsidRPr="005B588D">
        <w:rPr>
          <w:rFonts w:cs="Arial"/>
          <w:b/>
          <w:bCs/>
          <w:sz w:val="22"/>
          <w:szCs w:val="22"/>
          <w:lang w:eastAsia="en-AU"/>
        </w:rPr>
        <w:fldChar w:fldCharType="begin"/>
      </w:r>
      <w:r w:rsidRPr="005B588D">
        <w:rPr>
          <w:rFonts w:cs="Arial"/>
          <w:b/>
          <w:bCs/>
          <w:sz w:val="22"/>
          <w:szCs w:val="22"/>
          <w:lang w:eastAsia="en-AU"/>
        </w:rPr>
        <w:instrText xml:space="preserve"> REF _Ref85119365 \h  \* MERGEFORMAT </w:instrText>
      </w:r>
      <w:r w:rsidRPr="005B588D">
        <w:rPr>
          <w:rFonts w:cs="Arial"/>
          <w:b/>
          <w:bCs/>
          <w:sz w:val="22"/>
          <w:szCs w:val="22"/>
          <w:lang w:eastAsia="en-AU"/>
        </w:rPr>
      </w:r>
      <w:r w:rsidRPr="005B588D">
        <w:rPr>
          <w:rFonts w:cs="Arial"/>
          <w:b/>
          <w:bCs/>
          <w:sz w:val="22"/>
          <w:szCs w:val="22"/>
          <w:lang w:eastAsia="en-AU"/>
        </w:rPr>
        <w:fldChar w:fldCharType="separate"/>
      </w:r>
      <w:r w:rsidR="00451692" w:rsidRPr="00451692">
        <w:rPr>
          <w:rFonts w:cs="Arial"/>
          <w:b/>
          <w:bCs/>
          <w:sz w:val="22"/>
          <w:szCs w:val="22"/>
        </w:rPr>
        <w:t xml:space="preserve">Appendix 2: </w:t>
      </w:r>
      <w:r w:rsidR="00451692" w:rsidRPr="00DC07DD">
        <w:t>Organisational contact points</w:t>
      </w:r>
      <w:r w:rsidRPr="005B588D">
        <w:rPr>
          <w:rFonts w:cs="Arial"/>
          <w:b/>
          <w:bCs/>
          <w:sz w:val="22"/>
          <w:szCs w:val="22"/>
          <w:lang w:eastAsia="en-AU"/>
        </w:rPr>
        <w:fldChar w:fldCharType="end"/>
      </w:r>
      <w:r w:rsidRPr="005B588D">
        <w:rPr>
          <w:rFonts w:cs="Arial"/>
          <w:sz w:val="22"/>
          <w:szCs w:val="22"/>
          <w:lang w:eastAsia="en-AU"/>
        </w:rPr>
        <w:t xml:space="preserve"> section of this protocol.</w:t>
      </w:r>
    </w:p>
    <w:p w14:paraId="0E441FC8" w14:textId="69B3BDDE" w:rsidR="00116F44" w:rsidRDefault="00116F44" w:rsidP="00116F44">
      <w:pPr>
        <w:rPr>
          <w:rFonts w:cs="Arial"/>
          <w:lang w:eastAsia="en-AU"/>
        </w:rPr>
      </w:pPr>
      <w:r w:rsidRPr="005B588D">
        <w:rPr>
          <w:rFonts w:cs="Arial"/>
          <w:sz w:val="22"/>
          <w:szCs w:val="22"/>
          <w:lang w:eastAsia="en-AU"/>
        </w:rPr>
        <w:t xml:space="preserve">Response and report templates are located at </w:t>
      </w:r>
      <w:r w:rsidRPr="005B588D">
        <w:rPr>
          <w:rFonts w:cs="Arial"/>
          <w:b/>
          <w:bCs/>
          <w:sz w:val="22"/>
          <w:szCs w:val="22"/>
          <w:lang w:eastAsia="en-AU"/>
        </w:rPr>
        <w:t>Appendix 3 – Report templates.</w:t>
      </w:r>
      <w:r>
        <w:rPr>
          <w:rFonts w:cs="Arial"/>
          <w:lang w:eastAsia="en-AU"/>
        </w:rPr>
        <w:t xml:space="preserve">  </w:t>
      </w:r>
    </w:p>
    <w:p w14:paraId="6683E803" w14:textId="038E4301" w:rsidR="00116F44" w:rsidRPr="006623D8" w:rsidRDefault="00116F44" w:rsidP="000A30EA">
      <w:pPr>
        <w:pStyle w:val="Heading4"/>
      </w:pPr>
      <w:r>
        <w:t>6.1</w:t>
      </w:r>
      <w:r w:rsidR="00596AFA">
        <w:t xml:space="preserve"> </w:t>
      </w:r>
      <w:r w:rsidRPr="006623D8">
        <w:t>Notification Procedure for Standard Issues of Concern</w:t>
      </w:r>
    </w:p>
    <w:p w14:paraId="6D68A94F" w14:textId="77777777" w:rsidR="00116F44" w:rsidRDefault="00116F44" w:rsidP="00116F44">
      <w:pPr>
        <w:pStyle w:val="DHHSbody"/>
        <w:rPr>
          <w:lang w:eastAsia="en-AU"/>
        </w:rPr>
      </w:pPr>
      <w:r w:rsidRPr="007A3C23">
        <w:rPr>
          <w:lang w:eastAsia="en-AU"/>
        </w:rPr>
        <w:t xml:space="preserve">The </w:t>
      </w:r>
      <w:r>
        <w:rPr>
          <w:lang w:eastAsia="en-AU"/>
        </w:rPr>
        <w:t xml:space="preserve">following </w:t>
      </w:r>
      <w:r w:rsidRPr="007A3C23">
        <w:rPr>
          <w:lang w:eastAsia="en-AU"/>
        </w:rPr>
        <w:t>steps outlin</w:t>
      </w:r>
      <w:r>
        <w:rPr>
          <w:lang w:eastAsia="en-AU"/>
        </w:rPr>
        <w:t xml:space="preserve">e the procedure for the notification of standard issues of concern by the Community Visitors Program (CVP) to the </w:t>
      </w:r>
      <w:r w:rsidRPr="007A3C23">
        <w:rPr>
          <w:lang w:eastAsia="en-AU"/>
        </w:rPr>
        <w:t>Human Services Regulator</w:t>
      </w:r>
      <w:r>
        <w:rPr>
          <w:lang w:eastAsia="en-AU"/>
        </w:rPr>
        <w:t xml:space="preserve"> (HSR).</w:t>
      </w:r>
    </w:p>
    <w:p w14:paraId="63341CF4" w14:textId="77777777" w:rsidR="00116F44" w:rsidRPr="00046043" w:rsidRDefault="00116F44" w:rsidP="00116F44">
      <w:pPr>
        <w:spacing w:before="240"/>
        <w:rPr>
          <w:rFonts w:cs="Arial"/>
          <w:b/>
          <w:bCs/>
          <w:color w:val="365F91" w:themeColor="accent1" w:themeShade="BF"/>
          <w:sz w:val="24"/>
          <w:szCs w:val="24"/>
          <w:lang w:eastAsia="en-AU"/>
        </w:rPr>
      </w:pPr>
      <w:r w:rsidRPr="00046043">
        <w:rPr>
          <w:rFonts w:cs="Arial"/>
          <w:b/>
          <w:bCs/>
          <w:color w:val="365F91" w:themeColor="accent1" w:themeShade="BF"/>
          <w:sz w:val="24"/>
          <w:szCs w:val="24"/>
          <w:lang w:eastAsia="en-AU"/>
        </w:rPr>
        <w:t>Step 1: Identification of standard issues of concern by Community Visitors when conducting visits at SRS facilities.</w:t>
      </w:r>
    </w:p>
    <w:p w14:paraId="19A5F59E" w14:textId="77777777" w:rsidR="00561254" w:rsidRPr="00561254" w:rsidRDefault="00561254" w:rsidP="00561254">
      <w:pPr>
        <w:pStyle w:val="DHHStabletext"/>
        <w:numPr>
          <w:ilvl w:val="0"/>
          <w:numId w:val="13"/>
        </w:numPr>
        <w:ind w:left="567" w:hanging="284"/>
        <w:rPr>
          <w:rStyle w:val="IntenseEmphasis"/>
          <w:i w:val="0"/>
          <w:iCs w:val="0"/>
          <w:color w:val="365F91" w:themeColor="accent1" w:themeShade="BF"/>
        </w:rPr>
      </w:pPr>
      <w:r w:rsidRPr="00561254">
        <w:rPr>
          <w:rStyle w:val="IntenseEmphasis"/>
          <w:i w:val="0"/>
          <w:iCs w:val="0"/>
          <w:color w:val="365F91" w:themeColor="accent1" w:themeShade="BF"/>
        </w:rPr>
        <w:t>Community Visitor (CV) identifies an issue at the time of their visit at the SRS.</w:t>
      </w:r>
    </w:p>
    <w:p w14:paraId="0ECC7163" w14:textId="77777777" w:rsidR="00561254" w:rsidRPr="00561254" w:rsidRDefault="00561254" w:rsidP="00561254">
      <w:pPr>
        <w:pStyle w:val="DHHSbody"/>
        <w:ind w:left="567"/>
        <w:rPr>
          <w:rStyle w:val="IntenseEmphasis"/>
          <w:i w:val="0"/>
          <w:iCs w:val="0"/>
          <w:color w:val="365F91" w:themeColor="accent1" w:themeShade="BF"/>
        </w:rPr>
      </w:pPr>
      <w:r w:rsidRPr="00561254">
        <w:rPr>
          <w:rStyle w:val="IntenseEmphasis"/>
          <w:b/>
          <w:bCs/>
          <w:i w:val="0"/>
          <w:iCs w:val="0"/>
          <w:color w:val="365F91" w:themeColor="accent1" w:themeShade="BF"/>
        </w:rPr>
        <w:t>Note:</w:t>
      </w:r>
      <w:r w:rsidRPr="00561254">
        <w:rPr>
          <w:rStyle w:val="IntenseEmphasis"/>
          <w:i w:val="0"/>
          <w:iCs w:val="0"/>
          <w:color w:val="365F91" w:themeColor="accent1" w:themeShade="BF"/>
        </w:rPr>
        <w:t xml:space="preserve"> if issue is deemed as exceptional / emergency, CVs will immediately initiate </w:t>
      </w:r>
      <w:r w:rsidRPr="00561254">
        <w:rPr>
          <w:rStyle w:val="IntenseEmphasis"/>
          <w:b/>
          <w:bCs/>
          <w:i w:val="0"/>
          <w:iCs w:val="0"/>
          <w:color w:val="365F91" w:themeColor="accent1" w:themeShade="BF"/>
        </w:rPr>
        <w:t>the Special Circumstance Procedure 1 - Reporting of high-risk issues</w:t>
      </w:r>
      <w:r w:rsidRPr="00561254">
        <w:rPr>
          <w:rStyle w:val="IntenseEmphasis"/>
          <w:i w:val="0"/>
          <w:iCs w:val="0"/>
          <w:color w:val="365F91" w:themeColor="accent1" w:themeShade="BF"/>
        </w:rPr>
        <w:t xml:space="preserve"> </w:t>
      </w:r>
      <w:r w:rsidRPr="00561254">
        <w:rPr>
          <w:rStyle w:val="IntenseEmphasis"/>
          <w:b/>
          <w:bCs/>
          <w:i w:val="0"/>
          <w:iCs w:val="0"/>
          <w:color w:val="365F91" w:themeColor="accent1" w:themeShade="BF"/>
        </w:rPr>
        <w:t>by the Community Visitors Program to the Human Services Regulator</w:t>
      </w:r>
      <w:r w:rsidRPr="00561254">
        <w:rPr>
          <w:rStyle w:val="IntenseEmphasis"/>
          <w:i w:val="0"/>
          <w:iCs w:val="0"/>
          <w:color w:val="365F91" w:themeColor="accent1" w:themeShade="BF"/>
        </w:rPr>
        <w:t xml:space="preserve"> for immediate or emergency investigation.</w:t>
      </w:r>
    </w:p>
    <w:p w14:paraId="5426A547" w14:textId="77777777" w:rsidR="00561254" w:rsidRPr="00561254" w:rsidRDefault="00561254" w:rsidP="00561254">
      <w:pPr>
        <w:pStyle w:val="DHHStabletext"/>
        <w:numPr>
          <w:ilvl w:val="0"/>
          <w:numId w:val="13"/>
        </w:numPr>
        <w:ind w:left="567" w:hanging="284"/>
        <w:rPr>
          <w:rStyle w:val="IntenseEmphasis"/>
          <w:i w:val="0"/>
          <w:iCs w:val="0"/>
          <w:color w:val="365F91" w:themeColor="accent1" w:themeShade="BF"/>
        </w:rPr>
      </w:pPr>
      <w:r w:rsidRPr="00561254">
        <w:rPr>
          <w:rStyle w:val="IntenseEmphasis"/>
          <w:i w:val="0"/>
          <w:iCs w:val="0"/>
          <w:color w:val="365F91" w:themeColor="accent1" w:themeShade="BF"/>
        </w:rPr>
        <w:t>The CVs discuss the issue with proprietor/responsible person at SRS during the visit and it is resolved. The discussion may also involve the allocated complaints officer at the SRS.</w:t>
      </w:r>
    </w:p>
    <w:p w14:paraId="699F651D" w14:textId="77777777" w:rsidR="00561254" w:rsidRPr="00561254" w:rsidRDefault="00561254" w:rsidP="00561254">
      <w:pPr>
        <w:pStyle w:val="DHHStabletext"/>
        <w:numPr>
          <w:ilvl w:val="0"/>
          <w:numId w:val="13"/>
        </w:numPr>
        <w:ind w:left="567" w:hanging="284"/>
        <w:rPr>
          <w:rStyle w:val="IntenseEmphasis"/>
          <w:i w:val="0"/>
          <w:iCs w:val="0"/>
          <w:color w:val="365F91" w:themeColor="accent1" w:themeShade="BF"/>
        </w:rPr>
      </w:pPr>
      <w:r w:rsidRPr="00561254">
        <w:rPr>
          <w:rStyle w:val="IntenseEmphasis"/>
          <w:i w:val="0"/>
          <w:iCs w:val="0"/>
          <w:color w:val="365F91" w:themeColor="accent1" w:themeShade="BF"/>
        </w:rPr>
        <w:t>The CVs record the identified issue and resolution on the CV Record of Visit Form at the SRS.</w:t>
      </w:r>
    </w:p>
    <w:p w14:paraId="22F6FEF3" w14:textId="77777777" w:rsidR="00561254" w:rsidRPr="00561254" w:rsidRDefault="00561254" w:rsidP="00561254">
      <w:pPr>
        <w:pStyle w:val="DHHStabletext"/>
        <w:numPr>
          <w:ilvl w:val="0"/>
          <w:numId w:val="13"/>
        </w:numPr>
        <w:ind w:left="567" w:hanging="284"/>
        <w:rPr>
          <w:rStyle w:val="IntenseEmphasis"/>
          <w:i w:val="0"/>
          <w:iCs w:val="0"/>
          <w:color w:val="365F91" w:themeColor="accent1" w:themeShade="BF"/>
        </w:rPr>
      </w:pPr>
      <w:r w:rsidRPr="00561254">
        <w:rPr>
          <w:rStyle w:val="IntenseEmphasis"/>
          <w:i w:val="0"/>
          <w:iCs w:val="0"/>
          <w:color w:val="365F91" w:themeColor="accent1" w:themeShade="BF"/>
        </w:rPr>
        <w:t xml:space="preserve">If issue is not resolved at the time of the SRS visit, </w:t>
      </w:r>
      <w:r w:rsidRPr="00561254">
        <w:rPr>
          <w:rStyle w:val="IntenseEmphasis"/>
          <w:b/>
          <w:bCs/>
          <w:i w:val="0"/>
          <w:iCs w:val="0"/>
          <w:color w:val="365F91" w:themeColor="accent1" w:themeShade="BF"/>
        </w:rPr>
        <w:t>Step 2: Notification for Investigation</w:t>
      </w:r>
      <w:r w:rsidRPr="00561254">
        <w:rPr>
          <w:rStyle w:val="IntenseEmphasis"/>
          <w:i w:val="0"/>
          <w:iCs w:val="0"/>
          <w:color w:val="365F91" w:themeColor="accent1" w:themeShade="BF"/>
        </w:rPr>
        <w:t xml:space="preserve"> is implemented. </w:t>
      </w:r>
    </w:p>
    <w:p w14:paraId="7FEE17D3" w14:textId="77777777" w:rsidR="00116F44" w:rsidRPr="00046043" w:rsidRDefault="00116F44" w:rsidP="00116F44">
      <w:pPr>
        <w:rPr>
          <w:rFonts w:cs="Arial"/>
          <w:b/>
          <w:bCs/>
          <w:color w:val="365F91" w:themeColor="accent1" w:themeShade="BF"/>
          <w:sz w:val="24"/>
          <w:szCs w:val="24"/>
          <w:lang w:eastAsia="en-AU"/>
        </w:rPr>
      </w:pPr>
      <w:r w:rsidRPr="00046043">
        <w:rPr>
          <w:rFonts w:cs="Arial"/>
          <w:b/>
          <w:bCs/>
          <w:color w:val="365F91" w:themeColor="accent1" w:themeShade="BF"/>
          <w:sz w:val="24"/>
          <w:szCs w:val="24"/>
          <w:lang w:eastAsia="en-AU"/>
        </w:rPr>
        <w:t>Step 2: Reporting of standard Notifications for Investigation (NFI) by the Community Visitors Program to the HSR for investigation.</w:t>
      </w:r>
    </w:p>
    <w:p w14:paraId="11FAEDDB" w14:textId="77777777" w:rsidR="00561254" w:rsidRPr="007D5EF3" w:rsidRDefault="00561254" w:rsidP="00561254">
      <w:pPr>
        <w:pStyle w:val="DHHStabletext"/>
        <w:ind w:left="567" w:hanging="283"/>
      </w:pPr>
      <w:r w:rsidRPr="007D5EF3">
        <w:t>CV</w:t>
      </w:r>
      <w:r>
        <w:t>s</w:t>
      </w:r>
      <w:r w:rsidRPr="007D5EF3">
        <w:t xml:space="preserve"> complete a CV Record of Visit Report and notif</w:t>
      </w:r>
      <w:r>
        <w:t>y</w:t>
      </w:r>
      <w:r w:rsidRPr="007D5EF3">
        <w:t xml:space="preserve"> the Regional Convenor </w:t>
      </w:r>
      <w:r>
        <w:t xml:space="preserve">(RC) </w:t>
      </w:r>
      <w:r w:rsidRPr="007D5EF3">
        <w:t>of identified issues.</w:t>
      </w:r>
    </w:p>
    <w:p w14:paraId="6283B257" w14:textId="77777777" w:rsidR="00561254" w:rsidRPr="007D5EF3" w:rsidRDefault="00561254" w:rsidP="00561254">
      <w:pPr>
        <w:pStyle w:val="DHHStabletext"/>
        <w:ind w:left="567" w:hanging="283"/>
      </w:pPr>
      <w:r w:rsidRPr="007D5EF3">
        <w:t>CV</w:t>
      </w:r>
      <w:r>
        <w:t>s</w:t>
      </w:r>
      <w:r w:rsidRPr="007D5EF3">
        <w:t xml:space="preserve"> may need to complete a Confidential Supplementary Report to accompany the CV Visit Report (See </w:t>
      </w:r>
      <w:r w:rsidRPr="00E96976">
        <w:rPr>
          <w:b/>
          <w:bCs/>
        </w:rPr>
        <w:t>Step 3: Confidential Supplementary Report</w:t>
      </w:r>
      <w:r w:rsidRPr="007D5EF3">
        <w:t>)</w:t>
      </w:r>
    </w:p>
    <w:p w14:paraId="715D8DE4" w14:textId="65F60B02" w:rsidR="00561254" w:rsidRPr="000C1B49" w:rsidRDefault="00561254" w:rsidP="00561254">
      <w:pPr>
        <w:pStyle w:val="DHHStabletext"/>
        <w:ind w:left="567" w:hanging="283"/>
      </w:pPr>
      <w:bookmarkStart w:id="16" w:name="_Hlk89085667"/>
      <w:r w:rsidRPr="000C1B49">
        <w:t>The R</w:t>
      </w:r>
      <w:r>
        <w:t xml:space="preserve">C </w:t>
      </w:r>
      <w:r w:rsidRPr="000C1B49">
        <w:t xml:space="preserve">and/or </w:t>
      </w:r>
      <w:r>
        <w:t xml:space="preserve">Divisional </w:t>
      </w:r>
      <w:r w:rsidRPr="000C1B49">
        <w:t xml:space="preserve">Coordinator will log onto the Human Services Regulator Portal and access the Community Visitor Notification for Investigation form (NFI Form) LINK: </w:t>
      </w:r>
      <w:hyperlink r:id="rId19" w:history="1">
        <w:hyperlink r:id="rId20" w:history="1">
          <w:r w:rsidRPr="000C1B49">
            <w:t xml:space="preserve"> </w:t>
          </w:r>
          <w:r w:rsidRPr="000C1B49">
            <w:rPr>
              <w:color w:val="0070C0"/>
              <w:u w:val="single"/>
            </w:rPr>
            <w:t>NFI Form Online</w:t>
          </w:r>
        </w:hyperlink>
        <w:r w:rsidRPr="000C1B49">
          <w:t xml:space="preserve">. </w:t>
        </w:r>
      </w:hyperlink>
      <w:r w:rsidRPr="000C1B49">
        <w:t>They will fill in the form utilising the information from the CV Report</w:t>
      </w:r>
      <w:r>
        <w:t xml:space="preserve">. After submitting the NFI Online, either the RC or Divisional Coordinator will send the CV Report and/or confidential report or other attachments to the relevant DFFH email address. </w:t>
      </w:r>
    </w:p>
    <w:bookmarkEnd w:id="16"/>
    <w:p w14:paraId="2D195F50" w14:textId="77777777" w:rsidR="00561254" w:rsidRPr="000C1B49" w:rsidRDefault="00561254" w:rsidP="00561254">
      <w:pPr>
        <w:pStyle w:val="DHHStabletext"/>
        <w:ind w:left="567" w:hanging="283"/>
      </w:pPr>
      <w:r w:rsidRPr="000C1B49">
        <w:t xml:space="preserve">After pressing the submit button, the submitter will receive an instant acknowledgement to advise that the NFI Form has been successfully submitted to the HSR. </w:t>
      </w:r>
    </w:p>
    <w:p w14:paraId="416A40BA" w14:textId="77777777" w:rsidR="00561254" w:rsidRPr="007D5EF3" w:rsidRDefault="00561254" w:rsidP="00561254">
      <w:pPr>
        <w:pStyle w:val="DHHStabletext"/>
        <w:ind w:left="567" w:hanging="283"/>
      </w:pPr>
      <w:r w:rsidRPr="007D5EF3">
        <w:t>The submitted online NFI Form will automatically be forwarded to the appropriate regional Regulatory Compliance and Enforcement email inbox for triage by the Team Leader, Regulatory Compliance and Enforcement, in accordance with the Human Services Regulator's risk-based resource allocation procedure:</w:t>
      </w:r>
    </w:p>
    <w:p w14:paraId="2441F00C" w14:textId="53380FEA" w:rsidR="00561254" w:rsidRDefault="00561254" w:rsidP="00561254">
      <w:pPr>
        <w:pStyle w:val="ListParagraph"/>
        <w:numPr>
          <w:ilvl w:val="0"/>
          <w:numId w:val="15"/>
        </w:numPr>
        <w:ind w:left="1418"/>
        <w:textAlignment w:val="center"/>
        <w:rPr>
          <w:rFonts w:eastAsia="Times New Roman"/>
          <w:color w:val="365F91" w:themeColor="accent1" w:themeShade="BF"/>
          <w:lang w:eastAsia="en-AU"/>
        </w:rPr>
      </w:pPr>
      <w:bookmarkStart w:id="17" w:name="_Hlk86322334"/>
      <w:r w:rsidRPr="00C605B0">
        <w:rPr>
          <w:rFonts w:eastAsia="Times New Roman"/>
          <w:color w:val="365F91" w:themeColor="accent1" w:themeShade="BF"/>
          <w:lang w:eastAsia="en-AU"/>
        </w:rPr>
        <w:t xml:space="preserve">Where a </w:t>
      </w:r>
      <w:r>
        <w:rPr>
          <w:rFonts w:eastAsia="Times New Roman"/>
          <w:color w:val="365F91" w:themeColor="accent1" w:themeShade="BF"/>
          <w:lang w:eastAsia="en-AU"/>
        </w:rPr>
        <w:t>NFI</w:t>
      </w:r>
      <w:r w:rsidRPr="00C605B0">
        <w:rPr>
          <w:rFonts w:eastAsia="Times New Roman"/>
          <w:color w:val="365F91" w:themeColor="accent1" w:themeShade="BF"/>
          <w:lang w:eastAsia="en-AU"/>
        </w:rPr>
        <w:t xml:space="preserve"> is assessed by HSR as urgent it will be allocated to an Authorised Officer and actioned within 24 hours</w:t>
      </w:r>
      <w:bookmarkEnd w:id="17"/>
      <w:r w:rsidRPr="00C605B0">
        <w:rPr>
          <w:rFonts w:eastAsia="Times New Roman"/>
          <w:color w:val="365F91" w:themeColor="accent1" w:themeShade="BF"/>
          <w:lang w:eastAsia="en-AU"/>
        </w:rPr>
        <w:t xml:space="preserve">. </w:t>
      </w:r>
    </w:p>
    <w:p w14:paraId="10A2B2FC" w14:textId="5EF909C2" w:rsidR="00561254" w:rsidRDefault="00561254" w:rsidP="00561254">
      <w:pPr>
        <w:pStyle w:val="ListParagraph"/>
        <w:numPr>
          <w:ilvl w:val="0"/>
          <w:numId w:val="12"/>
        </w:numPr>
        <w:spacing w:after="240"/>
        <w:ind w:left="1418"/>
        <w:textAlignment w:val="center"/>
        <w:rPr>
          <w:rFonts w:eastAsia="Times New Roman"/>
          <w:color w:val="365F91" w:themeColor="accent1" w:themeShade="BF"/>
          <w:lang w:eastAsia="en-AU"/>
        </w:rPr>
      </w:pPr>
      <w:bookmarkStart w:id="18" w:name="_Hlk86322405"/>
      <w:r w:rsidRPr="007D5EF3">
        <w:rPr>
          <w:rFonts w:eastAsia="Times New Roman"/>
          <w:color w:val="365F91" w:themeColor="accent1" w:themeShade="BF"/>
          <w:lang w:eastAsia="en-AU"/>
        </w:rPr>
        <w:lastRenderedPageBreak/>
        <w:t xml:space="preserve">For those </w:t>
      </w:r>
      <w:r>
        <w:rPr>
          <w:rFonts w:eastAsia="Times New Roman"/>
          <w:color w:val="365F91" w:themeColor="accent1" w:themeShade="BF"/>
          <w:lang w:eastAsia="en-AU"/>
        </w:rPr>
        <w:t xml:space="preserve">NFIs </w:t>
      </w:r>
      <w:r w:rsidRPr="007D5EF3">
        <w:rPr>
          <w:rFonts w:eastAsia="Times New Roman"/>
          <w:color w:val="365F91" w:themeColor="accent1" w:themeShade="BF"/>
          <w:lang w:eastAsia="en-AU"/>
        </w:rPr>
        <w:t>not assessed by HSR as urgent, action will commence in line with the timeframes outlined in the HSR triaging policy which are as follows:</w:t>
      </w:r>
    </w:p>
    <w:p w14:paraId="4CB930FB" w14:textId="654523FF" w:rsidR="00561254" w:rsidRPr="007D5EF3" w:rsidRDefault="00561254" w:rsidP="00561254">
      <w:pPr>
        <w:spacing w:after="240"/>
        <w:ind w:left="1418"/>
        <w:textAlignment w:val="center"/>
        <w:rPr>
          <w:rFonts w:cs="Arial"/>
          <w:color w:val="365F91" w:themeColor="accent1" w:themeShade="BF"/>
          <w:lang w:eastAsia="en-AU"/>
        </w:rPr>
      </w:pPr>
      <w:r w:rsidRPr="007D5EF3">
        <w:rPr>
          <w:rFonts w:cs="Arial"/>
          <w:b/>
          <w:bCs/>
          <w:color w:val="365F91" w:themeColor="accent1" w:themeShade="BF"/>
          <w:lang w:eastAsia="en-AU"/>
        </w:rPr>
        <w:t>Level 3</w:t>
      </w:r>
      <w:r w:rsidRPr="007D5EF3">
        <w:rPr>
          <w:rFonts w:cs="Arial"/>
          <w:color w:val="365F91" w:themeColor="accent1" w:themeShade="BF"/>
          <w:lang w:eastAsia="en-AU"/>
        </w:rPr>
        <w:t xml:space="preserve"> – </w:t>
      </w:r>
      <w:r w:rsidRPr="007D5EF3">
        <w:rPr>
          <w:rFonts w:cs="Arial"/>
          <w:b/>
          <w:bCs/>
          <w:color w:val="365F91" w:themeColor="accent1" w:themeShade="BF"/>
          <w:lang w:eastAsia="en-AU"/>
        </w:rPr>
        <w:t>Rapid:</w:t>
      </w:r>
      <w:r w:rsidRPr="007D5EF3">
        <w:rPr>
          <w:rFonts w:cs="Arial"/>
          <w:color w:val="365F91" w:themeColor="accent1" w:themeShade="BF"/>
          <w:lang w:eastAsia="en-AU"/>
        </w:rPr>
        <w:t xml:space="preserve"> within 24</w:t>
      </w:r>
      <w:r w:rsidR="00C9230D">
        <w:rPr>
          <w:rFonts w:cs="Arial"/>
          <w:color w:val="365F91" w:themeColor="accent1" w:themeShade="BF"/>
          <w:lang w:eastAsia="en-AU"/>
        </w:rPr>
        <w:t xml:space="preserve"> </w:t>
      </w:r>
      <w:r w:rsidRPr="007D5EF3">
        <w:rPr>
          <w:rFonts w:cs="Arial"/>
          <w:color w:val="365F91" w:themeColor="accent1" w:themeShade="BF"/>
          <w:lang w:eastAsia="en-AU"/>
        </w:rPr>
        <w:t>- 72 hours</w:t>
      </w:r>
    </w:p>
    <w:p w14:paraId="7798F94D" w14:textId="77777777" w:rsidR="00561254" w:rsidRPr="007D5EF3" w:rsidRDefault="00561254" w:rsidP="00561254">
      <w:pPr>
        <w:spacing w:after="240"/>
        <w:ind w:left="1418"/>
        <w:textAlignment w:val="center"/>
        <w:rPr>
          <w:rFonts w:cs="Arial"/>
          <w:color w:val="365F91" w:themeColor="accent1" w:themeShade="BF"/>
          <w:lang w:eastAsia="en-AU"/>
        </w:rPr>
      </w:pPr>
      <w:r w:rsidRPr="007D5EF3">
        <w:rPr>
          <w:rFonts w:cs="Arial"/>
          <w:b/>
          <w:bCs/>
          <w:color w:val="365F91" w:themeColor="accent1" w:themeShade="BF"/>
          <w:lang w:eastAsia="en-AU"/>
        </w:rPr>
        <w:t>Level 2</w:t>
      </w:r>
      <w:r w:rsidRPr="007D5EF3">
        <w:rPr>
          <w:rFonts w:cs="Arial"/>
          <w:color w:val="365F91" w:themeColor="accent1" w:themeShade="BF"/>
          <w:lang w:eastAsia="en-AU"/>
        </w:rPr>
        <w:t xml:space="preserve"> – </w:t>
      </w:r>
      <w:r w:rsidRPr="007D5EF3">
        <w:rPr>
          <w:rFonts w:cs="Arial"/>
          <w:b/>
          <w:bCs/>
          <w:color w:val="365F91" w:themeColor="accent1" w:themeShade="BF"/>
          <w:lang w:eastAsia="en-AU"/>
        </w:rPr>
        <w:t>Routine:</w:t>
      </w:r>
      <w:r w:rsidRPr="007D5EF3">
        <w:rPr>
          <w:rFonts w:cs="Arial"/>
          <w:color w:val="365F91" w:themeColor="accent1" w:themeShade="BF"/>
          <w:lang w:eastAsia="en-AU"/>
        </w:rPr>
        <w:t xml:space="preserve"> within 5 business days</w:t>
      </w:r>
    </w:p>
    <w:p w14:paraId="42A1034C" w14:textId="77777777" w:rsidR="00561254" w:rsidRPr="007D5EF3" w:rsidRDefault="00561254" w:rsidP="00561254">
      <w:pPr>
        <w:spacing w:after="240"/>
        <w:ind w:left="1418"/>
        <w:textAlignment w:val="center"/>
        <w:rPr>
          <w:rFonts w:cs="Arial"/>
          <w:color w:val="365F91" w:themeColor="accent1" w:themeShade="BF"/>
          <w:lang w:eastAsia="en-AU"/>
        </w:rPr>
      </w:pPr>
      <w:r w:rsidRPr="007D5EF3">
        <w:rPr>
          <w:rFonts w:cs="Arial"/>
          <w:b/>
          <w:bCs/>
          <w:color w:val="365F91" w:themeColor="accent1" w:themeShade="BF"/>
          <w:lang w:eastAsia="en-AU"/>
        </w:rPr>
        <w:t>Level 1</w:t>
      </w:r>
      <w:r w:rsidRPr="007D5EF3">
        <w:rPr>
          <w:rFonts w:cs="Arial"/>
          <w:color w:val="365F91" w:themeColor="accent1" w:themeShade="BF"/>
          <w:lang w:eastAsia="en-AU"/>
        </w:rPr>
        <w:t xml:space="preserve"> – </w:t>
      </w:r>
      <w:r w:rsidRPr="007D5EF3">
        <w:rPr>
          <w:rFonts w:cs="Arial"/>
          <w:b/>
          <w:bCs/>
          <w:color w:val="365F91" w:themeColor="accent1" w:themeShade="BF"/>
          <w:lang w:eastAsia="en-AU"/>
        </w:rPr>
        <w:t>Measured:</w:t>
      </w:r>
      <w:r w:rsidRPr="007D5EF3">
        <w:rPr>
          <w:rFonts w:cs="Arial"/>
          <w:color w:val="365F91" w:themeColor="accent1" w:themeShade="BF"/>
          <w:lang w:eastAsia="en-AU"/>
        </w:rPr>
        <w:t xml:space="preserve"> within 10 business days.</w:t>
      </w:r>
    </w:p>
    <w:bookmarkEnd w:id="18"/>
    <w:p w14:paraId="36084C0F" w14:textId="77777777" w:rsidR="00561254" w:rsidRPr="00231AED" w:rsidRDefault="00561254" w:rsidP="00561254">
      <w:pPr>
        <w:pStyle w:val="ListParagraph"/>
        <w:ind w:left="1418" w:firstLine="0"/>
        <w:textAlignment w:val="center"/>
        <w:rPr>
          <w:rFonts w:eastAsia="Times New Roman"/>
          <w:color w:val="365F91" w:themeColor="accent1" w:themeShade="BF"/>
          <w:lang w:eastAsia="en-AU"/>
        </w:rPr>
      </w:pPr>
      <w:r w:rsidRPr="00231AED">
        <w:rPr>
          <w:rFonts w:eastAsia="Times New Roman"/>
          <w:color w:val="365F91" w:themeColor="accent1" w:themeShade="BF"/>
          <w:lang w:eastAsia="en-AU"/>
        </w:rPr>
        <w:t xml:space="preserve">These response times are indicative only and will depend on a range of factors, including the number and urgency of other matters already being dealt with by HSR, that exist at the time of the notification being received. </w:t>
      </w:r>
    </w:p>
    <w:p w14:paraId="775A9FEE" w14:textId="77777777" w:rsidR="00561254" w:rsidRPr="00EA26AA" w:rsidRDefault="00561254" w:rsidP="00561254">
      <w:pPr>
        <w:pStyle w:val="DHHStabletext"/>
        <w:ind w:left="567" w:hanging="283"/>
      </w:pPr>
      <w:bookmarkStart w:id="19" w:name="_Hlk86322444"/>
      <w:r w:rsidRPr="00231AED">
        <w:t>The NFI will be allocated to an Authorised Officer. The allocated Authorised Officer will contact the CV</w:t>
      </w:r>
      <w:r>
        <w:t>P contact</w:t>
      </w:r>
      <w:r w:rsidRPr="00231AED">
        <w:t xml:space="preserve"> who submitted the notification</w:t>
      </w:r>
      <w:r w:rsidRPr="00231AED">
        <w:rPr>
          <w:iCs/>
        </w:rPr>
        <w:t xml:space="preserve"> </w:t>
      </w:r>
      <w:r w:rsidRPr="00E96976">
        <w:rPr>
          <w:b/>
          <w:bCs/>
          <w:iCs/>
        </w:rPr>
        <w:t>(the CVP submitter</w:t>
      </w:r>
      <w:r>
        <w:rPr>
          <w:iCs/>
        </w:rPr>
        <w:t xml:space="preserve">) </w:t>
      </w:r>
      <w:r w:rsidRPr="00231AED">
        <w:t xml:space="preserve">to inform </w:t>
      </w:r>
      <w:r w:rsidRPr="00EA26AA">
        <w:t>them that the NFI has been allocated and is being actioned.</w:t>
      </w:r>
    </w:p>
    <w:bookmarkEnd w:id="19"/>
    <w:p w14:paraId="6AB66E69" w14:textId="77777777" w:rsidR="00561254" w:rsidRPr="00EA26AA" w:rsidRDefault="00561254" w:rsidP="00561254">
      <w:pPr>
        <w:pStyle w:val="DHHStabletext"/>
        <w:ind w:left="567" w:hanging="283"/>
      </w:pPr>
      <w:r w:rsidRPr="00EA26AA">
        <w:t xml:space="preserve">All further correspondence regarding the issue (for example, further information required or enquiry of progress of notification) will be via normal methods (phone/email) between the allocated Authorised Officer and CVP submitter directly, until the matter is resolved. </w:t>
      </w:r>
    </w:p>
    <w:p w14:paraId="73B6A335" w14:textId="77777777" w:rsidR="00561254" w:rsidRPr="009A74E7" w:rsidRDefault="00561254" w:rsidP="00561254">
      <w:pPr>
        <w:pStyle w:val="DHHStabletext"/>
        <w:ind w:left="567" w:hanging="283"/>
      </w:pPr>
      <w:r w:rsidRPr="0075381B">
        <w:t>The timeframe for the resolution of issues referred to HSR is dependent on a broad range of factors, including the number, urgency and complexity of other matters already being dealt with by HSR</w:t>
      </w:r>
      <w:r>
        <w:t xml:space="preserve">. </w:t>
      </w:r>
    </w:p>
    <w:p w14:paraId="40A02C21" w14:textId="77777777" w:rsidR="00561254" w:rsidRPr="009A74E7" w:rsidRDefault="00561254" w:rsidP="00561254">
      <w:pPr>
        <w:pStyle w:val="DHHStabletext"/>
        <w:ind w:left="567" w:hanging="283"/>
      </w:pPr>
      <w:r w:rsidRPr="009A74E7">
        <w:t xml:space="preserve">Upon resolution, the Authorised Officer will provide a </w:t>
      </w:r>
      <w:r w:rsidRPr="009A74E7">
        <w:rPr>
          <w:b/>
          <w:bCs/>
        </w:rPr>
        <w:t xml:space="preserve">NFI – Outcome report </w:t>
      </w:r>
      <w:r w:rsidRPr="009A74E7">
        <w:t>via email to the CVP submitter of form.</w:t>
      </w:r>
    </w:p>
    <w:p w14:paraId="5BC9BBD6" w14:textId="77777777" w:rsidR="00561254" w:rsidRPr="0018615C" w:rsidRDefault="00561254" w:rsidP="00561254">
      <w:pPr>
        <w:pStyle w:val="DHHStabletext"/>
        <w:ind w:left="567" w:hanging="283"/>
      </w:pPr>
      <w:r w:rsidRPr="0018615C">
        <w:t xml:space="preserve">The </w:t>
      </w:r>
      <w:r w:rsidRPr="00EA26AA">
        <w:rPr>
          <w:b/>
          <w:bCs/>
        </w:rPr>
        <w:t>NFI – Outcome Report</w:t>
      </w:r>
      <w:r w:rsidRPr="0018615C">
        <w:t xml:space="preserve"> will include </w:t>
      </w:r>
      <w:bookmarkStart w:id="20" w:name="_Hlk86323880"/>
      <w:r>
        <w:t>the outcome of the</w:t>
      </w:r>
      <w:r w:rsidRPr="0018615C">
        <w:t xml:space="preserve"> investigation,</w:t>
      </w:r>
      <w:r>
        <w:t xml:space="preserve"> and any compliance </w:t>
      </w:r>
      <w:r w:rsidRPr="0018615C">
        <w:t xml:space="preserve">action required of the proprietor. Details of referrals or involvement of other agencies/regulatory bodies will be included. </w:t>
      </w:r>
      <w:bookmarkEnd w:id="20"/>
    </w:p>
    <w:p w14:paraId="6537F661" w14:textId="77777777" w:rsidR="00561254" w:rsidRDefault="00561254" w:rsidP="00561254">
      <w:pPr>
        <w:pStyle w:val="DHHStabletext"/>
        <w:ind w:left="567" w:hanging="283"/>
      </w:pPr>
      <w:r w:rsidRPr="0071154B">
        <w:t xml:space="preserve">If CVP are dissatisfied with the </w:t>
      </w:r>
      <w:r w:rsidRPr="0071154B">
        <w:rPr>
          <w:b/>
          <w:bCs/>
        </w:rPr>
        <w:t xml:space="preserve">NFI </w:t>
      </w:r>
      <w:r>
        <w:rPr>
          <w:b/>
          <w:bCs/>
        </w:rPr>
        <w:t>–</w:t>
      </w:r>
      <w:r w:rsidRPr="0071154B">
        <w:rPr>
          <w:b/>
          <w:bCs/>
        </w:rPr>
        <w:t xml:space="preserve"> Outcome Report</w:t>
      </w:r>
      <w:r w:rsidRPr="0071154B">
        <w:t xml:space="preserve">, or have concerns that have </w:t>
      </w:r>
      <w:r>
        <w:t xml:space="preserve">been unable to be </w:t>
      </w:r>
      <w:r w:rsidRPr="0071154B">
        <w:t xml:space="preserve">addressed via the correspondence process outlined in Step 7, then </w:t>
      </w:r>
      <w:r w:rsidRPr="003652D1">
        <w:rPr>
          <w:b/>
          <w:bCs/>
        </w:rPr>
        <w:t>Step 4 Escalation of unresolved issues arising from a Notification for Investigation (NFI)</w:t>
      </w:r>
      <w:r w:rsidRPr="0071154B">
        <w:rPr>
          <w:b/>
          <w:bCs/>
        </w:rPr>
        <w:t xml:space="preserve"> </w:t>
      </w:r>
      <w:r w:rsidRPr="0071154B">
        <w:t>may be implemented.</w:t>
      </w:r>
    </w:p>
    <w:p w14:paraId="56F83086" w14:textId="77777777" w:rsidR="00116F44" w:rsidRPr="008005EB" w:rsidRDefault="00116F44" w:rsidP="00116F44">
      <w:pPr>
        <w:pStyle w:val="DHHStabletext"/>
        <w:numPr>
          <w:ilvl w:val="0"/>
          <w:numId w:val="0"/>
        </w:numPr>
        <w:ind w:left="357" w:hanging="357"/>
      </w:pPr>
      <w:r w:rsidRPr="008005EB">
        <w:rPr>
          <w:b/>
          <w:bCs/>
          <w:sz w:val="24"/>
          <w:szCs w:val="24"/>
        </w:rPr>
        <w:t>Step 3:</w:t>
      </w:r>
      <w:r w:rsidRPr="008005EB">
        <w:rPr>
          <w:sz w:val="24"/>
          <w:szCs w:val="24"/>
        </w:rPr>
        <w:t xml:space="preserve"> </w:t>
      </w:r>
      <w:r w:rsidRPr="008005EB">
        <w:rPr>
          <w:rFonts w:eastAsia="Arial"/>
          <w:b/>
          <w:bCs/>
          <w:sz w:val="24"/>
          <w:szCs w:val="24"/>
        </w:rPr>
        <w:t>Confidential Supplementary Report</w:t>
      </w:r>
    </w:p>
    <w:p w14:paraId="0A6A76A6" w14:textId="77777777" w:rsidR="00116F44" w:rsidRPr="00884E9F" w:rsidRDefault="00116F44" w:rsidP="00116F44">
      <w:pPr>
        <w:pStyle w:val="DHHSbody"/>
        <w:rPr>
          <w:color w:val="365F91" w:themeColor="accent1" w:themeShade="BF"/>
        </w:rPr>
      </w:pPr>
      <w:r w:rsidRPr="00884E9F">
        <w:rPr>
          <w:color w:val="365F91" w:themeColor="accent1" w:themeShade="BF"/>
        </w:rPr>
        <w:t xml:space="preserve">A CV Visit Report is based on the observations and discussion at the time of the visit and is left at the SRS as the proprietor’s record of visit. </w:t>
      </w:r>
    </w:p>
    <w:p w14:paraId="31567C59" w14:textId="77777777" w:rsidR="00116F44" w:rsidRPr="00884E9F" w:rsidRDefault="00116F44" w:rsidP="00116F44">
      <w:pPr>
        <w:pStyle w:val="DHHSbody"/>
        <w:rPr>
          <w:color w:val="365F91" w:themeColor="accent1" w:themeShade="BF"/>
        </w:rPr>
      </w:pPr>
      <w:r w:rsidRPr="00884E9F">
        <w:rPr>
          <w:color w:val="365F91" w:themeColor="accent1" w:themeShade="BF"/>
        </w:rPr>
        <w:t xml:space="preserve">However, to protect and avoid possible retribution towards residents, sensitive information should not be included in the record of visit left at the SRS.  </w:t>
      </w:r>
    </w:p>
    <w:p w14:paraId="5DED2517" w14:textId="22BD540F" w:rsidR="00116F44" w:rsidRDefault="00116F44" w:rsidP="00116F44">
      <w:pPr>
        <w:pStyle w:val="DHHSbody"/>
        <w:rPr>
          <w:color w:val="365F91" w:themeColor="accent1" w:themeShade="BF"/>
        </w:rPr>
      </w:pPr>
      <w:bookmarkStart w:id="21" w:name="_Hlk86322962"/>
      <w:r w:rsidRPr="00884E9F">
        <w:rPr>
          <w:color w:val="365F91" w:themeColor="accent1" w:themeShade="BF"/>
        </w:rPr>
        <w:t>Sensitive or confidential information may be shared with HSR via a Confidential Supplementary Report. This report can include information of abuse and assault, poor proprietor responses or poor treatment of CVs.</w:t>
      </w:r>
    </w:p>
    <w:p w14:paraId="544E939F" w14:textId="77777777" w:rsidR="00BD5344" w:rsidRDefault="00BD5344" w:rsidP="00116F44">
      <w:pPr>
        <w:pStyle w:val="DHHSbody"/>
        <w:rPr>
          <w:color w:val="365F91" w:themeColor="accent1" w:themeShade="BF"/>
        </w:rPr>
      </w:pPr>
    </w:p>
    <w:bookmarkEnd w:id="21"/>
    <w:p w14:paraId="6DB4DD7C" w14:textId="77777777" w:rsidR="00116F44" w:rsidRPr="00D73C34" w:rsidRDefault="00116F44" w:rsidP="00116F44">
      <w:pPr>
        <w:rPr>
          <w:rFonts w:cs="Arial"/>
          <w:b/>
          <w:bCs/>
          <w:color w:val="365F91" w:themeColor="accent1" w:themeShade="BF"/>
          <w:sz w:val="24"/>
          <w:szCs w:val="24"/>
        </w:rPr>
      </w:pPr>
      <w:r w:rsidRPr="00D73C34">
        <w:rPr>
          <w:rFonts w:eastAsia="Arial" w:cs="Arial"/>
          <w:b/>
          <w:bCs/>
          <w:color w:val="365F91" w:themeColor="accent1" w:themeShade="BF"/>
          <w:sz w:val="24"/>
          <w:szCs w:val="24"/>
        </w:rPr>
        <w:lastRenderedPageBreak/>
        <w:t xml:space="preserve">Step 4:  </w:t>
      </w:r>
      <w:r w:rsidRPr="00D73C34">
        <w:rPr>
          <w:rFonts w:cs="Arial"/>
          <w:b/>
          <w:bCs/>
          <w:color w:val="365F91" w:themeColor="accent1" w:themeShade="BF"/>
          <w:sz w:val="24"/>
          <w:szCs w:val="24"/>
        </w:rPr>
        <w:t>Escalation of unresolved issues arising from a Notification for Investigation (NFI)</w:t>
      </w:r>
    </w:p>
    <w:p w14:paraId="18BF2133" w14:textId="77777777" w:rsidR="00561254" w:rsidRPr="004E4E38" w:rsidRDefault="00561254" w:rsidP="00561254">
      <w:pPr>
        <w:pStyle w:val="DHHStabletext"/>
        <w:numPr>
          <w:ilvl w:val="0"/>
          <w:numId w:val="16"/>
        </w:numPr>
        <w:ind w:left="567" w:hanging="283"/>
      </w:pPr>
      <w:r w:rsidRPr="004E4E38">
        <w:t>The R</w:t>
      </w:r>
      <w:r>
        <w:t xml:space="preserve">C </w:t>
      </w:r>
      <w:r w:rsidRPr="004E4E38">
        <w:t xml:space="preserve">and/or </w:t>
      </w:r>
      <w:r>
        <w:t xml:space="preserve">Divisional </w:t>
      </w:r>
      <w:r w:rsidRPr="004E4E38">
        <w:t xml:space="preserve">Coordinator will raise the unresolved issue directly with the relevant Manager, Regulatory Compliance and Enforcement </w:t>
      </w:r>
      <w:r>
        <w:t xml:space="preserve">Team (RCET - </w:t>
      </w:r>
      <w:r w:rsidRPr="004E4E38">
        <w:t>North/West or South/East</w:t>
      </w:r>
      <w:r>
        <w:t>)</w:t>
      </w:r>
      <w:r w:rsidRPr="004E4E38">
        <w:t xml:space="preserve"> via email.</w:t>
      </w:r>
      <w:r w:rsidRPr="004E4E38" w:rsidDel="00DC07DD">
        <w:t xml:space="preserve"> </w:t>
      </w:r>
    </w:p>
    <w:p w14:paraId="77696D94" w14:textId="77777777" w:rsidR="00561254" w:rsidRDefault="00561254" w:rsidP="00561254">
      <w:pPr>
        <w:pStyle w:val="DHHStabletext"/>
        <w:numPr>
          <w:ilvl w:val="0"/>
          <w:numId w:val="16"/>
        </w:numPr>
        <w:ind w:left="567" w:hanging="283"/>
      </w:pPr>
      <w:r w:rsidRPr="004E4E38">
        <w:t xml:space="preserve">The relevant regional Manager, Regulatory Compliance and Enforcement will liaise directly with the relevant regional RCET Team Leader and Authorised Officers to consider the ongoing concerns of the CVP and how to resolve the issue. </w:t>
      </w:r>
    </w:p>
    <w:p w14:paraId="229DAE9E" w14:textId="14AB85FD" w:rsidR="00561254" w:rsidRPr="004E4E38" w:rsidRDefault="00561254" w:rsidP="00561254">
      <w:pPr>
        <w:pStyle w:val="DHHStabletext"/>
        <w:numPr>
          <w:ilvl w:val="0"/>
          <w:numId w:val="16"/>
        </w:numPr>
        <w:ind w:left="567" w:hanging="283"/>
      </w:pPr>
      <w:r>
        <w:t xml:space="preserve">The relevant Manager, RCET (North/West or South/East) will maintain communication with the </w:t>
      </w:r>
      <w:r w:rsidRPr="004E4E38">
        <w:t>R</w:t>
      </w:r>
      <w:r>
        <w:t xml:space="preserve">C </w:t>
      </w:r>
      <w:r w:rsidRPr="004E4E38">
        <w:t xml:space="preserve">and/or </w:t>
      </w:r>
      <w:r>
        <w:t>Divisional</w:t>
      </w:r>
      <w:r w:rsidRPr="004E4E38">
        <w:t xml:space="preserve"> Coordinator</w:t>
      </w:r>
      <w:r>
        <w:t>.</w:t>
      </w:r>
    </w:p>
    <w:p w14:paraId="1640B3F3" w14:textId="77777777" w:rsidR="00561254" w:rsidRPr="004E4E38" w:rsidRDefault="00561254" w:rsidP="00561254">
      <w:pPr>
        <w:pStyle w:val="DHHStabletext"/>
        <w:numPr>
          <w:ilvl w:val="0"/>
          <w:numId w:val="16"/>
        </w:numPr>
        <w:ind w:left="567" w:hanging="283"/>
      </w:pPr>
      <w:r w:rsidRPr="004E4E38">
        <w:t>The issue may also be tabled as an agenda item at a scheduled Regional CV</w:t>
      </w:r>
      <w:r>
        <w:t>P</w:t>
      </w:r>
      <w:r w:rsidRPr="004E4E38">
        <w:t>/RCET liaison meeting, to further discuss and reach a resolution.</w:t>
      </w:r>
    </w:p>
    <w:p w14:paraId="5A12C92C" w14:textId="77777777" w:rsidR="00116F44" w:rsidRPr="00884E9F" w:rsidRDefault="00116F44" w:rsidP="00116F44">
      <w:pPr>
        <w:pStyle w:val="DHHSbody"/>
        <w:rPr>
          <w:b/>
          <w:bCs/>
          <w:color w:val="365F91" w:themeColor="accent1" w:themeShade="BF"/>
          <w:lang w:eastAsia="en-AU"/>
        </w:rPr>
      </w:pPr>
      <w:r w:rsidRPr="00884E9F">
        <w:rPr>
          <w:color w:val="365F91" w:themeColor="accent1" w:themeShade="BF"/>
          <w:lang w:eastAsia="en-AU"/>
        </w:rPr>
        <w:t xml:space="preserve">If issue </w:t>
      </w:r>
      <w:r w:rsidRPr="00884E9F">
        <w:rPr>
          <w:color w:val="365F91" w:themeColor="accent1" w:themeShade="BF"/>
          <w:u w:val="single"/>
          <w:lang w:eastAsia="en-AU"/>
        </w:rPr>
        <w:t xml:space="preserve">is still not </w:t>
      </w:r>
      <w:r w:rsidRPr="00884E9F">
        <w:rPr>
          <w:color w:val="365F91" w:themeColor="accent1" w:themeShade="BF"/>
          <w:lang w:eastAsia="en-AU"/>
        </w:rPr>
        <w:t xml:space="preserve">resolved following this process, the issue can be further escalated through </w:t>
      </w:r>
      <w:r w:rsidRPr="00884E9F">
        <w:rPr>
          <w:b/>
          <w:bCs/>
          <w:color w:val="365F91" w:themeColor="accent1" w:themeShade="BF"/>
          <w:lang w:eastAsia="en-AU"/>
        </w:rPr>
        <w:t>Special Circumstance Procedure 3: Escalation and resolution of serious systemic unresolved issues.</w:t>
      </w:r>
    </w:p>
    <w:p w14:paraId="1DBC7C38" w14:textId="77777777" w:rsidR="00116F44" w:rsidRPr="00884E9F" w:rsidRDefault="00116F44" w:rsidP="00116F44">
      <w:pPr>
        <w:pStyle w:val="DHHSbody"/>
        <w:rPr>
          <w:b/>
          <w:bCs/>
          <w:color w:val="365F91" w:themeColor="accent1" w:themeShade="BF"/>
          <w:sz w:val="24"/>
          <w:szCs w:val="24"/>
          <w:lang w:eastAsia="en-AU"/>
        </w:rPr>
      </w:pPr>
      <w:r w:rsidRPr="00884E9F">
        <w:rPr>
          <w:b/>
          <w:bCs/>
          <w:color w:val="365F91" w:themeColor="accent1" w:themeShade="BF"/>
          <w:sz w:val="24"/>
          <w:szCs w:val="24"/>
          <w:lang w:eastAsia="en-AU"/>
        </w:rPr>
        <w:t xml:space="preserve">Step 5: Out of scope issues </w:t>
      </w:r>
    </w:p>
    <w:p w14:paraId="62F64503" w14:textId="7F13E56B" w:rsidR="00116F44" w:rsidRPr="00884E9F" w:rsidRDefault="00116F44" w:rsidP="00116F44">
      <w:pPr>
        <w:pStyle w:val="DHHSbody"/>
        <w:rPr>
          <w:color w:val="365F91" w:themeColor="accent1" w:themeShade="BF"/>
        </w:rPr>
      </w:pPr>
      <w:r w:rsidRPr="00884E9F">
        <w:rPr>
          <w:color w:val="365F91" w:themeColor="accent1" w:themeShade="BF"/>
        </w:rPr>
        <w:t>Community Visitor</w:t>
      </w:r>
      <w:r w:rsidR="00923929">
        <w:rPr>
          <w:color w:val="365F91" w:themeColor="accent1" w:themeShade="BF"/>
        </w:rPr>
        <w:t>s</w:t>
      </w:r>
      <w:r w:rsidRPr="00884E9F">
        <w:rPr>
          <w:color w:val="365F91" w:themeColor="accent1" w:themeShade="BF"/>
        </w:rPr>
        <w:t xml:space="preserve"> may inadvertently report matters that may exceed or be out of scope of the compliance and enforcement powers of the HSR.</w:t>
      </w:r>
    </w:p>
    <w:p w14:paraId="1CC267AC" w14:textId="77777777" w:rsidR="00116F44" w:rsidRPr="00884E9F" w:rsidRDefault="00116F44" w:rsidP="00116F44">
      <w:pPr>
        <w:pStyle w:val="DHHSbody"/>
        <w:rPr>
          <w:color w:val="365F91" w:themeColor="accent1" w:themeShade="BF"/>
        </w:rPr>
      </w:pPr>
      <w:r w:rsidRPr="00884E9F">
        <w:rPr>
          <w:color w:val="365F91" w:themeColor="accent1" w:themeShade="BF"/>
        </w:rPr>
        <w:t>If an issue raised is outside the authority of the Act, or beyond the specific powers of the Authorised Officer to address, the Authorised Officer shall notify the CVP and recommend that the issue should be referred by the CVP to a more appropriate regulatory authority, including Victoria Police, local council or other relevant regulatory bodies.</w:t>
      </w:r>
    </w:p>
    <w:p w14:paraId="690FF451" w14:textId="4A1E3EF4" w:rsidR="00116F44" w:rsidRPr="00DC38B1" w:rsidRDefault="00116F44" w:rsidP="00586AEA">
      <w:pPr>
        <w:pStyle w:val="Heading4"/>
      </w:pPr>
      <w:r>
        <w:t>6.3</w:t>
      </w:r>
      <w:r w:rsidR="00586AEA">
        <w:t xml:space="preserve"> </w:t>
      </w:r>
      <w:r w:rsidRPr="00DC38B1">
        <w:t>Special Circumstance Procedures:</w:t>
      </w:r>
    </w:p>
    <w:p w14:paraId="241CC887" w14:textId="77777777" w:rsidR="00116F44" w:rsidRPr="00DC38B1" w:rsidRDefault="00116F44" w:rsidP="00116F44">
      <w:pPr>
        <w:pStyle w:val="DHHSbody"/>
        <w:rPr>
          <w:lang w:eastAsia="en-AU"/>
        </w:rPr>
      </w:pPr>
      <w:r w:rsidRPr="00265E5D">
        <w:rPr>
          <w:lang w:eastAsia="en-AU"/>
        </w:rPr>
        <w:t xml:space="preserve">The below </w:t>
      </w:r>
      <w:r>
        <w:rPr>
          <w:lang w:eastAsia="en-AU"/>
        </w:rPr>
        <w:t>procedures</w:t>
      </w:r>
      <w:r w:rsidRPr="00265E5D">
        <w:rPr>
          <w:lang w:eastAsia="en-AU"/>
        </w:rPr>
        <w:t xml:space="preserve"> are outlined to provide </w:t>
      </w:r>
      <w:r>
        <w:rPr>
          <w:lang w:eastAsia="en-AU"/>
        </w:rPr>
        <w:t>The Office of the Public Advocate and/or the Community Visitors Program</w:t>
      </w:r>
      <w:r w:rsidRPr="00265E5D">
        <w:rPr>
          <w:lang w:eastAsia="en-AU"/>
        </w:rPr>
        <w:t xml:space="preserve"> and the Human Services Regulator with </w:t>
      </w:r>
      <w:bookmarkStart w:id="22" w:name="_Hlk86323010"/>
      <w:r w:rsidRPr="00265E5D">
        <w:rPr>
          <w:lang w:eastAsia="en-AU"/>
        </w:rPr>
        <w:t xml:space="preserve">a clear process </w:t>
      </w:r>
      <w:r>
        <w:rPr>
          <w:lang w:eastAsia="en-AU"/>
        </w:rPr>
        <w:t>for special circumstances issues:</w:t>
      </w:r>
    </w:p>
    <w:p w14:paraId="7F45BB9B" w14:textId="77777777" w:rsidR="00116F44" w:rsidRPr="00C07CA7" w:rsidRDefault="00116F44" w:rsidP="0059724E">
      <w:pPr>
        <w:pStyle w:val="TOC2"/>
        <w:spacing w:after="120"/>
        <w:rPr>
          <w:b/>
          <w:bCs/>
          <w:color w:val="365F91" w:themeColor="accent1" w:themeShade="BF"/>
          <w:sz w:val="24"/>
          <w:szCs w:val="24"/>
        </w:rPr>
      </w:pPr>
      <w:r w:rsidRPr="00C07CA7">
        <w:rPr>
          <w:b/>
          <w:bCs/>
          <w:color w:val="365F91" w:themeColor="accent1" w:themeShade="BF"/>
          <w:sz w:val="24"/>
          <w:szCs w:val="24"/>
          <w:u w:val="single"/>
        </w:rPr>
        <w:t>Special Circumstances Procedure 1:</w:t>
      </w:r>
      <w:r w:rsidRPr="00C07CA7">
        <w:rPr>
          <w:b/>
          <w:bCs/>
          <w:color w:val="365F91" w:themeColor="accent1" w:themeShade="BF"/>
          <w:sz w:val="24"/>
          <w:szCs w:val="24"/>
        </w:rPr>
        <w:t xml:space="preserve"> Reporting of high-risk issues by the Community Visitors Program to the Human Services Regulator for immediate or emergency investigation</w:t>
      </w:r>
    </w:p>
    <w:bookmarkEnd w:id="22"/>
    <w:p w14:paraId="313B1DF9" w14:textId="54FCE840" w:rsidR="00116F44" w:rsidRPr="0059724E" w:rsidRDefault="00116F44" w:rsidP="0059724E">
      <w:pPr>
        <w:pStyle w:val="DHHSbody"/>
        <w:spacing w:after="120"/>
        <w:rPr>
          <w:color w:val="365F91" w:themeColor="accent1" w:themeShade="BF"/>
        </w:rPr>
      </w:pPr>
      <w:r w:rsidRPr="0059724E">
        <w:rPr>
          <w:color w:val="365F91" w:themeColor="accent1" w:themeShade="BF"/>
        </w:rPr>
        <w:t>This procedure applies when the issue of concern identified by Community Visitor</w:t>
      </w:r>
      <w:r w:rsidR="00647909">
        <w:rPr>
          <w:color w:val="365F91" w:themeColor="accent1" w:themeShade="BF"/>
        </w:rPr>
        <w:t>s</w:t>
      </w:r>
      <w:r w:rsidRPr="0059724E">
        <w:rPr>
          <w:color w:val="365F91" w:themeColor="accent1" w:themeShade="BF"/>
        </w:rPr>
        <w:t xml:space="preserve"> at an SRS alleges:</w:t>
      </w:r>
    </w:p>
    <w:p w14:paraId="43F9AC41" w14:textId="77777777" w:rsidR="00116F44" w:rsidRPr="0059724E" w:rsidRDefault="00116F44" w:rsidP="00116F44">
      <w:pPr>
        <w:pStyle w:val="DHHSbody"/>
        <w:numPr>
          <w:ilvl w:val="0"/>
          <w:numId w:val="17"/>
        </w:numPr>
        <w:rPr>
          <w:color w:val="365F91" w:themeColor="accent1" w:themeShade="BF"/>
        </w:rPr>
      </w:pPr>
      <w:r w:rsidRPr="0059724E">
        <w:rPr>
          <w:color w:val="365F91" w:themeColor="accent1" w:themeShade="BF"/>
        </w:rPr>
        <w:t>A significant harm has occurred or is certain to happen to one or more residents if the allegation were found proven;</w:t>
      </w:r>
    </w:p>
    <w:p w14:paraId="5C520870" w14:textId="77777777" w:rsidR="00116F44" w:rsidRPr="0059724E" w:rsidRDefault="00116F44" w:rsidP="00116F44">
      <w:pPr>
        <w:pStyle w:val="DHHSbody"/>
        <w:numPr>
          <w:ilvl w:val="0"/>
          <w:numId w:val="17"/>
        </w:numPr>
        <w:rPr>
          <w:color w:val="365F91" w:themeColor="accent1" w:themeShade="BF"/>
        </w:rPr>
      </w:pPr>
      <w:r w:rsidRPr="0059724E">
        <w:rPr>
          <w:color w:val="365F91" w:themeColor="accent1" w:themeShade="BF"/>
        </w:rPr>
        <w:t>Significant risk to resident(s) with an almost certain likelihood of the consequences being proven; or</w:t>
      </w:r>
    </w:p>
    <w:p w14:paraId="521A8DD3" w14:textId="77777777" w:rsidR="00116F44" w:rsidRPr="0059724E" w:rsidRDefault="00116F44" w:rsidP="00116F44">
      <w:pPr>
        <w:pStyle w:val="DHHSbody"/>
        <w:numPr>
          <w:ilvl w:val="0"/>
          <w:numId w:val="17"/>
        </w:numPr>
        <w:rPr>
          <w:color w:val="365F91" w:themeColor="accent1" w:themeShade="BF"/>
        </w:rPr>
      </w:pPr>
      <w:r w:rsidRPr="0059724E">
        <w:rPr>
          <w:color w:val="365F91" w:themeColor="accent1" w:themeShade="BF"/>
        </w:rPr>
        <w:t>CVP are concerned of the potential for retribution against a resident/staff.</w:t>
      </w:r>
    </w:p>
    <w:p w14:paraId="5FBFA906" w14:textId="77777777" w:rsidR="00116F44" w:rsidRPr="0059724E" w:rsidRDefault="00116F44" w:rsidP="0059724E">
      <w:pPr>
        <w:pStyle w:val="DHHSbody"/>
        <w:numPr>
          <w:ilvl w:val="0"/>
          <w:numId w:val="18"/>
        </w:numPr>
        <w:ind w:left="567" w:hanging="283"/>
        <w:rPr>
          <w:color w:val="365F91" w:themeColor="accent1" w:themeShade="BF"/>
          <w:lang w:eastAsia="en-AU"/>
        </w:rPr>
      </w:pPr>
      <w:r w:rsidRPr="0059724E">
        <w:rPr>
          <w:color w:val="365F91" w:themeColor="accent1" w:themeShade="BF"/>
          <w:lang w:eastAsia="en-AU"/>
        </w:rPr>
        <w:t xml:space="preserve">In this event, the CVs should immediately advise the: </w:t>
      </w:r>
    </w:p>
    <w:p w14:paraId="56C42F0F" w14:textId="77777777" w:rsidR="00116F44" w:rsidRPr="0059724E" w:rsidRDefault="00116F44" w:rsidP="0059724E">
      <w:pPr>
        <w:pStyle w:val="DHHStabletext"/>
        <w:numPr>
          <w:ilvl w:val="0"/>
          <w:numId w:val="24"/>
        </w:numPr>
        <w:spacing w:before="120" w:after="120"/>
        <w:ind w:left="1134" w:hanging="425"/>
      </w:pPr>
      <w:r w:rsidRPr="0059724E">
        <w:lastRenderedPageBreak/>
        <w:t>Most senior staff available at the SRS who are on duty;</w:t>
      </w:r>
    </w:p>
    <w:p w14:paraId="3F4E3129" w14:textId="77777777" w:rsidR="00116F44" w:rsidRPr="0059724E" w:rsidRDefault="00116F44" w:rsidP="0059724E">
      <w:pPr>
        <w:pStyle w:val="DHHStabletext"/>
        <w:numPr>
          <w:ilvl w:val="0"/>
          <w:numId w:val="24"/>
        </w:numPr>
        <w:spacing w:before="120" w:after="120"/>
        <w:ind w:left="1134" w:hanging="425"/>
      </w:pPr>
      <w:r w:rsidRPr="0059724E">
        <w:t>The CVP Regional Convenor; and</w:t>
      </w:r>
    </w:p>
    <w:p w14:paraId="35C0BC26" w14:textId="77777777" w:rsidR="00116F44" w:rsidRPr="0059724E" w:rsidRDefault="00116F44" w:rsidP="0059724E">
      <w:pPr>
        <w:pStyle w:val="DHHStabletext"/>
        <w:numPr>
          <w:ilvl w:val="0"/>
          <w:numId w:val="24"/>
        </w:numPr>
        <w:spacing w:before="120"/>
        <w:ind w:left="1134" w:hanging="425"/>
      </w:pPr>
      <w:r w:rsidRPr="0059724E">
        <w:t>Relevant regional Regulatory Compliance and Enforcement Team</w:t>
      </w:r>
    </w:p>
    <w:p w14:paraId="3DFED7DE" w14:textId="40B69AFD" w:rsidR="00116F44" w:rsidRPr="00F8407C" w:rsidRDefault="00116F44" w:rsidP="0059724E">
      <w:pPr>
        <w:pStyle w:val="ListParagraph"/>
        <w:numPr>
          <w:ilvl w:val="0"/>
          <w:numId w:val="18"/>
        </w:numPr>
        <w:ind w:left="567" w:hanging="283"/>
        <w:rPr>
          <w:color w:val="365F91" w:themeColor="accent1" w:themeShade="BF"/>
          <w:lang w:eastAsia="en-AU"/>
        </w:rPr>
      </w:pPr>
      <w:r w:rsidRPr="0059724E">
        <w:rPr>
          <w:color w:val="365F91" w:themeColor="accent1" w:themeShade="BF"/>
          <w:lang w:eastAsia="en-AU"/>
        </w:rPr>
        <w:t xml:space="preserve">Where a CV is concerned of the potential for retribution against a resident or staff member at </w:t>
      </w:r>
      <w:r w:rsidRPr="00F8407C">
        <w:rPr>
          <w:color w:val="365F91" w:themeColor="accent1" w:themeShade="BF"/>
          <w:lang w:eastAsia="en-AU"/>
        </w:rPr>
        <w:t>an SRS facility, the CV should advise the relevant:</w:t>
      </w:r>
    </w:p>
    <w:p w14:paraId="2CF6BE7E" w14:textId="4038617C" w:rsidR="000C50AC" w:rsidRPr="00F8407C" w:rsidRDefault="000C50AC" w:rsidP="000C50AC">
      <w:pPr>
        <w:numPr>
          <w:ilvl w:val="0"/>
          <w:numId w:val="8"/>
        </w:numPr>
        <w:spacing w:line="259" w:lineRule="auto"/>
        <w:ind w:left="1417" w:hanging="425"/>
        <w:textAlignment w:val="center"/>
        <w:rPr>
          <w:rFonts w:cs="Arial"/>
          <w:color w:val="365F91" w:themeColor="accent1" w:themeShade="BF"/>
          <w:lang w:eastAsia="en-AU"/>
        </w:rPr>
      </w:pPr>
      <w:r w:rsidRPr="00F8407C">
        <w:rPr>
          <w:rFonts w:cs="Arial"/>
          <w:color w:val="365F91" w:themeColor="accent1" w:themeShade="BF"/>
          <w:sz w:val="22"/>
          <w:szCs w:val="22"/>
          <w:lang w:eastAsia="en-AU"/>
        </w:rPr>
        <w:t xml:space="preserve">Regional Convenor; who will advise </w:t>
      </w:r>
      <w:r w:rsidR="00AE259E">
        <w:rPr>
          <w:rFonts w:cs="Arial"/>
          <w:color w:val="365F91" w:themeColor="accent1" w:themeShade="BF"/>
          <w:sz w:val="22"/>
          <w:szCs w:val="22"/>
          <w:lang w:eastAsia="en-AU"/>
        </w:rPr>
        <w:t xml:space="preserve">the </w:t>
      </w:r>
      <w:r w:rsidRPr="00F8407C">
        <w:rPr>
          <w:rFonts w:cs="Arial"/>
          <w:color w:val="365F91" w:themeColor="accent1" w:themeShade="BF"/>
          <w:sz w:val="22"/>
          <w:szCs w:val="22"/>
          <w:lang w:eastAsia="en-AU"/>
        </w:rPr>
        <w:fldChar w:fldCharType="begin"/>
      </w:r>
      <w:r w:rsidRPr="00F8407C">
        <w:rPr>
          <w:rFonts w:cs="Arial"/>
          <w:color w:val="365F91" w:themeColor="accent1" w:themeShade="BF"/>
          <w:sz w:val="22"/>
          <w:szCs w:val="22"/>
          <w:lang w:eastAsia="en-AU"/>
        </w:rPr>
        <w:instrText xml:space="preserve"> REF _Ref85115048 \h  \* MERGEFORMAT </w:instrText>
      </w:r>
      <w:r w:rsidRPr="00F8407C">
        <w:rPr>
          <w:rFonts w:cs="Arial"/>
          <w:color w:val="365F91" w:themeColor="accent1" w:themeShade="BF"/>
          <w:sz w:val="22"/>
          <w:szCs w:val="22"/>
          <w:lang w:eastAsia="en-AU"/>
        </w:rPr>
      </w:r>
      <w:r w:rsidRPr="00F8407C">
        <w:rPr>
          <w:rFonts w:cs="Arial"/>
          <w:color w:val="365F91" w:themeColor="accent1" w:themeShade="BF"/>
          <w:sz w:val="22"/>
          <w:szCs w:val="22"/>
          <w:lang w:eastAsia="en-AU"/>
        </w:rPr>
        <w:fldChar w:fldCharType="separate"/>
      </w:r>
      <w:r w:rsidR="00451692" w:rsidRPr="00F8407C">
        <w:rPr>
          <w:rFonts w:cs="Arial"/>
          <w:color w:val="365F91" w:themeColor="accent1" w:themeShade="BF"/>
          <w:sz w:val="22"/>
          <w:szCs w:val="22"/>
          <w:lang w:eastAsia="en-AU"/>
        </w:rPr>
        <w:t xml:space="preserve">Regulatory Compliance </w:t>
      </w:r>
      <w:r w:rsidR="00451692" w:rsidRPr="00F8407C">
        <w:rPr>
          <w:rFonts w:cs="Arial"/>
          <w:lang w:eastAsia="en-AU"/>
        </w:rPr>
        <w:t>and Enforcement</w:t>
      </w:r>
      <w:r w:rsidRPr="00F8407C">
        <w:rPr>
          <w:rFonts w:cs="Arial"/>
          <w:color w:val="365F91" w:themeColor="accent1" w:themeShade="BF"/>
          <w:sz w:val="22"/>
          <w:szCs w:val="22"/>
          <w:lang w:eastAsia="en-AU"/>
        </w:rPr>
        <w:fldChar w:fldCharType="end"/>
      </w:r>
      <w:r w:rsidR="00AE259E">
        <w:rPr>
          <w:rFonts w:cs="Arial"/>
          <w:color w:val="365F91" w:themeColor="accent1" w:themeShade="BF"/>
          <w:sz w:val="22"/>
          <w:szCs w:val="22"/>
          <w:lang w:eastAsia="en-AU"/>
        </w:rPr>
        <w:t xml:space="preserve"> Team</w:t>
      </w:r>
      <w:r w:rsidRPr="00F8407C">
        <w:rPr>
          <w:rFonts w:cs="Arial"/>
          <w:color w:val="365F91" w:themeColor="accent1" w:themeShade="BF"/>
          <w:lang w:eastAsia="en-AU"/>
        </w:rPr>
        <w:t>.</w:t>
      </w:r>
    </w:p>
    <w:p w14:paraId="27844A6F" w14:textId="77777777" w:rsidR="00116F44" w:rsidRPr="00F30402" w:rsidRDefault="00116F44" w:rsidP="00116F44">
      <w:pPr>
        <w:pStyle w:val="TOC2"/>
        <w:rPr>
          <w:b/>
          <w:bCs/>
          <w:color w:val="365F91" w:themeColor="accent1" w:themeShade="BF"/>
          <w:sz w:val="24"/>
          <w:szCs w:val="24"/>
        </w:rPr>
      </w:pPr>
      <w:bookmarkStart w:id="23" w:name="_Hlk86323069"/>
      <w:r w:rsidRPr="00F8407C">
        <w:rPr>
          <w:b/>
          <w:bCs/>
          <w:color w:val="365F91" w:themeColor="accent1" w:themeShade="BF"/>
          <w:sz w:val="24"/>
          <w:szCs w:val="24"/>
          <w:u w:val="single"/>
        </w:rPr>
        <w:t>Special Circumstances Procedure 2:</w:t>
      </w:r>
      <w:r w:rsidRPr="00F8407C">
        <w:rPr>
          <w:b/>
          <w:bCs/>
          <w:color w:val="365F91" w:themeColor="accent1" w:themeShade="BF"/>
          <w:sz w:val="24"/>
          <w:szCs w:val="24"/>
        </w:rPr>
        <w:t xml:space="preserve"> Notification</w:t>
      </w:r>
      <w:r w:rsidRPr="00F30402">
        <w:rPr>
          <w:b/>
          <w:bCs/>
          <w:color w:val="365F91" w:themeColor="accent1" w:themeShade="BF"/>
          <w:sz w:val="24"/>
          <w:szCs w:val="24"/>
        </w:rPr>
        <w:t xml:space="preserve"> procedure for escalating concerns about the poor treatment or obstruction of Community Visitors   </w:t>
      </w:r>
    </w:p>
    <w:bookmarkEnd w:id="23"/>
    <w:p w14:paraId="19284584" w14:textId="77777777" w:rsidR="00116F44" w:rsidRPr="00971611" w:rsidRDefault="00116F44" w:rsidP="00116F44">
      <w:pPr>
        <w:pStyle w:val="DHHStabletext"/>
        <w:numPr>
          <w:ilvl w:val="0"/>
          <w:numId w:val="19"/>
        </w:numPr>
      </w:pPr>
      <w:r w:rsidRPr="00971611">
        <w:t xml:space="preserve">CVs should document minor issues in the </w:t>
      </w:r>
      <w:r w:rsidRPr="00971611">
        <w:rPr>
          <w:b/>
          <w:bCs/>
        </w:rPr>
        <w:t>CV Record of Visit Form</w:t>
      </w:r>
      <w:r w:rsidRPr="00971611">
        <w:t xml:space="preserve"> report and provide proprietors with an opportunity to respond to and address identified issues of concern.</w:t>
      </w:r>
    </w:p>
    <w:p w14:paraId="38FF8D7B" w14:textId="77777777" w:rsidR="00116F44" w:rsidRPr="00971611" w:rsidRDefault="00116F44" w:rsidP="00116F44">
      <w:pPr>
        <w:pStyle w:val="DHHStabletext"/>
        <w:numPr>
          <w:ilvl w:val="0"/>
          <w:numId w:val="19"/>
        </w:numPr>
      </w:pPr>
      <w:r w:rsidRPr="00971611">
        <w:t xml:space="preserve">If the proprietor’s behaviour is deemed to be more serious, a </w:t>
      </w:r>
      <w:r w:rsidRPr="00971611">
        <w:rPr>
          <w:b/>
          <w:bCs/>
        </w:rPr>
        <w:t>Notification for Investigation</w:t>
      </w:r>
      <w:r w:rsidRPr="00971611">
        <w:t xml:space="preserve"> (NFI) and a </w:t>
      </w:r>
      <w:r w:rsidRPr="00971611">
        <w:rPr>
          <w:b/>
          <w:bCs/>
        </w:rPr>
        <w:t>Confidential Supplementary Report</w:t>
      </w:r>
      <w:r w:rsidRPr="00971611">
        <w:t xml:space="preserve"> detailing the CVs experience may be required to alert HSR of the abuse or obstruction of CVs. </w:t>
      </w:r>
    </w:p>
    <w:p w14:paraId="3EE367D3" w14:textId="5ECBCB85" w:rsidR="00116F44" w:rsidRPr="00971611" w:rsidRDefault="00116F44" w:rsidP="00116F44">
      <w:pPr>
        <w:pStyle w:val="DHHStabletext"/>
        <w:numPr>
          <w:ilvl w:val="0"/>
          <w:numId w:val="19"/>
        </w:numPr>
      </w:pPr>
      <w:r w:rsidRPr="00971611">
        <w:t>HSR will provide CVP a response to each issue raised within a</w:t>
      </w:r>
      <w:r w:rsidR="00405E21">
        <w:t>n</w:t>
      </w:r>
      <w:r w:rsidRPr="00971611">
        <w:t xml:space="preserve"> NFI. </w:t>
      </w:r>
    </w:p>
    <w:p w14:paraId="3512CFB6" w14:textId="77777777" w:rsidR="00116F44" w:rsidRPr="00971611" w:rsidRDefault="00116F44" w:rsidP="00116F44">
      <w:pPr>
        <w:pStyle w:val="DHHStabletext"/>
        <w:numPr>
          <w:ilvl w:val="0"/>
          <w:numId w:val="19"/>
        </w:numPr>
        <w:rPr>
          <w:rFonts w:eastAsia="Arial"/>
        </w:rPr>
      </w:pPr>
      <w:r w:rsidRPr="00971611">
        <w:rPr>
          <w:rFonts w:eastAsia="Arial"/>
        </w:rPr>
        <w:t xml:space="preserve">The HSR will investigate and speak to all parties as soon as practical. If the circumstances of the issue are such that the HSR is unable to take regulatory action, guidance will be provided to proprietor about the role and function of CVs and the proprietor’s obligations under the Act.  </w:t>
      </w:r>
    </w:p>
    <w:p w14:paraId="2DB74C97" w14:textId="77777777" w:rsidR="00116F44" w:rsidRPr="00971611" w:rsidRDefault="00116F44" w:rsidP="00116F44">
      <w:pPr>
        <w:pStyle w:val="DHHStabletext"/>
        <w:numPr>
          <w:ilvl w:val="0"/>
          <w:numId w:val="19"/>
        </w:numPr>
        <w:rPr>
          <w:rFonts w:eastAsia="Arial"/>
        </w:rPr>
      </w:pPr>
      <w:r w:rsidRPr="00971611">
        <w:rPr>
          <w:rFonts w:eastAsia="Arial"/>
        </w:rPr>
        <w:t>If CVP continue to have concerns about</w:t>
      </w:r>
      <w:r>
        <w:rPr>
          <w:rFonts w:eastAsia="Arial"/>
        </w:rPr>
        <w:t xml:space="preserve"> the poor treatment or obstruction of Community Visitors at the same SRS, </w:t>
      </w:r>
      <w:r w:rsidRPr="00971611">
        <w:rPr>
          <w:rFonts w:eastAsia="Arial"/>
        </w:rPr>
        <w:t>they will submit a second NFI, and Confidential Supplementary Report, to HSR.</w:t>
      </w:r>
    </w:p>
    <w:p w14:paraId="6C01FDAB" w14:textId="77777777" w:rsidR="00116F44" w:rsidRPr="00971611" w:rsidRDefault="00116F44" w:rsidP="00116F44">
      <w:pPr>
        <w:pStyle w:val="DHHStabletext"/>
        <w:numPr>
          <w:ilvl w:val="0"/>
          <w:numId w:val="19"/>
        </w:numPr>
        <w:rPr>
          <w:rFonts w:eastAsia="Arial"/>
        </w:rPr>
      </w:pPr>
      <w:r w:rsidRPr="00971611">
        <w:rPr>
          <w:rFonts w:eastAsia="Arial"/>
        </w:rPr>
        <w:t xml:space="preserve">If the CVP continue to have concerns about the issues raised after the HSR responds to a second NFI, the matter will be escalated to the Director, HSR. </w:t>
      </w:r>
    </w:p>
    <w:p w14:paraId="236D6788" w14:textId="77777777" w:rsidR="00116F44" w:rsidRPr="00971611" w:rsidRDefault="00116F44" w:rsidP="00116F44">
      <w:pPr>
        <w:pStyle w:val="ListParagraph"/>
        <w:numPr>
          <w:ilvl w:val="0"/>
          <w:numId w:val="19"/>
        </w:numPr>
        <w:rPr>
          <w:color w:val="365F91" w:themeColor="accent1" w:themeShade="BF"/>
        </w:rPr>
      </w:pPr>
      <w:r w:rsidRPr="00971611">
        <w:rPr>
          <w:rFonts w:eastAsia="Arial"/>
          <w:color w:val="365F91" w:themeColor="accent1" w:themeShade="BF"/>
        </w:rPr>
        <w:t>If concerns remain unresolved, the matter will be escalated to the Senior Executive Director, Strategy and Regulation.</w:t>
      </w:r>
    </w:p>
    <w:p w14:paraId="47A95BB1" w14:textId="77777777" w:rsidR="00116F44" w:rsidRDefault="00116F44" w:rsidP="00116F44">
      <w:pPr>
        <w:spacing w:after="0" w:line="240" w:lineRule="auto"/>
        <w:rPr>
          <w:rFonts w:cs="Arial"/>
          <w:lang w:eastAsia="en-AU"/>
        </w:rPr>
      </w:pPr>
    </w:p>
    <w:p w14:paraId="472F6A0B" w14:textId="2385DEB4" w:rsidR="00116F44" w:rsidRPr="00B70916" w:rsidRDefault="00116F44" w:rsidP="00B70916">
      <w:pPr>
        <w:pStyle w:val="TOC2"/>
        <w:spacing w:after="120"/>
        <w:rPr>
          <w:b/>
          <w:bCs/>
          <w:color w:val="365F91" w:themeColor="accent1" w:themeShade="BF"/>
          <w:sz w:val="24"/>
          <w:szCs w:val="24"/>
        </w:rPr>
      </w:pPr>
      <w:bookmarkStart w:id="24" w:name="_Hlk86323161"/>
      <w:r w:rsidRPr="00B70916">
        <w:rPr>
          <w:b/>
          <w:bCs/>
          <w:color w:val="365F91" w:themeColor="accent1" w:themeShade="BF"/>
          <w:sz w:val="24"/>
          <w:szCs w:val="24"/>
          <w:u w:val="single"/>
        </w:rPr>
        <w:t>Special Circumstances Procedure 3:</w:t>
      </w:r>
      <w:r w:rsidRPr="00B70916">
        <w:rPr>
          <w:b/>
          <w:bCs/>
          <w:color w:val="365F91" w:themeColor="accent1" w:themeShade="BF"/>
          <w:sz w:val="24"/>
          <w:szCs w:val="24"/>
        </w:rPr>
        <w:t xml:space="preserve"> Notification of serious, systemic or unresolved issues between the Office of the Public Advocate and/or Community Visitors Program and the Human Services Regulator</w:t>
      </w:r>
    </w:p>
    <w:bookmarkEnd w:id="24"/>
    <w:p w14:paraId="0104128C" w14:textId="77777777" w:rsidR="00116F44" w:rsidRPr="00D902F1" w:rsidRDefault="00116F44" w:rsidP="00116F44">
      <w:pPr>
        <w:pStyle w:val="DHHSbody"/>
        <w:rPr>
          <w:color w:val="365F91" w:themeColor="accent1" w:themeShade="BF"/>
          <w:lang w:eastAsia="en-AU"/>
        </w:rPr>
      </w:pPr>
      <w:r w:rsidRPr="00D902F1">
        <w:rPr>
          <w:color w:val="365F91" w:themeColor="accent1" w:themeShade="BF"/>
          <w:lang w:eastAsia="en-AU"/>
        </w:rPr>
        <w:t>This procedure is to progress and facilitate resolution of unresolved issues relating to either a previous NFI or other systemic, serious or unresolved issues relating to the regulation of SRS identified by the Office of the Public Advocate and/or the Community Visitors Program.</w:t>
      </w:r>
    </w:p>
    <w:p w14:paraId="14484394" w14:textId="77777777" w:rsidR="00116F44" w:rsidRPr="00D902F1" w:rsidRDefault="00116F44" w:rsidP="00116F44">
      <w:pPr>
        <w:pStyle w:val="DHHSbody"/>
        <w:rPr>
          <w:color w:val="365F91" w:themeColor="accent1" w:themeShade="BF"/>
          <w:lang w:eastAsia="en-AU"/>
        </w:rPr>
      </w:pPr>
      <w:r w:rsidRPr="00D902F1">
        <w:rPr>
          <w:b/>
          <w:bCs/>
          <w:color w:val="365F91" w:themeColor="accent1" w:themeShade="BF"/>
          <w:lang w:eastAsia="en-AU"/>
        </w:rPr>
        <w:t>Note:</w:t>
      </w:r>
      <w:r w:rsidRPr="00D902F1">
        <w:rPr>
          <w:color w:val="365F91" w:themeColor="accent1" w:themeShade="BF"/>
          <w:lang w:eastAsia="en-AU"/>
        </w:rPr>
        <w:t xml:space="preserve"> This procedure may also be used by the Human Services Regulator to notify the Office of the Public Advocate and/or the Community Visitors Program of serious, systemic or unresolved issues. In this case, the procedure will be the same but roles of parties will be reversed. </w:t>
      </w:r>
    </w:p>
    <w:p w14:paraId="33553984" w14:textId="027D808C" w:rsidR="00116F44" w:rsidRPr="00B70916" w:rsidRDefault="00116F44" w:rsidP="00116F44">
      <w:pPr>
        <w:pStyle w:val="DHHStabletext"/>
        <w:numPr>
          <w:ilvl w:val="0"/>
          <w:numId w:val="20"/>
        </w:numPr>
      </w:pPr>
      <w:r w:rsidRPr="00B70916">
        <w:rPr>
          <w:b/>
          <w:bCs/>
        </w:rPr>
        <w:t>Day 1:</w:t>
      </w:r>
      <w:r w:rsidRPr="00B70916">
        <w:t xml:space="preserve"> OPA/CVP notify issue by email to the Director, Human Services Regulator. Email to include “</w:t>
      </w:r>
      <w:r w:rsidRPr="00B70916">
        <w:rPr>
          <w:i/>
          <w:iCs/>
        </w:rPr>
        <w:t>Special Circumstances Notification to HSR</w:t>
      </w:r>
      <w:r w:rsidRPr="00B70916">
        <w:t>” in subject line.</w:t>
      </w:r>
    </w:p>
    <w:p w14:paraId="678C5D7F" w14:textId="23B919F5" w:rsidR="00116F44" w:rsidRPr="00B70916" w:rsidRDefault="00116F44" w:rsidP="00116F44">
      <w:pPr>
        <w:pStyle w:val="ListParagraph"/>
        <w:widowControl w:val="0"/>
        <w:numPr>
          <w:ilvl w:val="0"/>
          <w:numId w:val="20"/>
        </w:numPr>
        <w:spacing w:before="0" w:after="160"/>
        <w:contextualSpacing/>
        <w:rPr>
          <w:color w:val="365F91" w:themeColor="accent1" w:themeShade="BF"/>
        </w:rPr>
      </w:pPr>
      <w:r w:rsidRPr="00B70916">
        <w:rPr>
          <w:rFonts w:eastAsia="Times New Roman"/>
          <w:b/>
          <w:bCs/>
          <w:color w:val="365F91" w:themeColor="accent1" w:themeShade="BF"/>
          <w:lang w:eastAsia="en-AU"/>
        </w:rPr>
        <w:lastRenderedPageBreak/>
        <w:t xml:space="preserve">Day 1-5: </w:t>
      </w:r>
      <w:r w:rsidRPr="00B70916">
        <w:rPr>
          <w:color w:val="365F91" w:themeColor="accent1" w:themeShade="BF"/>
        </w:rPr>
        <w:t xml:space="preserve">On receipt of Notification, HSR to send immediate acknowledgement by email to the </w:t>
      </w:r>
      <w:r w:rsidRPr="00B70916">
        <w:rPr>
          <w:b/>
          <w:bCs/>
          <w:color w:val="365F91" w:themeColor="accent1" w:themeShade="BF"/>
        </w:rPr>
        <w:t xml:space="preserve">Public Advocate. </w:t>
      </w:r>
    </w:p>
    <w:p w14:paraId="0EEBBFD9" w14:textId="77777777" w:rsidR="00116F44" w:rsidRDefault="00116F44" w:rsidP="00116F44">
      <w:pPr>
        <w:pStyle w:val="DHHStabletext"/>
        <w:numPr>
          <w:ilvl w:val="1"/>
          <w:numId w:val="21"/>
        </w:numPr>
      </w:pPr>
      <w:r>
        <w:t>C</w:t>
      </w:r>
      <w:r w:rsidRPr="006E791F">
        <w:t xml:space="preserve">c to OPA  Manager </w:t>
      </w:r>
      <w:r>
        <w:t xml:space="preserve">Quality &amp; Audit  </w:t>
      </w:r>
    </w:p>
    <w:p w14:paraId="052B9671" w14:textId="77777777" w:rsidR="00116F44" w:rsidRPr="006E791F" w:rsidRDefault="00116F44" w:rsidP="00116F44">
      <w:pPr>
        <w:pStyle w:val="DHHStabletext"/>
        <w:numPr>
          <w:ilvl w:val="1"/>
          <w:numId w:val="21"/>
        </w:numPr>
      </w:pPr>
      <w:r>
        <w:t xml:space="preserve">Cc to </w:t>
      </w:r>
      <w:r w:rsidRPr="006E791F">
        <w:t xml:space="preserve">RCET Statewide Manager </w:t>
      </w:r>
    </w:p>
    <w:p w14:paraId="74371FC6" w14:textId="77777777" w:rsidR="00116F44" w:rsidRPr="001403E6" w:rsidRDefault="00116F44" w:rsidP="00116F44">
      <w:pPr>
        <w:pStyle w:val="DHHStabletext"/>
        <w:numPr>
          <w:ilvl w:val="1"/>
          <w:numId w:val="21"/>
        </w:numPr>
      </w:pPr>
      <w:r w:rsidRPr="006E791F">
        <w:t xml:space="preserve">HSR to begin drafting outline of response**. </w:t>
      </w:r>
    </w:p>
    <w:p w14:paraId="01CAEE03" w14:textId="2EC90124" w:rsidR="00116F44" w:rsidRPr="00B70916" w:rsidRDefault="00116F44" w:rsidP="00B70916">
      <w:pPr>
        <w:pStyle w:val="ListParagraph"/>
        <w:widowControl w:val="0"/>
        <w:numPr>
          <w:ilvl w:val="0"/>
          <w:numId w:val="20"/>
        </w:numPr>
        <w:ind w:left="284" w:hanging="284"/>
        <w:rPr>
          <w:color w:val="365F91" w:themeColor="accent1" w:themeShade="BF"/>
        </w:rPr>
      </w:pPr>
      <w:r w:rsidRPr="00B70916">
        <w:rPr>
          <w:rFonts w:eastAsia="Times New Roman"/>
          <w:b/>
          <w:bCs/>
          <w:color w:val="365F91" w:themeColor="accent1" w:themeShade="BF"/>
          <w:lang w:eastAsia="en-AU"/>
        </w:rPr>
        <w:t xml:space="preserve">Day 5-10: HSR </w:t>
      </w:r>
      <w:r w:rsidRPr="00B70916">
        <w:rPr>
          <w:rFonts w:eastAsia="Times New Roman"/>
          <w:color w:val="365F91" w:themeColor="accent1" w:themeShade="BF"/>
          <w:lang w:eastAsia="en-AU"/>
        </w:rPr>
        <w:t>to r</w:t>
      </w:r>
      <w:r w:rsidRPr="00B70916">
        <w:rPr>
          <w:color w:val="365F91" w:themeColor="accent1" w:themeShade="BF"/>
        </w:rPr>
        <w:t>eview the response to notification.</w:t>
      </w:r>
    </w:p>
    <w:p w14:paraId="61199EF6" w14:textId="77777777" w:rsidR="00116F44" w:rsidRPr="00B70916" w:rsidRDefault="00116F44" w:rsidP="00B70916">
      <w:pPr>
        <w:spacing w:after="0" w:line="240" w:lineRule="auto"/>
        <w:ind w:left="284" w:hanging="284"/>
        <w:rPr>
          <w:rFonts w:cs="Arial"/>
          <w:color w:val="365F91" w:themeColor="accent1" w:themeShade="BF"/>
          <w:lang w:eastAsia="en-AU"/>
        </w:rPr>
      </w:pPr>
      <w:r w:rsidRPr="00B70916">
        <w:rPr>
          <w:rFonts w:cs="Arial"/>
          <w:color w:val="365F91" w:themeColor="accent1" w:themeShade="BF"/>
        </w:rPr>
        <w:t xml:space="preserve"> Forward response to the </w:t>
      </w:r>
      <w:r w:rsidRPr="00B70916">
        <w:rPr>
          <w:rFonts w:cs="Arial"/>
          <w:b/>
          <w:bCs/>
          <w:color w:val="365F91" w:themeColor="accent1" w:themeShade="BF"/>
        </w:rPr>
        <w:t xml:space="preserve">Public Advocate </w:t>
      </w:r>
      <w:r w:rsidRPr="00B70916">
        <w:rPr>
          <w:rFonts w:cs="Arial"/>
          <w:color w:val="365F91" w:themeColor="accent1" w:themeShade="BF"/>
        </w:rPr>
        <w:t xml:space="preserve">with cc to </w:t>
      </w:r>
      <w:r w:rsidRPr="00B70916">
        <w:rPr>
          <w:rFonts w:cs="Arial"/>
          <w:b/>
          <w:bCs/>
          <w:color w:val="365F91" w:themeColor="accent1" w:themeShade="BF"/>
        </w:rPr>
        <w:t xml:space="preserve">OPA Manager Quality &amp; Audit. </w:t>
      </w:r>
    </w:p>
    <w:p w14:paraId="2EF43437" w14:textId="77777777" w:rsidR="00116F44" w:rsidRPr="00B70916" w:rsidRDefault="00116F44" w:rsidP="00116F44">
      <w:pPr>
        <w:spacing w:after="0" w:line="240" w:lineRule="auto"/>
        <w:rPr>
          <w:rFonts w:cs="Arial"/>
          <w:color w:val="365F91" w:themeColor="accent1" w:themeShade="BF"/>
          <w:lang w:eastAsia="en-AU"/>
        </w:rPr>
      </w:pPr>
    </w:p>
    <w:p w14:paraId="027E1139" w14:textId="66BB4FC7" w:rsidR="00116F44" w:rsidRPr="001448DA" w:rsidRDefault="00116F44" w:rsidP="00B70916">
      <w:pPr>
        <w:pStyle w:val="Heading4"/>
      </w:pPr>
      <w:r w:rsidRPr="001448DA">
        <w:t>6.4</w:t>
      </w:r>
      <w:r w:rsidR="00B70916">
        <w:t xml:space="preserve">  </w:t>
      </w:r>
      <w:r w:rsidRPr="001448DA">
        <w:t>Notification of SRS closures</w:t>
      </w:r>
    </w:p>
    <w:p w14:paraId="39676052" w14:textId="77777777" w:rsidR="00116F44" w:rsidRPr="009913BE" w:rsidRDefault="00116F44" w:rsidP="00116F44">
      <w:pPr>
        <w:pStyle w:val="DHHSbody"/>
      </w:pPr>
      <w:r w:rsidRPr="00071608">
        <w:t xml:space="preserve">SRS proprietors must notify the HSR in writing of the intention to close the SRS and give at least 28 days’ notice to residents. </w:t>
      </w:r>
      <w:r>
        <w:t xml:space="preserve">The HSR will inform CVP when it receives formal notice of intention to close the SRS. </w:t>
      </w:r>
    </w:p>
    <w:p w14:paraId="4DE6EE80" w14:textId="77777777" w:rsidR="00116F44" w:rsidRPr="009913BE" w:rsidRDefault="00116F44" w:rsidP="00116F44">
      <w:pPr>
        <w:pStyle w:val="DHHSbody"/>
      </w:pPr>
      <w:r w:rsidRPr="009913BE">
        <w:t xml:space="preserve">Community Visitors will refer information received about closures to the CVP Regional Convenor and </w:t>
      </w:r>
      <w:r>
        <w:t xml:space="preserve">Divisional </w:t>
      </w:r>
      <w:r w:rsidRPr="009913BE">
        <w:t>Coordinator for verification. Unverified information will not be shared with residents as this may create distress for residents.</w:t>
      </w:r>
    </w:p>
    <w:p w14:paraId="2F5884A2" w14:textId="7E52D3D5" w:rsidR="00116F44" w:rsidRPr="009913BE" w:rsidRDefault="00116F44" w:rsidP="00116F44">
      <w:pPr>
        <w:pStyle w:val="DHHSbody"/>
      </w:pPr>
      <w:r>
        <w:t>Informal i</w:t>
      </w:r>
      <w:r w:rsidRPr="009913BE">
        <w:t xml:space="preserve">nformation </w:t>
      </w:r>
      <w:r>
        <w:t>about</w:t>
      </w:r>
      <w:r w:rsidRPr="009913BE">
        <w:t xml:space="preserve"> a closure or intended closure of an SRS </w:t>
      </w:r>
      <w:r>
        <w:t>may</w:t>
      </w:r>
      <w:r w:rsidRPr="009913BE">
        <w:t xml:space="preserve"> be mutually shared between the relevant HSR RCET divisional team and </w:t>
      </w:r>
      <w:r>
        <w:t>CVP Divisional C</w:t>
      </w:r>
      <w:r w:rsidRPr="009913BE">
        <w:t xml:space="preserve">oordinator </w:t>
      </w:r>
      <w:r>
        <w:t>at their discretion</w:t>
      </w:r>
      <w:r w:rsidRPr="009913BE">
        <w:t xml:space="preserve">. </w:t>
      </w:r>
    </w:p>
    <w:p w14:paraId="71E51669" w14:textId="77777777" w:rsidR="00116F44" w:rsidRDefault="00116F44" w:rsidP="00116F44">
      <w:pPr>
        <w:pStyle w:val="DHHSbody"/>
      </w:pPr>
      <w:r w:rsidRPr="00071608">
        <w:t>Community Visitors play an important role in supporting residents and identifying residents</w:t>
      </w:r>
      <w:r>
        <w:t>’</w:t>
      </w:r>
      <w:r w:rsidRPr="00071608">
        <w:t xml:space="preserve"> needs when an SRS closure occurs. </w:t>
      </w:r>
      <w:r>
        <w:t>HSR will encourage p</w:t>
      </w:r>
      <w:r w:rsidRPr="00071608">
        <w:t xml:space="preserve">roprietors to </w:t>
      </w:r>
      <w:r w:rsidRPr="009913BE">
        <w:t>involve Community Visitors in meetings to discuss SRS closure at the same time as advice to residents and their families, administrators, guardians or nominated persons.</w:t>
      </w:r>
    </w:p>
    <w:p w14:paraId="2D91FFAB" w14:textId="30B9FDBD" w:rsidR="00116F44" w:rsidRPr="000A492D" w:rsidRDefault="00116F44" w:rsidP="00B70916">
      <w:pPr>
        <w:pStyle w:val="Heading4"/>
      </w:pPr>
      <w:r>
        <w:t>6.5</w:t>
      </w:r>
      <w:r w:rsidR="00B70916">
        <w:t xml:space="preserve">  </w:t>
      </w:r>
      <w:r w:rsidRPr="000A492D">
        <w:t xml:space="preserve">Change of SRS Ownership </w:t>
      </w:r>
      <w:r>
        <w:t>or new SRS</w:t>
      </w:r>
    </w:p>
    <w:p w14:paraId="550A0D73" w14:textId="77777777" w:rsidR="00116F44" w:rsidRPr="00891DBE" w:rsidRDefault="00116F44" w:rsidP="00116F44">
      <w:pPr>
        <w:pStyle w:val="DHHSbody"/>
      </w:pPr>
      <w:r w:rsidRPr="00891DBE">
        <w:t>The HSR is often alerted to potential change of ownership registration applications prior to a formal application for registration being lodged.</w:t>
      </w:r>
    </w:p>
    <w:p w14:paraId="7DB2D5CE" w14:textId="77777777" w:rsidR="00116F44" w:rsidRPr="00891DBE" w:rsidRDefault="00116F44" w:rsidP="00116F44">
      <w:pPr>
        <w:pStyle w:val="DHHSbody"/>
      </w:pPr>
      <w:r w:rsidRPr="00891DBE">
        <w:t xml:space="preserve">The outcome of a registration application usually forms a provisional clause within business sale contracts between an SRS proprietor and an interested buyer.  Commercial confidentiality prevents the HSR from disclosing information related to change of ownership applications prior to or during the application process. </w:t>
      </w:r>
    </w:p>
    <w:p w14:paraId="50C148A8" w14:textId="77777777" w:rsidR="00116F44" w:rsidRPr="00891DBE" w:rsidRDefault="00116F44" w:rsidP="00116F44">
      <w:pPr>
        <w:pStyle w:val="DHHSbody"/>
      </w:pPr>
      <w:r w:rsidRPr="00891DBE">
        <w:t xml:space="preserve">The HSR will alert the CVP </w:t>
      </w:r>
      <w:r>
        <w:t xml:space="preserve">within 24 hours </w:t>
      </w:r>
      <w:r w:rsidRPr="00891DBE">
        <w:t>of a successful application upon that decision being made by the delegate, and any subsequent short-term conditions on registration being met. This usually coincides with the issuing of a Certificate of Registration to the incoming proprietor.</w:t>
      </w:r>
    </w:p>
    <w:p w14:paraId="220D2296" w14:textId="77777777" w:rsidR="00116F44" w:rsidRDefault="00116F44" w:rsidP="00116F44">
      <w:pPr>
        <w:pStyle w:val="DHHSbody"/>
      </w:pPr>
      <w:r w:rsidRPr="00891DBE">
        <w:t xml:space="preserve">Likewise in the case of a an application for registration of a new SRS, the HSR will inform the CVP at the time of the issuing of the certificate of registration.  </w:t>
      </w:r>
    </w:p>
    <w:p w14:paraId="6CF487E4" w14:textId="77777777" w:rsidR="00116F44" w:rsidRPr="000259CD" w:rsidRDefault="00116F44" w:rsidP="00B70916">
      <w:pPr>
        <w:pStyle w:val="Heading4"/>
      </w:pPr>
      <w:r w:rsidRPr="000259CD">
        <w:t xml:space="preserve">6.6  </w:t>
      </w:r>
      <w:r w:rsidRPr="000259CD">
        <w:tab/>
        <w:t>Notification of deaths in SRS (expected and unexpected)</w:t>
      </w:r>
      <w:r w:rsidRPr="000259CD">
        <w:tab/>
      </w:r>
    </w:p>
    <w:p w14:paraId="7C0E26E4" w14:textId="77777777" w:rsidR="00116F44" w:rsidRDefault="00116F44" w:rsidP="00116F44">
      <w:pPr>
        <w:pStyle w:val="DHHSbody"/>
      </w:pPr>
      <w:r w:rsidRPr="009913BE">
        <w:t>A proprietor must notify the department within one business day of the unexpected death of a resident in SRS. HSR will notify CVP about the unexpected death including</w:t>
      </w:r>
      <w:r>
        <w:t>:</w:t>
      </w:r>
      <w:r w:rsidRPr="009913BE">
        <w:t xml:space="preserve"> </w:t>
      </w:r>
    </w:p>
    <w:p w14:paraId="45F6FCC7" w14:textId="0F47F597" w:rsidR="00116F44" w:rsidRPr="00C573D3" w:rsidRDefault="00116F44" w:rsidP="00116F44">
      <w:pPr>
        <w:pStyle w:val="DHHStabletext"/>
        <w:numPr>
          <w:ilvl w:val="0"/>
          <w:numId w:val="22"/>
        </w:numPr>
        <w:spacing w:before="120" w:after="120"/>
        <w:ind w:left="641" w:hanging="357"/>
        <w:rPr>
          <w:rFonts w:eastAsia="Arial"/>
          <w:color w:val="0D0D0D" w:themeColor="text1" w:themeTint="F2"/>
        </w:rPr>
      </w:pPr>
      <w:r w:rsidRPr="00C573D3">
        <w:rPr>
          <w:rFonts w:eastAsia="Arial"/>
          <w:color w:val="0D0D0D" w:themeColor="text1" w:themeTint="F2"/>
        </w:rPr>
        <w:t xml:space="preserve">the full name of the deceased </w:t>
      </w:r>
    </w:p>
    <w:p w14:paraId="2F4C3330" w14:textId="1E54A03C" w:rsidR="00116F44" w:rsidRPr="00C573D3" w:rsidRDefault="00116F44" w:rsidP="00116F44">
      <w:pPr>
        <w:pStyle w:val="DHHStabletext"/>
        <w:numPr>
          <w:ilvl w:val="0"/>
          <w:numId w:val="22"/>
        </w:numPr>
        <w:spacing w:before="120" w:after="120"/>
        <w:ind w:left="641" w:hanging="357"/>
        <w:rPr>
          <w:rFonts w:eastAsia="Arial"/>
          <w:color w:val="0D0D0D" w:themeColor="text1" w:themeTint="F2"/>
        </w:rPr>
      </w:pPr>
      <w:r w:rsidRPr="00C573D3">
        <w:rPr>
          <w:rFonts w:eastAsia="Arial"/>
          <w:color w:val="0D0D0D" w:themeColor="text1" w:themeTint="F2"/>
        </w:rPr>
        <w:lastRenderedPageBreak/>
        <w:t>date</w:t>
      </w:r>
      <w:r>
        <w:rPr>
          <w:rFonts w:eastAsia="Arial"/>
          <w:color w:val="0D0D0D" w:themeColor="text1" w:themeTint="F2"/>
        </w:rPr>
        <w:t xml:space="preserve"> notified to the HSR</w:t>
      </w:r>
    </w:p>
    <w:p w14:paraId="19548A90" w14:textId="77777777" w:rsidR="00116F44" w:rsidRPr="00C573D3" w:rsidRDefault="00116F44" w:rsidP="00116F44">
      <w:pPr>
        <w:pStyle w:val="DHHStabletext"/>
        <w:numPr>
          <w:ilvl w:val="0"/>
          <w:numId w:val="22"/>
        </w:numPr>
        <w:spacing w:before="120" w:after="120"/>
        <w:ind w:left="641" w:hanging="357"/>
        <w:rPr>
          <w:rFonts w:eastAsia="Arial"/>
          <w:color w:val="0D0D0D" w:themeColor="text1" w:themeTint="F2"/>
        </w:rPr>
      </w:pPr>
      <w:r w:rsidRPr="00C573D3">
        <w:rPr>
          <w:rFonts w:eastAsia="Arial"/>
          <w:color w:val="0D0D0D" w:themeColor="text1" w:themeTint="F2"/>
        </w:rPr>
        <w:t xml:space="preserve">address of SRS, and </w:t>
      </w:r>
    </w:p>
    <w:p w14:paraId="5B546CC9" w14:textId="77777777" w:rsidR="00116F44" w:rsidRPr="00C573D3" w:rsidRDefault="00116F44" w:rsidP="00116F44">
      <w:pPr>
        <w:pStyle w:val="DHHStabletext"/>
        <w:numPr>
          <w:ilvl w:val="0"/>
          <w:numId w:val="22"/>
        </w:numPr>
        <w:spacing w:before="120" w:after="120"/>
        <w:ind w:left="641" w:hanging="357"/>
        <w:rPr>
          <w:rFonts w:eastAsia="Arial"/>
          <w:color w:val="0D0D0D" w:themeColor="text1" w:themeTint="F2"/>
        </w:rPr>
      </w:pPr>
      <w:r w:rsidRPr="00C573D3">
        <w:rPr>
          <w:rFonts w:eastAsia="Arial"/>
          <w:color w:val="0D0D0D" w:themeColor="text1" w:themeTint="F2"/>
        </w:rPr>
        <w:t>any other relevant information to assist Community Visitors in planning a visit.</w:t>
      </w:r>
    </w:p>
    <w:p w14:paraId="50DE36E2" w14:textId="77777777" w:rsidR="00116F44" w:rsidRDefault="00116F44" w:rsidP="00116F44">
      <w:pPr>
        <w:pStyle w:val="DHHSbody"/>
      </w:pPr>
      <w:r>
        <w:t xml:space="preserve">The SRS Act does </w:t>
      </w:r>
      <w:r w:rsidRPr="009913BE">
        <w:t xml:space="preserve">not require proprietors to notify HSR about expected deaths, and </w:t>
      </w:r>
      <w:r>
        <w:t xml:space="preserve">Authorised </w:t>
      </w:r>
      <w:r w:rsidRPr="009913BE">
        <w:t>Officers (</w:t>
      </w:r>
      <w:r>
        <w:t>A</w:t>
      </w:r>
      <w:r w:rsidRPr="009913BE">
        <w:t>O) may only find out during inspections or through conversations with SRS proprietors or staff. Similarly, CVs may also find out about the expected death of an SRS resident during a visit to the SRS or via conversations with SRS proprietors or staff.</w:t>
      </w:r>
    </w:p>
    <w:p w14:paraId="77EC4A19" w14:textId="77777777" w:rsidR="00116F44" w:rsidRDefault="00116F44" w:rsidP="00116F44">
      <w:pPr>
        <w:pStyle w:val="DHHSbody"/>
      </w:pPr>
      <w:r w:rsidRPr="009913BE">
        <w:t xml:space="preserve">Information obtained by either party regarding an expected resident death will be mutually shared between the relevant HSR RCET divisional team and </w:t>
      </w:r>
      <w:r>
        <w:t>CVP Divisional C</w:t>
      </w:r>
      <w:r w:rsidRPr="009913BE">
        <w:t>oordinator of the relevant division of CVP at the earliest possible time.</w:t>
      </w:r>
    </w:p>
    <w:p w14:paraId="3EE3A4A8" w14:textId="77777777" w:rsidR="00116F44" w:rsidRPr="00EB09D9" w:rsidRDefault="00116F44" w:rsidP="00B70916">
      <w:pPr>
        <w:pStyle w:val="Heading4"/>
        <w:rPr>
          <w:rFonts w:eastAsiaTheme="minorEastAsia"/>
        </w:rPr>
      </w:pPr>
      <w:r w:rsidRPr="00EB09D9">
        <w:t>6.</w:t>
      </w:r>
      <w:r>
        <w:t>7</w:t>
      </w:r>
      <w:r w:rsidRPr="00EB09D9">
        <w:t xml:space="preserve"> </w:t>
      </w:r>
      <w:r>
        <w:t xml:space="preserve">  SRS resident d</w:t>
      </w:r>
      <w:r w:rsidRPr="00EB09D9">
        <w:t>emographics</w:t>
      </w:r>
    </w:p>
    <w:p w14:paraId="3E30995F" w14:textId="77777777" w:rsidR="00116F44" w:rsidRPr="005B588D" w:rsidRDefault="00116F44" w:rsidP="00116F44">
      <w:pPr>
        <w:pStyle w:val="DHHSbody"/>
      </w:pPr>
      <w:r w:rsidRPr="005B588D">
        <w:t>The operational model of individual SRS can change over time as the SRS transitions to a different resident profile. Most commonly, this involves a shift over a prolonged period of time from an ‘above pension’ profile with predominantly aged resident cohort, to a ‘pension level’ profile, with younger residents with different support needs (e.g. mental health, drug and alcohol). The change in resident profile and complexity can contribute to a change in compliance position of the SRS.</w:t>
      </w:r>
    </w:p>
    <w:p w14:paraId="6978B145" w14:textId="77777777" w:rsidR="00116F44" w:rsidRPr="005B588D" w:rsidRDefault="00116F44" w:rsidP="00116F44">
      <w:pPr>
        <w:pStyle w:val="DHHSbody"/>
      </w:pPr>
      <w:r w:rsidRPr="005B588D">
        <w:t xml:space="preserve">The HSR does not request formal information on changes in demographic profile of SRS from proprietors. </w:t>
      </w:r>
    </w:p>
    <w:p w14:paraId="56358326" w14:textId="77777777" w:rsidR="00116F44" w:rsidRPr="005B588D" w:rsidRDefault="00116F44" w:rsidP="00116F44">
      <w:pPr>
        <w:pStyle w:val="DHHSbody"/>
      </w:pPr>
      <w:r w:rsidRPr="005B588D">
        <w:t xml:space="preserve">When the HSR registers an SRS, either through a change of ownership or a new SRS, the HSR does receive information on the proposed business profile of the SRS, including the proposed resident cohort. The HSR will share information relating to proposed resident cohort with the CVP as part of the registration data set that is provided to CVP at quarterly Board Liaison Meetings. </w:t>
      </w:r>
    </w:p>
    <w:p w14:paraId="5DF535E6" w14:textId="77777777" w:rsidR="00116F44" w:rsidRPr="005B588D" w:rsidRDefault="00116F44" w:rsidP="00116F44">
      <w:pPr>
        <w:spacing w:line="240" w:lineRule="atLeast"/>
        <w:ind w:right="300"/>
        <w:rPr>
          <w:rFonts w:eastAsiaTheme="minorEastAsia" w:cs="Arial"/>
          <w:color w:val="000000" w:themeColor="text1"/>
          <w:sz w:val="22"/>
          <w:szCs w:val="22"/>
        </w:rPr>
      </w:pPr>
      <w:r w:rsidRPr="005B588D">
        <w:rPr>
          <w:rFonts w:eastAsia="Arial" w:cs="Arial"/>
          <w:color w:val="000000" w:themeColor="text1"/>
          <w:sz w:val="22"/>
          <w:szCs w:val="22"/>
        </w:rPr>
        <w:t xml:space="preserve">CVP will share with HSR information that is indicative of a change in the demographic profile of SRS, such as the age range of residents. </w:t>
      </w:r>
    </w:p>
    <w:p w14:paraId="2321A461" w14:textId="2988D413" w:rsidR="00116F44" w:rsidRPr="00F02E20" w:rsidRDefault="00BD5344" w:rsidP="00BD5344">
      <w:pPr>
        <w:pStyle w:val="Heading1"/>
      </w:pPr>
      <w:bookmarkStart w:id="25" w:name="_Toc90530583"/>
      <w:r>
        <w:t xml:space="preserve">7. </w:t>
      </w:r>
      <w:r w:rsidR="00116F44" w:rsidRPr="00651FA2">
        <w:t>H</w:t>
      </w:r>
      <w:r w:rsidR="00116F44">
        <w:t xml:space="preserve">uman </w:t>
      </w:r>
      <w:r w:rsidR="00116F44" w:rsidRPr="00651FA2">
        <w:t>S</w:t>
      </w:r>
      <w:r w:rsidR="00116F44">
        <w:t xml:space="preserve">ervices </w:t>
      </w:r>
      <w:r w:rsidR="00116F44" w:rsidRPr="00651FA2">
        <w:t>R</w:t>
      </w:r>
      <w:r w:rsidR="00116F44">
        <w:t>egulator</w:t>
      </w:r>
      <w:r w:rsidR="00116F44" w:rsidRPr="00651FA2">
        <w:t xml:space="preserve"> / C</w:t>
      </w:r>
      <w:r w:rsidR="00116F44">
        <w:t xml:space="preserve">ommunity </w:t>
      </w:r>
      <w:r w:rsidR="00116F44" w:rsidRPr="00651FA2">
        <w:t>V</w:t>
      </w:r>
      <w:r w:rsidR="00116F44">
        <w:t xml:space="preserve">isitors </w:t>
      </w:r>
      <w:r w:rsidR="00116F44" w:rsidRPr="00651FA2">
        <w:t>P</w:t>
      </w:r>
      <w:r w:rsidR="00116F44">
        <w:t>rogram</w:t>
      </w:r>
      <w:r w:rsidR="00116F44" w:rsidRPr="00651FA2">
        <w:t xml:space="preserve"> meetings</w:t>
      </w:r>
      <w:bookmarkEnd w:id="25"/>
    </w:p>
    <w:p w14:paraId="5CABDF53" w14:textId="59ACE41A" w:rsidR="00116F44" w:rsidRPr="00651FA2" w:rsidRDefault="00116F44" w:rsidP="00B70916">
      <w:pPr>
        <w:pStyle w:val="Heading4"/>
      </w:pPr>
      <w:r>
        <w:t>7.1</w:t>
      </w:r>
      <w:r w:rsidR="00B70916">
        <w:t xml:space="preserve"> </w:t>
      </w:r>
      <w:r w:rsidRPr="00651FA2">
        <w:t xml:space="preserve">Statewide </w:t>
      </w:r>
      <w:r>
        <w:t>b</w:t>
      </w:r>
      <w:r w:rsidRPr="00651FA2">
        <w:t>oard liaison meetings</w:t>
      </w:r>
    </w:p>
    <w:p w14:paraId="48A354EF" w14:textId="77777777" w:rsidR="00116F44" w:rsidRPr="00F02E20" w:rsidRDefault="00116F44" w:rsidP="00116F44">
      <w:pPr>
        <w:pStyle w:val="NormalWeb"/>
        <w:spacing w:before="0" w:beforeAutospacing="0" w:after="0" w:afterAutospacing="0"/>
        <w:rPr>
          <w:rFonts w:ascii="Arial" w:hAnsi="Arial" w:cs="Arial"/>
          <w:b/>
          <w:bCs/>
          <w:color w:val="000000"/>
          <w:sz w:val="22"/>
          <w:szCs w:val="22"/>
        </w:rPr>
      </w:pPr>
    </w:p>
    <w:p w14:paraId="3CFE303D" w14:textId="77777777" w:rsidR="00116F44" w:rsidRPr="00F02E20" w:rsidRDefault="00116F44" w:rsidP="00116F44">
      <w:pPr>
        <w:pStyle w:val="DHHSbody"/>
        <w:rPr>
          <w:color w:val="000000"/>
        </w:rPr>
      </w:pPr>
      <w:r w:rsidRPr="5397F224">
        <w:t>The Public Advocate, Residential Services Board and the Director, Human Services Regulator, or other persons delegated by the Public Advocate and the Director Human Services Regulator, along with staff deemed to be appropriate, will meet on a regular basis, not fewer than four times a year.</w:t>
      </w:r>
    </w:p>
    <w:p w14:paraId="7E8D5EB6" w14:textId="77777777" w:rsidR="00116F44" w:rsidRPr="00F02E20" w:rsidRDefault="00116F44" w:rsidP="00116F44">
      <w:pPr>
        <w:pStyle w:val="DHHSbody"/>
        <w:rPr>
          <w:color w:val="000000"/>
        </w:rPr>
      </w:pPr>
      <w:r w:rsidRPr="00F02E20">
        <w:rPr>
          <w:color w:val="000000"/>
        </w:rPr>
        <w:t>The purpose of the board liaison meeting is to discuss policy issues related to the SRS sector, systemic issues identified within the SRS sector, and any changes within the Human Services Regulator or the Community Visitors Program.</w:t>
      </w:r>
    </w:p>
    <w:p w14:paraId="1077620F" w14:textId="2774B06B" w:rsidR="00116F44" w:rsidRDefault="00116F44" w:rsidP="00116F44">
      <w:pPr>
        <w:pStyle w:val="DHHSbody"/>
        <w:rPr>
          <w:color w:val="000000"/>
        </w:rPr>
      </w:pPr>
      <w:r w:rsidRPr="00F02E20">
        <w:rPr>
          <w:color w:val="000000"/>
        </w:rPr>
        <w:t xml:space="preserve">The board liaison meeting may be identified as the appropriate forum to discuss issues identified at a regional level that have sector-wide implications and/or issues arising from CV notifications for investigation that have been escalated via the escalation process outlined in this protocol. </w:t>
      </w:r>
    </w:p>
    <w:p w14:paraId="4EF98954" w14:textId="77777777" w:rsidR="00116F44" w:rsidRPr="00D2245F" w:rsidRDefault="00116F44" w:rsidP="00116F44">
      <w:pPr>
        <w:pStyle w:val="DHHSbody"/>
        <w:rPr>
          <w:rFonts w:cs="Arial"/>
          <w:color w:val="000000"/>
        </w:rPr>
      </w:pPr>
      <w:r w:rsidRPr="00D2245F">
        <w:rPr>
          <w:rFonts w:cs="Arial"/>
          <w:color w:val="000000"/>
        </w:rPr>
        <w:lastRenderedPageBreak/>
        <w:t>Where appropriate, confidential information may be shared at a board liaison meeting, including information on current investigations or enforcement activity by the HSR. It is incumbent on the party sharing confidential information to clearly state that the information is confidential nature, and to clearly state whether the information can be shared beyond the board liaison attendees, and if so, who it can be shared with.</w:t>
      </w:r>
    </w:p>
    <w:p w14:paraId="561637FA" w14:textId="77777777" w:rsidR="00116F44" w:rsidRPr="005B588D" w:rsidRDefault="00116F44" w:rsidP="00116F44">
      <w:pPr>
        <w:pStyle w:val="DHHSbody"/>
        <w:rPr>
          <w:rFonts w:cs="Arial"/>
          <w:color w:val="000000"/>
        </w:rPr>
      </w:pPr>
      <w:r w:rsidRPr="005B588D">
        <w:rPr>
          <w:rFonts w:cs="Arial"/>
          <w:color w:val="000000"/>
        </w:rPr>
        <w:t xml:space="preserve">The record of the meeting (minutes) will clearly record this information. </w:t>
      </w:r>
    </w:p>
    <w:p w14:paraId="2D6E5135" w14:textId="77777777" w:rsidR="00116F44" w:rsidRPr="005B588D" w:rsidRDefault="00116F44" w:rsidP="00116F44">
      <w:pPr>
        <w:overflowPunct w:val="0"/>
        <w:autoSpaceDE w:val="0"/>
        <w:autoSpaceDN w:val="0"/>
        <w:adjustRightInd w:val="0"/>
        <w:spacing w:before="60" w:line="240" w:lineRule="auto"/>
        <w:jc w:val="both"/>
        <w:textAlignment w:val="baseline"/>
        <w:rPr>
          <w:rFonts w:cs="Arial"/>
          <w:b/>
          <w:bCs/>
          <w:color w:val="000000"/>
          <w:sz w:val="22"/>
          <w:szCs w:val="22"/>
        </w:rPr>
      </w:pPr>
      <w:r w:rsidRPr="005B588D">
        <w:rPr>
          <w:rFonts w:cs="Arial"/>
          <w:b/>
          <w:bCs/>
          <w:color w:val="000000"/>
          <w:sz w:val="22"/>
          <w:szCs w:val="22"/>
        </w:rPr>
        <w:t xml:space="preserve">7.1.1 Quarterly data provided at board liaison meetings: </w:t>
      </w:r>
    </w:p>
    <w:p w14:paraId="7C2E1A7E" w14:textId="77777777" w:rsidR="00116F44" w:rsidRPr="00F02E20" w:rsidRDefault="00116F44" w:rsidP="00116F44">
      <w:pPr>
        <w:pStyle w:val="DHHSbody"/>
      </w:pPr>
      <w:r w:rsidRPr="00F02E20">
        <w:t>Routine information to be provided by the department to the Community Visitors Program at board liaison meetings includes</w:t>
      </w:r>
      <w:r>
        <w:t xml:space="preserve"> details of</w:t>
      </w:r>
      <w:r w:rsidRPr="00F02E20">
        <w:t>:</w:t>
      </w:r>
    </w:p>
    <w:p w14:paraId="0FBB557A" w14:textId="77777777" w:rsidR="00116F44" w:rsidRPr="00D5751D" w:rsidRDefault="00116F44" w:rsidP="00116F44">
      <w:pPr>
        <w:pStyle w:val="DHHStabletext"/>
        <w:numPr>
          <w:ilvl w:val="0"/>
          <w:numId w:val="23"/>
        </w:numPr>
        <w:rPr>
          <w:color w:val="000000" w:themeColor="text1"/>
        </w:rPr>
      </w:pPr>
      <w:r w:rsidRPr="00D5751D">
        <w:rPr>
          <w:color w:val="000000" w:themeColor="text1"/>
        </w:rPr>
        <w:t>SRS Name changes</w:t>
      </w:r>
    </w:p>
    <w:p w14:paraId="20CAECFC" w14:textId="77777777" w:rsidR="00116F44" w:rsidRPr="00D5751D" w:rsidRDefault="00116F44" w:rsidP="00116F44">
      <w:pPr>
        <w:pStyle w:val="DHHStabletext"/>
        <w:numPr>
          <w:ilvl w:val="0"/>
          <w:numId w:val="23"/>
        </w:numPr>
        <w:rPr>
          <w:color w:val="000000" w:themeColor="text1"/>
        </w:rPr>
      </w:pPr>
      <w:r w:rsidRPr="00D5751D">
        <w:rPr>
          <w:color w:val="000000" w:themeColor="text1"/>
        </w:rPr>
        <w:t>SRS Closures</w:t>
      </w:r>
    </w:p>
    <w:p w14:paraId="23F233D9" w14:textId="77777777" w:rsidR="00116F44" w:rsidRPr="00D2245F" w:rsidRDefault="00116F44" w:rsidP="00116F44">
      <w:pPr>
        <w:pStyle w:val="DHHStabletext"/>
        <w:numPr>
          <w:ilvl w:val="0"/>
          <w:numId w:val="23"/>
        </w:numPr>
        <w:rPr>
          <w:color w:val="000000" w:themeColor="text1"/>
        </w:rPr>
      </w:pPr>
      <w:r w:rsidRPr="00D5751D">
        <w:rPr>
          <w:color w:val="000000" w:themeColor="text1"/>
        </w:rPr>
        <w:t xml:space="preserve">SRS Change of </w:t>
      </w:r>
      <w:r w:rsidRPr="00D2245F">
        <w:rPr>
          <w:color w:val="000000" w:themeColor="text1"/>
        </w:rPr>
        <w:t xml:space="preserve">Ownerships (including proposed resident profile) </w:t>
      </w:r>
    </w:p>
    <w:p w14:paraId="1DBBDD6E" w14:textId="77777777" w:rsidR="00116F44" w:rsidRPr="00D2245F" w:rsidRDefault="00116F44" w:rsidP="00116F44">
      <w:pPr>
        <w:pStyle w:val="DHHStabletext"/>
        <w:numPr>
          <w:ilvl w:val="0"/>
          <w:numId w:val="23"/>
        </w:numPr>
        <w:rPr>
          <w:color w:val="000000" w:themeColor="text1"/>
        </w:rPr>
      </w:pPr>
      <w:r w:rsidRPr="00D2245F">
        <w:rPr>
          <w:color w:val="000000" w:themeColor="text1"/>
        </w:rPr>
        <w:t xml:space="preserve">New SRS Registrations (including proposed resident profile) </w:t>
      </w:r>
    </w:p>
    <w:p w14:paraId="4B2A9762" w14:textId="77777777" w:rsidR="00116F44" w:rsidRPr="00D5751D" w:rsidRDefault="00116F44" w:rsidP="00116F44">
      <w:pPr>
        <w:pStyle w:val="DHHStabletext"/>
        <w:numPr>
          <w:ilvl w:val="0"/>
          <w:numId w:val="23"/>
        </w:numPr>
        <w:rPr>
          <w:color w:val="000000" w:themeColor="text1"/>
        </w:rPr>
      </w:pPr>
      <w:r w:rsidRPr="00D5751D">
        <w:rPr>
          <w:color w:val="000000" w:themeColor="text1"/>
        </w:rPr>
        <w:t>Prescribed Reportable Incident data by type and totals</w:t>
      </w:r>
    </w:p>
    <w:p w14:paraId="3BFE5CF3" w14:textId="77777777" w:rsidR="00116F44" w:rsidRPr="00D5751D" w:rsidRDefault="00116F44" w:rsidP="00116F44">
      <w:pPr>
        <w:pStyle w:val="DHHStabletext"/>
        <w:numPr>
          <w:ilvl w:val="0"/>
          <w:numId w:val="23"/>
        </w:numPr>
        <w:rPr>
          <w:color w:val="000000" w:themeColor="text1"/>
        </w:rPr>
      </w:pPr>
      <w:r w:rsidRPr="00D5751D">
        <w:rPr>
          <w:color w:val="000000" w:themeColor="text1"/>
        </w:rPr>
        <w:t>Notice to Vacate data by type and totals</w:t>
      </w:r>
    </w:p>
    <w:p w14:paraId="2840A1A8" w14:textId="77777777" w:rsidR="00116F44" w:rsidRPr="00D5751D" w:rsidRDefault="00116F44" w:rsidP="00116F44">
      <w:pPr>
        <w:pStyle w:val="DHHStabletext"/>
        <w:numPr>
          <w:ilvl w:val="0"/>
          <w:numId w:val="23"/>
        </w:numPr>
        <w:rPr>
          <w:color w:val="000000" w:themeColor="text1"/>
        </w:rPr>
      </w:pPr>
      <w:r w:rsidRPr="00D5751D">
        <w:rPr>
          <w:color w:val="000000" w:themeColor="text1"/>
        </w:rPr>
        <w:t xml:space="preserve">Dashboard summary of Community Visitors Program Notifications for Investigation (NFI) from last quarter, including number resolved / number open. </w:t>
      </w:r>
    </w:p>
    <w:p w14:paraId="52867988" w14:textId="030199A0" w:rsidR="00116F44" w:rsidRPr="00F02E20" w:rsidRDefault="00116F44" w:rsidP="00B70916">
      <w:pPr>
        <w:pStyle w:val="Heading4"/>
        <w:rPr>
          <w:rFonts w:cs="Arial"/>
          <w:color w:val="000000"/>
        </w:rPr>
      </w:pPr>
      <w:r>
        <w:t>7.2</w:t>
      </w:r>
      <w:r w:rsidR="00B70916">
        <w:t xml:space="preserve">  </w:t>
      </w:r>
      <w:r w:rsidRPr="004E4E38">
        <w:t>Regional CV</w:t>
      </w:r>
      <w:r>
        <w:t>P</w:t>
      </w:r>
      <w:r w:rsidRPr="004E4E38">
        <w:t>/RCET liaison meeting</w:t>
      </w:r>
    </w:p>
    <w:p w14:paraId="0BF12589" w14:textId="77777777" w:rsidR="00116F44" w:rsidRPr="005B588D" w:rsidRDefault="00116F44" w:rsidP="00116F44">
      <w:pPr>
        <w:rPr>
          <w:rFonts w:cs="Arial"/>
          <w:color w:val="000000"/>
          <w:sz w:val="22"/>
          <w:szCs w:val="22"/>
        </w:rPr>
      </w:pPr>
      <w:r w:rsidRPr="005B588D">
        <w:rPr>
          <w:rFonts w:cs="Arial"/>
          <w:sz w:val="22"/>
          <w:szCs w:val="22"/>
        </w:rPr>
        <w:t xml:space="preserve">Regional meetings will occur </w:t>
      </w:r>
      <w:r w:rsidRPr="005B588D">
        <w:rPr>
          <w:rFonts w:cs="Arial"/>
          <w:color w:val="000000"/>
          <w:sz w:val="22"/>
          <w:szCs w:val="22"/>
        </w:rPr>
        <w:t xml:space="preserve">on a regular basis, not fewer than four times a year. </w:t>
      </w:r>
    </w:p>
    <w:p w14:paraId="3D39A50D" w14:textId="77777777" w:rsidR="00116F44" w:rsidRPr="005B588D" w:rsidRDefault="00116F44" w:rsidP="00116F44">
      <w:pPr>
        <w:rPr>
          <w:rFonts w:cs="Arial"/>
          <w:color w:val="000000"/>
          <w:sz w:val="22"/>
          <w:szCs w:val="22"/>
        </w:rPr>
      </w:pPr>
      <w:r w:rsidRPr="005B588D">
        <w:rPr>
          <w:rFonts w:cs="Arial"/>
          <w:color w:val="000000"/>
          <w:sz w:val="22"/>
          <w:szCs w:val="22"/>
        </w:rPr>
        <w:t xml:space="preserve">Attendees will include: </w:t>
      </w:r>
    </w:p>
    <w:p w14:paraId="677DCAF9" w14:textId="77777777" w:rsidR="00116F44" w:rsidRPr="005B588D" w:rsidRDefault="00116F44" w:rsidP="00116F44">
      <w:pPr>
        <w:pStyle w:val="ListParagraph"/>
        <w:numPr>
          <w:ilvl w:val="0"/>
          <w:numId w:val="9"/>
        </w:numPr>
      </w:pPr>
      <w:r w:rsidRPr="005B588D">
        <w:t xml:space="preserve">the Office of Public Advocate Regional Convenor, </w:t>
      </w:r>
    </w:p>
    <w:p w14:paraId="5FE097D5" w14:textId="77777777" w:rsidR="00116F44" w:rsidRPr="005B588D" w:rsidRDefault="00116F44" w:rsidP="00116F44">
      <w:pPr>
        <w:pStyle w:val="ListParagraph"/>
        <w:numPr>
          <w:ilvl w:val="0"/>
          <w:numId w:val="9"/>
        </w:numPr>
      </w:pPr>
      <w:r w:rsidRPr="005B588D">
        <w:t xml:space="preserve">relevant Community Visitors, </w:t>
      </w:r>
    </w:p>
    <w:p w14:paraId="462DBD5D" w14:textId="77777777" w:rsidR="00116F44" w:rsidRPr="005B588D" w:rsidRDefault="00116F44" w:rsidP="00116F44">
      <w:pPr>
        <w:pStyle w:val="ListParagraph"/>
        <w:numPr>
          <w:ilvl w:val="0"/>
          <w:numId w:val="9"/>
        </w:numPr>
      </w:pPr>
      <w:r w:rsidRPr="005B588D">
        <w:t xml:space="preserve">the OPA Divisional Coordinator, and Safeguarding, Inclusion &amp; Volunteer Programs (SIVP) Manager  </w:t>
      </w:r>
    </w:p>
    <w:p w14:paraId="63C683B5" w14:textId="77777777" w:rsidR="00116F44" w:rsidRPr="005B588D" w:rsidRDefault="00116F44" w:rsidP="00116F44">
      <w:pPr>
        <w:pStyle w:val="ListParagraph"/>
        <w:numPr>
          <w:ilvl w:val="0"/>
          <w:numId w:val="9"/>
        </w:numPr>
        <w:rPr>
          <w:color w:val="000000"/>
        </w:rPr>
      </w:pPr>
      <w:r w:rsidRPr="005B588D">
        <w:t>Team Leader and Authorised Officer of the relevant local Regulatory Compliance and Enforcement Team</w:t>
      </w:r>
      <w:r w:rsidRPr="005B588D">
        <w:rPr>
          <w:color w:val="000000"/>
        </w:rPr>
        <w:t xml:space="preserve">, or </w:t>
      </w:r>
    </w:p>
    <w:p w14:paraId="51B7984F" w14:textId="77777777" w:rsidR="00116F44" w:rsidRPr="005B588D" w:rsidRDefault="00116F44" w:rsidP="00116F44">
      <w:pPr>
        <w:pStyle w:val="ListParagraph"/>
        <w:numPr>
          <w:ilvl w:val="0"/>
          <w:numId w:val="9"/>
        </w:numPr>
      </w:pPr>
      <w:r w:rsidRPr="005B588D">
        <w:t xml:space="preserve">persons delegated by the Regional Convenor and Divisional Manager, </w:t>
      </w:r>
    </w:p>
    <w:p w14:paraId="0B5AFB93" w14:textId="77777777" w:rsidR="00116F44" w:rsidRPr="005B588D" w:rsidRDefault="00116F44" w:rsidP="00116F44">
      <w:pPr>
        <w:pStyle w:val="ListParagraph"/>
        <w:numPr>
          <w:ilvl w:val="0"/>
          <w:numId w:val="9"/>
        </w:numPr>
      </w:pPr>
      <w:r w:rsidRPr="005B588D">
        <w:t>staff deemed to be appropriate</w:t>
      </w:r>
    </w:p>
    <w:p w14:paraId="3C71E6F5" w14:textId="77777777" w:rsidR="00116F44" w:rsidRPr="005B588D" w:rsidRDefault="00116F44" w:rsidP="00116F44">
      <w:pPr>
        <w:rPr>
          <w:rFonts w:cs="Arial"/>
          <w:color w:val="000000"/>
          <w:sz w:val="22"/>
          <w:szCs w:val="22"/>
        </w:rPr>
      </w:pPr>
      <w:r w:rsidRPr="005B588D">
        <w:rPr>
          <w:rFonts w:cs="Arial"/>
          <w:color w:val="000000"/>
          <w:sz w:val="22"/>
          <w:szCs w:val="22"/>
        </w:rPr>
        <w:t xml:space="preserve">The purpose of the meetings is to discuss current localised issues at SRS, </w:t>
      </w:r>
      <w:r w:rsidRPr="005B588D">
        <w:rPr>
          <w:rFonts w:cs="Arial"/>
          <w:sz w:val="22"/>
          <w:szCs w:val="22"/>
        </w:rPr>
        <w:t xml:space="preserve">identify any themes, and clarify HSR and CVP responses. </w:t>
      </w:r>
    </w:p>
    <w:p w14:paraId="78B61373" w14:textId="77777777" w:rsidR="00116F44" w:rsidRPr="005B588D" w:rsidRDefault="00116F44" w:rsidP="00116F44">
      <w:pPr>
        <w:overflowPunct w:val="0"/>
        <w:autoSpaceDE w:val="0"/>
        <w:autoSpaceDN w:val="0"/>
        <w:adjustRightInd w:val="0"/>
        <w:spacing w:before="60" w:line="240" w:lineRule="auto"/>
        <w:jc w:val="both"/>
        <w:textAlignment w:val="baseline"/>
        <w:rPr>
          <w:rFonts w:cs="Arial"/>
          <w:color w:val="000000"/>
          <w:sz w:val="22"/>
          <w:szCs w:val="22"/>
        </w:rPr>
      </w:pPr>
      <w:r w:rsidRPr="005B588D">
        <w:rPr>
          <w:rFonts w:cs="Arial"/>
          <w:color w:val="000000"/>
          <w:sz w:val="22"/>
          <w:szCs w:val="22"/>
        </w:rPr>
        <w:t xml:space="preserve">Any issue that remains unresolved after discussion at the regular regional meetings may be escalated via the escalation process outlined in this protocol. </w:t>
      </w:r>
    </w:p>
    <w:p w14:paraId="7C1529CB" w14:textId="77777777" w:rsidR="00116F44" w:rsidRPr="005B588D" w:rsidRDefault="00116F44" w:rsidP="00116F44">
      <w:pPr>
        <w:overflowPunct w:val="0"/>
        <w:autoSpaceDE w:val="0"/>
        <w:autoSpaceDN w:val="0"/>
        <w:adjustRightInd w:val="0"/>
        <w:spacing w:before="60" w:line="240" w:lineRule="auto"/>
        <w:jc w:val="both"/>
        <w:textAlignment w:val="baseline"/>
        <w:rPr>
          <w:rFonts w:cs="Arial"/>
          <w:color w:val="000000"/>
          <w:sz w:val="22"/>
          <w:szCs w:val="22"/>
        </w:rPr>
      </w:pPr>
      <w:r w:rsidRPr="005B588D">
        <w:rPr>
          <w:rFonts w:cs="Arial"/>
          <w:color w:val="000000" w:themeColor="text1"/>
          <w:sz w:val="22"/>
          <w:szCs w:val="22"/>
        </w:rPr>
        <w:t xml:space="preserve">A standard template agenda will be used to ensure consistency across regions and provide a standard framework for information exchange. </w:t>
      </w:r>
    </w:p>
    <w:p w14:paraId="52F15D3C" w14:textId="77777777" w:rsidR="00116F44" w:rsidRPr="005B588D" w:rsidRDefault="00116F44" w:rsidP="00116F44">
      <w:pPr>
        <w:pStyle w:val="DHHSbody"/>
        <w:rPr>
          <w:rFonts w:cs="Arial"/>
          <w:color w:val="000000"/>
        </w:rPr>
      </w:pPr>
      <w:bookmarkStart w:id="26" w:name="_Hlk89086431"/>
      <w:r w:rsidRPr="005B588D">
        <w:rPr>
          <w:rFonts w:cs="Arial"/>
          <w:color w:val="000000"/>
        </w:rPr>
        <w:t xml:space="preserve">The record of the meeting (minutes) will clearly record the actions arising. </w:t>
      </w:r>
      <w:r w:rsidRPr="005B588D">
        <w:rPr>
          <w:rFonts w:cs="Arial"/>
          <w:color w:val="000000" w:themeColor="text1"/>
        </w:rPr>
        <w:t xml:space="preserve">  </w:t>
      </w:r>
    </w:p>
    <w:p w14:paraId="1092B6D1" w14:textId="3DA7A104" w:rsidR="00116F44" w:rsidRPr="00071608" w:rsidRDefault="00BD5344" w:rsidP="00BD5344">
      <w:pPr>
        <w:pStyle w:val="Heading1"/>
      </w:pPr>
      <w:bookmarkStart w:id="27" w:name="_Toc90530584"/>
      <w:bookmarkEnd w:id="26"/>
      <w:r>
        <w:lastRenderedPageBreak/>
        <w:t xml:space="preserve">8. </w:t>
      </w:r>
      <w:r w:rsidR="00116F44" w:rsidRPr="5397F224">
        <w:t>Confidentiality</w:t>
      </w:r>
      <w:r w:rsidR="00116F44">
        <w:t xml:space="preserve"> and Privacy</w:t>
      </w:r>
      <w:bookmarkEnd w:id="27"/>
    </w:p>
    <w:p w14:paraId="677C389B" w14:textId="77777777" w:rsidR="00116F44" w:rsidRPr="00071608" w:rsidRDefault="00116F44" w:rsidP="00116F44">
      <w:pPr>
        <w:pStyle w:val="DHHSbody"/>
      </w:pPr>
      <w:r w:rsidRPr="5397F224">
        <w:t>The following conditions apply to any information sharing that occurs via this protocol.</w:t>
      </w:r>
    </w:p>
    <w:p w14:paraId="2394737E" w14:textId="77777777" w:rsidR="00116F44" w:rsidRPr="005B588D" w:rsidRDefault="00116F44" w:rsidP="00DD387F">
      <w:pPr>
        <w:pStyle w:val="DHHSbody"/>
        <w:ind w:left="709" w:hanging="425"/>
      </w:pPr>
      <w:r>
        <w:t>8.1</w:t>
      </w:r>
      <w:r>
        <w:tab/>
      </w:r>
      <w:r w:rsidRPr="0003218D">
        <w:t>Any information obtained as a result of this protocol must only be used by the HSR and CVP for the specific purpose the information is requested and shared for.</w:t>
      </w:r>
      <w:r>
        <w:t xml:space="preserve"> This includes </w:t>
      </w:r>
      <w:r w:rsidRPr="005B588D">
        <w:t xml:space="preserve">compliance with statutory obligations such as those contained in the </w:t>
      </w:r>
      <w:r w:rsidRPr="005B588D">
        <w:rPr>
          <w:i/>
          <w:iCs/>
        </w:rPr>
        <w:t>Privacy and Data Protection Act 2014</w:t>
      </w:r>
      <w:r w:rsidRPr="005B588D">
        <w:t>.</w:t>
      </w:r>
    </w:p>
    <w:p w14:paraId="111F72CE" w14:textId="77777777" w:rsidR="00116F44" w:rsidRPr="005B588D" w:rsidRDefault="00116F44" w:rsidP="00DD387F">
      <w:pPr>
        <w:pStyle w:val="DHHSbody"/>
        <w:ind w:left="567" w:hanging="283"/>
      </w:pPr>
      <w:r w:rsidRPr="005B588D">
        <w:t>8.2</w:t>
      </w:r>
      <w:r w:rsidRPr="005B588D">
        <w:tab/>
        <w:t xml:space="preserve">The HSR and CVP must keep </w:t>
      </w:r>
      <w:r w:rsidRPr="005B588D">
        <w:rPr>
          <w:i/>
          <w:iCs/>
        </w:rPr>
        <w:t>confidential information</w:t>
      </w:r>
      <w:r w:rsidRPr="005B588D">
        <w:t xml:space="preserve"> confidential except as permitted:</w:t>
      </w:r>
    </w:p>
    <w:p w14:paraId="7E840DFE" w14:textId="77777777" w:rsidR="00116F44" w:rsidRPr="005B588D" w:rsidRDefault="00116F44" w:rsidP="001C6DE9">
      <w:pPr>
        <w:pStyle w:val="DHHSbody"/>
        <w:numPr>
          <w:ilvl w:val="0"/>
          <w:numId w:val="42"/>
        </w:numPr>
      </w:pPr>
      <w:r w:rsidRPr="005B588D">
        <w:t>by the conditions of use imposed by either the HSR or CVP; and</w:t>
      </w:r>
    </w:p>
    <w:p w14:paraId="2B19BC37" w14:textId="77777777" w:rsidR="00116F44" w:rsidRPr="005B588D" w:rsidRDefault="00116F44" w:rsidP="001C6DE9">
      <w:pPr>
        <w:pStyle w:val="DHHSbody"/>
        <w:numPr>
          <w:ilvl w:val="0"/>
          <w:numId w:val="42"/>
        </w:numPr>
      </w:pPr>
      <w:r w:rsidRPr="005B588D">
        <w:t xml:space="preserve">to the extent that the HSR or CVP are required by law to disclose any </w:t>
      </w:r>
      <w:r w:rsidRPr="005B588D">
        <w:rPr>
          <w:i/>
          <w:iCs/>
        </w:rPr>
        <w:t>confidential information</w:t>
      </w:r>
    </w:p>
    <w:p w14:paraId="15565609" w14:textId="77777777" w:rsidR="00116F44" w:rsidRPr="005B588D" w:rsidRDefault="00116F44" w:rsidP="00DD387F">
      <w:pPr>
        <w:pStyle w:val="DHHSbody"/>
        <w:ind w:left="709" w:hanging="425"/>
      </w:pPr>
      <w:r w:rsidRPr="005B588D">
        <w:t>8.3</w:t>
      </w:r>
      <w:r w:rsidRPr="005B588D">
        <w:tab/>
        <w:t xml:space="preserve">The obligations of the HSR and CVP under this section will survive the termination of this protocol and will continue in relation to the </w:t>
      </w:r>
      <w:r w:rsidRPr="005B588D">
        <w:rPr>
          <w:i/>
          <w:iCs/>
        </w:rPr>
        <w:t>confidential information</w:t>
      </w:r>
      <w:r w:rsidRPr="005B588D">
        <w:t xml:space="preserve"> until the </w:t>
      </w:r>
      <w:r w:rsidRPr="005B588D">
        <w:rPr>
          <w:i/>
          <w:iCs/>
        </w:rPr>
        <w:t>confidential information</w:t>
      </w:r>
      <w:r w:rsidRPr="005B588D">
        <w:t xml:space="preserve"> disclosed to it lawfully becomes part of the public domain.</w:t>
      </w:r>
    </w:p>
    <w:p w14:paraId="2C2F58C2" w14:textId="77777777" w:rsidR="00116F44" w:rsidRPr="005B588D" w:rsidRDefault="00116F44" w:rsidP="00116F44">
      <w:pPr>
        <w:spacing w:line="257" w:lineRule="auto"/>
        <w:rPr>
          <w:rFonts w:cs="Arial"/>
          <w:sz w:val="22"/>
          <w:szCs w:val="22"/>
        </w:rPr>
      </w:pPr>
      <w:r w:rsidRPr="005B588D">
        <w:rPr>
          <w:rFonts w:cs="Arial"/>
          <w:sz w:val="22"/>
          <w:szCs w:val="22"/>
        </w:rPr>
        <w:t>The obligations set out in clauses 8.1 and 8.2 above do not apply where the confidential information is otherwise lawfully obtained by the HSR or the CVP.</w:t>
      </w:r>
    </w:p>
    <w:p w14:paraId="2F6CDAE0" w14:textId="4A1A3F7C" w:rsidR="00116F44" w:rsidRPr="00BC36CC" w:rsidRDefault="00BD5344" w:rsidP="00BD5344">
      <w:pPr>
        <w:pStyle w:val="Heading1"/>
      </w:pPr>
      <w:bookmarkStart w:id="28" w:name="_Toc90530585"/>
      <w:r>
        <w:t xml:space="preserve">9. </w:t>
      </w:r>
      <w:r w:rsidR="00116F44" w:rsidRPr="00BC36CC">
        <w:t>Review</w:t>
      </w:r>
      <w:bookmarkEnd w:id="28"/>
    </w:p>
    <w:p w14:paraId="7E159964" w14:textId="77777777" w:rsidR="00116F44" w:rsidRPr="005B588D" w:rsidRDefault="00116F44" w:rsidP="00116F44">
      <w:pPr>
        <w:rPr>
          <w:rFonts w:cs="Arial"/>
          <w:sz w:val="22"/>
          <w:szCs w:val="22"/>
        </w:rPr>
      </w:pPr>
      <w:r w:rsidRPr="005B588D">
        <w:rPr>
          <w:rFonts w:cs="Arial"/>
          <w:sz w:val="22"/>
          <w:szCs w:val="22"/>
        </w:rPr>
        <w:t xml:space="preserve">This protocol may be reviewed at any time at the request of either party. </w:t>
      </w:r>
    </w:p>
    <w:p w14:paraId="1DAA7F40" w14:textId="77777777" w:rsidR="00116F44" w:rsidRPr="005B588D" w:rsidRDefault="00116F44" w:rsidP="00116F44">
      <w:pPr>
        <w:rPr>
          <w:rFonts w:cs="Arial"/>
          <w:sz w:val="22"/>
          <w:szCs w:val="22"/>
        </w:rPr>
      </w:pPr>
      <w:r w:rsidRPr="005B588D">
        <w:rPr>
          <w:rFonts w:cs="Arial"/>
          <w:sz w:val="22"/>
          <w:szCs w:val="22"/>
        </w:rPr>
        <w:t>Any change to the protocol must be endorsed by the Director, Human Services Regulator and the Public Advocate.</w:t>
      </w:r>
    </w:p>
    <w:p w14:paraId="30E07FB6" w14:textId="72EDD610" w:rsidR="00116F44" w:rsidRPr="004C7C79" w:rsidRDefault="00BD5344" w:rsidP="00BD5344">
      <w:pPr>
        <w:pStyle w:val="Heading1"/>
      </w:pPr>
      <w:bookmarkStart w:id="29" w:name="_Toc90530586"/>
      <w:r>
        <w:t xml:space="preserve">10. </w:t>
      </w:r>
      <w:r w:rsidR="00116F44" w:rsidRPr="004C7C79">
        <w:t>Dispute Resolution</w:t>
      </w:r>
      <w:bookmarkEnd w:id="29"/>
    </w:p>
    <w:p w14:paraId="2F902B35" w14:textId="774DBCB6" w:rsidR="00116F44" w:rsidRPr="005B588D" w:rsidRDefault="00116F44" w:rsidP="00116F44">
      <w:pPr>
        <w:rPr>
          <w:rFonts w:cs="Arial"/>
          <w:sz w:val="22"/>
          <w:szCs w:val="22"/>
        </w:rPr>
      </w:pPr>
      <w:r w:rsidRPr="005B588D">
        <w:rPr>
          <w:rFonts w:cs="Arial"/>
          <w:sz w:val="22"/>
          <w:szCs w:val="22"/>
        </w:rPr>
        <w:t xml:space="preserve">If a dispute relating to the contents of this protocol should arise, the matter will be referred to the Director, Compliance and the OPA Manager, Safeguarding, Inclusion &amp; Volunteer Programs for resolution. </w:t>
      </w:r>
    </w:p>
    <w:p w14:paraId="48D64BAC" w14:textId="77777777" w:rsidR="00116F44" w:rsidRPr="005B588D" w:rsidRDefault="00116F44" w:rsidP="00116F44">
      <w:pPr>
        <w:rPr>
          <w:rFonts w:cs="Arial"/>
          <w:sz w:val="22"/>
          <w:szCs w:val="22"/>
        </w:rPr>
      </w:pPr>
      <w:r w:rsidRPr="005B588D">
        <w:rPr>
          <w:rFonts w:cs="Arial"/>
          <w:sz w:val="22"/>
          <w:szCs w:val="22"/>
        </w:rPr>
        <w:t>In the event the matter cannot be resolved, it is to be referred to the Director, Human Services Regulator and Public Advocate.</w:t>
      </w:r>
    </w:p>
    <w:p w14:paraId="6021E0E5" w14:textId="77777777" w:rsidR="00116F44" w:rsidRDefault="00116F44" w:rsidP="00116F44">
      <w:pPr>
        <w:rPr>
          <w:rFonts w:cs="Arial"/>
          <w:b/>
          <w:bCs/>
          <w:sz w:val="28"/>
          <w:szCs w:val="28"/>
        </w:rPr>
      </w:pPr>
      <w:r>
        <w:rPr>
          <w:rFonts w:cs="Arial"/>
          <w:b/>
          <w:bCs/>
          <w:sz w:val="28"/>
          <w:szCs w:val="28"/>
        </w:rPr>
        <w:br w:type="page"/>
      </w:r>
    </w:p>
    <w:p w14:paraId="0EBDA21D" w14:textId="77777777" w:rsidR="00116F44" w:rsidRPr="009913BE" w:rsidRDefault="00116F44" w:rsidP="00BD5344">
      <w:pPr>
        <w:pStyle w:val="Heading1"/>
      </w:pPr>
      <w:bookmarkStart w:id="30" w:name="_Toc90530587"/>
      <w:r w:rsidRPr="009913BE">
        <w:lastRenderedPageBreak/>
        <w:t>Signing page</w:t>
      </w:r>
      <w:bookmarkEnd w:id="30"/>
    </w:p>
    <w:p w14:paraId="1C00DBC0" w14:textId="77777777" w:rsidR="00116F44" w:rsidRPr="005B588D" w:rsidRDefault="00116F44" w:rsidP="00116F44">
      <w:pPr>
        <w:rPr>
          <w:rFonts w:cs="Arial"/>
          <w:sz w:val="22"/>
          <w:szCs w:val="22"/>
        </w:rPr>
      </w:pPr>
      <w:r w:rsidRPr="005B588D">
        <w:rPr>
          <w:rFonts w:cs="Arial"/>
          <w:sz w:val="22"/>
          <w:szCs w:val="22"/>
        </w:rPr>
        <w:t>Signed for and on behalf of the Community Visitors Program by:</w:t>
      </w:r>
    </w:p>
    <w:p w14:paraId="67FB047A" w14:textId="294149F1" w:rsidR="00116F44" w:rsidRPr="005B588D" w:rsidRDefault="00116F44" w:rsidP="00116F44">
      <w:pPr>
        <w:spacing w:after="0"/>
        <w:rPr>
          <w:rFonts w:cs="Arial"/>
          <w:b/>
          <w:bCs/>
          <w:sz w:val="22"/>
          <w:szCs w:val="22"/>
        </w:rPr>
      </w:pPr>
      <w:r w:rsidRPr="005B588D">
        <w:rPr>
          <w:rFonts w:cs="Arial"/>
          <w:b/>
          <w:bCs/>
          <w:sz w:val="22"/>
          <w:szCs w:val="22"/>
        </w:rPr>
        <w:t>Dr Colleen Pearce</w:t>
      </w:r>
    </w:p>
    <w:p w14:paraId="23E7B136" w14:textId="77777777" w:rsidR="00116F44" w:rsidRPr="005B588D" w:rsidRDefault="00116F44" w:rsidP="00116F44">
      <w:pPr>
        <w:rPr>
          <w:rFonts w:cs="Arial"/>
          <w:b/>
          <w:bCs/>
          <w:sz w:val="22"/>
          <w:szCs w:val="22"/>
        </w:rPr>
      </w:pPr>
      <w:r w:rsidRPr="005B588D">
        <w:rPr>
          <w:rFonts w:cs="Arial"/>
          <w:b/>
          <w:bCs/>
          <w:sz w:val="22"/>
          <w:szCs w:val="22"/>
        </w:rPr>
        <w:t>Public Advocate</w:t>
      </w:r>
    </w:p>
    <w:p w14:paraId="0A8625E2" w14:textId="77777777" w:rsidR="00116F44" w:rsidRPr="005B588D" w:rsidRDefault="00116F44" w:rsidP="00116F44">
      <w:pPr>
        <w:rPr>
          <w:rFonts w:cs="Arial"/>
          <w:sz w:val="22"/>
          <w:szCs w:val="22"/>
        </w:rPr>
      </w:pPr>
    </w:p>
    <w:p w14:paraId="57680A98" w14:textId="77777777" w:rsidR="00116F44" w:rsidRPr="005B588D" w:rsidRDefault="00116F44" w:rsidP="00116F44">
      <w:pPr>
        <w:rPr>
          <w:rFonts w:cs="Arial"/>
          <w:sz w:val="22"/>
          <w:szCs w:val="22"/>
        </w:rPr>
      </w:pPr>
    </w:p>
    <w:p w14:paraId="4D6B4B99" w14:textId="77777777" w:rsidR="00116F44" w:rsidRPr="005B588D" w:rsidRDefault="00116F44" w:rsidP="00116F44">
      <w:pPr>
        <w:rPr>
          <w:rFonts w:cs="Arial"/>
          <w:sz w:val="22"/>
          <w:szCs w:val="22"/>
        </w:rPr>
      </w:pPr>
      <w:r w:rsidRPr="005B588D">
        <w:rPr>
          <w:rFonts w:cs="Arial"/>
          <w:sz w:val="22"/>
          <w:szCs w:val="22"/>
        </w:rPr>
        <w:t>________________________________________</w:t>
      </w:r>
    </w:p>
    <w:p w14:paraId="28401961" w14:textId="77777777" w:rsidR="00116F44" w:rsidRPr="005B588D" w:rsidRDefault="00116F44" w:rsidP="00116F44">
      <w:pPr>
        <w:rPr>
          <w:rFonts w:cs="Arial"/>
          <w:sz w:val="22"/>
          <w:szCs w:val="22"/>
        </w:rPr>
      </w:pPr>
      <w:r w:rsidRPr="005B588D">
        <w:rPr>
          <w:rFonts w:cs="Arial"/>
          <w:sz w:val="22"/>
          <w:szCs w:val="22"/>
        </w:rPr>
        <w:t>Signature</w:t>
      </w:r>
    </w:p>
    <w:p w14:paraId="3E1A6E30" w14:textId="77777777" w:rsidR="00116F44" w:rsidRPr="005B588D" w:rsidRDefault="00116F44" w:rsidP="00116F44">
      <w:pPr>
        <w:rPr>
          <w:rFonts w:cs="Arial"/>
          <w:sz w:val="22"/>
          <w:szCs w:val="22"/>
        </w:rPr>
      </w:pPr>
    </w:p>
    <w:p w14:paraId="1701FA03" w14:textId="77777777" w:rsidR="00116F44" w:rsidRPr="005B588D" w:rsidRDefault="00116F44" w:rsidP="00116F44">
      <w:pPr>
        <w:rPr>
          <w:rFonts w:cs="Arial"/>
          <w:sz w:val="22"/>
          <w:szCs w:val="22"/>
        </w:rPr>
      </w:pPr>
      <w:r w:rsidRPr="005B588D">
        <w:rPr>
          <w:rFonts w:cs="Arial"/>
          <w:sz w:val="22"/>
          <w:szCs w:val="22"/>
        </w:rPr>
        <w:t>________________________________________</w:t>
      </w:r>
    </w:p>
    <w:p w14:paraId="41E0FF02" w14:textId="77777777" w:rsidR="00116F44" w:rsidRPr="005B588D" w:rsidRDefault="00116F44" w:rsidP="00116F44">
      <w:pPr>
        <w:rPr>
          <w:rFonts w:cs="Arial"/>
          <w:sz w:val="22"/>
          <w:szCs w:val="22"/>
        </w:rPr>
      </w:pPr>
      <w:r w:rsidRPr="005B588D">
        <w:rPr>
          <w:rFonts w:cs="Arial"/>
          <w:sz w:val="22"/>
          <w:szCs w:val="22"/>
        </w:rPr>
        <w:t xml:space="preserve">Name </w:t>
      </w:r>
    </w:p>
    <w:p w14:paraId="6FA3D939" w14:textId="77777777" w:rsidR="00116F44" w:rsidRPr="005B588D" w:rsidRDefault="00116F44" w:rsidP="00116F44">
      <w:pPr>
        <w:rPr>
          <w:rFonts w:cs="Arial"/>
          <w:sz w:val="22"/>
          <w:szCs w:val="22"/>
        </w:rPr>
      </w:pPr>
    </w:p>
    <w:p w14:paraId="7BD15651" w14:textId="11000500" w:rsidR="00116F44" w:rsidRPr="005B588D" w:rsidRDefault="00116F44" w:rsidP="00116F44">
      <w:pPr>
        <w:rPr>
          <w:rFonts w:cs="Arial"/>
          <w:sz w:val="22"/>
          <w:szCs w:val="22"/>
        </w:rPr>
      </w:pPr>
      <w:r w:rsidRPr="005B588D">
        <w:rPr>
          <w:rFonts w:cs="Arial"/>
          <w:sz w:val="22"/>
          <w:szCs w:val="22"/>
        </w:rPr>
        <w:t xml:space="preserve">Date:  / </w:t>
      </w:r>
      <w:r w:rsidR="002C4EFE">
        <w:rPr>
          <w:rFonts w:cs="Arial"/>
          <w:sz w:val="22"/>
          <w:szCs w:val="22"/>
        </w:rPr>
        <w:t xml:space="preserve">   </w:t>
      </w:r>
      <w:r w:rsidRPr="005B588D">
        <w:rPr>
          <w:rFonts w:cs="Arial"/>
          <w:sz w:val="22"/>
          <w:szCs w:val="22"/>
        </w:rPr>
        <w:t xml:space="preserve"> / 2021</w:t>
      </w:r>
    </w:p>
    <w:p w14:paraId="28E94FF2" w14:textId="77777777" w:rsidR="00116F44" w:rsidRPr="005B588D" w:rsidRDefault="00116F44" w:rsidP="00116F44">
      <w:pPr>
        <w:rPr>
          <w:rFonts w:cs="Arial"/>
          <w:sz w:val="22"/>
          <w:szCs w:val="22"/>
        </w:rPr>
      </w:pPr>
    </w:p>
    <w:p w14:paraId="1DD989F1" w14:textId="77777777" w:rsidR="002C4EFE" w:rsidRDefault="002C4EFE" w:rsidP="00116F44">
      <w:pPr>
        <w:rPr>
          <w:rFonts w:cs="Arial"/>
          <w:sz w:val="22"/>
          <w:szCs w:val="22"/>
        </w:rPr>
      </w:pPr>
    </w:p>
    <w:p w14:paraId="19ACCDC2" w14:textId="198052D7" w:rsidR="00116F44" w:rsidRPr="005B588D" w:rsidRDefault="00116F44" w:rsidP="00116F44">
      <w:pPr>
        <w:rPr>
          <w:rFonts w:cs="Arial"/>
          <w:sz w:val="22"/>
          <w:szCs w:val="22"/>
        </w:rPr>
      </w:pPr>
      <w:r w:rsidRPr="005B588D">
        <w:rPr>
          <w:rFonts w:cs="Arial"/>
          <w:sz w:val="22"/>
          <w:szCs w:val="22"/>
        </w:rPr>
        <w:t xml:space="preserve">Signed for and on behalf of the Human Services Regulator </w:t>
      </w:r>
      <w:r w:rsidR="00A25C67">
        <w:rPr>
          <w:rFonts w:cs="Arial"/>
          <w:sz w:val="22"/>
          <w:szCs w:val="22"/>
        </w:rPr>
        <w:t xml:space="preserve">Unit </w:t>
      </w:r>
      <w:r w:rsidRPr="005B588D">
        <w:rPr>
          <w:rFonts w:cs="Arial"/>
          <w:sz w:val="22"/>
          <w:szCs w:val="22"/>
        </w:rPr>
        <w:t>by:</w:t>
      </w:r>
    </w:p>
    <w:p w14:paraId="155E52F6" w14:textId="77777777" w:rsidR="00116F44" w:rsidRPr="005B588D" w:rsidRDefault="00116F44" w:rsidP="00116F44">
      <w:pPr>
        <w:spacing w:after="0"/>
        <w:rPr>
          <w:rFonts w:cs="Arial"/>
          <w:b/>
          <w:bCs/>
          <w:sz w:val="22"/>
          <w:szCs w:val="22"/>
        </w:rPr>
      </w:pPr>
      <w:r w:rsidRPr="005B588D">
        <w:rPr>
          <w:rFonts w:cs="Arial"/>
          <w:b/>
          <w:bCs/>
          <w:sz w:val="22"/>
          <w:szCs w:val="22"/>
        </w:rPr>
        <w:t>Anthony Kolmus</w:t>
      </w:r>
    </w:p>
    <w:p w14:paraId="5EA165C8" w14:textId="77777777" w:rsidR="00116F44" w:rsidRPr="005B588D" w:rsidRDefault="00116F44" w:rsidP="00116F44">
      <w:pPr>
        <w:rPr>
          <w:rFonts w:cs="Arial"/>
          <w:b/>
          <w:bCs/>
          <w:sz w:val="22"/>
          <w:szCs w:val="22"/>
        </w:rPr>
      </w:pPr>
      <w:r w:rsidRPr="005B588D">
        <w:rPr>
          <w:rFonts w:cs="Arial"/>
          <w:b/>
          <w:bCs/>
          <w:sz w:val="22"/>
          <w:szCs w:val="22"/>
        </w:rPr>
        <w:t xml:space="preserve">Director, Human Services Regulator </w:t>
      </w:r>
    </w:p>
    <w:p w14:paraId="70CA8F42" w14:textId="77777777" w:rsidR="00116F44" w:rsidRPr="005B588D" w:rsidRDefault="00116F44" w:rsidP="00116F44">
      <w:pPr>
        <w:rPr>
          <w:rFonts w:cs="Arial"/>
          <w:sz w:val="22"/>
          <w:szCs w:val="22"/>
        </w:rPr>
      </w:pPr>
    </w:p>
    <w:p w14:paraId="25E6BC82" w14:textId="77777777" w:rsidR="00116F44" w:rsidRPr="005B588D" w:rsidRDefault="00116F44" w:rsidP="00116F44">
      <w:pPr>
        <w:rPr>
          <w:rFonts w:cs="Arial"/>
          <w:sz w:val="22"/>
          <w:szCs w:val="22"/>
        </w:rPr>
      </w:pPr>
    </w:p>
    <w:p w14:paraId="1FDA7F80" w14:textId="77777777" w:rsidR="00116F44" w:rsidRPr="005B588D" w:rsidRDefault="00116F44" w:rsidP="00116F44">
      <w:pPr>
        <w:rPr>
          <w:rFonts w:cs="Arial"/>
          <w:sz w:val="22"/>
          <w:szCs w:val="22"/>
        </w:rPr>
      </w:pPr>
      <w:r w:rsidRPr="005B588D">
        <w:rPr>
          <w:rFonts w:cs="Arial"/>
          <w:sz w:val="22"/>
          <w:szCs w:val="22"/>
        </w:rPr>
        <w:t>________________________________________</w:t>
      </w:r>
    </w:p>
    <w:p w14:paraId="1C5A14CA" w14:textId="77777777" w:rsidR="00116F44" w:rsidRPr="005B588D" w:rsidRDefault="00116F44" w:rsidP="00116F44">
      <w:pPr>
        <w:rPr>
          <w:rFonts w:cs="Arial"/>
          <w:sz w:val="22"/>
          <w:szCs w:val="22"/>
        </w:rPr>
      </w:pPr>
      <w:r w:rsidRPr="005B588D">
        <w:rPr>
          <w:rFonts w:cs="Arial"/>
          <w:sz w:val="22"/>
          <w:szCs w:val="22"/>
        </w:rPr>
        <w:t>Signature</w:t>
      </w:r>
    </w:p>
    <w:p w14:paraId="46DC4134" w14:textId="77777777" w:rsidR="00116F44" w:rsidRPr="005B588D" w:rsidRDefault="00116F44" w:rsidP="00116F44">
      <w:pPr>
        <w:rPr>
          <w:rFonts w:cs="Arial"/>
          <w:sz w:val="22"/>
          <w:szCs w:val="22"/>
        </w:rPr>
      </w:pPr>
    </w:p>
    <w:p w14:paraId="0ABE4E19" w14:textId="77777777" w:rsidR="00116F44" w:rsidRPr="005B588D" w:rsidRDefault="00116F44" w:rsidP="00116F44">
      <w:pPr>
        <w:rPr>
          <w:rFonts w:cs="Arial"/>
          <w:sz w:val="22"/>
          <w:szCs w:val="22"/>
        </w:rPr>
      </w:pPr>
      <w:r w:rsidRPr="005B588D">
        <w:rPr>
          <w:rFonts w:cs="Arial"/>
          <w:sz w:val="22"/>
          <w:szCs w:val="22"/>
        </w:rPr>
        <w:t>Anthony Kolmus</w:t>
      </w:r>
    </w:p>
    <w:p w14:paraId="41C6BF44" w14:textId="77777777" w:rsidR="00116F44" w:rsidRPr="005B588D" w:rsidRDefault="00116F44" w:rsidP="00116F44">
      <w:pPr>
        <w:rPr>
          <w:rFonts w:cs="Arial"/>
          <w:sz w:val="22"/>
          <w:szCs w:val="22"/>
        </w:rPr>
      </w:pPr>
      <w:r w:rsidRPr="005B588D">
        <w:rPr>
          <w:rFonts w:cs="Arial"/>
          <w:sz w:val="22"/>
          <w:szCs w:val="22"/>
        </w:rPr>
        <w:t>________________________________________</w:t>
      </w:r>
    </w:p>
    <w:p w14:paraId="00A477A9" w14:textId="77777777" w:rsidR="00116F44" w:rsidRPr="005B588D" w:rsidRDefault="00116F44" w:rsidP="00116F44">
      <w:pPr>
        <w:rPr>
          <w:rFonts w:cs="Arial"/>
          <w:sz w:val="22"/>
          <w:szCs w:val="22"/>
        </w:rPr>
      </w:pPr>
      <w:r w:rsidRPr="005B588D">
        <w:rPr>
          <w:rFonts w:cs="Arial"/>
          <w:sz w:val="22"/>
          <w:szCs w:val="22"/>
        </w:rPr>
        <w:t xml:space="preserve">Name </w:t>
      </w:r>
    </w:p>
    <w:p w14:paraId="408F4DB6" w14:textId="77777777" w:rsidR="00116F44" w:rsidRPr="005B588D" w:rsidRDefault="00116F44" w:rsidP="00116F44">
      <w:pPr>
        <w:rPr>
          <w:rFonts w:cs="Arial"/>
          <w:sz w:val="22"/>
          <w:szCs w:val="22"/>
        </w:rPr>
      </w:pPr>
    </w:p>
    <w:p w14:paraId="54A50540" w14:textId="4B8936DB" w:rsidR="00116F44" w:rsidRPr="005B588D" w:rsidRDefault="00116F44" w:rsidP="00116F44">
      <w:pPr>
        <w:rPr>
          <w:rFonts w:cs="Arial"/>
          <w:sz w:val="22"/>
          <w:szCs w:val="22"/>
        </w:rPr>
      </w:pPr>
      <w:r w:rsidRPr="005B588D">
        <w:rPr>
          <w:rFonts w:cs="Arial"/>
          <w:sz w:val="22"/>
          <w:szCs w:val="22"/>
        </w:rPr>
        <w:t xml:space="preserve">Date: </w:t>
      </w:r>
      <w:r w:rsidR="002C4EFE">
        <w:rPr>
          <w:rFonts w:cs="Arial"/>
          <w:sz w:val="22"/>
          <w:szCs w:val="22"/>
        </w:rPr>
        <w:t xml:space="preserve">    </w:t>
      </w:r>
      <w:r w:rsidRPr="005B588D">
        <w:rPr>
          <w:rFonts w:cs="Arial"/>
          <w:sz w:val="22"/>
          <w:szCs w:val="22"/>
        </w:rPr>
        <w:t xml:space="preserve"> /</w:t>
      </w:r>
      <w:r w:rsidR="002C4EFE">
        <w:rPr>
          <w:rFonts w:cs="Arial"/>
          <w:sz w:val="22"/>
          <w:szCs w:val="22"/>
        </w:rPr>
        <w:t xml:space="preserve">   </w:t>
      </w:r>
      <w:r w:rsidRPr="005B588D">
        <w:rPr>
          <w:rFonts w:cs="Arial"/>
          <w:sz w:val="22"/>
          <w:szCs w:val="22"/>
        </w:rPr>
        <w:t xml:space="preserve">  / 2021</w:t>
      </w:r>
    </w:p>
    <w:p w14:paraId="59C74E27" w14:textId="77777777" w:rsidR="00116F44" w:rsidRPr="009913BE" w:rsidRDefault="00116F44" w:rsidP="00116F44">
      <w:pPr>
        <w:rPr>
          <w:rFonts w:cs="Arial"/>
        </w:rPr>
      </w:pPr>
    </w:p>
    <w:p w14:paraId="4E0E0935" w14:textId="77777777" w:rsidR="00116F44" w:rsidRPr="009913BE" w:rsidRDefault="00116F44" w:rsidP="00116F44">
      <w:pPr>
        <w:rPr>
          <w:rFonts w:cs="Arial"/>
        </w:rPr>
      </w:pPr>
    </w:p>
    <w:p w14:paraId="0B840455" w14:textId="77777777" w:rsidR="00116F44" w:rsidRPr="009913BE" w:rsidRDefault="00116F44" w:rsidP="00116F44">
      <w:pPr>
        <w:rPr>
          <w:rFonts w:cs="Arial"/>
        </w:rPr>
      </w:pPr>
    </w:p>
    <w:p w14:paraId="62A6EEB1" w14:textId="77777777" w:rsidR="00116F44" w:rsidRPr="009913BE" w:rsidRDefault="00116F44" w:rsidP="00116F44">
      <w:pPr>
        <w:rPr>
          <w:rFonts w:cs="Arial"/>
        </w:rPr>
      </w:pPr>
    </w:p>
    <w:p w14:paraId="391FF6E2" w14:textId="77777777" w:rsidR="00116F44" w:rsidRDefault="00116F44" w:rsidP="00116F44">
      <w:pPr>
        <w:rPr>
          <w:rFonts w:asciiTheme="majorHAnsi" w:eastAsiaTheme="majorEastAsia" w:hAnsiTheme="majorHAnsi" w:cstheme="majorBidi"/>
          <w:color w:val="365F91" w:themeColor="accent1" w:themeShade="BF"/>
          <w:sz w:val="32"/>
          <w:szCs w:val="32"/>
        </w:rPr>
      </w:pPr>
      <w:r>
        <w:br w:type="page"/>
      </w:r>
    </w:p>
    <w:p w14:paraId="1A4F1C3D" w14:textId="621D3A57" w:rsidR="00116F44" w:rsidRPr="009913BE" w:rsidRDefault="00116F44" w:rsidP="00BD5344">
      <w:pPr>
        <w:pStyle w:val="Heading1"/>
      </w:pPr>
      <w:bookmarkStart w:id="31" w:name="_Toc90530588"/>
      <w:r>
        <w:lastRenderedPageBreak/>
        <w:t>Appendix 1: Glossary</w:t>
      </w:r>
      <w:bookmarkEnd w:id="31"/>
    </w:p>
    <w:tbl>
      <w:tblPr>
        <w:tblStyle w:val="TableGrid"/>
        <w:tblW w:w="0" w:type="auto"/>
        <w:tblLook w:val="04A0" w:firstRow="1" w:lastRow="0" w:firstColumn="1" w:lastColumn="0" w:noHBand="0" w:noVBand="1"/>
      </w:tblPr>
      <w:tblGrid>
        <w:gridCol w:w="2547"/>
        <w:gridCol w:w="6469"/>
      </w:tblGrid>
      <w:tr w:rsidR="00116F44" w:rsidRPr="00B626D3" w14:paraId="198A4258" w14:textId="77777777" w:rsidTr="005B588D">
        <w:tc>
          <w:tcPr>
            <w:tcW w:w="2547" w:type="dxa"/>
          </w:tcPr>
          <w:p w14:paraId="67FB055B" w14:textId="77777777" w:rsidR="00116F44" w:rsidRPr="00B626D3" w:rsidRDefault="00116F44" w:rsidP="00596AFA">
            <w:pPr>
              <w:rPr>
                <w:rFonts w:cs="Arial"/>
              </w:rPr>
            </w:pPr>
            <w:r w:rsidRPr="00B626D3">
              <w:rPr>
                <w:rFonts w:cs="Arial"/>
              </w:rPr>
              <w:t>The Act</w:t>
            </w:r>
          </w:p>
        </w:tc>
        <w:tc>
          <w:tcPr>
            <w:tcW w:w="6469" w:type="dxa"/>
          </w:tcPr>
          <w:p w14:paraId="240972EA" w14:textId="77777777" w:rsidR="00116F44" w:rsidRPr="00B626D3" w:rsidRDefault="00116F44" w:rsidP="00596AFA">
            <w:pPr>
              <w:rPr>
                <w:rFonts w:cs="Arial"/>
              </w:rPr>
            </w:pPr>
            <w:r w:rsidRPr="00B626D3">
              <w:rPr>
                <w:rFonts w:cs="Arial"/>
              </w:rPr>
              <w:t xml:space="preserve">The </w:t>
            </w:r>
            <w:r w:rsidRPr="00B626D3">
              <w:rPr>
                <w:rFonts w:cs="Arial"/>
                <w:i/>
                <w:iCs/>
              </w:rPr>
              <w:t>Supported Residential Services (Private Proprietors) Act 2010</w:t>
            </w:r>
            <w:r w:rsidRPr="00B626D3">
              <w:rPr>
                <w:rFonts w:cs="Arial"/>
              </w:rPr>
              <w:t>.</w:t>
            </w:r>
          </w:p>
        </w:tc>
      </w:tr>
      <w:tr w:rsidR="00116F44" w:rsidRPr="00B626D3" w14:paraId="546409C1" w14:textId="77777777" w:rsidTr="005B588D">
        <w:tc>
          <w:tcPr>
            <w:tcW w:w="2547" w:type="dxa"/>
          </w:tcPr>
          <w:p w14:paraId="681FDA72" w14:textId="77777777" w:rsidR="00116F44" w:rsidRPr="00B626D3" w:rsidRDefault="00116F44" w:rsidP="00596AFA">
            <w:pPr>
              <w:rPr>
                <w:rFonts w:cs="Arial"/>
              </w:rPr>
            </w:pPr>
            <w:r w:rsidRPr="00B626D3">
              <w:rPr>
                <w:rFonts w:cs="Arial"/>
                <w:lang w:eastAsia="en-AU"/>
              </w:rPr>
              <w:t>AO - Authorised Officer</w:t>
            </w:r>
          </w:p>
        </w:tc>
        <w:tc>
          <w:tcPr>
            <w:tcW w:w="6469" w:type="dxa"/>
          </w:tcPr>
          <w:p w14:paraId="290C3543" w14:textId="77777777" w:rsidR="00116F44" w:rsidRPr="00B626D3" w:rsidRDefault="00116F44" w:rsidP="00596AFA">
            <w:pPr>
              <w:rPr>
                <w:rFonts w:cs="Arial"/>
              </w:rPr>
            </w:pPr>
            <w:r w:rsidRPr="00B626D3">
              <w:rPr>
                <w:rFonts w:cs="Arial"/>
              </w:rPr>
              <w:t>means a person appointed under section 130 of the Act to exercise the general powers defined in section 143. Authorised Officers are mandated with an investigative, and where necessary, prosecutorial function to ensure compliance with the regulatory requirements of the Act.</w:t>
            </w:r>
          </w:p>
        </w:tc>
      </w:tr>
      <w:tr w:rsidR="00116F44" w:rsidRPr="00B626D3" w14:paraId="4EFD3B49" w14:textId="77777777" w:rsidTr="005B588D">
        <w:tc>
          <w:tcPr>
            <w:tcW w:w="2547" w:type="dxa"/>
          </w:tcPr>
          <w:p w14:paraId="1CD716B8" w14:textId="77777777" w:rsidR="00116F44" w:rsidRPr="00B626D3" w:rsidRDefault="00116F44" w:rsidP="00596AFA">
            <w:pPr>
              <w:rPr>
                <w:rFonts w:cs="Arial"/>
              </w:rPr>
            </w:pPr>
            <w:r w:rsidRPr="00B626D3">
              <w:rPr>
                <w:rFonts w:cs="Arial"/>
              </w:rPr>
              <w:t>CV - Community Visitor</w:t>
            </w:r>
          </w:p>
        </w:tc>
        <w:tc>
          <w:tcPr>
            <w:tcW w:w="6469" w:type="dxa"/>
          </w:tcPr>
          <w:p w14:paraId="028F5003" w14:textId="77777777" w:rsidR="00116F44" w:rsidRPr="00B626D3" w:rsidRDefault="00116F44" w:rsidP="00596AFA">
            <w:pPr>
              <w:pStyle w:val="NormalWeb"/>
              <w:spacing w:before="60" w:beforeAutospacing="0" w:after="120" w:afterAutospacing="0"/>
              <w:jc w:val="both"/>
              <w:rPr>
                <w:rFonts w:ascii="Arial" w:hAnsi="Arial" w:cs="Arial"/>
                <w:sz w:val="22"/>
                <w:szCs w:val="22"/>
              </w:rPr>
            </w:pPr>
            <w:r w:rsidRPr="00B626D3">
              <w:rPr>
                <w:rFonts w:ascii="Arial" w:hAnsi="Arial" w:cs="Arial"/>
                <w:sz w:val="22"/>
                <w:szCs w:val="22"/>
              </w:rPr>
              <w:t>means a person appointed under section 182 of the Act to undertake the functions defined in section 184 of the Act with the powers provided in section 187.</w:t>
            </w:r>
          </w:p>
        </w:tc>
      </w:tr>
      <w:tr w:rsidR="00116F44" w:rsidRPr="00B626D3" w14:paraId="4C7DC981" w14:textId="77777777" w:rsidTr="005B588D">
        <w:tc>
          <w:tcPr>
            <w:tcW w:w="2547" w:type="dxa"/>
          </w:tcPr>
          <w:p w14:paraId="63D84233" w14:textId="77777777" w:rsidR="00116F44" w:rsidRPr="00B626D3" w:rsidRDefault="00116F44" w:rsidP="00596AFA">
            <w:pPr>
              <w:pStyle w:val="BodyText"/>
              <w:spacing w:before="60" w:after="60"/>
              <w:rPr>
                <w:rFonts w:ascii="Arial" w:hAnsi="Arial" w:cs="Arial"/>
                <w:sz w:val="22"/>
                <w:szCs w:val="22"/>
              </w:rPr>
            </w:pPr>
            <w:r w:rsidRPr="00B626D3">
              <w:rPr>
                <w:rFonts w:ascii="Arial" w:hAnsi="Arial" w:cs="Arial"/>
                <w:color w:val="000000"/>
                <w:sz w:val="22"/>
                <w:szCs w:val="22"/>
              </w:rPr>
              <w:t>CVP - Community Visitor Program</w:t>
            </w:r>
          </w:p>
        </w:tc>
        <w:tc>
          <w:tcPr>
            <w:tcW w:w="6469" w:type="dxa"/>
          </w:tcPr>
          <w:p w14:paraId="7A7097D5" w14:textId="77777777" w:rsidR="00116F44" w:rsidRPr="00B626D3" w:rsidRDefault="00116F44" w:rsidP="00596AFA">
            <w:pPr>
              <w:pStyle w:val="NormalWeb"/>
              <w:spacing w:before="60" w:beforeAutospacing="0" w:after="120" w:afterAutospacing="0"/>
              <w:jc w:val="both"/>
              <w:rPr>
                <w:rFonts w:ascii="Arial" w:hAnsi="Arial" w:cs="Arial"/>
                <w:sz w:val="22"/>
                <w:szCs w:val="22"/>
              </w:rPr>
            </w:pPr>
            <w:r w:rsidRPr="00B626D3">
              <w:rPr>
                <w:rFonts w:ascii="Arial" w:hAnsi="Arial" w:cs="Arial"/>
                <w:sz w:val="22"/>
                <w:szCs w:val="22"/>
              </w:rPr>
              <w:t xml:space="preserve">means the Program area of the Office of the Public Advocate that supports and coordinates the activities of Community Visitors. </w:t>
            </w:r>
          </w:p>
        </w:tc>
      </w:tr>
      <w:tr w:rsidR="00116F44" w:rsidRPr="00B626D3" w14:paraId="1DC29034" w14:textId="77777777" w:rsidTr="005B588D">
        <w:tc>
          <w:tcPr>
            <w:tcW w:w="2547" w:type="dxa"/>
          </w:tcPr>
          <w:p w14:paraId="10A82EE9" w14:textId="77777777" w:rsidR="00116F44" w:rsidRPr="00B626D3" w:rsidRDefault="00116F44" w:rsidP="00596AFA">
            <w:pPr>
              <w:rPr>
                <w:rFonts w:cs="Arial"/>
              </w:rPr>
            </w:pPr>
            <w:r w:rsidRPr="00B626D3">
              <w:rPr>
                <w:rFonts w:cs="Arial"/>
              </w:rPr>
              <w:t>The department</w:t>
            </w:r>
          </w:p>
        </w:tc>
        <w:tc>
          <w:tcPr>
            <w:tcW w:w="6469" w:type="dxa"/>
          </w:tcPr>
          <w:p w14:paraId="1F1C5A57" w14:textId="77777777" w:rsidR="00116F44" w:rsidRPr="00B626D3" w:rsidRDefault="00116F44" w:rsidP="00596AFA">
            <w:pPr>
              <w:rPr>
                <w:rFonts w:cs="Arial"/>
              </w:rPr>
            </w:pPr>
            <w:r w:rsidRPr="00B626D3">
              <w:rPr>
                <w:rFonts w:cs="Arial"/>
              </w:rPr>
              <w:t xml:space="preserve">The Department of Families, Fairness and Housing </w:t>
            </w:r>
          </w:p>
        </w:tc>
      </w:tr>
      <w:tr w:rsidR="00116F44" w:rsidRPr="00B626D3" w14:paraId="0DD348A3" w14:textId="77777777" w:rsidTr="005B588D">
        <w:tc>
          <w:tcPr>
            <w:tcW w:w="2547" w:type="dxa"/>
          </w:tcPr>
          <w:p w14:paraId="4C22D123" w14:textId="77777777" w:rsidR="00116F44" w:rsidRPr="00B626D3" w:rsidRDefault="00116F44" w:rsidP="00596AFA">
            <w:pPr>
              <w:rPr>
                <w:rFonts w:cs="Arial"/>
              </w:rPr>
            </w:pPr>
            <w:r w:rsidRPr="00B626D3">
              <w:rPr>
                <w:rFonts w:cs="Arial"/>
              </w:rPr>
              <w:t>HSR</w:t>
            </w:r>
          </w:p>
        </w:tc>
        <w:tc>
          <w:tcPr>
            <w:tcW w:w="6469" w:type="dxa"/>
          </w:tcPr>
          <w:p w14:paraId="6EBE1908" w14:textId="77777777" w:rsidR="00116F44" w:rsidRPr="00B626D3" w:rsidRDefault="00116F44" w:rsidP="00596AFA">
            <w:pPr>
              <w:rPr>
                <w:rFonts w:cs="Arial"/>
              </w:rPr>
            </w:pPr>
            <w:r w:rsidRPr="00B626D3">
              <w:rPr>
                <w:rFonts w:cs="Arial"/>
              </w:rPr>
              <w:t xml:space="preserve">The Human Services Regulator of the Department of Families, Fairness and Housing </w:t>
            </w:r>
          </w:p>
        </w:tc>
      </w:tr>
      <w:tr w:rsidR="00116F44" w:rsidRPr="00B626D3" w14:paraId="5E5A897F" w14:textId="77777777" w:rsidTr="005B588D">
        <w:tc>
          <w:tcPr>
            <w:tcW w:w="2547" w:type="dxa"/>
          </w:tcPr>
          <w:p w14:paraId="7D964B16" w14:textId="77777777" w:rsidR="00116F44" w:rsidRPr="00B626D3" w:rsidRDefault="00116F44" w:rsidP="00596AFA">
            <w:pPr>
              <w:rPr>
                <w:rFonts w:cs="Arial"/>
              </w:rPr>
            </w:pPr>
            <w:r w:rsidRPr="00B626D3">
              <w:rPr>
                <w:rFonts w:cs="Arial"/>
              </w:rPr>
              <w:t>NFI</w:t>
            </w:r>
          </w:p>
        </w:tc>
        <w:tc>
          <w:tcPr>
            <w:tcW w:w="6469" w:type="dxa"/>
          </w:tcPr>
          <w:p w14:paraId="09CB7BD6" w14:textId="77777777" w:rsidR="00116F44" w:rsidRPr="00B626D3" w:rsidRDefault="00116F44" w:rsidP="00596AFA">
            <w:pPr>
              <w:rPr>
                <w:rFonts w:cs="Arial"/>
              </w:rPr>
            </w:pPr>
            <w:r w:rsidRPr="00B626D3">
              <w:rPr>
                <w:rFonts w:cs="Arial"/>
              </w:rPr>
              <w:t xml:space="preserve">Means a Notice for Investigation submitted by a Community Visitor to the Human Services Regulator for further investigation. </w:t>
            </w:r>
          </w:p>
        </w:tc>
      </w:tr>
      <w:tr w:rsidR="00116F44" w:rsidRPr="00B626D3" w14:paraId="6B8E3A47" w14:textId="77777777" w:rsidTr="005B588D">
        <w:tc>
          <w:tcPr>
            <w:tcW w:w="2547" w:type="dxa"/>
          </w:tcPr>
          <w:p w14:paraId="5259B549" w14:textId="77777777" w:rsidR="00116F44" w:rsidRPr="00B626D3" w:rsidRDefault="00116F44" w:rsidP="00596AFA">
            <w:pPr>
              <w:spacing w:before="60"/>
              <w:jc w:val="both"/>
              <w:rPr>
                <w:rFonts w:cs="Arial"/>
              </w:rPr>
            </w:pPr>
            <w:r w:rsidRPr="00B626D3">
              <w:rPr>
                <w:rFonts w:cs="Arial"/>
                <w:color w:val="000000"/>
              </w:rPr>
              <w:t>OPA</w:t>
            </w:r>
          </w:p>
        </w:tc>
        <w:tc>
          <w:tcPr>
            <w:tcW w:w="6469" w:type="dxa"/>
          </w:tcPr>
          <w:p w14:paraId="568C9DCA" w14:textId="77777777" w:rsidR="00116F44" w:rsidRPr="00B626D3" w:rsidRDefault="00116F44" w:rsidP="00596AFA">
            <w:pPr>
              <w:spacing w:before="60"/>
              <w:jc w:val="both"/>
              <w:rPr>
                <w:rFonts w:cs="Arial"/>
              </w:rPr>
            </w:pPr>
            <w:r w:rsidRPr="00B626D3">
              <w:rPr>
                <w:rFonts w:cs="Arial"/>
                <w:color w:val="000000"/>
              </w:rPr>
              <w:t>means the Office of the Public Advocate</w:t>
            </w:r>
          </w:p>
        </w:tc>
      </w:tr>
      <w:tr w:rsidR="00116F44" w:rsidRPr="00B626D3" w14:paraId="50D05A81" w14:textId="77777777" w:rsidTr="005B588D">
        <w:tc>
          <w:tcPr>
            <w:tcW w:w="2547" w:type="dxa"/>
          </w:tcPr>
          <w:p w14:paraId="4A5EA536" w14:textId="77777777" w:rsidR="00116F44" w:rsidRPr="00B626D3" w:rsidRDefault="00116F44" w:rsidP="00596AFA">
            <w:pPr>
              <w:pStyle w:val="NormalWeb"/>
              <w:spacing w:before="60" w:beforeAutospacing="0" w:after="60" w:afterAutospacing="0"/>
              <w:jc w:val="both"/>
              <w:rPr>
                <w:rFonts w:ascii="Arial" w:hAnsi="Arial" w:cs="Arial"/>
                <w:sz w:val="22"/>
                <w:szCs w:val="22"/>
              </w:rPr>
            </w:pPr>
            <w:r w:rsidRPr="00B626D3">
              <w:rPr>
                <w:rFonts w:ascii="Arial" w:hAnsi="Arial" w:cs="Arial"/>
                <w:sz w:val="22"/>
                <w:szCs w:val="22"/>
              </w:rPr>
              <w:t>Proprietor</w:t>
            </w:r>
          </w:p>
          <w:p w14:paraId="2BF4E65B" w14:textId="77777777" w:rsidR="00116F44" w:rsidRPr="00B626D3" w:rsidRDefault="00116F44" w:rsidP="00596AFA">
            <w:pPr>
              <w:rPr>
                <w:rFonts w:cs="Arial"/>
              </w:rPr>
            </w:pPr>
          </w:p>
        </w:tc>
        <w:tc>
          <w:tcPr>
            <w:tcW w:w="6469" w:type="dxa"/>
          </w:tcPr>
          <w:p w14:paraId="48E33E0D" w14:textId="6698109E" w:rsidR="00116F44" w:rsidRPr="00B626D3" w:rsidRDefault="00116F44" w:rsidP="005B588D">
            <w:pPr>
              <w:spacing w:before="60"/>
              <w:jc w:val="both"/>
              <w:rPr>
                <w:rFonts w:cs="Arial"/>
              </w:rPr>
            </w:pPr>
            <w:r w:rsidRPr="00B626D3">
              <w:rPr>
                <w:rFonts w:cs="Arial"/>
                <w:color w:val="000000"/>
              </w:rPr>
              <w:t xml:space="preserve">means a person who is the owner of a business or undertaking providing accommodation and support, at the premises of a </w:t>
            </w:r>
            <w:r w:rsidRPr="00B626D3">
              <w:rPr>
                <w:rFonts w:cs="Arial"/>
              </w:rPr>
              <w:t>SRS</w:t>
            </w:r>
            <w:r w:rsidRPr="00B626D3">
              <w:rPr>
                <w:rFonts w:cs="Arial"/>
                <w:color w:val="000000"/>
              </w:rPr>
              <w:t>.</w:t>
            </w:r>
          </w:p>
        </w:tc>
      </w:tr>
      <w:tr w:rsidR="00116F44" w:rsidRPr="00B626D3" w14:paraId="4438D360" w14:textId="77777777" w:rsidTr="005B588D">
        <w:tc>
          <w:tcPr>
            <w:tcW w:w="2547" w:type="dxa"/>
          </w:tcPr>
          <w:p w14:paraId="642CE246" w14:textId="77777777" w:rsidR="00116F44" w:rsidRPr="00B626D3" w:rsidRDefault="00116F44" w:rsidP="00596AFA">
            <w:pPr>
              <w:rPr>
                <w:rFonts w:cs="Arial"/>
              </w:rPr>
            </w:pPr>
            <w:r w:rsidRPr="00B626D3">
              <w:rPr>
                <w:rFonts w:cs="Arial"/>
              </w:rPr>
              <w:t>RCET</w:t>
            </w:r>
          </w:p>
        </w:tc>
        <w:tc>
          <w:tcPr>
            <w:tcW w:w="6469" w:type="dxa"/>
          </w:tcPr>
          <w:p w14:paraId="28F18859" w14:textId="77777777" w:rsidR="00116F44" w:rsidRPr="00B626D3" w:rsidRDefault="00116F44" w:rsidP="00596AFA">
            <w:pPr>
              <w:rPr>
                <w:rFonts w:cs="Arial"/>
              </w:rPr>
            </w:pPr>
            <w:r w:rsidRPr="00B626D3">
              <w:rPr>
                <w:rFonts w:cs="Arial"/>
              </w:rPr>
              <w:t xml:space="preserve">Regulatory Compliance and Enforcement Team. RCET is the inspectorate workforce of the HSR. </w:t>
            </w:r>
          </w:p>
          <w:p w14:paraId="55088DE8" w14:textId="77777777" w:rsidR="00116F44" w:rsidRPr="00B626D3" w:rsidRDefault="00116F44" w:rsidP="00596AFA">
            <w:pPr>
              <w:rPr>
                <w:rFonts w:cs="Arial"/>
              </w:rPr>
            </w:pPr>
          </w:p>
        </w:tc>
      </w:tr>
      <w:tr w:rsidR="00116F44" w:rsidRPr="00B626D3" w14:paraId="30FEFD12" w14:textId="77777777" w:rsidTr="005B588D">
        <w:tc>
          <w:tcPr>
            <w:tcW w:w="2547" w:type="dxa"/>
          </w:tcPr>
          <w:p w14:paraId="5311D866" w14:textId="77777777" w:rsidR="00116F44" w:rsidRPr="00B626D3" w:rsidRDefault="00116F44" w:rsidP="00596AFA">
            <w:pPr>
              <w:rPr>
                <w:rFonts w:cs="Arial"/>
              </w:rPr>
            </w:pPr>
            <w:r w:rsidRPr="00B626D3">
              <w:rPr>
                <w:rFonts w:cs="Arial"/>
              </w:rPr>
              <w:t>The regulations</w:t>
            </w:r>
          </w:p>
        </w:tc>
        <w:tc>
          <w:tcPr>
            <w:tcW w:w="6469" w:type="dxa"/>
          </w:tcPr>
          <w:p w14:paraId="6EA7A8AE" w14:textId="77777777" w:rsidR="00116F44" w:rsidRPr="00B626D3" w:rsidRDefault="00116F44" w:rsidP="00596AFA">
            <w:pPr>
              <w:spacing w:before="60"/>
              <w:jc w:val="both"/>
              <w:rPr>
                <w:rFonts w:cs="Arial"/>
              </w:rPr>
            </w:pPr>
            <w:r w:rsidRPr="00B626D3">
              <w:rPr>
                <w:rFonts w:cs="Arial"/>
                <w:color w:val="000000"/>
              </w:rPr>
              <w:t>The Supported Residential Services (Private Proprietors) Regulations 2012.</w:t>
            </w:r>
          </w:p>
        </w:tc>
      </w:tr>
      <w:tr w:rsidR="00116F44" w:rsidRPr="00B626D3" w14:paraId="213003C5" w14:textId="77777777" w:rsidTr="005B588D">
        <w:tc>
          <w:tcPr>
            <w:tcW w:w="2547" w:type="dxa"/>
          </w:tcPr>
          <w:p w14:paraId="36148F20" w14:textId="0605D768" w:rsidR="00116F44" w:rsidRPr="00B626D3" w:rsidRDefault="00116F44" w:rsidP="005B588D">
            <w:pPr>
              <w:pStyle w:val="NormalWeb"/>
              <w:spacing w:before="60" w:beforeAutospacing="0" w:after="60" w:afterAutospacing="0"/>
              <w:jc w:val="both"/>
              <w:rPr>
                <w:rFonts w:cs="Arial"/>
              </w:rPr>
            </w:pPr>
            <w:r w:rsidRPr="00B626D3">
              <w:rPr>
                <w:rFonts w:ascii="Arial" w:hAnsi="Arial" w:cs="Arial"/>
                <w:sz w:val="22"/>
                <w:szCs w:val="22"/>
              </w:rPr>
              <w:t>Regional Convenor and/or Regional Convenor</w:t>
            </w:r>
          </w:p>
        </w:tc>
        <w:tc>
          <w:tcPr>
            <w:tcW w:w="6469" w:type="dxa"/>
          </w:tcPr>
          <w:p w14:paraId="61053E33" w14:textId="5F88D268" w:rsidR="00116F44" w:rsidRPr="00B626D3" w:rsidRDefault="00116F44" w:rsidP="005B588D">
            <w:pPr>
              <w:pStyle w:val="NormalWeb"/>
              <w:spacing w:before="60" w:beforeAutospacing="0" w:after="120" w:afterAutospacing="0"/>
              <w:jc w:val="both"/>
              <w:rPr>
                <w:rFonts w:cs="Arial"/>
              </w:rPr>
            </w:pPr>
            <w:r w:rsidRPr="00B626D3">
              <w:rPr>
                <w:rFonts w:ascii="Arial" w:hAnsi="Arial" w:cs="Arial"/>
                <w:sz w:val="22"/>
                <w:szCs w:val="22"/>
              </w:rPr>
              <w:t>means a nominated Community Visitor with additional administrative and organisational responsibilities for a team of Community Visitors within particular regional boundaries.</w:t>
            </w:r>
          </w:p>
        </w:tc>
      </w:tr>
      <w:tr w:rsidR="00116F44" w:rsidRPr="00B626D3" w14:paraId="6CB6F0C6" w14:textId="77777777" w:rsidTr="005B588D">
        <w:tc>
          <w:tcPr>
            <w:tcW w:w="2547" w:type="dxa"/>
          </w:tcPr>
          <w:p w14:paraId="7DB0118D" w14:textId="1B5355F7" w:rsidR="00116F44" w:rsidRPr="00B626D3" w:rsidRDefault="00116F44" w:rsidP="005B588D">
            <w:pPr>
              <w:spacing w:before="60" w:after="60"/>
              <w:rPr>
                <w:rFonts w:cs="Arial"/>
              </w:rPr>
            </w:pPr>
            <w:r w:rsidRPr="00B626D3">
              <w:rPr>
                <w:rFonts w:cs="Arial"/>
                <w:lang w:eastAsia="en-AU"/>
              </w:rPr>
              <w:t>Residential Services</w:t>
            </w:r>
            <w:r w:rsidRPr="00B626D3">
              <w:rPr>
                <w:rFonts w:cs="Arial"/>
                <w:color w:val="000000"/>
              </w:rPr>
              <w:t xml:space="preserve"> Board</w:t>
            </w:r>
          </w:p>
        </w:tc>
        <w:tc>
          <w:tcPr>
            <w:tcW w:w="6469" w:type="dxa"/>
          </w:tcPr>
          <w:p w14:paraId="6002F67D" w14:textId="1C70ADA9" w:rsidR="00116F44" w:rsidRPr="00B626D3" w:rsidRDefault="00116F44" w:rsidP="005B588D">
            <w:pPr>
              <w:spacing w:before="60"/>
              <w:jc w:val="both"/>
              <w:rPr>
                <w:rFonts w:cs="Arial"/>
              </w:rPr>
            </w:pPr>
            <w:r w:rsidRPr="00B626D3">
              <w:rPr>
                <w:rFonts w:cs="Arial"/>
                <w:color w:val="000000"/>
              </w:rPr>
              <w:t xml:space="preserve">means the </w:t>
            </w:r>
            <w:r w:rsidRPr="00B626D3">
              <w:rPr>
                <w:rFonts w:cs="Arial"/>
                <w:lang w:eastAsia="en-AU"/>
              </w:rPr>
              <w:t>Community (Residential Services) Visitors Board as defined in section 193 of the Act</w:t>
            </w:r>
            <w:r w:rsidRPr="00B626D3">
              <w:rPr>
                <w:rFonts w:cs="Arial"/>
                <w:color w:val="000000"/>
              </w:rPr>
              <w:t>.</w:t>
            </w:r>
          </w:p>
        </w:tc>
      </w:tr>
      <w:tr w:rsidR="00116F44" w:rsidRPr="00B626D3" w14:paraId="74B68507" w14:textId="77777777" w:rsidTr="005B588D">
        <w:tc>
          <w:tcPr>
            <w:tcW w:w="2547" w:type="dxa"/>
          </w:tcPr>
          <w:p w14:paraId="413FD431" w14:textId="77777777" w:rsidR="00116F44" w:rsidRPr="00B626D3" w:rsidRDefault="00116F44" w:rsidP="00596AFA">
            <w:pPr>
              <w:pStyle w:val="NormalWeb"/>
              <w:spacing w:before="60" w:beforeAutospacing="0" w:after="60" w:afterAutospacing="0"/>
              <w:jc w:val="both"/>
              <w:rPr>
                <w:rFonts w:ascii="Arial" w:hAnsi="Arial" w:cs="Arial"/>
                <w:sz w:val="22"/>
                <w:szCs w:val="22"/>
              </w:rPr>
            </w:pPr>
            <w:r w:rsidRPr="00B626D3">
              <w:rPr>
                <w:rFonts w:ascii="Arial" w:hAnsi="Arial" w:cs="Arial"/>
                <w:sz w:val="22"/>
                <w:szCs w:val="22"/>
              </w:rPr>
              <w:t>SIVP</w:t>
            </w:r>
          </w:p>
        </w:tc>
        <w:tc>
          <w:tcPr>
            <w:tcW w:w="6469" w:type="dxa"/>
          </w:tcPr>
          <w:p w14:paraId="48BC23CF" w14:textId="77777777" w:rsidR="00116F44" w:rsidRPr="00B626D3" w:rsidRDefault="00116F44" w:rsidP="00596AFA">
            <w:pPr>
              <w:pStyle w:val="NormalWeb"/>
              <w:spacing w:before="60" w:beforeAutospacing="0" w:after="60" w:afterAutospacing="0"/>
              <w:jc w:val="both"/>
              <w:rPr>
                <w:rFonts w:ascii="Arial" w:hAnsi="Arial" w:cs="Arial"/>
                <w:sz w:val="22"/>
                <w:szCs w:val="22"/>
              </w:rPr>
            </w:pPr>
            <w:r w:rsidRPr="00B626D3">
              <w:rPr>
                <w:rFonts w:ascii="Arial" w:hAnsi="Arial" w:cs="Arial"/>
                <w:sz w:val="22"/>
                <w:szCs w:val="22"/>
              </w:rPr>
              <w:t>Safeguarding, Inclusion &amp; Volunteer Programs</w:t>
            </w:r>
          </w:p>
        </w:tc>
      </w:tr>
      <w:tr w:rsidR="00116F44" w:rsidRPr="00B626D3" w14:paraId="788BBBA3" w14:textId="77777777" w:rsidTr="005B588D">
        <w:tc>
          <w:tcPr>
            <w:tcW w:w="2547" w:type="dxa"/>
          </w:tcPr>
          <w:p w14:paraId="191A4CAA" w14:textId="77777777" w:rsidR="00116F44" w:rsidRPr="00B626D3" w:rsidRDefault="00116F44" w:rsidP="00596AFA">
            <w:pPr>
              <w:pStyle w:val="NormalWeb"/>
              <w:spacing w:before="60" w:beforeAutospacing="0" w:after="60" w:afterAutospacing="0"/>
              <w:jc w:val="both"/>
              <w:rPr>
                <w:rFonts w:ascii="Arial" w:hAnsi="Arial" w:cs="Arial"/>
                <w:sz w:val="22"/>
                <w:szCs w:val="22"/>
              </w:rPr>
            </w:pPr>
            <w:r w:rsidRPr="00B626D3">
              <w:rPr>
                <w:rFonts w:ascii="Arial" w:hAnsi="Arial" w:cs="Arial"/>
                <w:sz w:val="22"/>
                <w:szCs w:val="22"/>
              </w:rPr>
              <w:t xml:space="preserve">Supported Residential Service </w:t>
            </w:r>
          </w:p>
        </w:tc>
        <w:tc>
          <w:tcPr>
            <w:tcW w:w="6469" w:type="dxa"/>
          </w:tcPr>
          <w:p w14:paraId="20FBD79F" w14:textId="77777777" w:rsidR="00116F44" w:rsidRPr="00B626D3" w:rsidRDefault="00116F44" w:rsidP="00596AFA">
            <w:pPr>
              <w:pStyle w:val="NormalWeb"/>
              <w:spacing w:before="60" w:beforeAutospacing="0" w:after="60" w:afterAutospacing="0"/>
              <w:jc w:val="both"/>
              <w:rPr>
                <w:rFonts w:ascii="Arial" w:hAnsi="Arial" w:cs="Arial"/>
                <w:sz w:val="22"/>
                <w:szCs w:val="22"/>
              </w:rPr>
            </w:pPr>
            <w:r w:rsidRPr="00B626D3">
              <w:rPr>
                <w:rFonts w:ascii="Arial" w:hAnsi="Arial" w:cs="Arial"/>
                <w:sz w:val="22"/>
                <w:szCs w:val="22"/>
              </w:rPr>
              <w:t>has the meaning given in section 5 of the Act</w:t>
            </w:r>
          </w:p>
        </w:tc>
      </w:tr>
      <w:tr w:rsidR="00116F44" w:rsidRPr="00B626D3" w14:paraId="0BFDE97B" w14:textId="77777777" w:rsidTr="005B588D">
        <w:tc>
          <w:tcPr>
            <w:tcW w:w="2547" w:type="dxa"/>
          </w:tcPr>
          <w:p w14:paraId="23AA43FE" w14:textId="77777777" w:rsidR="00116F44" w:rsidRPr="00B626D3" w:rsidRDefault="00116F44" w:rsidP="00596AFA">
            <w:pPr>
              <w:pStyle w:val="NormalWeb"/>
              <w:spacing w:before="60" w:beforeAutospacing="0" w:after="60" w:afterAutospacing="0"/>
              <w:jc w:val="both"/>
              <w:rPr>
                <w:rFonts w:ascii="Arial" w:hAnsi="Arial" w:cs="Arial"/>
                <w:sz w:val="22"/>
                <w:szCs w:val="22"/>
              </w:rPr>
            </w:pPr>
            <w:r w:rsidRPr="00B626D3">
              <w:rPr>
                <w:rFonts w:ascii="Arial" w:hAnsi="Arial" w:cs="Arial"/>
                <w:sz w:val="22"/>
                <w:szCs w:val="22"/>
              </w:rPr>
              <w:t xml:space="preserve">Resident  </w:t>
            </w:r>
          </w:p>
          <w:p w14:paraId="55FF30C7" w14:textId="77777777" w:rsidR="00116F44" w:rsidRPr="00B626D3" w:rsidRDefault="00116F44" w:rsidP="00596AFA">
            <w:pPr>
              <w:pStyle w:val="NormalWeb"/>
              <w:spacing w:before="60" w:beforeAutospacing="0" w:after="60" w:afterAutospacing="0"/>
              <w:jc w:val="both"/>
              <w:rPr>
                <w:rFonts w:ascii="Arial" w:hAnsi="Arial" w:cs="Arial"/>
                <w:sz w:val="22"/>
                <w:szCs w:val="22"/>
              </w:rPr>
            </w:pPr>
          </w:p>
        </w:tc>
        <w:tc>
          <w:tcPr>
            <w:tcW w:w="6469" w:type="dxa"/>
          </w:tcPr>
          <w:p w14:paraId="39FF2367" w14:textId="3AEC25E8" w:rsidR="00116F44" w:rsidRPr="00B626D3" w:rsidRDefault="00116F44" w:rsidP="00596AFA">
            <w:pPr>
              <w:rPr>
                <w:rFonts w:cs="Arial"/>
              </w:rPr>
            </w:pPr>
            <w:r w:rsidRPr="00B626D3">
              <w:rPr>
                <w:rFonts w:cs="Arial"/>
              </w:rPr>
              <w:t>means a person who receives personal support and accommodation at a</w:t>
            </w:r>
            <w:r w:rsidR="00433CCD">
              <w:rPr>
                <w:rFonts w:cs="Arial"/>
              </w:rPr>
              <w:t>n</w:t>
            </w:r>
            <w:r w:rsidRPr="00B626D3">
              <w:rPr>
                <w:rFonts w:cs="Arial"/>
              </w:rPr>
              <w:t xml:space="preserve"> SRS </w:t>
            </w:r>
          </w:p>
        </w:tc>
      </w:tr>
      <w:tr w:rsidR="00116F44" w:rsidRPr="00B626D3" w14:paraId="170D5269" w14:textId="77777777" w:rsidTr="005B588D">
        <w:tc>
          <w:tcPr>
            <w:tcW w:w="2547" w:type="dxa"/>
          </w:tcPr>
          <w:p w14:paraId="4E13BBEF" w14:textId="6372C6C4" w:rsidR="00116F44" w:rsidRPr="00B626D3" w:rsidRDefault="00116F44" w:rsidP="005B588D">
            <w:pPr>
              <w:pStyle w:val="NormalWeb"/>
              <w:spacing w:before="60" w:beforeAutospacing="0" w:after="60" w:afterAutospacing="0"/>
              <w:jc w:val="both"/>
              <w:rPr>
                <w:rFonts w:cs="Arial"/>
              </w:rPr>
            </w:pPr>
            <w:r w:rsidRPr="00B626D3">
              <w:rPr>
                <w:rFonts w:ascii="Arial" w:hAnsi="Arial" w:cs="Arial"/>
                <w:sz w:val="22"/>
                <w:szCs w:val="22"/>
              </w:rPr>
              <w:t>SRS</w:t>
            </w:r>
          </w:p>
        </w:tc>
        <w:tc>
          <w:tcPr>
            <w:tcW w:w="6469" w:type="dxa"/>
          </w:tcPr>
          <w:p w14:paraId="661D8F3F" w14:textId="77777777" w:rsidR="00116F44" w:rsidRPr="00B626D3" w:rsidRDefault="00116F44" w:rsidP="00596AFA">
            <w:pPr>
              <w:rPr>
                <w:rFonts w:cs="Arial"/>
              </w:rPr>
            </w:pPr>
            <w:r w:rsidRPr="00B626D3">
              <w:rPr>
                <w:rFonts w:cs="Arial"/>
              </w:rPr>
              <w:t>means a supported residential service</w:t>
            </w:r>
          </w:p>
        </w:tc>
      </w:tr>
    </w:tbl>
    <w:p w14:paraId="751F368C" w14:textId="77777777" w:rsidR="00116F44" w:rsidRPr="009913BE" w:rsidRDefault="00116F44" w:rsidP="00116F44">
      <w:pPr>
        <w:rPr>
          <w:rFonts w:cs="Arial"/>
        </w:rPr>
      </w:pPr>
    </w:p>
    <w:p w14:paraId="497C7FBC" w14:textId="77777777" w:rsidR="00116F44" w:rsidRDefault="00116F44" w:rsidP="00116F44">
      <w:pPr>
        <w:rPr>
          <w:rFonts w:asciiTheme="majorHAnsi" w:eastAsiaTheme="majorEastAsia" w:hAnsiTheme="majorHAnsi" w:cstheme="majorBidi"/>
          <w:color w:val="365F91" w:themeColor="accent1" w:themeShade="BF"/>
          <w:sz w:val="32"/>
          <w:szCs w:val="32"/>
        </w:rPr>
      </w:pPr>
      <w:r>
        <w:rPr>
          <w:rFonts w:cs="Arial"/>
        </w:rPr>
        <w:br w:type="page"/>
      </w:r>
    </w:p>
    <w:p w14:paraId="483D3845" w14:textId="77777777" w:rsidR="00116F44" w:rsidRPr="00DC07DD" w:rsidRDefault="00116F44" w:rsidP="00BD5344">
      <w:pPr>
        <w:pStyle w:val="Heading1"/>
      </w:pPr>
      <w:bookmarkStart w:id="32" w:name="_Ref85119365"/>
      <w:bookmarkStart w:id="33" w:name="_Toc90530589"/>
      <w:r>
        <w:lastRenderedPageBreak/>
        <w:t xml:space="preserve">Appendix 2: </w:t>
      </w:r>
      <w:r w:rsidRPr="00DC07DD">
        <w:t>Organisational contact points</w:t>
      </w:r>
      <w:bookmarkEnd w:id="32"/>
      <w:bookmarkEnd w:id="33"/>
    </w:p>
    <w:p w14:paraId="6FA49B43" w14:textId="77777777" w:rsidR="00116F44" w:rsidRPr="003B0839" w:rsidRDefault="00116F44" w:rsidP="00116F44">
      <w:pPr>
        <w:pStyle w:val="Heading2"/>
        <w:rPr>
          <w:rFonts w:cs="Arial"/>
          <w:b w:val="0"/>
          <w:bCs/>
          <w:sz w:val="24"/>
          <w:szCs w:val="24"/>
        </w:rPr>
      </w:pPr>
      <w:bookmarkStart w:id="34" w:name="_Toc90530590"/>
      <w:r w:rsidRPr="003B0839">
        <w:rPr>
          <w:rFonts w:cs="Arial"/>
          <w:bCs/>
          <w:color w:val="auto"/>
          <w:sz w:val="24"/>
          <w:szCs w:val="24"/>
        </w:rPr>
        <w:t>Human Services Regulator</w:t>
      </w:r>
      <w:bookmarkEnd w:id="34"/>
    </w:p>
    <w:p w14:paraId="18E53E45" w14:textId="77777777" w:rsidR="00116F44" w:rsidRDefault="00116F44" w:rsidP="00116F44">
      <w:pPr>
        <w:pStyle w:val="DHHSbody"/>
      </w:pPr>
    </w:p>
    <w:p w14:paraId="2D92AA52" w14:textId="2F0F5DE6" w:rsidR="00116F44" w:rsidRPr="005D1480" w:rsidRDefault="00116F44" w:rsidP="00116F44">
      <w:pPr>
        <w:pStyle w:val="DHHSbody"/>
        <w:numPr>
          <w:ilvl w:val="0"/>
          <w:numId w:val="25"/>
        </w:numPr>
        <w:rPr>
          <w:rFonts w:cs="Arial"/>
          <w:lang w:eastAsia="en-AU"/>
        </w:rPr>
      </w:pPr>
      <w:r w:rsidRPr="005D1480">
        <w:rPr>
          <w:rFonts w:cs="Arial"/>
        </w:rPr>
        <w:t xml:space="preserve">Director, HSR </w:t>
      </w:r>
      <w:hyperlink r:id="rId21" w:history="1">
        <w:r w:rsidR="00A23852" w:rsidRPr="003A1BC2">
          <w:rPr>
            <w:rStyle w:val="Hyperlink"/>
            <w:rFonts w:eastAsia="Times New Roman" w:cs="Arial"/>
            <w:lang w:eastAsia="en-AU"/>
          </w:rPr>
          <w:t>Anthony.J.Kolmus@dffh.vic.gov.au</w:t>
        </w:r>
      </w:hyperlink>
    </w:p>
    <w:p w14:paraId="0CDF4385" w14:textId="2572F606" w:rsidR="00A23852" w:rsidRDefault="00116F44" w:rsidP="00A23852">
      <w:pPr>
        <w:pStyle w:val="DHHSbody"/>
        <w:numPr>
          <w:ilvl w:val="0"/>
          <w:numId w:val="25"/>
        </w:numPr>
        <w:rPr>
          <w:rFonts w:cs="Arial"/>
          <w:lang w:eastAsia="en-AU"/>
        </w:rPr>
      </w:pPr>
      <w:r w:rsidRPr="00C801FA">
        <w:rPr>
          <w:rFonts w:cs="Arial"/>
        </w:rPr>
        <w:t>Director, Compliance</w:t>
      </w:r>
      <w:r>
        <w:rPr>
          <w:rFonts w:cs="Arial"/>
        </w:rPr>
        <w:t xml:space="preserve"> </w:t>
      </w:r>
      <w:hyperlink r:id="rId22" w:history="1">
        <w:r w:rsidR="00201789" w:rsidRPr="003A1BC2">
          <w:rPr>
            <w:rStyle w:val="Hyperlink"/>
            <w:rFonts w:cs="Arial"/>
          </w:rPr>
          <w:t>Richard.Marks@dffh.vic.gov.au</w:t>
        </w:r>
      </w:hyperlink>
    </w:p>
    <w:p w14:paraId="0FF1F367" w14:textId="6ECF0BB5" w:rsidR="00116F44" w:rsidRPr="005D1480" w:rsidRDefault="006C523F" w:rsidP="00116F44">
      <w:pPr>
        <w:pStyle w:val="DHHSbody"/>
        <w:numPr>
          <w:ilvl w:val="0"/>
          <w:numId w:val="25"/>
        </w:numPr>
        <w:rPr>
          <w:rFonts w:cs="Arial"/>
        </w:rPr>
      </w:pPr>
      <w:bookmarkStart w:id="35" w:name="_Ref85115048"/>
      <w:r w:rsidRPr="003B0839">
        <w:rPr>
          <w:rFonts w:cs="Arial"/>
        </w:rPr>
        <w:t>Statewide</w:t>
      </w:r>
      <w:r w:rsidRPr="005D1480">
        <w:rPr>
          <w:rFonts w:cs="Arial"/>
          <w:b/>
          <w:bCs/>
        </w:rPr>
        <w:t xml:space="preserve"> </w:t>
      </w:r>
      <w:r w:rsidRPr="003B0839">
        <w:rPr>
          <w:rFonts w:cs="Arial"/>
        </w:rPr>
        <w:t>Manager</w:t>
      </w:r>
      <w:r>
        <w:rPr>
          <w:rFonts w:cs="Arial"/>
        </w:rPr>
        <w:t>,</w:t>
      </w:r>
      <w:r w:rsidRPr="003B0839">
        <w:rPr>
          <w:rFonts w:cs="Arial"/>
        </w:rPr>
        <w:t xml:space="preserve"> </w:t>
      </w:r>
      <w:r w:rsidR="00116F44" w:rsidRPr="003B0839">
        <w:rPr>
          <w:rFonts w:cs="Arial"/>
          <w:lang w:eastAsia="en-AU"/>
        </w:rPr>
        <w:t>Regulatory Compliance and Enforcement</w:t>
      </w:r>
      <w:bookmarkEnd w:id="35"/>
      <w:r w:rsidR="00116F44" w:rsidRPr="00C801FA">
        <w:rPr>
          <w:rFonts w:cs="Arial"/>
          <w:b/>
          <w:bCs/>
        </w:rPr>
        <w:tab/>
      </w:r>
      <w:hyperlink r:id="rId23" w:history="1">
        <w:r w:rsidR="00116F44" w:rsidRPr="00C801FA">
          <w:rPr>
            <w:rStyle w:val="Hyperlink"/>
            <w:rFonts w:cs="Arial"/>
          </w:rPr>
          <w:t>Paul.Paciocco@dffh.vic.gov.au</w:t>
        </w:r>
      </w:hyperlink>
    </w:p>
    <w:p w14:paraId="50136C24" w14:textId="24F1D856" w:rsidR="00116F44" w:rsidRDefault="00116F44" w:rsidP="00116F44">
      <w:pPr>
        <w:pStyle w:val="DHHSbody"/>
        <w:numPr>
          <w:ilvl w:val="0"/>
          <w:numId w:val="25"/>
        </w:numPr>
        <w:rPr>
          <w:rFonts w:cs="Arial"/>
          <w:lang w:eastAsia="en-AU"/>
        </w:rPr>
      </w:pPr>
      <w:r w:rsidRPr="00C801FA">
        <w:rPr>
          <w:rFonts w:cs="Arial"/>
          <w:lang w:eastAsia="en-AU"/>
        </w:rPr>
        <w:t>Manager, Regulatory Compliance and Enforcement (North/West)</w:t>
      </w:r>
      <w:r>
        <w:rPr>
          <w:rFonts w:cs="Arial"/>
          <w:lang w:eastAsia="en-AU"/>
        </w:rPr>
        <w:t xml:space="preserve"> </w:t>
      </w:r>
      <w:hyperlink r:id="rId24" w:history="1">
        <w:r w:rsidR="00F20B79" w:rsidRPr="003A1BC2">
          <w:rPr>
            <w:rStyle w:val="Hyperlink"/>
            <w:rFonts w:cs="Arial"/>
            <w:lang w:eastAsia="en-AU"/>
          </w:rPr>
          <w:t>Annitia.Rynhart@dffh.vic.gov.au</w:t>
        </w:r>
      </w:hyperlink>
    </w:p>
    <w:p w14:paraId="142883FD" w14:textId="140C71BA" w:rsidR="00116F44" w:rsidRDefault="00116F44" w:rsidP="00116F44">
      <w:pPr>
        <w:pStyle w:val="DHHSbody"/>
        <w:numPr>
          <w:ilvl w:val="0"/>
          <w:numId w:val="25"/>
        </w:numPr>
        <w:rPr>
          <w:rFonts w:cs="Arial"/>
          <w:lang w:eastAsia="en-AU"/>
        </w:rPr>
      </w:pPr>
      <w:r w:rsidRPr="00D55F88">
        <w:rPr>
          <w:rFonts w:cs="Arial"/>
          <w:lang w:eastAsia="en-AU"/>
        </w:rPr>
        <w:t>Manager, Regulatory Compliance and Enforcement (South/East)</w:t>
      </w:r>
      <w:r>
        <w:rPr>
          <w:rFonts w:cs="Arial"/>
          <w:lang w:eastAsia="en-AU"/>
        </w:rPr>
        <w:t xml:space="preserve"> </w:t>
      </w:r>
      <w:hyperlink r:id="rId25" w:history="1">
        <w:r w:rsidR="00733EEE" w:rsidRPr="003A1BC2">
          <w:rPr>
            <w:rStyle w:val="Hyperlink"/>
            <w:rFonts w:cs="Arial"/>
            <w:lang w:eastAsia="en-AU"/>
          </w:rPr>
          <w:t>Drago.Dragojlovic@dffh.vic.gov.au</w:t>
        </w:r>
      </w:hyperlink>
    </w:p>
    <w:p w14:paraId="715C2B64" w14:textId="77777777" w:rsidR="00116F44" w:rsidRPr="00E06BE9" w:rsidRDefault="00116F44" w:rsidP="00116F44">
      <w:pPr>
        <w:pStyle w:val="DHHSbody"/>
        <w:numPr>
          <w:ilvl w:val="0"/>
          <w:numId w:val="25"/>
        </w:numPr>
        <w:rPr>
          <w:rFonts w:cs="Arial"/>
          <w:lang w:eastAsia="en-AU"/>
        </w:rPr>
      </w:pPr>
      <w:r>
        <w:rPr>
          <w:rFonts w:cs="Arial"/>
          <w:lang w:eastAsia="en-AU"/>
        </w:rPr>
        <w:t>Divisional RCET teams:</w:t>
      </w:r>
    </w:p>
    <w:p w14:paraId="77F99B27" w14:textId="77777777" w:rsidR="00116F44" w:rsidRPr="005D1480" w:rsidRDefault="00AE259E" w:rsidP="00116F44">
      <w:pPr>
        <w:ind w:left="720"/>
        <w:textAlignment w:val="center"/>
        <w:rPr>
          <w:rFonts w:cs="Arial"/>
          <w:lang w:eastAsia="en-AU"/>
        </w:rPr>
      </w:pPr>
      <w:hyperlink r:id="rId26" w:history="1">
        <w:r w:rsidR="00116F44" w:rsidRPr="003B0839">
          <w:rPr>
            <w:rStyle w:val="Hyperlink"/>
            <w:rFonts w:cs="Arial"/>
            <w:lang w:eastAsia="en-AU"/>
          </w:rPr>
          <w:t>Regulation.West@dffh.vic.gov.au</w:t>
        </w:r>
      </w:hyperlink>
    </w:p>
    <w:p w14:paraId="3DC222E0" w14:textId="77777777" w:rsidR="00116F44" w:rsidRPr="005D1480" w:rsidRDefault="00AE259E" w:rsidP="00116F44">
      <w:pPr>
        <w:ind w:left="720"/>
        <w:textAlignment w:val="center"/>
        <w:rPr>
          <w:rStyle w:val="Hyperlink"/>
          <w:rFonts w:cs="Arial"/>
          <w:lang w:eastAsia="en-AU"/>
        </w:rPr>
      </w:pPr>
      <w:hyperlink r:id="rId27" w:history="1">
        <w:r w:rsidR="00116F44" w:rsidRPr="003B0839">
          <w:rPr>
            <w:rStyle w:val="Hyperlink"/>
            <w:rFonts w:cs="Arial"/>
            <w:lang w:eastAsia="en-AU"/>
          </w:rPr>
          <w:t>Regulation.East@dffh.vic.gov.au</w:t>
        </w:r>
      </w:hyperlink>
    </w:p>
    <w:p w14:paraId="5BC0C104" w14:textId="77777777" w:rsidR="00116F44" w:rsidRPr="005D1480" w:rsidRDefault="00AE259E" w:rsidP="00116F44">
      <w:pPr>
        <w:ind w:left="720"/>
        <w:textAlignment w:val="center"/>
        <w:rPr>
          <w:rStyle w:val="Hyperlink"/>
          <w:rFonts w:cs="Arial"/>
          <w:lang w:eastAsia="en-AU"/>
        </w:rPr>
      </w:pPr>
      <w:hyperlink r:id="rId28" w:history="1">
        <w:r w:rsidR="00116F44" w:rsidRPr="003B0839">
          <w:rPr>
            <w:rStyle w:val="Hyperlink"/>
            <w:rFonts w:cs="Arial"/>
            <w:lang w:eastAsia="en-AU"/>
          </w:rPr>
          <w:t>regulation.south@dffh.vic.gov.au</w:t>
        </w:r>
      </w:hyperlink>
    </w:p>
    <w:p w14:paraId="0CB9A7E6" w14:textId="77777777" w:rsidR="00116F44" w:rsidRPr="005D1480" w:rsidRDefault="00AE259E" w:rsidP="00116F44">
      <w:pPr>
        <w:ind w:left="720"/>
        <w:textAlignment w:val="center"/>
        <w:rPr>
          <w:rFonts w:cs="Arial"/>
          <w:lang w:eastAsia="en-AU"/>
        </w:rPr>
      </w:pPr>
      <w:hyperlink r:id="rId29" w:history="1">
        <w:r w:rsidR="00116F44" w:rsidRPr="003B0839">
          <w:rPr>
            <w:rStyle w:val="Hyperlink"/>
            <w:rFonts w:cs="Arial"/>
            <w:lang w:eastAsia="en-AU"/>
          </w:rPr>
          <w:t>regulation.north@dffh.vic.gov.au</w:t>
        </w:r>
      </w:hyperlink>
    </w:p>
    <w:p w14:paraId="496AD62E" w14:textId="77777777" w:rsidR="00116F44" w:rsidRPr="00146B66" w:rsidRDefault="00116F44" w:rsidP="00116F44">
      <w:pPr>
        <w:pStyle w:val="Heading2"/>
        <w:rPr>
          <w:rFonts w:cs="Arial"/>
          <w:b w:val="0"/>
          <w:bCs/>
          <w:color w:val="auto"/>
          <w:sz w:val="24"/>
          <w:szCs w:val="24"/>
        </w:rPr>
      </w:pPr>
      <w:bookmarkStart w:id="36" w:name="_Toc90530591"/>
      <w:r w:rsidRPr="00146B66">
        <w:rPr>
          <w:rFonts w:cs="Arial"/>
          <w:bCs/>
          <w:color w:val="auto"/>
          <w:sz w:val="24"/>
          <w:szCs w:val="24"/>
        </w:rPr>
        <w:t>Community Visitors Program</w:t>
      </w:r>
      <w:bookmarkEnd w:id="36"/>
    </w:p>
    <w:p w14:paraId="22A78252" w14:textId="77777777" w:rsidR="00116F44" w:rsidRDefault="00116F44" w:rsidP="00116F44">
      <w:pPr>
        <w:widowControl w:val="0"/>
        <w:rPr>
          <w:rFonts w:cs="Arial"/>
        </w:rPr>
      </w:pPr>
    </w:p>
    <w:p w14:paraId="0F3F54F1" w14:textId="32C0C69E" w:rsidR="00116F44" w:rsidRDefault="00116F44" w:rsidP="00116F44">
      <w:pPr>
        <w:pStyle w:val="ListParagraph"/>
        <w:widowControl w:val="0"/>
        <w:numPr>
          <w:ilvl w:val="0"/>
          <w:numId w:val="26"/>
        </w:numPr>
      </w:pPr>
      <w:r w:rsidRPr="00146B66">
        <w:t xml:space="preserve">Public Advocate </w:t>
      </w:r>
      <w:r w:rsidRPr="00146B66">
        <w:tab/>
      </w:r>
      <w:hyperlink r:id="rId30" w:history="1">
        <w:r w:rsidR="00C01C5F" w:rsidRPr="003A1BC2">
          <w:rPr>
            <w:rStyle w:val="Hyperlink"/>
          </w:rPr>
          <w:t>Colleen.Pearce@justice.vic.gov.au</w:t>
        </w:r>
      </w:hyperlink>
    </w:p>
    <w:p w14:paraId="0BAA4A2A" w14:textId="77777777" w:rsidR="00116F44" w:rsidRDefault="00116F44" w:rsidP="00116F44">
      <w:pPr>
        <w:pStyle w:val="ListParagraph"/>
        <w:widowControl w:val="0"/>
        <w:numPr>
          <w:ilvl w:val="0"/>
          <w:numId w:val="26"/>
        </w:numPr>
      </w:pPr>
      <w:r w:rsidRPr="00146B66">
        <w:t xml:space="preserve">OPA Compliance Manager </w:t>
      </w:r>
      <w:r w:rsidRPr="00146B66">
        <w:tab/>
      </w:r>
      <w:hyperlink r:id="rId31" w:history="1">
        <w:r w:rsidRPr="00F650A2">
          <w:rPr>
            <w:rStyle w:val="Hyperlink"/>
          </w:rPr>
          <w:t>Ann.Henderson@justice.vic.gov.au</w:t>
        </w:r>
      </w:hyperlink>
    </w:p>
    <w:p w14:paraId="1EEBF1F8" w14:textId="77777777" w:rsidR="00116F44" w:rsidRDefault="00116F44" w:rsidP="00116F44">
      <w:pPr>
        <w:pStyle w:val="ListParagraph"/>
        <w:numPr>
          <w:ilvl w:val="0"/>
          <w:numId w:val="26"/>
        </w:numPr>
      </w:pPr>
      <w:r w:rsidRPr="00146B66">
        <w:t>OPA Manager, Safeguarding, Inclusion &amp; Volunteer Programs</w:t>
      </w:r>
    </w:p>
    <w:p w14:paraId="16ED2752" w14:textId="21446132" w:rsidR="00862E6B" w:rsidRDefault="00AE259E" w:rsidP="00862E6B">
      <w:pPr>
        <w:pStyle w:val="ListParagraph"/>
        <w:ind w:left="720" w:firstLine="0"/>
      </w:pPr>
      <w:hyperlink r:id="rId32" w:history="1">
        <w:r w:rsidR="00C852B0" w:rsidRPr="003A1BC2">
          <w:rPr>
            <w:rStyle w:val="Hyperlink"/>
          </w:rPr>
          <w:t>Rosemary.Barker@justice.vic.gov.au</w:t>
        </w:r>
      </w:hyperlink>
    </w:p>
    <w:p w14:paraId="36E67211" w14:textId="77777777" w:rsidR="00C852B0" w:rsidRPr="00146B66" w:rsidRDefault="00C852B0" w:rsidP="00862E6B">
      <w:pPr>
        <w:pStyle w:val="ListParagraph"/>
        <w:ind w:left="720" w:firstLine="0"/>
      </w:pPr>
    </w:p>
    <w:p w14:paraId="5CAE8039" w14:textId="77777777" w:rsidR="00116F44" w:rsidRPr="003B0839" w:rsidRDefault="00116F44" w:rsidP="00116F44">
      <w:pPr>
        <w:pStyle w:val="Heading1"/>
        <w:rPr>
          <w:sz w:val="22"/>
          <w:szCs w:val="22"/>
        </w:rPr>
      </w:pPr>
    </w:p>
    <w:p w14:paraId="2D79EF56" w14:textId="77777777" w:rsidR="00116F44" w:rsidRDefault="00116F44" w:rsidP="00116F44">
      <w:pPr>
        <w:rPr>
          <w:rFonts w:cs="Arial"/>
        </w:rPr>
      </w:pPr>
      <w:r>
        <w:rPr>
          <w:rFonts w:cs="Arial"/>
        </w:rPr>
        <w:br w:type="page"/>
      </w:r>
    </w:p>
    <w:p w14:paraId="6B4BFEC2" w14:textId="3F323E0D" w:rsidR="00DD387F" w:rsidRPr="006617AD" w:rsidRDefault="00DD387F" w:rsidP="00BD5344">
      <w:pPr>
        <w:pStyle w:val="Heading1"/>
      </w:pPr>
      <w:bookmarkStart w:id="37" w:name="_Toc90530592"/>
      <w:bookmarkEnd w:id="8"/>
      <w:bookmarkEnd w:id="9"/>
      <w:r w:rsidRPr="006617AD">
        <w:lastRenderedPageBreak/>
        <w:t xml:space="preserve">Appendix 3: </w:t>
      </w:r>
      <w:r w:rsidR="0013153D">
        <w:t xml:space="preserve">CVP </w:t>
      </w:r>
      <w:r w:rsidR="00301A03" w:rsidRPr="006617AD">
        <w:t>Notification for Investigation drafting t</w:t>
      </w:r>
      <w:r w:rsidRPr="006617AD">
        <w:t>emplate</w:t>
      </w:r>
      <w:bookmarkEnd w:id="37"/>
    </w:p>
    <w:p w14:paraId="2CE5DE85" w14:textId="67BC44FD" w:rsidR="00A2535D" w:rsidRDefault="00A2535D" w:rsidP="00162CA9">
      <w:pPr>
        <w:pStyle w:val="Body"/>
      </w:pPr>
      <w:r>
        <w:rPr>
          <w:noProof/>
        </w:rPr>
        <w:drawing>
          <wp:inline distT="0" distB="0" distL="0" distR="0" wp14:anchorId="4642731C" wp14:editId="02D65A20">
            <wp:extent cx="5722968" cy="796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30729" cy="7973699"/>
                    </a:xfrm>
                    <a:prstGeom prst="rect">
                      <a:avLst/>
                    </a:prstGeom>
                  </pic:spPr>
                </pic:pic>
              </a:graphicData>
            </a:graphic>
          </wp:inline>
        </w:drawing>
      </w:r>
    </w:p>
    <w:p w14:paraId="408C4BB4" w14:textId="1116B36C" w:rsidR="00A2535D" w:rsidRPr="006617AD" w:rsidRDefault="00A2535D" w:rsidP="00BD5344">
      <w:pPr>
        <w:pStyle w:val="Heading1"/>
        <w:rPr>
          <w:szCs w:val="28"/>
        </w:rPr>
      </w:pPr>
      <w:bookmarkStart w:id="38" w:name="_Toc90530593"/>
      <w:r w:rsidRPr="006617AD">
        <w:rPr>
          <w:szCs w:val="28"/>
        </w:rPr>
        <w:lastRenderedPageBreak/>
        <w:t xml:space="preserve">Appendix </w:t>
      </w:r>
      <w:r w:rsidR="001B1EFE">
        <w:t>4</w:t>
      </w:r>
      <w:r w:rsidRPr="006617AD">
        <w:rPr>
          <w:szCs w:val="28"/>
        </w:rPr>
        <w:t xml:space="preserve">: </w:t>
      </w:r>
      <w:r w:rsidR="00297CEB">
        <w:t>CVP Confidential Supplementary Report</w:t>
      </w:r>
      <w:bookmarkEnd w:id="38"/>
      <w:r w:rsidR="00297CEB">
        <w:t xml:space="preserve"> </w:t>
      </w:r>
    </w:p>
    <w:p w14:paraId="477828A6" w14:textId="3C02FC85" w:rsidR="002846E6" w:rsidRDefault="005D1F4B" w:rsidP="00162CA9">
      <w:pPr>
        <w:pStyle w:val="Body"/>
      </w:pPr>
      <w:r>
        <w:rPr>
          <w:noProof/>
        </w:rPr>
        <w:drawing>
          <wp:inline distT="0" distB="0" distL="0" distR="0" wp14:anchorId="606CAFAC" wp14:editId="449C3D37">
            <wp:extent cx="6076950" cy="794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076950" cy="7943850"/>
                    </a:xfrm>
                    <a:prstGeom prst="rect">
                      <a:avLst/>
                    </a:prstGeom>
                  </pic:spPr>
                </pic:pic>
              </a:graphicData>
            </a:graphic>
          </wp:inline>
        </w:drawing>
      </w:r>
    </w:p>
    <w:p w14:paraId="599E6011" w14:textId="77777777" w:rsidR="002846E6" w:rsidRDefault="002846E6">
      <w:pPr>
        <w:spacing w:after="0" w:line="240" w:lineRule="auto"/>
        <w:rPr>
          <w:rFonts w:eastAsia="Times"/>
        </w:rPr>
      </w:pPr>
      <w:r>
        <w:br w:type="page"/>
      </w:r>
    </w:p>
    <w:p w14:paraId="7558DF05" w14:textId="1F746289" w:rsidR="002846E6" w:rsidRPr="006617AD" w:rsidRDefault="002846E6" w:rsidP="00BD5344">
      <w:pPr>
        <w:pStyle w:val="Heading1"/>
        <w:rPr>
          <w:szCs w:val="28"/>
        </w:rPr>
      </w:pPr>
      <w:bookmarkStart w:id="39" w:name="_Toc90530594"/>
      <w:r w:rsidRPr="006617AD">
        <w:rPr>
          <w:szCs w:val="28"/>
        </w:rPr>
        <w:lastRenderedPageBreak/>
        <w:t xml:space="preserve">Appendix </w:t>
      </w:r>
      <w:r>
        <w:t>5</w:t>
      </w:r>
      <w:r w:rsidRPr="006617AD">
        <w:rPr>
          <w:szCs w:val="28"/>
        </w:rPr>
        <w:t xml:space="preserve">: </w:t>
      </w:r>
      <w:r>
        <w:t>HSR NFI Outcome Report template</w:t>
      </w:r>
      <w:bookmarkEnd w:id="39"/>
      <w:r>
        <w:t xml:space="preserve"> </w:t>
      </w:r>
    </w:p>
    <w:p w14:paraId="3C55A0B4" w14:textId="7088C517" w:rsidR="00A2535D" w:rsidRDefault="00DE1FC3" w:rsidP="00162CA9">
      <w:pPr>
        <w:pStyle w:val="Body"/>
      </w:pPr>
      <w:r>
        <w:rPr>
          <w:noProof/>
        </w:rPr>
        <w:drawing>
          <wp:inline distT="0" distB="0" distL="0" distR="0" wp14:anchorId="49FDFC11" wp14:editId="0ECFC274">
            <wp:extent cx="5800299" cy="824861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803472" cy="8253126"/>
                    </a:xfrm>
                    <a:prstGeom prst="rect">
                      <a:avLst/>
                    </a:prstGeom>
                  </pic:spPr>
                </pic:pic>
              </a:graphicData>
            </a:graphic>
          </wp:inline>
        </w:drawing>
      </w:r>
    </w:p>
    <w:sectPr w:rsidR="00A2535D" w:rsidSect="00116F44">
      <w:type w:val="continuous"/>
      <w:pgSz w:w="11906" w:h="16838" w:code="9"/>
      <w:pgMar w:top="1588" w:right="1077" w:bottom="1418" w:left="1077"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CDE51" w14:textId="77777777" w:rsidR="00313EE1" w:rsidRDefault="00313EE1">
      <w:r>
        <w:separator/>
      </w:r>
    </w:p>
    <w:p w14:paraId="73199E04" w14:textId="77777777" w:rsidR="00313EE1" w:rsidRDefault="00313EE1"/>
  </w:endnote>
  <w:endnote w:type="continuationSeparator" w:id="0">
    <w:p w14:paraId="1EF9FCEC" w14:textId="77777777" w:rsidR="00313EE1" w:rsidRDefault="00313EE1">
      <w:r>
        <w:continuationSeparator/>
      </w:r>
    </w:p>
    <w:p w14:paraId="77689DBB" w14:textId="77777777" w:rsidR="00313EE1" w:rsidRDefault="00313EE1"/>
  </w:endnote>
  <w:endnote w:type="continuationNotice" w:id="1">
    <w:p w14:paraId="303FBF95" w14:textId="77777777" w:rsidR="00313EE1" w:rsidRDefault="00313E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1F25" w14:textId="77777777" w:rsidR="00F41ABD" w:rsidRDefault="00F41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A765" w14:textId="417327F3" w:rsidR="00596AFA" w:rsidRPr="00F65AA9" w:rsidRDefault="00451692" w:rsidP="00E263E6">
    <w:pPr>
      <w:pStyle w:val="Footer"/>
      <w:spacing w:before="240"/>
      <w:ind w:left="-510"/>
    </w:pPr>
    <w:r>
      <w:rPr>
        <w:noProof/>
      </w:rPr>
      <mc:AlternateContent>
        <mc:Choice Requires="wps">
          <w:drawing>
            <wp:anchor distT="0" distB="0" distL="114300" distR="114300" simplePos="0" relativeHeight="251659268" behindDoc="0" locked="0" layoutInCell="0" allowOverlap="1" wp14:anchorId="79D072DC" wp14:editId="45F238B7">
              <wp:simplePos x="0" y="0"/>
              <wp:positionH relativeFrom="page">
                <wp:posOffset>0</wp:posOffset>
              </wp:positionH>
              <wp:positionV relativeFrom="page">
                <wp:posOffset>10189210</wp:posOffset>
              </wp:positionV>
              <wp:extent cx="7560310" cy="311785"/>
              <wp:effectExtent l="0" t="0" r="0" b="12065"/>
              <wp:wrapNone/>
              <wp:docPr id="5" name="MSIPCMc9974502b7ecdfb0e264acb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A79FF6" w14:textId="55ECD197" w:rsidR="00451692" w:rsidRPr="00451692" w:rsidRDefault="00451692" w:rsidP="00451692">
                          <w:pPr>
                            <w:spacing w:after="0"/>
                            <w:jc w:val="center"/>
                            <w:rPr>
                              <w:rFonts w:ascii="Arial Black" w:hAnsi="Arial Black"/>
                              <w:color w:val="000000"/>
                              <w:sz w:val="20"/>
                            </w:rPr>
                          </w:pPr>
                          <w:r w:rsidRPr="0045169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D072DC" id="_x0000_t202" coordsize="21600,21600" o:spt="202" path="m,l,21600r21600,l21600,xe">
              <v:stroke joinstyle="miter"/>
              <v:path gradientshapeok="t" o:connecttype="rect"/>
            </v:shapetype>
            <v:shape id="MSIPCMc9974502b7ecdfb0e264acb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JTo63awCAABFBQAADgAAAAAA&#10;AAAAAAAAAAAuAgAAZHJzL2Uyb0RvYy54bWxQSwECLQAUAAYACAAAACEASA1emt8AAAALAQAADwAA&#10;AAAAAAAAAAAAAAAGBQAAZHJzL2Rvd25yZXYueG1sUEsFBgAAAAAEAAQA8wAAABIGAAAAAA==&#10;" o:allowincell="f" filled="f" stroked="f" strokeweight=".5pt">
              <v:fill o:detectmouseclick="t"/>
              <v:textbox inset=",0,,0">
                <w:txbxContent>
                  <w:p w14:paraId="63A79FF6" w14:textId="55ECD197" w:rsidR="00451692" w:rsidRPr="00451692" w:rsidRDefault="00451692" w:rsidP="00451692">
                    <w:pPr>
                      <w:spacing w:after="0"/>
                      <w:jc w:val="center"/>
                      <w:rPr>
                        <w:rFonts w:ascii="Arial Black" w:hAnsi="Arial Black"/>
                        <w:color w:val="000000"/>
                        <w:sz w:val="20"/>
                      </w:rPr>
                    </w:pPr>
                    <w:r w:rsidRPr="00451692">
                      <w:rPr>
                        <w:rFonts w:ascii="Arial Black" w:hAnsi="Arial Black"/>
                        <w:color w:val="000000"/>
                        <w:sz w:val="20"/>
                      </w:rPr>
                      <w:t>OFFICIAL</w:t>
                    </w:r>
                  </w:p>
                </w:txbxContent>
              </v:textbox>
              <w10:wrap anchorx="page" anchory="page"/>
            </v:shape>
          </w:pict>
        </mc:Fallback>
      </mc:AlternateContent>
    </w:r>
    <w:r w:rsidR="00E553FA">
      <w:rPr>
        <w:noProof/>
      </w:rPr>
      <mc:AlternateContent>
        <mc:Choice Requires="wps">
          <w:drawing>
            <wp:anchor distT="45720" distB="45720" distL="114300" distR="114300" simplePos="0" relativeHeight="251658244" behindDoc="0" locked="0" layoutInCell="1" allowOverlap="1" wp14:anchorId="3CC5D246" wp14:editId="77125BEE">
              <wp:simplePos x="0" y="0"/>
              <wp:positionH relativeFrom="margin">
                <wp:align>left</wp:align>
              </wp:positionH>
              <wp:positionV relativeFrom="paragraph">
                <wp:posOffset>154305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7C474D5" w14:textId="1BAC382E" w:rsidR="00E553FA" w:rsidRDefault="00E553FA">
                          <w:r>
                            <w:rPr>
                              <w:noProof/>
                            </w:rPr>
                            <w:drawing>
                              <wp:inline distT="0" distB="0" distL="0" distR="0" wp14:anchorId="1A20953C" wp14:editId="6F09E96C">
                                <wp:extent cx="2279015" cy="476250"/>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35048" cy="48795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CC5D246" id="Text Box 2" o:spid="_x0000_s1027" type="#_x0000_t202" style="position:absolute;left:0;text-align:left;margin-left:0;margin-top:12.15pt;width:185.9pt;height:110.6pt;z-index:25165824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" stroked="f">
              <v:textbox style="mso-fit-shape-to-text:t">
                <w:txbxContent>
                  <w:p w14:paraId="07C474D5" w14:textId="1BAC382E" w:rsidR="00E553FA" w:rsidRDefault="00E553FA">
                    <w:r>
                      <w:rPr>
                        <w:noProof/>
                      </w:rPr>
                      <w:drawing>
                        <wp:inline distT="0" distB="0" distL="0" distR="0" wp14:anchorId="1A20953C" wp14:editId="6F09E96C">
                          <wp:extent cx="2279015" cy="476250"/>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335048" cy="487959"/>
                                  </a:xfrm>
                                  <a:prstGeom prst="rect">
                                    <a:avLst/>
                                  </a:prstGeom>
                                </pic:spPr>
                              </pic:pic>
                            </a:graphicData>
                          </a:graphic>
                        </wp:inline>
                      </w:drawing>
                    </w:r>
                  </w:p>
                </w:txbxContent>
              </v:textbox>
              <w10:wrap type="square" anchorx="margin"/>
            </v:shape>
          </w:pict>
        </mc:Fallback>
      </mc:AlternateContent>
    </w:r>
    <w:r w:rsidR="00596AFA">
      <w:rPr>
        <w:noProof/>
        <w:lang w:eastAsia="en-AU"/>
      </w:rPr>
      <w:drawing>
        <wp:anchor distT="0" distB="0" distL="114300" distR="114300" simplePos="0" relativeHeight="251658240" behindDoc="1" locked="1" layoutInCell="1" allowOverlap="1" wp14:anchorId="033A37CA" wp14:editId="3E0E514D">
          <wp:simplePos x="539750" y="9290050"/>
          <wp:positionH relativeFrom="page">
            <wp:align>right</wp:align>
          </wp:positionH>
          <wp:positionV relativeFrom="page">
            <wp:align>bottom</wp:align>
          </wp:positionV>
          <wp:extent cx="7560000" cy="1008000"/>
          <wp:effectExtent l="0" t="0" r="3175" b="1905"/>
          <wp:wrapNone/>
          <wp:docPr id="16" name="Picture 16"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3"/>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9961" w14:textId="77777777" w:rsidR="00596AFA" w:rsidRDefault="00596AFA">
    <w:pPr>
      <w:pStyle w:val="Footer"/>
    </w:pPr>
    <w:r>
      <w:rPr>
        <w:noProof/>
      </w:rPr>
      <mc:AlternateContent>
        <mc:Choice Requires="wps">
          <w:drawing>
            <wp:anchor distT="0" distB="0" distL="114300" distR="114300" simplePos="0" relativeHeight="251658242" behindDoc="0" locked="0" layoutInCell="0" allowOverlap="1" wp14:anchorId="21E00CE4" wp14:editId="2B5B52E2">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855652" w14:textId="77777777" w:rsidR="00596AFA" w:rsidRPr="00B21F90" w:rsidRDefault="00596AFA"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E00CE4"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GtWrw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" o:allowincell="f" filled="f" stroked="f" strokeweight=".5pt">
              <v:textbox inset=",0,,0">
                <w:txbxContent>
                  <w:p w14:paraId="60855652" w14:textId="77777777" w:rsidR="00596AFA" w:rsidRPr="00B21F90" w:rsidRDefault="00596AFA"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93BED" w14:textId="77777777" w:rsidR="00313EE1" w:rsidRDefault="00313EE1" w:rsidP="00207717">
      <w:pPr>
        <w:spacing w:before="120"/>
      </w:pPr>
      <w:r>
        <w:separator/>
      </w:r>
    </w:p>
  </w:footnote>
  <w:footnote w:type="continuationSeparator" w:id="0">
    <w:p w14:paraId="10AD7A47" w14:textId="77777777" w:rsidR="00313EE1" w:rsidRDefault="00313EE1">
      <w:r>
        <w:continuationSeparator/>
      </w:r>
    </w:p>
    <w:p w14:paraId="6A38B9FA" w14:textId="77777777" w:rsidR="00313EE1" w:rsidRDefault="00313EE1"/>
  </w:footnote>
  <w:footnote w:type="continuationNotice" w:id="1">
    <w:p w14:paraId="441AA2AB" w14:textId="77777777" w:rsidR="00313EE1" w:rsidRDefault="00313E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2037" w14:textId="77777777" w:rsidR="00F41ABD" w:rsidRDefault="00F41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790F" w14:textId="77777777" w:rsidR="00596AFA" w:rsidRDefault="00596AFA"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FBD4" w14:textId="77777777" w:rsidR="00F41ABD" w:rsidRDefault="00F41A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5BF3" w14:textId="239411D8" w:rsidR="00596AFA" w:rsidRPr="0051568D" w:rsidRDefault="00596AFA" w:rsidP="0017674D">
    <w:pPr>
      <w:pStyle w:val="Header"/>
    </w:pPr>
    <w:r>
      <w:rPr>
        <w:noProof/>
      </w:rPr>
      <w:drawing>
        <wp:anchor distT="0" distB="0" distL="114300" distR="114300" simplePos="0" relativeHeight="251658241" behindDoc="1" locked="1" layoutInCell="1" allowOverlap="1" wp14:anchorId="69876996" wp14:editId="0AEA9642">
          <wp:simplePos x="0" y="0"/>
          <wp:positionH relativeFrom="page">
            <wp:posOffset>0</wp:posOffset>
          </wp:positionH>
          <wp:positionV relativeFrom="page">
            <wp:posOffset>0</wp:posOffset>
          </wp:positionV>
          <wp:extent cx="7560000" cy="270000"/>
          <wp:effectExtent l="0" t="0" r="3175"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 xml:space="preserve">Operational Protocol - Human Services Regulator and Community Visitors Program </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34C4"/>
    <w:multiLevelType w:val="hybridMultilevel"/>
    <w:tmpl w:val="01F687A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CC5012A"/>
    <w:multiLevelType w:val="hybridMultilevel"/>
    <w:tmpl w:val="985809E4"/>
    <w:lvl w:ilvl="0" w:tplc="FD0EC40E">
      <w:start w:val="1"/>
      <w:numFmt w:val="decimal"/>
      <w:lvlText w:val="%1."/>
      <w:lvlJc w:val="left"/>
      <w:pPr>
        <w:ind w:left="360" w:hanging="360"/>
      </w:pPr>
      <w:rPr>
        <w:rFonts w:hint="default"/>
        <w:color w:val="4F81BD" w:themeColor="accen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F5D08C7"/>
    <w:multiLevelType w:val="multilevel"/>
    <w:tmpl w:val="F2D0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BB1968"/>
    <w:multiLevelType w:val="multilevel"/>
    <w:tmpl w:val="DDD4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132524"/>
    <w:multiLevelType w:val="hybridMultilevel"/>
    <w:tmpl w:val="17D0CEFA"/>
    <w:lvl w:ilvl="0" w:tplc="0C090001">
      <w:start w:val="1"/>
      <w:numFmt w:val="bullet"/>
      <w:lvlText w:val=""/>
      <w:lvlJc w:val="left"/>
      <w:pPr>
        <w:ind w:left="644" w:hanging="360"/>
      </w:pPr>
      <w:rPr>
        <w:rFonts w:ascii="Symbol" w:hAnsi="Symbol"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135B3CFB"/>
    <w:multiLevelType w:val="multilevel"/>
    <w:tmpl w:val="59B609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13A01EB6"/>
    <w:multiLevelType w:val="hybridMultilevel"/>
    <w:tmpl w:val="ACCCC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4500C1"/>
    <w:multiLevelType w:val="hybridMultilevel"/>
    <w:tmpl w:val="19A8C276"/>
    <w:lvl w:ilvl="0" w:tplc="FFFFFFFF">
      <w:start w:val="1"/>
      <w:numFmt w:val="bullet"/>
      <w:lvlText w:val=""/>
      <w:lvlJc w:val="left"/>
      <w:pPr>
        <w:tabs>
          <w:tab w:val="num" w:pos="1299"/>
        </w:tabs>
        <w:ind w:left="1222"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B006CC"/>
    <w:multiLevelType w:val="hybridMultilevel"/>
    <w:tmpl w:val="F08273D4"/>
    <w:lvl w:ilvl="0" w:tplc="FD0EC40E">
      <w:start w:val="1"/>
      <w:numFmt w:val="decimal"/>
      <w:lvlText w:val="%1."/>
      <w:lvlJc w:val="left"/>
      <w:pPr>
        <w:ind w:left="720" w:hanging="360"/>
      </w:pPr>
      <w:rPr>
        <w:rFonts w:hint="default"/>
        <w:color w:val="4F81BD"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7A4495"/>
    <w:multiLevelType w:val="hybridMultilevel"/>
    <w:tmpl w:val="8972849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C9655D"/>
    <w:multiLevelType w:val="hybridMultilevel"/>
    <w:tmpl w:val="CF72DDDA"/>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25C9382C"/>
    <w:multiLevelType w:val="hybridMultilevel"/>
    <w:tmpl w:val="4E4C3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846160"/>
    <w:multiLevelType w:val="multilevel"/>
    <w:tmpl w:val="B04039A0"/>
    <w:lvl w:ilvl="0">
      <w:start w:val="1"/>
      <w:numFmt w:val="decimal"/>
      <w:pStyle w:val="TOCHeading"/>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1AE0C74"/>
    <w:multiLevelType w:val="hybridMultilevel"/>
    <w:tmpl w:val="EA0EBB0E"/>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4321D64"/>
    <w:multiLevelType w:val="multilevel"/>
    <w:tmpl w:val="6D24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C66112"/>
    <w:multiLevelType w:val="multilevel"/>
    <w:tmpl w:val="8E56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1378FA"/>
    <w:multiLevelType w:val="hybridMultilevel"/>
    <w:tmpl w:val="D9169D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BA72784"/>
    <w:multiLevelType w:val="hybridMultilevel"/>
    <w:tmpl w:val="3A344D80"/>
    <w:lvl w:ilvl="0" w:tplc="A78C37B8">
      <w:start w:val="2"/>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3E4E0249"/>
    <w:multiLevelType w:val="hybridMultilevel"/>
    <w:tmpl w:val="C53E4E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DFE5907"/>
    <w:multiLevelType w:val="hybridMultilevel"/>
    <w:tmpl w:val="3CB4458A"/>
    <w:lvl w:ilvl="0" w:tplc="0C090001">
      <w:start w:val="1"/>
      <w:numFmt w:val="bullet"/>
      <w:lvlText w:val=""/>
      <w:lvlJc w:val="left"/>
      <w:pPr>
        <w:ind w:left="644" w:hanging="360"/>
      </w:pPr>
      <w:rPr>
        <w:rFonts w:ascii="Symbol" w:hAnsi="Symbol"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5487BBC"/>
    <w:multiLevelType w:val="hybridMultilevel"/>
    <w:tmpl w:val="7CFA0394"/>
    <w:lvl w:ilvl="0" w:tplc="0C090001">
      <w:start w:val="1"/>
      <w:numFmt w:val="bullet"/>
      <w:lvlText w:val=""/>
      <w:lvlJc w:val="left"/>
      <w:pPr>
        <w:ind w:left="1287" w:hanging="360"/>
      </w:pPr>
      <w:rPr>
        <w:rFonts w:ascii="Symbol" w:hAnsi="Symbol" w:hint="default"/>
      </w:rPr>
    </w:lvl>
    <w:lvl w:ilvl="1" w:tplc="0C090001">
      <w:start w:val="1"/>
      <w:numFmt w:val="bullet"/>
      <w:lvlText w:val=""/>
      <w:lvlJc w:val="left"/>
      <w:pPr>
        <w:ind w:left="2007" w:hanging="360"/>
      </w:pPr>
      <w:rPr>
        <w:rFonts w:ascii="Symbol" w:hAnsi="Symbol"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80E5962"/>
    <w:multiLevelType w:val="multilevel"/>
    <w:tmpl w:val="8D78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4676E0"/>
    <w:multiLevelType w:val="multilevel"/>
    <w:tmpl w:val="8E82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C24D0D"/>
    <w:multiLevelType w:val="hybridMultilevel"/>
    <w:tmpl w:val="5E58B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DF476E"/>
    <w:multiLevelType w:val="hybridMultilevel"/>
    <w:tmpl w:val="2230FE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7843EF"/>
    <w:multiLevelType w:val="multilevel"/>
    <w:tmpl w:val="F838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9928C2"/>
    <w:multiLevelType w:val="multilevel"/>
    <w:tmpl w:val="ABF2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892EBC"/>
    <w:multiLevelType w:val="hybridMultilevel"/>
    <w:tmpl w:val="439C1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48101B"/>
    <w:multiLevelType w:val="hybridMultilevel"/>
    <w:tmpl w:val="402EAFBC"/>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5" w15:restartNumberingAfterBreak="0">
    <w:nsid w:val="761A0250"/>
    <w:multiLevelType w:val="hybridMultilevel"/>
    <w:tmpl w:val="E1088D20"/>
    <w:lvl w:ilvl="0" w:tplc="0C090001">
      <w:start w:val="1"/>
      <w:numFmt w:val="bullet"/>
      <w:lvlText w:val=""/>
      <w:lvlJc w:val="left"/>
      <w:pPr>
        <w:ind w:left="796" w:hanging="360"/>
      </w:pPr>
      <w:rPr>
        <w:rFonts w:ascii="Symbol" w:hAnsi="Symbol" w:hint="default"/>
      </w:rPr>
    </w:lvl>
    <w:lvl w:ilvl="1" w:tplc="0C090019" w:tentative="1">
      <w:start w:val="1"/>
      <w:numFmt w:val="lowerLetter"/>
      <w:lvlText w:val="%2."/>
      <w:lvlJc w:val="left"/>
      <w:pPr>
        <w:ind w:left="2443" w:hanging="360"/>
      </w:pPr>
    </w:lvl>
    <w:lvl w:ilvl="2" w:tplc="0C09001B" w:tentative="1">
      <w:start w:val="1"/>
      <w:numFmt w:val="lowerRoman"/>
      <w:lvlText w:val="%3."/>
      <w:lvlJc w:val="right"/>
      <w:pPr>
        <w:ind w:left="3163" w:hanging="180"/>
      </w:pPr>
    </w:lvl>
    <w:lvl w:ilvl="3" w:tplc="0C09000F" w:tentative="1">
      <w:start w:val="1"/>
      <w:numFmt w:val="decimal"/>
      <w:lvlText w:val="%4."/>
      <w:lvlJc w:val="left"/>
      <w:pPr>
        <w:ind w:left="3883" w:hanging="360"/>
      </w:pPr>
    </w:lvl>
    <w:lvl w:ilvl="4" w:tplc="0C090019" w:tentative="1">
      <w:start w:val="1"/>
      <w:numFmt w:val="lowerLetter"/>
      <w:lvlText w:val="%5."/>
      <w:lvlJc w:val="left"/>
      <w:pPr>
        <w:ind w:left="4603" w:hanging="360"/>
      </w:pPr>
    </w:lvl>
    <w:lvl w:ilvl="5" w:tplc="0C09001B" w:tentative="1">
      <w:start w:val="1"/>
      <w:numFmt w:val="lowerRoman"/>
      <w:lvlText w:val="%6."/>
      <w:lvlJc w:val="right"/>
      <w:pPr>
        <w:ind w:left="5323" w:hanging="180"/>
      </w:pPr>
    </w:lvl>
    <w:lvl w:ilvl="6" w:tplc="0C09000F" w:tentative="1">
      <w:start w:val="1"/>
      <w:numFmt w:val="decimal"/>
      <w:lvlText w:val="%7."/>
      <w:lvlJc w:val="left"/>
      <w:pPr>
        <w:ind w:left="6043" w:hanging="360"/>
      </w:pPr>
    </w:lvl>
    <w:lvl w:ilvl="7" w:tplc="0C090019" w:tentative="1">
      <w:start w:val="1"/>
      <w:numFmt w:val="lowerLetter"/>
      <w:lvlText w:val="%8."/>
      <w:lvlJc w:val="left"/>
      <w:pPr>
        <w:ind w:left="6763" w:hanging="360"/>
      </w:pPr>
    </w:lvl>
    <w:lvl w:ilvl="8" w:tplc="0C09001B" w:tentative="1">
      <w:start w:val="1"/>
      <w:numFmt w:val="lowerRoman"/>
      <w:lvlText w:val="%9."/>
      <w:lvlJc w:val="right"/>
      <w:pPr>
        <w:ind w:left="7483" w:hanging="180"/>
      </w:pPr>
    </w:lvl>
  </w:abstractNum>
  <w:abstractNum w:abstractNumId="36" w15:restartNumberingAfterBreak="0">
    <w:nsid w:val="76D75924"/>
    <w:multiLevelType w:val="multilevel"/>
    <w:tmpl w:val="083AE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7F4F4A"/>
    <w:multiLevelType w:val="hybridMultilevel"/>
    <w:tmpl w:val="15A26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072054"/>
    <w:multiLevelType w:val="multilevel"/>
    <w:tmpl w:val="C802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6A0540"/>
    <w:multiLevelType w:val="multilevel"/>
    <w:tmpl w:val="2BFA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E14621"/>
    <w:multiLevelType w:val="hybridMultilevel"/>
    <w:tmpl w:val="D884D546"/>
    <w:lvl w:ilvl="0" w:tplc="9C28243C">
      <w:start w:val="1"/>
      <w:numFmt w:val="decimal"/>
      <w:pStyle w:val="DHHStabletext"/>
      <w:lvlText w:val="%1)"/>
      <w:lvlJc w:val="left"/>
      <w:pPr>
        <w:ind w:left="644"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0"/>
  </w:num>
  <w:num w:numId="2">
    <w:abstractNumId w:val="24"/>
  </w:num>
  <w:num w:numId="3">
    <w:abstractNumId w:val="23"/>
  </w:num>
  <w:num w:numId="4">
    <w:abstractNumId w:val="30"/>
  </w:num>
  <w:num w:numId="5">
    <w:abstractNumId w:val="21"/>
  </w:num>
  <w:num w:numId="6">
    <w:abstractNumId w:val="1"/>
  </w:num>
  <w:num w:numId="7">
    <w:abstractNumId w:val="33"/>
  </w:num>
  <w:num w:numId="8">
    <w:abstractNumId w:val="6"/>
  </w:num>
  <w:num w:numId="9">
    <w:abstractNumId w:val="8"/>
  </w:num>
  <w:num w:numId="10">
    <w:abstractNumId w:val="13"/>
  </w:num>
  <w:num w:numId="11">
    <w:abstractNumId w:val="13"/>
    <w:lvlOverride w:ilvl="0">
      <w:startOverride w:val="1"/>
    </w:lvlOverride>
  </w:num>
  <w:num w:numId="12">
    <w:abstractNumId w:val="18"/>
  </w:num>
  <w:num w:numId="13">
    <w:abstractNumId w:val="10"/>
  </w:num>
  <w:num w:numId="14">
    <w:abstractNumId w:val="40"/>
  </w:num>
  <w:num w:numId="15">
    <w:abstractNumId w:val="34"/>
  </w:num>
  <w:num w:numId="16">
    <w:abstractNumId w:val="14"/>
  </w:num>
  <w:num w:numId="17">
    <w:abstractNumId w:val="19"/>
  </w:num>
  <w:num w:numId="18">
    <w:abstractNumId w:val="9"/>
  </w:num>
  <w:num w:numId="19">
    <w:abstractNumId w:val="29"/>
  </w:num>
  <w:num w:numId="20">
    <w:abstractNumId w:val="2"/>
  </w:num>
  <w:num w:numId="21">
    <w:abstractNumId w:val="0"/>
  </w:num>
  <w:num w:numId="22">
    <w:abstractNumId w:val="22"/>
  </w:num>
  <w:num w:numId="23">
    <w:abstractNumId w:val="5"/>
  </w:num>
  <w:num w:numId="24">
    <w:abstractNumId w:val="35"/>
  </w:num>
  <w:num w:numId="25">
    <w:abstractNumId w:val="7"/>
  </w:num>
  <w:num w:numId="26">
    <w:abstractNumId w:val="37"/>
  </w:num>
  <w:num w:numId="27">
    <w:abstractNumId w:val="36"/>
  </w:num>
  <w:num w:numId="28">
    <w:abstractNumId w:val="31"/>
  </w:num>
  <w:num w:numId="29">
    <w:abstractNumId w:val="26"/>
  </w:num>
  <w:num w:numId="30">
    <w:abstractNumId w:val="27"/>
  </w:num>
  <w:num w:numId="31">
    <w:abstractNumId w:val="16"/>
  </w:num>
  <w:num w:numId="32">
    <w:abstractNumId w:val="38"/>
  </w:num>
  <w:num w:numId="33">
    <w:abstractNumId w:val="3"/>
  </w:num>
  <w:num w:numId="34">
    <w:abstractNumId w:val="15"/>
  </w:num>
  <w:num w:numId="35">
    <w:abstractNumId w:val="39"/>
  </w:num>
  <w:num w:numId="36">
    <w:abstractNumId w:val="32"/>
  </w:num>
  <w:num w:numId="37">
    <w:abstractNumId w:val="4"/>
  </w:num>
  <w:num w:numId="38">
    <w:abstractNumId w:val="12"/>
  </w:num>
  <w:num w:numId="39">
    <w:abstractNumId w:val="17"/>
  </w:num>
  <w:num w:numId="40">
    <w:abstractNumId w:val="28"/>
  </w:num>
  <w:num w:numId="41">
    <w:abstractNumId w:val="11"/>
  </w:num>
  <w:num w:numId="42">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44"/>
    <w:rsid w:val="00000719"/>
    <w:rsid w:val="00002D68"/>
    <w:rsid w:val="00003403"/>
    <w:rsid w:val="00005347"/>
    <w:rsid w:val="000072B6"/>
    <w:rsid w:val="0001021B"/>
    <w:rsid w:val="00011D89"/>
    <w:rsid w:val="000154FD"/>
    <w:rsid w:val="00022271"/>
    <w:rsid w:val="00022C3B"/>
    <w:rsid w:val="000235E8"/>
    <w:rsid w:val="00024D89"/>
    <w:rsid w:val="000250B6"/>
    <w:rsid w:val="00033D81"/>
    <w:rsid w:val="00037366"/>
    <w:rsid w:val="00041BF0"/>
    <w:rsid w:val="00041DC4"/>
    <w:rsid w:val="00042C8A"/>
    <w:rsid w:val="0004536B"/>
    <w:rsid w:val="00046B68"/>
    <w:rsid w:val="000527DD"/>
    <w:rsid w:val="000578B2"/>
    <w:rsid w:val="00060959"/>
    <w:rsid w:val="00060C8F"/>
    <w:rsid w:val="0006298A"/>
    <w:rsid w:val="000663CD"/>
    <w:rsid w:val="00066D54"/>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2B13"/>
    <w:rsid w:val="000A30EA"/>
    <w:rsid w:val="000A641A"/>
    <w:rsid w:val="000B2117"/>
    <w:rsid w:val="000B3EDB"/>
    <w:rsid w:val="000B543D"/>
    <w:rsid w:val="000B55F9"/>
    <w:rsid w:val="000B5BF7"/>
    <w:rsid w:val="000B5C60"/>
    <w:rsid w:val="000B6BC8"/>
    <w:rsid w:val="000C0303"/>
    <w:rsid w:val="000C42EA"/>
    <w:rsid w:val="000C4546"/>
    <w:rsid w:val="000C50AC"/>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16F44"/>
    <w:rsid w:val="00120BD3"/>
    <w:rsid w:val="00122FEA"/>
    <w:rsid w:val="001232BD"/>
    <w:rsid w:val="00124ED5"/>
    <w:rsid w:val="001276FA"/>
    <w:rsid w:val="0013153D"/>
    <w:rsid w:val="00134F66"/>
    <w:rsid w:val="001447B3"/>
    <w:rsid w:val="00152073"/>
    <w:rsid w:val="00156598"/>
    <w:rsid w:val="00161939"/>
    <w:rsid w:val="00161AA0"/>
    <w:rsid w:val="00161D2E"/>
    <w:rsid w:val="00161F3E"/>
    <w:rsid w:val="00162093"/>
    <w:rsid w:val="00162CA9"/>
    <w:rsid w:val="00165459"/>
    <w:rsid w:val="00165A57"/>
    <w:rsid w:val="001663F6"/>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A66B3"/>
    <w:rsid w:val="001B058F"/>
    <w:rsid w:val="001B1EFE"/>
    <w:rsid w:val="001B6B96"/>
    <w:rsid w:val="001B7228"/>
    <w:rsid w:val="001B738B"/>
    <w:rsid w:val="001C09DB"/>
    <w:rsid w:val="001C277E"/>
    <w:rsid w:val="001C2A72"/>
    <w:rsid w:val="001C31B7"/>
    <w:rsid w:val="001C6DE9"/>
    <w:rsid w:val="001D0B75"/>
    <w:rsid w:val="001D175F"/>
    <w:rsid w:val="001D39A5"/>
    <w:rsid w:val="001D3C09"/>
    <w:rsid w:val="001D44E8"/>
    <w:rsid w:val="001D60EC"/>
    <w:rsid w:val="001D6F59"/>
    <w:rsid w:val="001E44DF"/>
    <w:rsid w:val="001E68A5"/>
    <w:rsid w:val="001E6BB0"/>
    <w:rsid w:val="001E7282"/>
    <w:rsid w:val="001F3826"/>
    <w:rsid w:val="001F6E46"/>
    <w:rsid w:val="001F7C91"/>
    <w:rsid w:val="00201789"/>
    <w:rsid w:val="002033B7"/>
    <w:rsid w:val="00206463"/>
    <w:rsid w:val="00206F2F"/>
    <w:rsid w:val="00207717"/>
    <w:rsid w:val="0021053D"/>
    <w:rsid w:val="00210A92"/>
    <w:rsid w:val="002154B5"/>
    <w:rsid w:val="00216C03"/>
    <w:rsid w:val="00220C04"/>
    <w:rsid w:val="0022278D"/>
    <w:rsid w:val="0022701F"/>
    <w:rsid w:val="00227C68"/>
    <w:rsid w:val="002333F5"/>
    <w:rsid w:val="00233724"/>
    <w:rsid w:val="002365B4"/>
    <w:rsid w:val="00242378"/>
    <w:rsid w:val="002432E1"/>
    <w:rsid w:val="00246207"/>
    <w:rsid w:val="00246309"/>
    <w:rsid w:val="00246C5E"/>
    <w:rsid w:val="00250960"/>
    <w:rsid w:val="00250DC4"/>
    <w:rsid w:val="00251343"/>
    <w:rsid w:val="002536A4"/>
    <w:rsid w:val="00254F58"/>
    <w:rsid w:val="00257850"/>
    <w:rsid w:val="002620BC"/>
    <w:rsid w:val="00262802"/>
    <w:rsid w:val="00263A90"/>
    <w:rsid w:val="0026408B"/>
    <w:rsid w:val="00267C3E"/>
    <w:rsid w:val="002709BB"/>
    <w:rsid w:val="0027131C"/>
    <w:rsid w:val="00273BAC"/>
    <w:rsid w:val="002763B3"/>
    <w:rsid w:val="002802E3"/>
    <w:rsid w:val="0028213D"/>
    <w:rsid w:val="002845E5"/>
    <w:rsid w:val="002846E6"/>
    <w:rsid w:val="002862F1"/>
    <w:rsid w:val="00291373"/>
    <w:rsid w:val="0029597D"/>
    <w:rsid w:val="002962C3"/>
    <w:rsid w:val="0029752B"/>
    <w:rsid w:val="00297CEB"/>
    <w:rsid w:val="002A0A9C"/>
    <w:rsid w:val="002A483C"/>
    <w:rsid w:val="002A5606"/>
    <w:rsid w:val="002B0C7C"/>
    <w:rsid w:val="002B1729"/>
    <w:rsid w:val="002B36C7"/>
    <w:rsid w:val="002B4DD4"/>
    <w:rsid w:val="002B5277"/>
    <w:rsid w:val="002B5375"/>
    <w:rsid w:val="002B77C1"/>
    <w:rsid w:val="002C0762"/>
    <w:rsid w:val="002C0ED7"/>
    <w:rsid w:val="002C2728"/>
    <w:rsid w:val="002C4EFE"/>
    <w:rsid w:val="002D1E0D"/>
    <w:rsid w:val="002D5006"/>
    <w:rsid w:val="002D6E39"/>
    <w:rsid w:val="002E01D0"/>
    <w:rsid w:val="002E161D"/>
    <w:rsid w:val="002E3100"/>
    <w:rsid w:val="002E6C95"/>
    <w:rsid w:val="002E79D9"/>
    <w:rsid w:val="002E7C36"/>
    <w:rsid w:val="002F3ADF"/>
    <w:rsid w:val="002F3D32"/>
    <w:rsid w:val="002F5F31"/>
    <w:rsid w:val="002F5F46"/>
    <w:rsid w:val="00301A03"/>
    <w:rsid w:val="00302216"/>
    <w:rsid w:val="00303E53"/>
    <w:rsid w:val="00305CC1"/>
    <w:rsid w:val="00306E5F"/>
    <w:rsid w:val="00307E14"/>
    <w:rsid w:val="00313EE1"/>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5E21"/>
    <w:rsid w:val="00406285"/>
    <w:rsid w:val="004148F9"/>
    <w:rsid w:val="0042084E"/>
    <w:rsid w:val="00421EEF"/>
    <w:rsid w:val="00424D65"/>
    <w:rsid w:val="00430393"/>
    <w:rsid w:val="00431806"/>
    <w:rsid w:val="00433CCD"/>
    <w:rsid w:val="00437AC5"/>
    <w:rsid w:val="00442C6C"/>
    <w:rsid w:val="00443CBE"/>
    <w:rsid w:val="00443E8A"/>
    <w:rsid w:val="004441BC"/>
    <w:rsid w:val="004468B4"/>
    <w:rsid w:val="00451692"/>
    <w:rsid w:val="0045230A"/>
    <w:rsid w:val="004531F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A7527"/>
    <w:rsid w:val="004B4185"/>
    <w:rsid w:val="004C5541"/>
    <w:rsid w:val="004C6EEE"/>
    <w:rsid w:val="004C702B"/>
    <w:rsid w:val="004D0033"/>
    <w:rsid w:val="004D016B"/>
    <w:rsid w:val="004D1B22"/>
    <w:rsid w:val="004D23CC"/>
    <w:rsid w:val="004D36F2"/>
    <w:rsid w:val="004D6123"/>
    <w:rsid w:val="004E1106"/>
    <w:rsid w:val="004E138F"/>
    <w:rsid w:val="004E4649"/>
    <w:rsid w:val="004E5C2B"/>
    <w:rsid w:val="004F00DD"/>
    <w:rsid w:val="004F2133"/>
    <w:rsid w:val="004F5398"/>
    <w:rsid w:val="004F55F1"/>
    <w:rsid w:val="004F6936"/>
    <w:rsid w:val="004F7966"/>
    <w:rsid w:val="004F7B35"/>
    <w:rsid w:val="00503DC6"/>
    <w:rsid w:val="00506F5D"/>
    <w:rsid w:val="00510C37"/>
    <w:rsid w:val="005126D0"/>
    <w:rsid w:val="00513263"/>
    <w:rsid w:val="00514667"/>
    <w:rsid w:val="0051568D"/>
    <w:rsid w:val="00526AC7"/>
    <w:rsid w:val="00526C15"/>
    <w:rsid w:val="00536499"/>
    <w:rsid w:val="00542A03"/>
    <w:rsid w:val="00543903"/>
    <w:rsid w:val="00543F11"/>
    <w:rsid w:val="00546305"/>
    <w:rsid w:val="00547A95"/>
    <w:rsid w:val="0055119B"/>
    <w:rsid w:val="00561202"/>
    <w:rsid w:val="00561254"/>
    <w:rsid w:val="00561A8F"/>
    <w:rsid w:val="00572031"/>
    <w:rsid w:val="00572282"/>
    <w:rsid w:val="00573CE3"/>
    <w:rsid w:val="00576E84"/>
    <w:rsid w:val="00580394"/>
    <w:rsid w:val="005809CD"/>
    <w:rsid w:val="00582B8C"/>
    <w:rsid w:val="00586AEA"/>
    <w:rsid w:val="0058757E"/>
    <w:rsid w:val="00596A4B"/>
    <w:rsid w:val="00596AFA"/>
    <w:rsid w:val="0059724E"/>
    <w:rsid w:val="00597507"/>
    <w:rsid w:val="005A479D"/>
    <w:rsid w:val="005B1C6D"/>
    <w:rsid w:val="005B21B6"/>
    <w:rsid w:val="005B3A08"/>
    <w:rsid w:val="005B588D"/>
    <w:rsid w:val="005B7A63"/>
    <w:rsid w:val="005C0955"/>
    <w:rsid w:val="005C49DA"/>
    <w:rsid w:val="005C50F3"/>
    <w:rsid w:val="005C54B5"/>
    <w:rsid w:val="005C5D80"/>
    <w:rsid w:val="005C5D91"/>
    <w:rsid w:val="005D07B8"/>
    <w:rsid w:val="005D1F4B"/>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164BA"/>
    <w:rsid w:val="00616E43"/>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909"/>
    <w:rsid w:val="006505BD"/>
    <w:rsid w:val="006508EA"/>
    <w:rsid w:val="0065092E"/>
    <w:rsid w:val="006557A7"/>
    <w:rsid w:val="00656290"/>
    <w:rsid w:val="006601C9"/>
    <w:rsid w:val="006608D8"/>
    <w:rsid w:val="006617AD"/>
    <w:rsid w:val="006621D7"/>
    <w:rsid w:val="0066302A"/>
    <w:rsid w:val="00667770"/>
    <w:rsid w:val="00670597"/>
    <w:rsid w:val="006706D0"/>
    <w:rsid w:val="00677574"/>
    <w:rsid w:val="00683878"/>
    <w:rsid w:val="0068454C"/>
    <w:rsid w:val="00691B62"/>
    <w:rsid w:val="006933B5"/>
    <w:rsid w:val="006933CD"/>
    <w:rsid w:val="00693D14"/>
    <w:rsid w:val="00695A93"/>
    <w:rsid w:val="00696F27"/>
    <w:rsid w:val="006A18C2"/>
    <w:rsid w:val="006A3383"/>
    <w:rsid w:val="006B077C"/>
    <w:rsid w:val="006B16AF"/>
    <w:rsid w:val="006B6803"/>
    <w:rsid w:val="006C302F"/>
    <w:rsid w:val="006C523F"/>
    <w:rsid w:val="006D0F16"/>
    <w:rsid w:val="006D2A3F"/>
    <w:rsid w:val="006D2FBC"/>
    <w:rsid w:val="006D5B14"/>
    <w:rsid w:val="006D5CF3"/>
    <w:rsid w:val="006E138B"/>
    <w:rsid w:val="006E1867"/>
    <w:rsid w:val="006F0330"/>
    <w:rsid w:val="006F1FDC"/>
    <w:rsid w:val="006F6B8C"/>
    <w:rsid w:val="007013EF"/>
    <w:rsid w:val="00705529"/>
    <w:rsid w:val="007055BD"/>
    <w:rsid w:val="007173CA"/>
    <w:rsid w:val="007216AA"/>
    <w:rsid w:val="00721AB5"/>
    <w:rsid w:val="00721CFB"/>
    <w:rsid w:val="00721DEF"/>
    <w:rsid w:val="00724A43"/>
    <w:rsid w:val="007273AC"/>
    <w:rsid w:val="00731AD4"/>
    <w:rsid w:val="00733EEE"/>
    <w:rsid w:val="007346E4"/>
    <w:rsid w:val="00740F22"/>
    <w:rsid w:val="00741CF0"/>
    <w:rsid w:val="00741F1A"/>
    <w:rsid w:val="00743A2C"/>
    <w:rsid w:val="007447DA"/>
    <w:rsid w:val="007450F8"/>
    <w:rsid w:val="0074696E"/>
    <w:rsid w:val="00750135"/>
    <w:rsid w:val="00750EC2"/>
    <w:rsid w:val="00752B28"/>
    <w:rsid w:val="007541A9"/>
    <w:rsid w:val="00754E36"/>
    <w:rsid w:val="00755E57"/>
    <w:rsid w:val="00763139"/>
    <w:rsid w:val="00770A06"/>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65DE"/>
    <w:rsid w:val="007F31B6"/>
    <w:rsid w:val="007F546C"/>
    <w:rsid w:val="007F625F"/>
    <w:rsid w:val="007F665E"/>
    <w:rsid w:val="00800412"/>
    <w:rsid w:val="0080587B"/>
    <w:rsid w:val="00806468"/>
    <w:rsid w:val="008119CA"/>
    <w:rsid w:val="008130C4"/>
    <w:rsid w:val="008155F0"/>
    <w:rsid w:val="00816735"/>
    <w:rsid w:val="00820141"/>
    <w:rsid w:val="00820E0C"/>
    <w:rsid w:val="008228C2"/>
    <w:rsid w:val="00823275"/>
    <w:rsid w:val="0082366F"/>
    <w:rsid w:val="008338A2"/>
    <w:rsid w:val="00841AA9"/>
    <w:rsid w:val="008474FE"/>
    <w:rsid w:val="0085232E"/>
    <w:rsid w:val="00853EE4"/>
    <w:rsid w:val="00855535"/>
    <w:rsid w:val="00857C5A"/>
    <w:rsid w:val="0086255E"/>
    <w:rsid w:val="00862E6B"/>
    <w:rsid w:val="008633F0"/>
    <w:rsid w:val="00867D9D"/>
    <w:rsid w:val="00872C54"/>
    <w:rsid w:val="00872E0A"/>
    <w:rsid w:val="00873594"/>
    <w:rsid w:val="00875285"/>
    <w:rsid w:val="008754D8"/>
    <w:rsid w:val="00884B62"/>
    <w:rsid w:val="0088529C"/>
    <w:rsid w:val="00887903"/>
    <w:rsid w:val="008915C9"/>
    <w:rsid w:val="0089270A"/>
    <w:rsid w:val="00892D59"/>
    <w:rsid w:val="00893AF6"/>
    <w:rsid w:val="00894BC4"/>
    <w:rsid w:val="008A25E6"/>
    <w:rsid w:val="008A28A8"/>
    <w:rsid w:val="008A5B32"/>
    <w:rsid w:val="008B2029"/>
    <w:rsid w:val="008B2EE4"/>
    <w:rsid w:val="008B3821"/>
    <w:rsid w:val="008B4D3D"/>
    <w:rsid w:val="008B57C7"/>
    <w:rsid w:val="008C2F92"/>
    <w:rsid w:val="008C589D"/>
    <w:rsid w:val="008C6D51"/>
    <w:rsid w:val="008D2846"/>
    <w:rsid w:val="008D2F8B"/>
    <w:rsid w:val="008D4236"/>
    <w:rsid w:val="008D462F"/>
    <w:rsid w:val="008D5C45"/>
    <w:rsid w:val="008D6DCF"/>
    <w:rsid w:val="008E4376"/>
    <w:rsid w:val="008E7A0A"/>
    <w:rsid w:val="008E7B49"/>
    <w:rsid w:val="008F59F6"/>
    <w:rsid w:val="008F6E7F"/>
    <w:rsid w:val="00900719"/>
    <w:rsid w:val="009017AC"/>
    <w:rsid w:val="00902A9A"/>
    <w:rsid w:val="00904A1C"/>
    <w:rsid w:val="00905030"/>
    <w:rsid w:val="00906490"/>
    <w:rsid w:val="009111B2"/>
    <w:rsid w:val="009151F5"/>
    <w:rsid w:val="00915D7F"/>
    <w:rsid w:val="00923929"/>
    <w:rsid w:val="00924AE1"/>
    <w:rsid w:val="009257ED"/>
    <w:rsid w:val="009269B1"/>
    <w:rsid w:val="0092724D"/>
    <w:rsid w:val="009272B3"/>
    <w:rsid w:val="009315BE"/>
    <w:rsid w:val="0093338F"/>
    <w:rsid w:val="00934157"/>
    <w:rsid w:val="00937BD9"/>
    <w:rsid w:val="00950E2C"/>
    <w:rsid w:val="00951D50"/>
    <w:rsid w:val="009525EB"/>
    <w:rsid w:val="0095470B"/>
    <w:rsid w:val="00954874"/>
    <w:rsid w:val="0095615A"/>
    <w:rsid w:val="00961400"/>
    <w:rsid w:val="00963646"/>
    <w:rsid w:val="0096632D"/>
    <w:rsid w:val="00967124"/>
    <w:rsid w:val="009718C7"/>
    <w:rsid w:val="0097559F"/>
    <w:rsid w:val="00975803"/>
    <w:rsid w:val="009761EA"/>
    <w:rsid w:val="0097761E"/>
    <w:rsid w:val="00982454"/>
    <w:rsid w:val="00982CF0"/>
    <w:rsid w:val="009853E1"/>
    <w:rsid w:val="00986E6B"/>
    <w:rsid w:val="00990032"/>
    <w:rsid w:val="00990B19"/>
    <w:rsid w:val="0099153B"/>
    <w:rsid w:val="00991769"/>
    <w:rsid w:val="0099232C"/>
    <w:rsid w:val="00994386"/>
    <w:rsid w:val="00997479"/>
    <w:rsid w:val="009A13D8"/>
    <w:rsid w:val="009A279E"/>
    <w:rsid w:val="009A2E5A"/>
    <w:rsid w:val="009A3015"/>
    <w:rsid w:val="009A3490"/>
    <w:rsid w:val="009B0A6F"/>
    <w:rsid w:val="009B0A94"/>
    <w:rsid w:val="009B2AE8"/>
    <w:rsid w:val="009B5622"/>
    <w:rsid w:val="009B59E9"/>
    <w:rsid w:val="009B70AA"/>
    <w:rsid w:val="009C1CB1"/>
    <w:rsid w:val="009C231D"/>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9F7D2D"/>
    <w:rsid w:val="00A0057A"/>
    <w:rsid w:val="00A02FA1"/>
    <w:rsid w:val="00A04CCE"/>
    <w:rsid w:val="00A07421"/>
    <w:rsid w:val="00A0776B"/>
    <w:rsid w:val="00A10FB9"/>
    <w:rsid w:val="00A11421"/>
    <w:rsid w:val="00A11FD8"/>
    <w:rsid w:val="00A12567"/>
    <w:rsid w:val="00A1389F"/>
    <w:rsid w:val="00A157B1"/>
    <w:rsid w:val="00A22229"/>
    <w:rsid w:val="00A23852"/>
    <w:rsid w:val="00A24442"/>
    <w:rsid w:val="00A2535D"/>
    <w:rsid w:val="00A25C67"/>
    <w:rsid w:val="00A26125"/>
    <w:rsid w:val="00A32577"/>
    <w:rsid w:val="00A330BB"/>
    <w:rsid w:val="00A34ACD"/>
    <w:rsid w:val="00A44882"/>
    <w:rsid w:val="00A45125"/>
    <w:rsid w:val="00A5244C"/>
    <w:rsid w:val="00A52795"/>
    <w:rsid w:val="00A54715"/>
    <w:rsid w:val="00A6061C"/>
    <w:rsid w:val="00A62D44"/>
    <w:rsid w:val="00A67263"/>
    <w:rsid w:val="00A7161C"/>
    <w:rsid w:val="00A77AA3"/>
    <w:rsid w:val="00A77AC2"/>
    <w:rsid w:val="00A8236D"/>
    <w:rsid w:val="00A854EB"/>
    <w:rsid w:val="00A872E5"/>
    <w:rsid w:val="00A91406"/>
    <w:rsid w:val="00A96E65"/>
    <w:rsid w:val="00A96ECE"/>
    <w:rsid w:val="00A97C72"/>
    <w:rsid w:val="00AA310B"/>
    <w:rsid w:val="00AA63D4"/>
    <w:rsid w:val="00AB06E8"/>
    <w:rsid w:val="00AB1CD3"/>
    <w:rsid w:val="00AB2D88"/>
    <w:rsid w:val="00AB352F"/>
    <w:rsid w:val="00AC274B"/>
    <w:rsid w:val="00AC4764"/>
    <w:rsid w:val="00AC6D36"/>
    <w:rsid w:val="00AD0CBA"/>
    <w:rsid w:val="00AD26E2"/>
    <w:rsid w:val="00AD784C"/>
    <w:rsid w:val="00AE0AAD"/>
    <w:rsid w:val="00AE126A"/>
    <w:rsid w:val="00AE1BAE"/>
    <w:rsid w:val="00AE259E"/>
    <w:rsid w:val="00AE3005"/>
    <w:rsid w:val="00AE3BD5"/>
    <w:rsid w:val="00AE59A0"/>
    <w:rsid w:val="00AE7145"/>
    <w:rsid w:val="00AF0C57"/>
    <w:rsid w:val="00AF26F3"/>
    <w:rsid w:val="00AF5F04"/>
    <w:rsid w:val="00B00672"/>
    <w:rsid w:val="00B0164B"/>
    <w:rsid w:val="00B01B4D"/>
    <w:rsid w:val="00B02259"/>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278BB"/>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916"/>
    <w:rsid w:val="00B73934"/>
    <w:rsid w:val="00B75646"/>
    <w:rsid w:val="00B75D89"/>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D5022"/>
    <w:rsid w:val="00BD5344"/>
    <w:rsid w:val="00BE28D2"/>
    <w:rsid w:val="00BE4A64"/>
    <w:rsid w:val="00BE5E43"/>
    <w:rsid w:val="00BF049E"/>
    <w:rsid w:val="00BF557D"/>
    <w:rsid w:val="00BF7F58"/>
    <w:rsid w:val="00C003B4"/>
    <w:rsid w:val="00C01381"/>
    <w:rsid w:val="00C01AB1"/>
    <w:rsid w:val="00C01C5F"/>
    <w:rsid w:val="00C026A0"/>
    <w:rsid w:val="00C03EA4"/>
    <w:rsid w:val="00C04F42"/>
    <w:rsid w:val="00C05289"/>
    <w:rsid w:val="00C06137"/>
    <w:rsid w:val="00C06929"/>
    <w:rsid w:val="00C079B8"/>
    <w:rsid w:val="00C07CA7"/>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5563E"/>
    <w:rsid w:val="00C600E4"/>
    <w:rsid w:val="00C602FF"/>
    <w:rsid w:val="00C61174"/>
    <w:rsid w:val="00C6148F"/>
    <w:rsid w:val="00C621B1"/>
    <w:rsid w:val="00C62F7A"/>
    <w:rsid w:val="00C63B9C"/>
    <w:rsid w:val="00C63D03"/>
    <w:rsid w:val="00C6682F"/>
    <w:rsid w:val="00C67BF4"/>
    <w:rsid w:val="00C7275E"/>
    <w:rsid w:val="00C72824"/>
    <w:rsid w:val="00C74C5D"/>
    <w:rsid w:val="00C852B0"/>
    <w:rsid w:val="00C863C4"/>
    <w:rsid w:val="00C9197D"/>
    <w:rsid w:val="00C920EA"/>
    <w:rsid w:val="00C9230D"/>
    <w:rsid w:val="00C93C3E"/>
    <w:rsid w:val="00CA12E3"/>
    <w:rsid w:val="00CA1476"/>
    <w:rsid w:val="00CA6611"/>
    <w:rsid w:val="00CA6AE6"/>
    <w:rsid w:val="00CA782F"/>
    <w:rsid w:val="00CB187B"/>
    <w:rsid w:val="00CB2835"/>
    <w:rsid w:val="00CB3285"/>
    <w:rsid w:val="00CB4500"/>
    <w:rsid w:val="00CC0C72"/>
    <w:rsid w:val="00CC2BFD"/>
    <w:rsid w:val="00CC4C77"/>
    <w:rsid w:val="00CD3476"/>
    <w:rsid w:val="00CD64DF"/>
    <w:rsid w:val="00CD6DDF"/>
    <w:rsid w:val="00CE195B"/>
    <w:rsid w:val="00CE225F"/>
    <w:rsid w:val="00CF2F50"/>
    <w:rsid w:val="00CF3626"/>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46ED7"/>
    <w:rsid w:val="00D50B9C"/>
    <w:rsid w:val="00D52D73"/>
    <w:rsid w:val="00D52E58"/>
    <w:rsid w:val="00D554F1"/>
    <w:rsid w:val="00D56B20"/>
    <w:rsid w:val="00D578B3"/>
    <w:rsid w:val="00D618F4"/>
    <w:rsid w:val="00D714CC"/>
    <w:rsid w:val="00D75EA7"/>
    <w:rsid w:val="00D810AD"/>
    <w:rsid w:val="00D81ADF"/>
    <w:rsid w:val="00D81F21"/>
    <w:rsid w:val="00D864F2"/>
    <w:rsid w:val="00D943F8"/>
    <w:rsid w:val="00D94D56"/>
    <w:rsid w:val="00D95470"/>
    <w:rsid w:val="00D96B55"/>
    <w:rsid w:val="00DA2619"/>
    <w:rsid w:val="00DA2E57"/>
    <w:rsid w:val="00DA4239"/>
    <w:rsid w:val="00DA65DE"/>
    <w:rsid w:val="00DA6D7D"/>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387F"/>
    <w:rsid w:val="00DD487D"/>
    <w:rsid w:val="00DD4E83"/>
    <w:rsid w:val="00DD6628"/>
    <w:rsid w:val="00DD6945"/>
    <w:rsid w:val="00DE1FC3"/>
    <w:rsid w:val="00DE2D04"/>
    <w:rsid w:val="00DE3250"/>
    <w:rsid w:val="00DE6028"/>
    <w:rsid w:val="00DE6C85"/>
    <w:rsid w:val="00DE78A3"/>
    <w:rsid w:val="00DF1A71"/>
    <w:rsid w:val="00DF50FC"/>
    <w:rsid w:val="00DF68C7"/>
    <w:rsid w:val="00DF731A"/>
    <w:rsid w:val="00E028A3"/>
    <w:rsid w:val="00E06B75"/>
    <w:rsid w:val="00E11332"/>
    <w:rsid w:val="00E11352"/>
    <w:rsid w:val="00E12DA6"/>
    <w:rsid w:val="00E170DC"/>
    <w:rsid w:val="00E17546"/>
    <w:rsid w:val="00E210B5"/>
    <w:rsid w:val="00E261B3"/>
    <w:rsid w:val="00E263E6"/>
    <w:rsid w:val="00E26818"/>
    <w:rsid w:val="00E27FFC"/>
    <w:rsid w:val="00E30B15"/>
    <w:rsid w:val="00E33237"/>
    <w:rsid w:val="00E40181"/>
    <w:rsid w:val="00E41377"/>
    <w:rsid w:val="00E54950"/>
    <w:rsid w:val="00E553FA"/>
    <w:rsid w:val="00E55FB3"/>
    <w:rsid w:val="00E56A01"/>
    <w:rsid w:val="00E629A1"/>
    <w:rsid w:val="00E6794C"/>
    <w:rsid w:val="00E71591"/>
    <w:rsid w:val="00E71CEB"/>
    <w:rsid w:val="00E7474F"/>
    <w:rsid w:val="00E80DE3"/>
    <w:rsid w:val="00E82C55"/>
    <w:rsid w:val="00E8787E"/>
    <w:rsid w:val="00E92AC3"/>
    <w:rsid w:val="00EA1282"/>
    <w:rsid w:val="00EA2F6A"/>
    <w:rsid w:val="00EB00E0"/>
    <w:rsid w:val="00EB05D5"/>
    <w:rsid w:val="00EB1931"/>
    <w:rsid w:val="00EB2407"/>
    <w:rsid w:val="00EC059F"/>
    <w:rsid w:val="00EC1F24"/>
    <w:rsid w:val="00EC20FF"/>
    <w:rsid w:val="00EC22F6"/>
    <w:rsid w:val="00ED11C2"/>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0B79"/>
    <w:rsid w:val="00F250A9"/>
    <w:rsid w:val="00F267AF"/>
    <w:rsid w:val="00F30402"/>
    <w:rsid w:val="00F30FF4"/>
    <w:rsid w:val="00F3122E"/>
    <w:rsid w:val="00F32368"/>
    <w:rsid w:val="00F331AD"/>
    <w:rsid w:val="00F35287"/>
    <w:rsid w:val="00F40A70"/>
    <w:rsid w:val="00F41ABD"/>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3BD1"/>
    <w:rsid w:val="00F8407C"/>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07C1"/>
    <w:rsid w:val="00FE2DCF"/>
    <w:rsid w:val="00FE3FA7"/>
    <w:rsid w:val="00FF2A4E"/>
    <w:rsid w:val="00FF2FCE"/>
    <w:rsid w:val="00FF4F7D"/>
    <w:rsid w:val="00FF508E"/>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043E081"/>
  <w15:docId w15:val="{DD923212-8043-4BBC-8A9E-D87AC9A3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21"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9"/>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9"/>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9"/>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9"/>
    <w:rsid w:val="00B14B5F"/>
    <w:rPr>
      <w:rFonts w:ascii="Arial" w:hAnsi="Arial"/>
      <w:b/>
      <w:color w:val="201547"/>
      <w:sz w:val="32"/>
      <w:szCs w:val="28"/>
      <w:lang w:eastAsia="en-US"/>
    </w:rPr>
  </w:style>
  <w:style w:type="character" w:customStyle="1" w:styleId="Heading3Char">
    <w:name w:val="Heading 3 Char"/>
    <w:link w:val="Heading3"/>
    <w:uiPriority w:val="9"/>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link w:val="HeaderChar"/>
    <w:uiPriority w:val="99"/>
    <w:rsid w:val="006D5CF3"/>
    <w:pPr>
      <w:spacing w:after="300"/>
    </w:pPr>
    <w:rPr>
      <w:rFonts w:ascii="Arial" w:hAnsi="Arial" w:cs="Arial"/>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TOC  heading 2"/>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37339"/>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37339"/>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Numberloweralphaindent"/>
    <w:uiPriority w:val="3"/>
    <w:rsid w:val="00337339"/>
    <w:pPr>
      <w:numPr>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styleId="ListParagraph">
    <w:name w:val="List Paragraph"/>
    <w:basedOn w:val="Normal"/>
    <w:uiPriority w:val="34"/>
    <w:qFormat/>
    <w:rsid w:val="00116F44"/>
    <w:pPr>
      <w:spacing w:before="120" w:line="259" w:lineRule="auto"/>
      <w:ind w:left="1134" w:hanging="567"/>
    </w:pPr>
    <w:rPr>
      <w:rFonts w:eastAsiaTheme="minorHAnsi" w:cs="Arial"/>
      <w:sz w:val="22"/>
      <w:szCs w:val="22"/>
    </w:rPr>
  </w:style>
  <w:style w:type="character" w:customStyle="1" w:styleId="HeaderChar">
    <w:name w:val="Header Char"/>
    <w:basedOn w:val="DefaultParagraphFont"/>
    <w:link w:val="Header"/>
    <w:uiPriority w:val="99"/>
    <w:rsid w:val="00116F44"/>
    <w:rPr>
      <w:rFonts w:ascii="Arial" w:hAnsi="Arial" w:cs="Arial"/>
      <w:color w:val="201547"/>
      <w:sz w:val="18"/>
      <w:szCs w:val="18"/>
      <w:lang w:eastAsia="en-US"/>
    </w:rPr>
  </w:style>
  <w:style w:type="character" w:customStyle="1" w:styleId="FooterChar">
    <w:name w:val="Footer Char"/>
    <w:basedOn w:val="DefaultParagraphFont"/>
    <w:link w:val="Footer"/>
    <w:uiPriority w:val="99"/>
    <w:rsid w:val="00116F44"/>
    <w:rPr>
      <w:rFonts w:ascii="Arial" w:hAnsi="Arial" w:cs="Arial"/>
      <w:szCs w:val="18"/>
      <w:lang w:eastAsia="en-US"/>
    </w:rPr>
  </w:style>
  <w:style w:type="paragraph" w:customStyle="1" w:styleId="DHHSbody">
    <w:name w:val="DHHS body"/>
    <w:link w:val="DHHSbodyChar"/>
    <w:qFormat/>
    <w:rsid w:val="00116F44"/>
    <w:pPr>
      <w:spacing w:after="240" w:line="270" w:lineRule="atLeast"/>
    </w:pPr>
    <w:rPr>
      <w:rFonts w:ascii="Arial" w:eastAsia="Times" w:hAnsi="Arial"/>
      <w:sz w:val="22"/>
      <w:szCs w:val="22"/>
      <w:lang w:eastAsia="en-US"/>
    </w:rPr>
  </w:style>
  <w:style w:type="character" w:customStyle="1" w:styleId="DHHSbodyChar">
    <w:name w:val="DHHS body Char"/>
    <w:basedOn w:val="DefaultParagraphFont"/>
    <w:link w:val="DHHSbody"/>
    <w:rsid w:val="00116F44"/>
    <w:rPr>
      <w:rFonts w:ascii="Arial" w:eastAsia="Times" w:hAnsi="Arial"/>
      <w:sz w:val="22"/>
      <w:szCs w:val="22"/>
      <w:lang w:eastAsia="en-US"/>
    </w:rPr>
  </w:style>
  <w:style w:type="paragraph" w:styleId="NormalWeb">
    <w:name w:val="Normal (Web)"/>
    <w:basedOn w:val="Normal"/>
    <w:unhideWhenUsed/>
    <w:rsid w:val="00116F44"/>
    <w:pPr>
      <w:spacing w:before="100" w:beforeAutospacing="1" w:after="100" w:afterAutospacing="1" w:line="240" w:lineRule="auto"/>
    </w:pPr>
    <w:rPr>
      <w:rFonts w:ascii="Times New Roman" w:hAnsi="Times New Roman"/>
      <w:sz w:val="24"/>
      <w:szCs w:val="24"/>
      <w:lang w:eastAsia="en-AU"/>
    </w:rPr>
  </w:style>
  <w:style w:type="paragraph" w:customStyle="1" w:styleId="DHHStabletext">
    <w:name w:val="DHHS table text"/>
    <w:basedOn w:val="Normal"/>
    <w:qFormat/>
    <w:rsid w:val="00116F44"/>
    <w:pPr>
      <w:numPr>
        <w:numId w:val="14"/>
      </w:numPr>
      <w:spacing w:before="240" w:after="240" w:line="259" w:lineRule="auto"/>
      <w:ind w:left="709" w:hanging="357"/>
      <w:textAlignment w:val="center"/>
    </w:pPr>
    <w:rPr>
      <w:rFonts w:cs="Arial"/>
      <w:color w:val="365F91" w:themeColor="accent1" w:themeShade="BF"/>
      <w:sz w:val="22"/>
      <w:szCs w:val="22"/>
      <w:lang w:eastAsia="en-AU"/>
    </w:rPr>
  </w:style>
  <w:style w:type="character" w:styleId="Mention">
    <w:name w:val="Mention"/>
    <w:basedOn w:val="DefaultParagraphFont"/>
    <w:uiPriority w:val="99"/>
    <w:unhideWhenUsed/>
    <w:rsid w:val="00116F44"/>
    <w:rPr>
      <w:color w:val="2B579A"/>
      <w:shd w:val="clear" w:color="auto" w:fill="E6E6E6"/>
    </w:rPr>
  </w:style>
  <w:style w:type="paragraph" w:customStyle="1" w:styleId="xmsonormal">
    <w:name w:val="x_msonormal"/>
    <w:basedOn w:val="Normal"/>
    <w:rsid w:val="00116F44"/>
    <w:pPr>
      <w:spacing w:after="0" w:line="240" w:lineRule="auto"/>
    </w:pPr>
    <w:rPr>
      <w:rFonts w:ascii="Calibri" w:eastAsiaTheme="minorHAnsi" w:hAnsi="Calibri" w:cs="Calibri"/>
      <w:sz w:val="22"/>
      <w:szCs w:val="22"/>
      <w:lang w:eastAsia="en-AU"/>
    </w:rPr>
  </w:style>
  <w:style w:type="paragraph" w:customStyle="1" w:styleId="paragraph">
    <w:name w:val="paragraph"/>
    <w:basedOn w:val="Normal"/>
    <w:rsid w:val="00116F44"/>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16F44"/>
  </w:style>
  <w:style w:type="character" w:customStyle="1" w:styleId="eop">
    <w:name w:val="eop"/>
    <w:basedOn w:val="DefaultParagraphFont"/>
    <w:rsid w:val="00116F44"/>
  </w:style>
  <w:style w:type="paragraph" w:styleId="TOCHeading">
    <w:name w:val="TOC Heading"/>
    <w:aliases w:val="TOC Heading 1"/>
    <w:basedOn w:val="Heading1"/>
    <w:next w:val="Normal"/>
    <w:uiPriority w:val="39"/>
    <w:unhideWhenUsed/>
    <w:qFormat/>
    <w:rsid w:val="00116F44"/>
    <w:pPr>
      <w:numPr>
        <w:numId w:val="10"/>
      </w:numPr>
      <w:spacing w:before="240" w:after="240" w:line="259" w:lineRule="auto"/>
      <w:ind w:left="426" w:hanging="426"/>
      <w:outlineLvl w:val="9"/>
    </w:pPr>
    <w:rPr>
      <w:rFonts w:eastAsiaTheme="majorEastAsia" w:cstheme="majorBidi"/>
      <w:b/>
      <w:color w:val="000000" w:themeColor="text1"/>
      <w:kern w:val="0"/>
      <w:sz w:val="28"/>
      <w:szCs w:val="32"/>
      <w:lang w:val="en-US"/>
    </w:rPr>
  </w:style>
  <w:style w:type="character" w:styleId="IntenseEmphasis">
    <w:name w:val="Intense Emphasis"/>
    <w:basedOn w:val="DefaultParagraphFont"/>
    <w:uiPriority w:val="21"/>
    <w:qFormat/>
    <w:rsid w:val="00116F44"/>
    <w:rPr>
      <w:i/>
      <w:iCs/>
      <w:color w:val="4F81BD" w:themeColor="accent1"/>
    </w:rPr>
  </w:style>
  <w:style w:type="paragraph" w:styleId="BodyText">
    <w:name w:val="Body Text"/>
    <w:basedOn w:val="Normal"/>
    <w:link w:val="BodyTextChar"/>
    <w:rsid w:val="00116F44"/>
    <w:pPr>
      <w:overflowPunct w:val="0"/>
      <w:autoSpaceDE w:val="0"/>
      <w:autoSpaceDN w:val="0"/>
      <w:adjustRightInd w:val="0"/>
      <w:spacing w:before="240" w:after="0" w:line="240" w:lineRule="auto"/>
      <w:textAlignment w:val="baseline"/>
    </w:pPr>
    <w:rPr>
      <w:rFonts w:ascii="Times New Roman" w:hAnsi="Times New Roman"/>
      <w:sz w:val="24"/>
    </w:rPr>
  </w:style>
  <w:style w:type="character" w:customStyle="1" w:styleId="BodyTextChar">
    <w:name w:val="Body Text Char"/>
    <w:basedOn w:val="DefaultParagraphFont"/>
    <w:link w:val="BodyText"/>
    <w:rsid w:val="00116F44"/>
    <w:rPr>
      <w:sz w:val="24"/>
      <w:lang w:eastAsia="en-US"/>
    </w:rPr>
  </w:style>
  <w:style w:type="paragraph" w:customStyle="1" w:styleId="Bodycopy">
    <w:name w:val="Body copy"/>
    <w:basedOn w:val="Normal"/>
    <w:rsid w:val="00116F44"/>
    <w:pPr>
      <w:widowControl w:val="0"/>
      <w:suppressAutoHyphens/>
      <w:autoSpaceDE w:val="0"/>
      <w:autoSpaceDN w:val="0"/>
      <w:adjustRightInd w:val="0"/>
      <w:spacing w:after="170" w:line="270" w:lineRule="atLeast"/>
      <w:textAlignment w:val="baseline"/>
    </w:pPr>
    <w:rPr>
      <w:rFonts w:ascii="Verdana" w:hAnsi="Verdana"/>
      <w:color w:val="000000"/>
      <w:spacing w:val="-3"/>
      <w:sz w:val="20"/>
      <w:lang w:val="en-GB"/>
    </w:rPr>
  </w:style>
  <w:style w:type="character" w:customStyle="1" w:styleId="CorpSBQmedium">
    <w:name w:val="Corp SBQ medium"/>
    <w:rsid w:val="00116F44"/>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Regulation.West@dffh.vic.gov.au" TargetMode="External"/><Relationship Id="rId3" Type="http://schemas.openxmlformats.org/officeDocument/2006/relationships/customXml" Target="../customXml/item3.xml"/><Relationship Id="rId21" Type="http://schemas.openxmlformats.org/officeDocument/2006/relationships/hyperlink" Target="mailto:Anthony.J.Kolmus@dffh.vic.gov.au" TargetMode="External"/><Relationship Id="rId34"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Drago.Dragojlovic@dffh.vic.gov.au" TargetMode="External"/><Relationship Id="rId33"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forms.office.com/Pages/ResponsePage.aspx?id=H2DgwKwPnESciKEExOufKA6BbuCGwxpCrnjHM4A2AHZUMFQ0S09HQkpXMTBTTkRIVFdDRzBWWkQwRiQlQCN0PWcu" TargetMode="External"/><Relationship Id="rId29" Type="http://schemas.openxmlformats.org/officeDocument/2006/relationships/hyperlink" Target="mailto:regulation.north@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nnitia.Rynhart@dffh.vic.gov.au" TargetMode="External"/><Relationship Id="rId32" Type="http://schemas.openxmlformats.org/officeDocument/2006/relationships/hyperlink" Target="mailto:Rosemary.Barker@justice.vic.gov.a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aul.Paciocco@dffh.vic.gov.au" TargetMode="External"/><Relationship Id="rId28" Type="http://schemas.openxmlformats.org/officeDocument/2006/relationships/hyperlink" Target="mailto:regulation.south@dffh.vic.gov.a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orms.office.com/Pages/ResponsePage.aspx?id=H2DgwKwPnESciKEExOufKA6BbuCGwxpCrnjHM4A2AHZUMFQ0S09HQkpXMTBTTkRIVFdDRzBWWkQwRiQlQCN0PWcu" TargetMode="External"/><Relationship Id="rId31" Type="http://schemas.openxmlformats.org/officeDocument/2006/relationships/hyperlink" Target="mailto:Ann.Henderson@justice.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Richard.Marks@dffh.vic.gov.au" TargetMode="External"/><Relationship Id="rId27" Type="http://schemas.openxmlformats.org/officeDocument/2006/relationships/hyperlink" Target="mailto:Regulation.East@dffh.vic.gov.au" TargetMode="External"/><Relationship Id="rId30" Type="http://schemas.openxmlformats.org/officeDocument/2006/relationships/hyperlink" Target="mailto:Colleen.Pearce@justice.vic.gov.au" TargetMode="External"/><Relationship Id="rId35"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1ef5222-d273-4e86-adbf-8aa3d9e99a84">
      <UserInfo>
        <DisplayName/>
        <AccountId xsi:nil="true"/>
        <AccountType/>
      </UserInfo>
    </SharedWithUsers>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3CF43EB8-62D5-4791-8829-1FBAA66D35B7}"/>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 ds:uri="http://www.w3.org/XML/1998/namespace"/>
    <ds:schemaRef ds:uri="5ce0f2b5-5be5-4508-bce9-d7011ece0659"/>
    <ds:schemaRef ds:uri="9d008163-efe8-41c9-8a6e-39d389fb6c27"/>
    <ds:schemaRef ds:uri="add73ec2-c5fa-4fd3-8424-81af2714d9e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4429</Words>
  <Characters>27275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DFFH green factsheet</vt:lpstr>
    </vt:vector>
  </TitlesOfParts>
  <Company>Victoria State Government, Department of Familes, Fairness and Housing</Company>
  <LinksUpToDate>false</LinksUpToDate>
  <CharactersWithSpaces>31641</CharactersWithSpaces>
  <SharedDoc>false</SharedDoc>
  <HyperlinkBase/>
  <HLinks>
    <vt:vector size="192" baseType="variant">
      <vt:variant>
        <vt:i4>5898279</vt:i4>
      </vt:variant>
      <vt:variant>
        <vt:i4>159</vt:i4>
      </vt:variant>
      <vt:variant>
        <vt:i4>0</vt:i4>
      </vt:variant>
      <vt:variant>
        <vt:i4>5</vt:i4>
      </vt:variant>
      <vt:variant>
        <vt:lpwstr>mailto:Rosemary.Barker@justice.vic.gov.au</vt:lpwstr>
      </vt:variant>
      <vt:variant>
        <vt:lpwstr/>
      </vt:variant>
      <vt:variant>
        <vt:i4>6488092</vt:i4>
      </vt:variant>
      <vt:variant>
        <vt:i4>156</vt:i4>
      </vt:variant>
      <vt:variant>
        <vt:i4>0</vt:i4>
      </vt:variant>
      <vt:variant>
        <vt:i4>5</vt:i4>
      </vt:variant>
      <vt:variant>
        <vt:lpwstr>mailto:Ann.Henderson@justice.vic.gov.au</vt:lpwstr>
      </vt:variant>
      <vt:variant>
        <vt:lpwstr/>
      </vt:variant>
      <vt:variant>
        <vt:i4>7012352</vt:i4>
      </vt:variant>
      <vt:variant>
        <vt:i4>153</vt:i4>
      </vt:variant>
      <vt:variant>
        <vt:i4>0</vt:i4>
      </vt:variant>
      <vt:variant>
        <vt:i4>5</vt:i4>
      </vt:variant>
      <vt:variant>
        <vt:lpwstr>mailto:colleen.pearce@justice.vic.gov.au</vt:lpwstr>
      </vt:variant>
      <vt:variant>
        <vt:lpwstr/>
      </vt:variant>
      <vt:variant>
        <vt:i4>1966178</vt:i4>
      </vt:variant>
      <vt:variant>
        <vt:i4>150</vt:i4>
      </vt:variant>
      <vt:variant>
        <vt:i4>0</vt:i4>
      </vt:variant>
      <vt:variant>
        <vt:i4>5</vt:i4>
      </vt:variant>
      <vt:variant>
        <vt:lpwstr>mailto:regulation.north@dffh.vic.gov.au</vt:lpwstr>
      </vt:variant>
      <vt:variant>
        <vt:lpwstr/>
      </vt:variant>
      <vt:variant>
        <vt:i4>1966200</vt:i4>
      </vt:variant>
      <vt:variant>
        <vt:i4>147</vt:i4>
      </vt:variant>
      <vt:variant>
        <vt:i4>0</vt:i4>
      </vt:variant>
      <vt:variant>
        <vt:i4>5</vt:i4>
      </vt:variant>
      <vt:variant>
        <vt:lpwstr>mailto:regulation.south@dffh.vic.gov.au</vt:lpwstr>
      </vt:variant>
      <vt:variant>
        <vt:lpwstr/>
      </vt:variant>
      <vt:variant>
        <vt:i4>6553601</vt:i4>
      </vt:variant>
      <vt:variant>
        <vt:i4>144</vt:i4>
      </vt:variant>
      <vt:variant>
        <vt:i4>0</vt:i4>
      </vt:variant>
      <vt:variant>
        <vt:i4>5</vt:i4>
      </vt:variant>
      <vt:variant>
        <vt:lpwstr>mailto:Regulation.East@dffh.vic.gov.au</vt:lpwstr>
      </vt:variant>
      <vt:variant>
        <vt:lpwstr/>
      </vt:variant>
      <vt:variant>
        <vt:i4>6291475</vt:i4>
      </vt:variant>
      <vt:variant>
        <vt:i4>141</vt:i4>
      </vt:variant>
      <vt:variant>
        <vt:i4>0</vt:i4>
      </vt:variant>
      <vt:variant>
        <vt:i4>5</vt:i4>
      </vt:variant>
      <vt:variant>
        <vt:lpwstr>mailto:Regulation.West@dffh.vic.gov.au</vt:lpwstr>
      </vt:variant>
      <vt:variant>
        <vt:lpwstr/>
      </vt:variant>
      <vt:variant>
        <vt:i4>4456483</vt:i4>
      </vt:variant>
      <vt:variant>
        <vt:i4>138</vt:i4>
      </vt:variant>
      <vt:variant>
        <vt:i4>0</vt:i4>
      </vt:variant>
      <vt:variant>
        <vt:i4>5</vt:i4>
      </vt:variant>
      <vt:variant>
        <vt:lpwstr>mailto:Drago.Dragojlovic@dffh.vic.gov.au</vt:lpwstr>
      </vt:variant>
      <vt:variant>
        <vt:lpwstr/>
      </vt:variant>
      <vt:variant>
        <vt:i4>3014722</vt:i4>
      </vt:variant>
      <vt:variant>
        <vt:i4>135</vt:i4>
      </vt:variant>
      <vt:variant>
        <vt:i4>0</vt:i4>
      </vt:variant>
      <vt:variant>
        <vt:i4>5</vt:i4>
      </vt:variant>
      <vt:variant>
        <vt:lpwstr>mailto:Annitia.Rynhart@dffh.vic.gov.au</vt:lpwstr>
      </vt:variant>
      <vt:variant>
        <vt:lpwstr/>
      </vt:variant>
      <vt:variant>
        <vt:i4>1179763</vt:i4>
      </vt:variant>
      <vt:variant>
        <vt:i4>132</vt:i4>
      </vt:variant>
      <vt:variant>
        <vt:i4>0</vt:i4>
      </vt:variant>
      <vt:variant>
        <vt:i4>5</vt:i4>
      </vt:variant>
      <vt:variant>
        <vt:lpwstr>mailto:Paul.Paciocco@dffh.vic.gov.au</vt:lpwstr>
      </vt:variant>
      <vt:variant>
        <vt:lpwstr/>
      </vt:variant>
      <vt:variant>
        <vt:i4>4522038</vt:i4>
      </vt:variant>
      <vt:variant>
        <vt:i4>129</vt:i4>
      </vt:variant>
      <vt:variant>
        <vt:i4>0</vt:i4>
      </vt:variant>
      <vt:variant>
        <vt:i4>5</vt:i4>
      </vt:variant>
      <vt:variant>
        <vt:lpwstr>mailto:Richard.Marks@dffh.vic.gov.au</vt:lpwstr>
      </vt:variant>
      <vt:variant>
        <vt:lpwstr/>
      </vt:variant>
      <vt:variant>
        <vt:i4>5374073</vt:i4>
      </vt:variant>
      <vt:variant>
        <vt:i4>126</vt:i4>
      </vt:variant>
      <vt:variant>
        <vt:i4>0</vt:i4>
      </vt:variant>
      <vt:variant>
        <vt:i4>5</vt:i4>
      </vt:variant>
      <vt:variant>
        <vt:lpwstr>mailto:Anthony.J.Kolmus@dffh.vic.gov.au</vt:lpwstr>
      </vt:variant>
      <vt:variant>
        <vt:lpwstr/>
      </vt:variant>
      <vt:variant>
        <vt:i4>4587593</vt:i4>
      </vt:variant>
      <vt:variant>
        <vt:i4>119</vt:i4>
      </vt:variant>
      <vt:variant>
        <vt:i4>0</vt:i4>
      </vt:variant>
      <vt:variant>
        <vt:i4>5</vt:i4>
      </vt:variant>
      <vt:variant>
        <vt:lpwstr>https://forms.office.com/Pages/ResponsePage.aspx?id=H2DgwKwPnESciKEExOufKA6BbuCGwxpCrnjHM4A2AHZUMFQ0S09HQkpXMTBTTkRIVFdDRzBWWkQwRiQlQCN0PWcu</vt:lpwstr>
      </vt:variant>
      <vt:variant>
        <vt:lpwstr/>
      </vt:variant>
      <vt:variant>
        <vt:i4>4587593</vt:i4>
      </vt:variant>
      <vt:variant>
        <vt:i4>117</vt:i4>
      </vt:variant>
      <vt:variant>
        <vt:i4>0</vt:i4>
      </vt:variant>
      <vt:variant>
        <vt:i4>5</vt:i4>
      </vt:variant>
      <vt:variant>
        <vt:lpwstr>https://forms.office.com/Pages/ResponsePage.aspx?id=H2DgwKwPnESciKEExOufKA6BbuCGwxpCrnjHM4A2AHZUMFQ0S09HQkpXMTBTTkRIVFdDRzBWWkQwRiQlQCN0PWcu</vt:lpwstr>
      </vt:variant>
      <vt:variant>
        <vt:lpwstr/>
      </vt:variant>
      <vt:variant>
        <vt:i4>1376309</vt:i4>
      </vt:variant>
      <vt:variant>
        <vt:i4>107</vt:i4>
      </vt:variant>
      <vt:variant>
        <vt:i4>0</vt:i4>
      </vt:variant>
      <vt:variant>
        <vt:i4>5</vt:i4>
      </vt:variant>
      <vt:variant>
        <vt:lpwstr/>
      </vt:variant>
      <vt:variant>
        <vt:lpwstr>_Toc90530594</vt:lpwstr>
      </vt:variant>
      <vt:variant>
        <vt:i4>1179701</vt:i4>
      </vt:variant>
      <vt:variant>
        <vt:i4>101</vt:i4>
      </vt:variant>
      <vt:variant>
        <vt:i4>0</vt:i4>
      </vt:variant>
      <vt:variant>
        <vt:i4>5</vt:i4>
      </vt:variant>
      <vt:variant>
        <vt:lpwstr/>
      </vt:variant>
      <vt:variant>
        <vt:lpwstr>_Toc90530593</vt:lpwstr>
      </vt:variant>
      <vt:variant>
        <vt:i4>1245237</vt:i4>
      </vt:variant>
      <vt:variant>
        <vt:i4>95</vt:i4>
      </vt:variant>
      <vt:variant>
        <vt:i4>0</vt:i4>
      </vt:variant>
      <vt:variant>
        <vt:i4>5</vt:i4>
      </vt:variant>
      <vt:variant>
        <vt:lpwstr/>
      </vt:variant>
      <vt:variant>
        <vt:lpwstr>_Toc90530592</vt:lpwstr>
      </vt:variant>
      <vt:variant>
        <vt:i4>1048629</vt:i4>
      </vt:variant>
      <vt:variant>
        <vt:i4>89</vt:i4>
      </vt:variant>
      <vt:variant>
        <vt:i4>0</vt:i4>
      </vt:variant>
      <vt:variant>
        <vt:i4>5</vt:i4>
      </vt:variant>
      <vt:variant>
        <vt:lpwstr/>
      </vt:variant>
      <vt:variant>
        <vt:lpwstr>_Toc90530591</vt:lpwstr>
      </vt:variant>
      <vt:variant>
        <vt:i4>1114165</vt:i4>
      </vt:variant>
      <vt:variant>
        <vt:i4>83</vt:i4>
      </vt:variant>
      <vt:variant>
        <vt:i4>0</vt:i4>
      </vt:variant>
      <vt:variant>
        <vt:i4>5</vt:i4>
      </vt:variant>
      <vt:variant>
        <vt:lpwstr/>
      </vt:variant>
      <vt:variant>
        <vt:lpwstr>_Toc90530590</vt:lpwstr>
      </vt:variant>
      <vt:variant>
        <vt:i4>1572916</vt:i4>
      </vt:variant>
      <vt:variant>
        <vt:i4>77</vt:i4>
      </vt:variant>
      <vt:variant>
        <vt:i4>0</vt:i4>
      </vt:variant>
      <vt:variant>
        <vt:i4>5</vt:i4>
      </vt:variant>
      <vt:variant>
        <vt:lpwstr/>
      </vt:variant>
      <vt:variant>
        <vt:lpwstr>_Toc90530589</vt:lpwstr>
      </vt:variant>
      <vt:variant>
        <vt:i4>1638452</vt:i4>
      </vt:variant>
      <vt:variant>
        <vt:i4>71</vt:i4>
      </vt:variant>
      <vt:variant>
        <vt:i4>0</vt:i4>
      </vt:variant>
      <vt:variant>
        <vt:i4>5</vt:i4>
      </vt:variant>
      <vt:variant>
        <vt:lpwstr/>
      </vt:variant>
      <vt:variant>
        <vt:lpwstr>_Toc90530588</vt:lpwstr>
      </vt:variant>
      <vt:variant>
        <vt:i4>1441844</vt:i4>
      </vt:variant>
      <vt:variant>
        <vt:i4>65</vt:i4>
      </vt:variant>
      <vt:variant>
        <vt:i4>0</vt:i4>
      </vt:variant>
      <vt:variant>
        <vt:i4>5</vt:i4>
      </vt:variant>
      <vt:variant>
        <vt:lpwstr/>
      </vt:variant>
      <vt:variant>
        <vt:lpwstr>_Toc90530587</vt:lpwstr>
      </vt:variant>
      <vt:variant>
        <vt:i4>1507380</vt:i4>
      </vt:variant>
      <vt:variant>
        <vt:i4>59</vt:i4>
      </vt:variant>
      <vt:variant>
        <vt:i4>0</vt:i4>
      </vt:variant>
      <vt:variant>
        <vt:i4>5</vt:i4>
      </vt:variant>
      <vt:variant>
        <vt:lpwstr/>
      </vt:variant>
      <vt:variant>
        <vt:lpwstr>_Toc90530586</vt:lpwstr>
      </vt:variant>
      <vt:variant>
        <vt:i4>1310772</vt:i4>
      </vt:variant>
      <vt:variant>
        <vt:i4>53</vt:i4>
      </vt:variant>
      <vt:variant>
        <vt:i4>0</vt:i4>
      </vt:variant>
      <vt:variant>
        <vt:i4>5</vt:i4>
      </vt:variant>
      <vt:variant>
        <vt:lpwstr/>
      </vt:variant>
      <vt:variant>
        <vt:lpwstr>_Toc90530585</vt:lpwstr>
      </vt:variant>
      <vt:variant>
        <vt:i4>1376308</vt:i4>
      </vt:variant>
      <vt:variant>
        <vt:i4>47</vt:i4>
      </vt:variant>
      <vt:variant>
        <vt:i4>0</vt:i4>
      </vt:variant>
      <vt:variant>
        <vt:i4>5</vt:i4>
      </vt:variant>
      <vt:variant>
        <vt:lpwstr/>
      </vt:variant>
      <vt:variant>
        <vt:lpwstr>_Toc90530584</vt:lpwstr>
      </vt:variant>
      <vt:variant>
        <vt:i4>1179700</vt:i4>
      </vt:variant>
      <vt:variant>
        <vt:i4>41</vt:i4>
      </vt:variant>
      <vt:variant>
        <vt:i4>0</vt:i4>
      </vt:variant>
      <vt:variant>
        <vt:i4>5</vt:i4>
      </vt:variant>
      <vt:variant>
        <vt:lpwstr/>
      </vt:variant>
      <vt:variant>
        <vt:lpwstr>_Toc90530583</vt:lpwstr>
      </vt:variant>
      <vt:variant>
        <vt:i4>1245236</vt:i4>
      </vt:variant>
      <vt:variant>
        <vt:i4>35</vt:i4>
      </vt:variant>
      <vt:variant>
        <vt:i4>0</vt:i4>
      </vt:variant>
      <vt:variant>
        <vt:i4>5</vt:i4>
      </vt:variant>
      <vt:variant>
        <vt:lpwstr/>
      </vt:variant>
      <vt:variant>
        <vt:lpwstr>_Toc90530582</vt:lpwstr>
      </vt:variant>
      <vt:variant>
        <vt:i4>1048628</vt:i4>
      </vt:variant>
      <vt:variant>
        <vt:i4>29</vt:i4>
      </vt:variant>
      <vt:variant>
        <vt:i4>0</vt:i4>
      </vt:variant>
      <vt:variant>
        <vt:i4>5</vt:i4>
      </vt:variant>
      <vt:variant>
        <vt:lpwstr/>
      </vt:variant>
      <vt:variant>
        <vt:lpwstr>_Toc90530581</vt:lpwstr>
      </vt:variant>
      <vt:variant>
        <vt:i4>1114164</vt:i4>
      </vt:variant>
      <vt:variant>
        <vt:i4>23</vt:i4>
      </vt:variant>
      <vt:variant>
        <vt:i4>0</vt:i4>
      </vt:variant>
      <vt:variant>
        <vt:i4>5</vt:i4>
      </vt:variant>
      <vt:variant>
        <vt:lpwstr/>
      </vt:variant>
      <vt:variant>
        <vt:lpwstr>_Toc90530580</vt:lpwstr>
      </vt:variant>
      <vt:variant>
        <vt:i4>1572923</vt:i4>
      </vt:variant>
      <vt:variant>
        <vt:i4>17</vt:i4>
      </vt:variant>
      <vt:variant>
        <vt:i4>0</vt:i4>
      </vt:variant>
      <vt:variant>
        <vt:i4>5</vt:i4>
      </vt:variant>
      <vt:variant>
        <vt:lpwstr/>
      </vt:variant>
      <vt:variant>
        <vt:lpwstr>_Toc90530579</vt:lpwstr>
      </vt:variant>
      <vt:variant>
        <vt:i4>1638459</vt:i4>
      </vt:variant>
      <vt:variant>
        <vt:i4>11</vt:i4>
      </vt:variant>
      <vt:variant>
        <vt:i4>0</vt:i4>
      </vt:variant>
      <vt:variant>
        <vt:i4>5</vt:i4>
      </vt:variant>
      <vt:variant>
        <vt:lpwstr/>
      </vt:variant>
      <vt:variant>
        <vt:lpwstr>_Toc90530578</vt:lpwstr>
      </vt:variant>
      <vt:variant>
        <vt:i4>1441851</vt:i4>
      </vt:variant>
      <vt:variant>
        <vt:i4>5</vt:i4>
      </vt:variant>
      <vt:variant>
        <vt:i4>0</vt:i4>
      </vt:variant>
      <vt:variant>
        <vt:i4>5</vt:i4>
      </vt:variant>
      <vt:variant>
        <vt:lpwstr/>
      </vt:variant>
      <vt:variant>
        <vt:lpwstr>_Toc90530577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green factsheet</dc:title>
  <dc:subject/>
  <dc:creator>Fiona Shaw</dc:creator>
  <cp:keywords/>
  <cp:lastModifiedBy>Coco Zhen (DFFH)</cp:lastModifiedBy>
  <cp:revision>8</cp:revision>
  <cp:lastPrinted>2022-06-16T01:29:00Z</cp:lastPrinted>
  <dcterms:created xsi:type="dcterms:W3CDTF">2022-06-16T04:53:00Z</dcterms:created>
  <dcterms:modified xsi:type="dcterms:W3CDTF">2022-06-16T05:32:00Z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v4 19022021</vt:lpwstr>
  </property>
  <property fmtid="{D5CDD505-2E9C-101B-9397-08002B2CF9AE}" pid="5" name="Order">
    <vt:r8>5300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SIP_Label_43e64453-338c-4f93-8a4d-0039a0a41f2a_Enabled">
    <vt:lpwstr>true</vt:lpwstr>
  </property>
  <property fmtid="{D5CDD505-2E9C-101B-9397-08002B2CF9AE}" pid="13" name="MSIP_Label_43e64453-338c-4f93-8a4d-0039a0a41f2a_SetDate">
    <vt:lpwstr>2022-06-16T04:53:54Z</vt:lpwstr>
  </property>
  <property fmtid="{D5CDD505-2E9C-101B-9397-08002B2CF9AE}" pid="14" name="MSIP_Label_43e64453-338c-4f93-8a4d-0039a0a41f2a_Method">
    <vt:lpwstr>Privileged</vt:lpwstr>
  </property>
  <property fmtid="{D5CDD505-2E9C-101B-9397-08002B2CF9AE}" pid="15" name="MSIP_Label_43e64453-338c-4f93-8a4d-0039a0a41f2a_Name">
    <vt:lpwstr>43e64453-338c-4f93-8a4d-0039a0a41f2a</vt:lpwstr>
  </property>
  <property fmtid="{D5CDD505-2E9C-101B-9397-08002B2CF9AE}" pid="16" name="MSIP_Label_43e64453-338c-4f93-8a4d-0039a0a41f2a_SiteId">
    <vt:lpwstr>c0e0601f-0fac-449c-9c88-a104c4eb9f28</vt:lpwstr>
  </property>
  <property fmtid="{D5CDD505-2E9C-101B-9397-08002B2CF9AE}" pid="17" name="MSIP_Label_43e64453-338c-4f93-8a4d-0039a0a41f2a_ActionId">
    <vt:lpwstr>74fb8b3a-1c86-4fbf-8b14-5f9bb13ecc3d</vt:lpwstr>
  </property>
  <property fmtid="{D5CDD505-2E9C-101B-9397-08002B2CF9AE}" pid="18" name="MSIP_Label_43e64453-338c-4f93-8a4d-0039a0a41f2a_ContentBits">
    <vt:lpwstr>2</vt:lpwstr>
  </property>
  <property fmtid="{D5CDD505-2E9C-101B-9397-08002B2CF9AE}" pid="19" name="MediaServiceImageTags">
    <vt:lpwstr/>
  </property>
</Properties>
</file>