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64A9EB5" w14:textId="77777777" w:rsidTr="007C4E11">
        <w:trPr>
          <w:trHeight w:val="1075"/>
        </w:trPr>
        <w:tc>
          <w:tcPr>
            <w:tcW w:w="8101" w:type="dxa"/>
            <w:shd w:val="clear" w:color="auto" w:fill="auto"/>
            <w:vAlign w:val="bottom"/>
          </w:tcPr>
          <w:p w14:paraId="52A7468E" w14:textId="77777777" w:rsidR="002B7F49" w:rsidRPr="00DE4E5C" w:rsidRDefault="002B7F49" w:rsidP="007C4E11">
            <w:pPr>
              <w:pStyle w:val="DHHSmainheading"/>
              <w:spacing w:line="270" w:lineRule="atLeast"/>
              <w:rPr>
                <w:sz w:val="44"/>
                <w:szCs w:val="44"/>
              </w:rPr>
            </w:pPr>
            <w:r w:rsidRPr="00A619BF">
              <w:rPr>
                <w:noProof/>
                <w:color w:val="FFFFFF" w:themeColor="background1"/>
                <w:sz w:val="48"/>
                <w:lang w:eastAsia="en-AU"/>
              </w:rPr>
              <w:drawing>
                <wp:anchor distT="0" distB="0" distL="114300" distR="114300" simplePos="0" relativeHeight="251972608" behindDoc="1" locked="1" layoutInCell="0" allowOverlap="1" wp14:anchorId="54A90F98" wp14:editId="4523390C">
                  <wp:simplePos x="0" y="0"/>
                  <wp:positionH relativeFrom="page">
                    <wp:posOffset>-544195</wp:posOffset>
                  </wp:positionH>
                  <wp:positionV relativeFrom="page">
                    <wp:posOffset>-352425</wp:posOffset>
                  </wp:positionV>
                  <wp:extent cx="7562850" cy="2000250"/>
                  <wp:effectExtent l="0" t="0" r="0" b="0"/>
                  <wp:wrapNone/>
                  <wp:docPr id="308" name="Picture 3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2000250"/>
                          </a:xfrm>
                          <a:prstGeom prst="rect">
                            <a:avLst/>
                          </a:prstGeom>
                          <a:noFill/>
                        </pic:spPr>
                      </pic:pic>
                    </a:graphicData>
                  </a:graphic>
                  <wp14:sizeRelH relativeFrom="page">
                    <wp14:pctWidth>0</wp14:pctWidth>
                  </wp14:sizeRelH>
                  <wp14:sizeRelV relativeFrom="page">
                    <wp14:pctHeight>0</wp14:pctHeight>
                  </wp14:sizeRelV>
                </wp:anchor>
              </w:drawing>
            </w:r>
            <w:r w:rsidRPr="00177619">
              <w:rPr>
                <w:rFonts w:cs="Arial"/>
                <w:noProof/>
                <w:sz w:val="40"/>
                <w:szCs w:val="44"/>
              </w:rPr>
              <w:t>Non-Residential Withdrawal</w:t>
            </w:r>
            <w:r w:rsidRPr="00A619BF">
              <w:rPr>
                <w:rFonts w:cs="Arial"/>
                <w:sz w:val="40"/>
                <w:szCs w:val="44"/>
              </w:rPr>
              <w:t xml:space="preserve"> </w:t>
            </w:r>
            <w:r w:rsidRPr="00A619BF">
              <w:rPr>
                <w:rFonts w:cs="Arial"/>
                <w:sz w:val="40"/>
                <w:szCs w:val="44"/>
              </w:rPr>
              <w:br/>
            </w:r>
            <w:r w:rsidRPr="00177619">
              <w:rPr>
                <w:rFonts w:cs="Arial"/>
                <w:noProof/>
                <w:sz w:val="40"/>
                <w:szCs w:val="44"/>
              </w:rPr>
              <w:t>34303</w:t>
            </w:r>
          </w:p>
        </w:tc>
      </w:tr>
      <w:tr w:rsidR="002B7F49" w14:paraId="33C0B4BE" w14:textId="77777777" w:rsidTr="007C4E11">
        <w:tc>
          <w:tcPr>
            <w:tcW w:w="8101" w:type="dxa"/>
            <w:shd w:val="clear" w:color="auto" w:fill="auto"/>
            <w:tcMar>
              <w:top w:w="170" w:type="dxa"/>
              <w:bottom w:w="510" w:type="dxa"/>
            </w:tcMar>
          </w:tcPr>
          <w:p w14:paraId="27B77FE4" w14:textId="77777777" w:rsidR="002B7F49" w:rsidRDefault="002B7F49" w:rsidP="007C4E11">
            <w:pPr>
              <w:pStyle w:val="DHHSmainsubheading"/>
              <w:rPr>
                <w:szCs w:val="28"/>
              </w:rPr>
            </w:pPr>
            <w:r>
              <w:rPr>
                <w:szCs w:val="28"/>
              </w:rPr>
              <w:t xml:space="preserve">Outcome objective: Victorians are healthy and well </w:t>
            </w:r>
          </w:p>
          <w:p w14:paraId="45B2044D" w14:textId="77777777" w:rsidR="002B7F49" w:rsidRDefault="002B7F49" w:rsidP="007C4E11">
            <w:pPr>
              <w:pStyle w:val="DHHSmainsubheading"/>
              <w:rPr>
                <w:szCs w:val="28"/>
              </w:rPr>
            </w:pPr>
            <w:r>
              <w:rPr>
                <w:szCs w:val="28"/>
              </w:rPr>
              <w:t xml:space="preserve">Output group: </w:t>
            </w:r>
            <w:r w:rsidRPr="00177619">
              <w:rPr>
                <w:noProof/>
                <w:szCs w:val="28"/>
              </w:rPr>
              <w:t>Drugs Services</w:t>
            </w:r>
          </w:p>
          <w:p w14:paraId="595BD9D5" w14:textId="77777777" w:rsidR="002B7F49" w:rsidRPr="00AD784C" w:rsidRDefault="002B7F49" w:rsidP="007C4E11">
            <w:pPr>
              <w:pStyle w:val="DHHSmainsubheading"/>
              <w:rPr>
                <w:szCs w:val="28"/>
              </w:rPr>
            </w:pPr>
            <w:r>
              <w:rPr>
                <w:szCs w:val="28"/>
              </w:rPr>
              <w:t xml:space="preserve">Output: </w:t>
            </w:r>
            <w:r w:rsidRPr="00177619">
              <w:rPr>
                <w:noProof/>
                <w:szCs w:val="28"/>
              </w:rPr>
              <w:t>Drug Treatment &amp; Rehabilitation</w:t>
            </w:r>
          </w:p>
        </w:tc>
      </w:tr>
    </w:tbl>
    <w:p w14:paraId="02E2BA3D" w14:textId="13E7BC72" w:rsidR="002B7F49" w:rsidRDefault="007C4E11" w:rsidP="00C035ED">
      <w:pPr>
        <w:pStyle w:val="Heading1"/>
      </w:pPr>
      <w:r>
        <w:br w:type="textWrapping" w:clear="all"/>
      </w:r>
      <w:r w:rsidR="002B7F49" w:rsidRPr="00B70F76">
        <w:t>1.</w:t>
      </w:r>
      <w:r w:rsidR="002B7F49">
        <w:t xml:space="preserve"> Service Objective </w:t>
      </w:r>
    </w:p>
    <w:p w14:paraId="4F0F6823" w14:textId="77777777" w:rsidR="00314A14" w:rsidRPr="008E63BB" w:rsidRDefault="00314A14" w:rsidP="00314A14">
      <w:pPr>
        <w:pStyle w:val="DHHSbody"/>
        <w:rPr>
          <w:noProof/>
        </w:rPr>
      </w:pPr>
      <w:r w:rsidRPr="008E63BB">
        <w:rPr>
          <w:noProof/>
        </w:rPr>
        <w:t xml:space="preserve">Non-residential withdrawal seeks to: </w:t>
      </w:r>
    </w:p>
    <w:p w14:paraId="1D1AE67A" w14:textId="77777777" w:rsidR="00314A14" w:rsidRPr="008E63BB" w:rsidRDefault="00314A14" w:rsidP="00314A14">
      <w:pPr>
        <w:pStyle w:val="DHHSbullet1"/>
        <w:rPr>
          <w:noProof/>
        </w:rPr>
      </w:pPr>
      <w:r w:rsidRPr="008E63BB">
        <w:rPr>
          <w:noProof/>
        </w:rPr>
        <w:t>cease or reduce substance use to a level that restores a person’s he</w:t>
      </w:r>
      <w:r>
        <w:rPr>
          <w:noProof/>
        </w:rPr>
        <w:t>alth and wellbeing in the short-</w:t>
      </w:r>
      <w:r w:rsidRPr="008E63BB">
        <w:rPr>
          <w:noProof/>
        </w:rPr>
        <w:t>term</w:t>
      </w:r>
    </w:p>
    <w:p w14:paraId="2C08A60C" w14:textId="77777777" w:rsidR="00314A14" w:rsidRPr="008E63BB" w:rsidRDefault="00314A14" w:rsidP="00314A14">
      <w:pPr>
        <w:pStyle w:val="DHHSbullet1"/>
        <w:rPr>
          <w:noProof/>
        </w:rPr>
      </w:pPr>
      <w:r w:rsidRPr="008E63BB">
        <w:rPr>
          <w:noProof/>
        </w:rPr>
        <w:t>provide a firm founda</w:t>
      </w:r>
      <w:r>
        <w:rPr>
          <w:noProof/>
        </w:rPr>
        <w:t>tion for a person’s longer-</w:t>
      </w:r>
      <w:r w:rsidRPr="008E63BB">
        <w:rPr>
          <w:noProof/>
        </w:rPr>
        <w:t>term improved health and wellbeing</w:t>
      </w:r>
    </w:p>
    <w:p w14:paraId="62D6D806" w14:textId="77777777" w:rsidR="00314A14" w:rsidRPr="008E63BB" w:rsidRDefault="00314A14" w:rsidP="00314A14">
      <w:pPr>
        <w:pStyle w:val="DHHSbullet1"/>
        <w:rPr>
          <w:noProof/>
        </w:rPr>
      </w:pPr>
      <w:r w:rsidRPr="008E63BB">
        <w:rPr>
          <w:noProof/>
        </w:rPr>
        <w:t>provide a step-up or step-down response for clients requiring stabilisation, including pre</w:t>
      </w:r>
      <w:r>
        <w:rPr>
          <w:noProof/>
        </w:rPr>
        <w:t>-</w:t>
      </w:r>
      <w:r w:rsidRPr="008E63BB">
        <w:rPr>
          <w:noProof/>
        </w:rPr>
        <w:t xml:space="preserve"> or post-residential withdrawal treatment </w:t>
      </w:r>
    </w:p>
    <w:p w14:paraId="672A4AD3" w14:textId="77777777" w:rsidR="00314A14" w:rsidRPr="008E63BB" w:rsidRDefault="00314A14" w:rsidP="00314A14">
      <w:pPr>
        <w:pStyle w:val="DHHSbullet1"/>
        <w:rPr>
          <w:noProof/>
        </w:rPr>
      </w:pPr>
      <w:r w:rsidRPr="008E63BB">
        <w:rPr>
          <w:noProof/>
        </w:rPr>
        <w:t xml:space="preserve">form part of an integrated and coordinated care pathway by linking complex clients with the care and recovery coordination function. </w:t>
      </w:r>
    </w:p>
    <w:p w14:paraId="5C856907" w14:textId="77777777" w:rsidR="002B7F49" w:rsidRDefault="002B7F49" w:rsidP="00C035ED">
      <w:pPr>
        <w:pStyle w:val="Heading1"/>
      </w:pPr>
      <w:r>
        <w:t>2</w:t>
      </w:r>
      <w:r w:rsidRPr="00B70F76">
        <w:t xml:space="preserve">. </w:t>
      </w:r>
      <w:r>
        <w:t>Description of the service</w:t>
      </w:r>
    </w:p>
    <w:p w14:paraId="051B0C5C" w14:textId="77777777" w:rsidR="002B7F49" w:rsidRDefault="002B7F49" w:rsidP="00C035ED">
      <w:pPr>
        <w:pStyle w:val="DHHSbody"/>
        <w:rPr>
          <w:noProof/>
        </w:rPr>
      </w:pPr>
      <w:r w:rsidRPr="00177619">
        <w:rPr>
          <w:noProof/>
        </w:rPr>
        <w:t>Non-residential withdrawal services support people to safely achieve neuroadaptation reversal</w:t>
      </w:r>
      <w:r w:rsidR="00314A14">
        <w:rPr>
          <w:noProof/>
        </w:rPr>
        <w:t xml:space="preserve"> or stabilisation via abrupt cessation or gradual reducing regime</w:t>
      </w:r>
      <w:r w:rsidRPr="00177619">
        <w:rPr>
          <w:noProof/>
        </w:rPr>
        <w:t xml:space="preserve"> with</w:t>
      </w:r>
      <w:r w:rsidR="00314A14">
        <w:rPr>
          <w:noProof/>
        </w:rPr>
        <w:t xml:space="preserve"> the support of</w:t>
      </w:r>
      <w:r w:rsidRPr="00177619">
        <w:rPr>
          <w:noProof/>
        </w:rPr>
        <w:t xml:space="preserve"> a medical practitioner. Includes clinical withdrawal assessment, withdrawal treatment and referral and information provision via home-based,</w:t>
      </w:r>
      <w:r w:rsidR="007C4E11">
        <w:rPr>
          <w:noProof/>
        </w:rPr>
        <w:t xml:space="preserve"> outpatient, outreach or hospital-supported modalities.</w:t>
      </w:r>
    </w:p>
    <w:p w14:paraId="79B5DE97" w14:textId="77777777" w:rsidR="00314A14" w:rsidRDefault="00314A14" w:rsidP="00C035ED">
      <w:pPr>
        <w:pStyle w:val="DHHSbody"/>
        <w:rPr>
          <w:rFonts w:eastAsia="STXinwei"/>
          <w:lang w:val="en-US" w:eastAsia="ja-JP"/>
        </w:rPr>
      </w:pPr>
      <w:r w:rsidRPr="008E63BB">
        <w:t xml:space="preserve">Non-residential withdrawal services </w:t>
      </w:r>
      <w:proofErr w:type="gramStart"/>
      <w:r w:rsidRPr="008E63BB">
        <w:t>are located in</w:t>
      </w:r>
      <w:proofErr w:type="gramEnd"/>
      <w:r w:rsidRPr="008E63BB">
        <w:t xml:space="preserve"> each </w:t>
      </w:r>
      <w:r w:rsidRPr="00032BBB">
        <w:t>of the catchments</w:t>
      </w:r>
      <w:r w:rsidRPr="008E63BB">
        <w:t xml:space="preserve">. Non-residential withdrawal is available in a variety of settings and may be provided in coordination with medical services such as hospitals, </w:t>
      </w:r>
      <w:r>
        <w:t>GPs</w:t>
      </w:r>
      <w:r w:rsidRPr="008E63BB">
        <w:t xml:space="preserve"> and a</w:t>
      </w:r>
      <w:r>
        <w:t xml:space="preserve">ddiction medicine specialists. </w:t>
      </w:r>
      <w:r w:rsidRPr="008E63BB">
        <w:rPr>
          <w:rFonts w:eastAsia="STXinwei"/>
          <w:lang w:val="en-US" w:eastAsia="ja-JP"/>
        </w:rPr>
        <w:t>The service model may differ from catchment to catchment and is responsive to local need.</w:t>
      </w:r>
    </w:p>
    <w:p w14:paraId="51293766" w14:textId="77777777" w:rsidR="00314A14" w:rsidRPr="00DF6BAF" w:rsidRDefault="00314A14" w:rsidP="00C035ED">
      <w:pPr>
        <w:pStyle w:val="DHHSbody"/>
      </w:pPr>
      <w:r>
        <w:rPr>
          <w:rFonts w:eastAsia="STXinwei"/>
          <w:lang w:val="en-US" w:eastAsia="ja-JP"/>
        </w:rPr>
        <w:t xml:space="preserve">The Third Edition of the </w:t>
      </w:r>
      <w:r w:rsidRPr="00B340D6">
        <w:rPr>
          <w:rFonts w:eastAsia="STXinwei"/>
          <w:i/>
          <w:lang w:val="en-US" w:eastAsia="ja-JP"/>
        </w:rPr>
        <w:t>Alcohol and other Drug Withdrawal Guidelines</w:t>
      </w:r>
      <w:r>
        <w:rPr>
          <w:rFonts w:eastAsia="STXinwei"/>
          <w:lang w:val="en-US" w:eastAsia="ja-JP"/>
        </w:rPr>
        <w:t xml:space="preserve"> are available on the </w:t>
      </w:r>
      <w:hyperlink r:id="rId9" w:history="1">
        <w:r w:rsidRPr="00B82DBE">
          <w:rPr>
            <w:rStyle w:val="Hyperlink"/>
            <w:rFonts w:eastAsia="STXinwei"/>
            <w:lang w:val="en-US" w:eastAsia="ja-JP"/>
          </w:rPr>
          <w:t>Turning Point website</w:t>
        </w:r>
      </w:hyperlink>
      <w:r>
        <w:rPr>
          <w:rFonts w:eastAsia="STXinwei"/>
          <w:lang w:val="en-US" w:eastAsia="ja-JP"/>
        </w:rPr>
        <w:t>. &lt;</w:t>
      </w:r>
      <w:r w:rsidRPr="00B82DBE">
        <w:rPr>
          <w:rFonts w:eastAsia="STXinwei" w:cs="Arial"/>
          <w:lang w:val="en-US" w:eastAsia="ja-JP"/>
        </w:rPr>
        <w:t>https://www.turningpoint.org.au/treatment/clinicians/withdrawal-guideline</w:t>
      </w:r>
      <w:r>
        <w:rPr>
          <w:rFonts w:eastAsia="STXinwei" w:cs="Arial"/>
          <w:lang w:val="en-US" w:eastAsia="ja-JP"/>
        </w:rPr>
        <w:t>s&gt;</w:t>
      </w:r>
    </w:p>
    <w:p w14:paraId="353F174D" w14:textId="77777777" w:rsidR="002B7F49" w:rsidRPr="00B70F76" w:rsidRDefault="002B7F49" w:rsidP="00C035ED">
      <w:pPr>
        <w:pStyle w:val="Heading1"/>
      </w:pPr>
      <w:r>
        <w:t xml:space="preserve">3. </w:t>
      </w:r>
      <w:r w:rsidRPr="00B70F76">
        <w:t>Client group</w:t>
      </w:r>
    </w:p>
    <w:p w14:paraId="506DB73E" w14:textId="77777777" w:rsidR="00314A14" w:rsidRPr="008E63BB" w:rsidRDefault="00714735" w:rsidP="00C035ED">
      <w:pPr>
        <w:pStyle w:val="DHHSbody"/>
      </w:pPr>
      <w:r w:rsidRPr="00714735">
        <w:t>The target client group</w:t>
      </w:r>
      <w:r>
        <w:t>s</w:t>
      </w:r>
      <w:r w:rsidRPr="00714735">
        <w:t xml:space="preserve"> for this activity</w:t>
      </w:r>
      <w:r>
        <w:t xml:space="preserve"> are</w:t>
      </w:r>
      <w:r w:rsidR="00314A14" w:rsidRPr="008E63BB">
        <w:t>:</w:t>
      </w:r>
    </w:p>
    <w:p w14:paraId="1C1BB04C" w14:textId="77777777" w:rsidR="00314A14" w:rsidRPr="008E63BB" w:rsidRDefault="00314A14" w:rsidP="00314A14">
      <w:pPr>
        <w:pStyle w:val="DHHSbullet1"/>
        <w:numPr>
          <w:ilvl w:val="0"/>
          <w:numId w:val="16"/>
        </w:numPr>
      </w:pPr>
      <w:r w:rsidRPr="008E63BB">
        <w:t>l</w:t>
      </w:r>
      <w:r>
        <w:t>ow to medium-</w:t>
      </w:r>
      <w:r w:rsidRPr="008E63BB">
        <w:t xml:space="preserve">risk </w:t>
      </w:r>
      <w:proofErr w:type="gramStart"/>
      <w:r w:rsidRPr="008E63BB">
        <w:t>clients  aged</w:t>
      </w:r>
      <w:proofErr w:type="gramEnd"/>
      <w:r w:rsidRPr="008E63BB">
        <w:t xml:space="preserve"> 16 and over with an AOD dependence</w:t>
      </w:r>
    </w:p>
    <w:p w14:paraId="6D47273A" w14:textId="77777777" w:rsidR="00314A14" w:rsidRPr="008E63BB" w:rsidRDefault="00314A14" w:rsidP="00314A14">
      <w:pPr>
        <w:pStyle w:val="DHHSbullet1"/>
        <w:numPr>
          <w:ilvl w:val="0"/>
          <w:numId w:val="16"/>
        </w:numPr>
      </w:pPr>
      <w:r w:rsidRPr="008E63BB">
        <w:t xml:space="preserve">clients with a level of stability in their lives </w:t>
      </w:r>
      <w:r>
        <w:t>exhibited by</w:t>
      </w:r>
      <w:r w:rsidRPr="008E63BB">
        <w:t xml:space="preserve"> supportive friends or family, or stable housing</w:t>
      </w:r>
    </w:p>
    <w:p w14:paraId="5DB8D12F" w14:textId="77777777" w:rsidR="00314A14" w:rsidRPr="008E63BB" w:rsidRDefault="00314A14" w:rsidP="00314A14">
      <w:pPr>
        <w:pStyle w:val="DHHSbullet1"/>
        <w:numPr>
          <w:ilvl w:val="0"/>
          <w:numId w:val="16"/>
        </w:numPr>
      </w:pPr>
      <w:r w:rsidRPr="008E63BB">
        <w:t>clients accessing shared care arrangements with rural hospitals</w:t>
      </w:r>
    </w:p>
    <w:p w14:paraId="163DCE52" w14:textId="77777777" w:rsidR="00314A14" w:rsidRPr="008E63BB" w:rsidRDefault="00314A14" w:rsidP="00314A14">
      <w:pPr>
        <w:pStyle w:val="DHHSbullet1lastline"/>
        <w:numPr>
          <w:ilvl w:val="1"/>
          <w:numId w:val="16"/>
        </w:numPr>
        <w:ind w:left="360" w:hanging="360"/>
      </w:pPr>
      <w:r w:rsidRPr="008E63BB">
        <w:t>h</w:t>
      </w:r>
      <w:r>
        <w:t>igher-</w:t>
      </w:r>
      <w:r w:rsidRPr="008E63BB">
        <w:t>risk clients requiring non-residential treatment, including targeted step-down withdrawal support following residential withdrawal treatment.</w:t>
      </w:r>
    </w:p>
    <w:p w14:paraId="5C20D5E3" w14:textId="77777777" w:rsidR="00314A14" w:rsidRPr="008E63BB" w:rsidRDefault="00314A14" w:rsidP="00C035ED">
      <w:pPr>
        <w:pStyle w:val="DHHSbody"/>
        <w:rPr>
          <w:rFonts w:eastAsia="STXinwei"/>
          <w:lang w:val="en-US" w:eastAsia="ja-JP"/>
        </w:rPr>
      </w:pPr>
      <w:r w:rsidRPr="008E63BB">
        <w:t xml:space="preserve">Where a person </w:t>
      </w:r>
      <w:r>
        <w:t xml:space="preserve">is assessed </w:t>
      </w:r>
      <w:r w:rsidRPr="008E63BB">
        <w:t xml:space="preserve">as needing non-residential withdrawal, they are referred for this service. Prioritisation of access to non-residential withdrawal is based on level of acuity and need, including psychosocial need. </w:t>
      </w:r>
    </w:p>
    <w:p w14:paraId="72BA44D9" w14:textId="77777777" w:rsidR="00314A14" w:rsidRPr="008E63BB" w:rsidRDefault="00314A14" w:rsidP="00C035ED">
      <w:pPr>
        <w:pStyle w:val="DHHSbody"/>
        <w:rPr>
          <w:lang w:eastAsia="en-AU"/>
        </w:rPr>
      </w:pPr>
      <w:r w:rsidRPr="008E63BB">
        <w:rPr>
          <w:lang w:eastAsia="en-AU"/>
        </w:rPr>
        <w:t xml:space="preserve">There are </w:t>
      </w:r>
      <w:proofErr w:type="gramStart"/>
      <w:r w:rsidRPr="008E63BB">
        <w:rPr>
          <w:lang w:eastAsia="en-AU"/>
        </w:rPr>
        <w:t>a number of</w:t>
      </w:r>
      <w:proofErr w:type="gramEnd"/>
      <w:r w:rsidRPr="008E63BB">
        <w:rPr>
          <w:lang w:eastAsia="en-AU"/>
        </w:rPr>
        <w:t xml:space="preserve"> clients whose AOD use requires a residential withdrawal response, but whose concurrent mental health issues or behavioural problems make it difficult for them to successfully engage in a residential withdrawal setting. These clients may be assessed as suitable for non-residential withdrawal as part of their stepped care pathway. In such cases continual risk assessment is a critical component of treatment.  </w:t>
      </w:r>
    </w:p>
    <w:p w14:paraId="6EF01B6F" w14:textId="77777777" w:rsidR="00314A14" w:rsidRPr="008E63BB" w:rsidRDefault="00314A14" w:rsidP="00C035ED">
      <w:pPr>
        <w:pStyle w:val="DHHSbody"/>
        <w:rPr>
          <w:rFonts w:eastAsia="STXinwei"/>
          <w:lang w:val="en-US" w:eastAsia="ja-JP"/>
        </w:rPr>
      </w:pPr>
      <w:r w:rsidRPr="008E63BB">
        <w:rPr>
          <w:lang w:eastAsia="en-AU"/>
        </w:rPr>
        <w:t xml:space="preserve">Non-residential services also provide step-down support to clients discharged from residential withdrawal services, especially those for whom the duration of the withdrawal syndrome goes beyond the duration of their residential </w:t>
      </w:r>
      <w:r w:rsidRPr="008E63BB">
        <w:rPr>
          <w:lang w:eastAsia="en-AU"/>
        </w:rPr>
        <w:lastRenderedPageBreak/>
        <w:t>admission. For example, clients experiencing protracted withdrawal from methamphetamine or benzodiazepines may require further treatment support available through non-residential withdrawal.</w:t>
      </w:r>
    </w:p>
    <w:p w14:paraId="5E9E9734" w14:textId="77777777" w:rsidR="002B7F49" w:rsidRDefault="002B7F49" w:rsidP="00C035ED">
      <w:pPr>
        <w:pStyle w:val="Heading1"/>
      </w:pPr>
      <w:r>
        <w:t>4. Obligations specific to this activity</w:t>
      </w:r>
    </w:p>
    <w:p w14:paraId="051B80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0B1F9930" w14:textId="77777777" w:rsidR="002B7F49" w:rsidRPr="001F3DE2" w:rsidRDefault="002B7F49" w:rsidP="00C035ED">
      <w:pPr>
        <w:pStyle w:val="Heading2"/>
      </w:pPr>
      <w:r w:rsidRPr="001F3DE2">
        <w:t xml:space="preserve">4a.  Registration and Accreditation </w:t>
      </w:r>
    </w:p>
    <w:p w14:paraId="5644727F" w14:textId="77777777" w:rsidR="00314A14" w:rsidRPr="00A43184" w:rsidRDefault="00314A14" w:rsidP="00C035ED">
      <w:pPr>
        <w:pStyle w:val="DHHSbullet1"/>
      </w:pPr>
      <w:bookmarkStart w:id="0" w:name="_Hlk3294814"/>
      <w:r w:rsidRPr="00A43184">
        <w:t xml:space="preserve">Funded </w:t>
      </w:r>
      <w:r>
        <w:t>AOD</w:t>
      </w:r>
      <w:r w:rsidR="00714735">
        <w:t xml:space="preserve"> </w:t>
      </w:r>
      <w:proofErr w:type="gramStart"/>
      <w:r w:rsidR="00714735">
        <w:t xml:space="preserve">treatment </w:t>
      </w:r>
      <w:r w:rsidRPr="00A43184">
        <w:t xml:space="preserve"> services</w:t>
      </w:r>
      <w:proofErr w:type="gramEnd"/>
      <w:r w:rsidRPr="00A43184">
        <w:t xml:space="preserve"> in Victoria must comply with the requirements of any relevant accreditations and standards. They must be, or able to be, accredited within generic accreditation frameworks by a certified entity.</w:t>
      </w:r>
      <w:r>
        <w:t xml:space="preserve"> More information is available on the </w:t>
      </w:r>
      <w:hyperlink r:id="rId10" w:history="1">
        <w:r w:rsidRPr="008A4190">
          <w:rPr>
            <w:rStyle w:val="Hyperlink"/>
          </w:rPr>
          <w:t>department’s AOD service quality and accreditation webpage.</w:t>
        </w:r>
      </w:hyperlink>
      <w:r>
        <w:rPr>
          <w:rStyle w:val="Hyperlink"/>
        </w:rPr>
        <w:t xml:space="preserve"> </w:t>
      </w:r>
      <w:r>
        <w:t>&lt;</w:t>
      </w:r>
      <w:r w:rsidRPr="00480908">
        <w:t>https://www2.health.vic.gov.au/alcohol-and-drugs/aod-service-standards-guidelines/aod-service-quality-accreditation</w:t>
      </w:r>
      <w:r>
        <w:t>&gt;</w:t>
      </w:r>
      <w:bookmarkEnd w:id="0"/>
    </w:p>
    <w:p w14:paraId="1AE9447C" w14:textId="77777777" w:rsidR="002B7F49" w:rsidRDefault="002B7F49" w:rsidP="00C035ED">
      <w:pPr>
        <w:pStyle w:val="Heading2"/>
      </w:pPr>
      <w:r w:rsidRPr="001F3DE2">
        <w:t xml:space="preserve">4b. Program requirements and other policy guidelines </w:t>
      </w:r>
    </w:p>
    <w:p w14:paraId="01F5146E" w14:textId="114FDE29" w:rsidR="00314A14" w:rsidRPr="00460DB0" w:rsidRDefault="00314A14" w:rsidP="00C035ED">
      <w:pPr>
        <w:pStyle w:val="DHHSbullet1"/>
        <w:rPr>
          <w:rStyle w:val="DHHSbodyChar"/>
          <w:color w:val="7030A0"/>
        </w:rPr>
      </w:pPr>
      <w:bookmarkStart w:id="1" w:name="_Hlk3294837"/>
      <w:r>
        <w:t>All AOD program requirements are contained in the AOD</w:t>
      </w:r>
      <w:r w:rsidRPr="00480908">
        <w:t xml:space="preserve"> program guidelines. </w:t>
      </w:r>
      <w:r>
        <w:t xml:space="preserve">These are available on the </w:t>
      </w:r>
      <w:hyperlink r:id="rId11" w:history="1">
        <w:r w:rsidRPr="008A4190">
          <w:rPr>
            <w:rStyle w:val="Hyperlink"/>
            <w:rFonts w:eastAsia="Times New Roman"/>
          </w:rPr>
          <w:t>department’s website.</w:t>
        </w:r>
      </w:hyperlink>
      <w:r>
        <w:t xml:space="preserve"> </w:t>
      </w:r>
      <w:hyperlink r:id="rId12" w:history="1">
        <w:r w:rsidR="00325D0E" w:rsidRPr="00D869F2">
          <w:rPr>
            <w:rStyle w:val="Hyperlink"/>
            <w:rFonts w:eastAsia="Times New Roman"/>
          </w:rPr>
          <w:t>https://www2.health.vic.gov.au/alcohol-and-drugs/aod-service-standards-guidelines/aod-program-guidelines</w:t>
        </w:r>
      </w:hyperlink>
      <w:r w:rsidR="00325D0E">
        <w:t xml:space="preserve"> </w:t>
      </w:r>
    </w:p>
    <w:bookmarkEnd w:id="1"/>
    <w:p w14:paraId="321D6919" w14:textId="77777777" w:rsidR="002B7F49" w:rsidRPr="00575BC9" w:rsidRDefault="002B7F49" w:rsidP="00C035ED">
      <w:pPr>
        <w:pStyle w:val="Heading1"/>
      </w:pPr>
      <w:r>
        <w:t>5. Performance</w:t>
      </w:r>
    </w:p>
    <w:p w14:paraId="2D55B336" w14:textId="77777777" w:rsidR="002B7F49" w:rsidRPr="001F1A17" w:rsidRDefault="002B7F49" w:rsidP="00C035ED">
      <w:pPr>
        <w:pStyle w:val="DHHSbody"/>
      </w:pPr>
      <w:r>
        <w:t>Funding is subject to achieving the</w:t>
      </w:r>
      <w:r w:rsidRPr="00171F04">
        <w:t xml:space="preserve"> </w:t>
      </w:r>
      <w:r>
        <w:t xml:space="preserve">performance targets specified in Schedule 2 of the Service Agreement. Performance is measured as follows:  </w:t>
      </w:r>
    </w:p>
    <w:p w14:paraId="4BC8E1E7" w14:textId="4C55CD11" w:rsidR="002B7F49" w:rsidRPr="00B43DD0" w:rsidRDefault="002B7F49" w:rsidP="00C035ED">
      <w:pPr>
        <w:pStyle w:val="Heading2"/>
      </w:pPr>
      <w:r>
        <w:t>Key performance measure</w:t>
      </w:r>
      <w:r w:rsidR="00C035ED">
        <w:t xml:space="preserve"> 1</w:t>
      </w:r>
      <w:r w:rsidRPr="00575BC9">
        <w:t xml:space="preserve">: </w:t>
      </w:r>
      <w:r w:rsidR="007C4E11" w:rsidRPr="00C035ED">
        <w:rPr>
          <w:rStyle w:val="DHHSbodyChar"/>
        </w:rPr>
        <w:t>Number of</w:t>
      </w:r>
      <w:r w:rsidR="004F0A6D" w:rsidRPr="00C035ED">
        <w:rPr>
          <w:rStyle w:val="DHHSbodyChar"/>
        </w:rPr>
        <w:t xml:space="preserve"> Drug Treatment Activity</w:t>
      </w:r>
      <w:r w:rsidR="007C4E11" w:rsidRPr="00C035ED">
        <w:rPr>
          <w:rStyle w:val="DHHSbodyChar"/>
        </w:rPr>
        <w:t xml:space="preserve"> Units</w:t>
      </w:r>
      <w:r w:rsidR="007C4E11" w:rsidRPr="00314A14">
        <w:rPr>
          <w:rStyle w:val="DHHSbodyChar"/>
          <w:b w:val="0"/>
        </w:rPr>
        <w:t xml:space="preserve"> </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14:paraId="36EA30DA" w14:textId="77777777" w:rsidTr="00C035ED">
        <w:trPr>
          <w:cantSplit/>
          <w:trHeight w:hRule="exact" w:val="667"/>
        </w:trPr>
        <w:tc>
          <w:tcPr>
            <w:tcW w:w="2835" w:type="dxa"/>
          </w:tcPr>
          <w:p w14:paraId="748F391A" w14:textId="77777777" w:rsidR="002B7F49" w:rsidRPr="0017293C" w:rsidRDefault="002B7F49" w:rsidP="0017293C">
            <w:pPr>
              <w:pStyle w:val="DHHStablecolhead"/>
            </w:pPr>
            <w:r w:rsidRPr="00575BC9">
              <w:t>Aim/objective</w:t>
            </w:r>
          </w:p>
        </w:tc>
        <w:tc>
          <w:tcPr>
            <w:tcW w:w="7379" w:type="dxa"/>
          </w:tcPr>
          <w:p w14:paraId="358E80A6" w14:textId="77777777" w:rsidR="002B7F49" w:rsidRPr="002F7C4B" w:rsidRDefault="00314A14" w:rsidP="00C035ED">
            <w:pPr>
              <w:pStyle w:val="DHHStabletext"/>
              <w:rPr>
                <w:color w:val="7030A0"/>
              </w:rPr>
            </w:pPr>
            <w:r w:rsidRPr="00311CDF">
              <w:t>To ensure that the service provider has delivered the quantity of services recorded in the service agreement.</w:t>
            </w:r>
          </w:p>
        </w:tc>
      </w:tr>
      <w:tr w:rsidR="002B7F49" w:rsidRPr="00C237A0" w14:paraId="75B56D2D" w14:textId="77777777" w:rsidTr="00C035ED">
        <w:trPr>
          <w:cantSplit/>
          <w:trHeight w:hRule="exact" w:val="340"/>
        </w:trPr>
        <w:tc>
          <w:tcPr>
            <w:tcW w:w="2835" w:type="dxa"/>
          </w:tcPr>
          <w:p w14:paraId="5160FF26" w14:textId="77777777" w:rsidR="002B7F49" w:rsidRPr="0017293C" w:rsidRDefault="002B7F49" w:rsidP="0017293C">
            <w:pPr>
              <w:pStyle w:val="DHHStablecolhead"/>
            </w:pPr>
            <w:r w:rsidRPr="00575BC9">
              <w:t>Target</w:t>
            </w:r>
          </w:p>
        </w:tc>
        <w:tc>
          <w:tcPr>
            <w:tcW w:w="7379" w:type="dxa"/>
          </w:tcPr>
          <w:p w14:paraId="11293A7C" w14:textId="77777777" w:rsidR="002B7F49" w:rsidRPr="002F7C4B" w:rsidRDefault="002B7F49" w:rsidP="00C035ED">
            <w:pPr>
              <w:pStyle w:val="DHHStabletext"/>
              <w:rPr>
                <w:color w:val="7030A0"/>
              </w:rPr>
            </w:pPr>
            <w:r>
              <w:t>The performance measure target is provided in the Service Agreement.</w:t>
            </w:r>
          </w:p>
        </w:tc>
      </w:tr>
      <w:tr w:rsidR="002B7F49" w:rsidRPr="00C237A0" w14:paraId="6B1F9293" w14:textId="77777777" w:rsidTr="00C035ED">
        <w:trPr>
          <w:cantSplit/>
          <w:trHeight w:hRule="exact" w:val="340"/>
        </w:trPr>
        <w:tc>
          <w:tcPr>
            <w:tcW w:w="2835" w:type="dxa"/>
          </w:tcPr>
          <w:p w14:paraId="4C2A5826" w14:textId="77777777" w:rsidR="002B7F49" w:rsidRPr="0017293C" w:rsidRDefault="002B7F49" w:rsidP="0017293C">
            <w:pPr>
              <w:pStyle w:val="DHHStablecolhead"/>
            </w:pPr>
            <w:r w:rsidRPr="00575BC9">
              <w:t>Type of count</w:t>
            </w:r>
          </w:p>
        </w:tc>
        <w:tc>
          <w:tcPr>
            <w:tcW w:w="7379" w:type="dxa"/>
          </w:tcPr>
          <w:p w14:paraId="0F848CF0" w14:textId="77777777" w:rsidR="002B7F49" w:rsidRPr="004F56E7" w:rsidRDefault="002B7F49" w:rsidP="00C035ED">
            <w:pPr>
              <w:pStyle w:val="DHHStabletext"/>
            </w:pPr>
            <w:r w:rsidRPr="004F56E7">
              <w:fldChar w:fldCharType="begin">
                <w:ffData>
                  <w:name w:val="Check2"/>
                  <w:enabled/>
                  <w:calcOnExit w:val="0"/>
                  <w:checkBox>
                    <w:sizeAuto/>
                    <w:default w:val="0"/>
                  </w:checkBox>
                </w:ffData>
              </w:fldChar>
            </w:r>
            <w:r w:rsidRPr="004F56E7">
              <w:instrText xml:space="preserve"> FORMCHECKBOX </w:instrText>
            </w:r>
            <w:r w:rsidR="00FB5C8B">
              <w:fldChar w:fldCharType="separate"/>
            </w:r>
            <w:r w:rsidRPr="004F56E7">
              <w:fldChar w:fldCharType="end"/>
            </w:r>
            <w:r w:rsidRPr="004F56E7">
              <w:t xml:space="preserve"> Cumulative          </w:t>
            </w:r>
            <w:r w:rsidR="007C4E11" w:rsidRPr="004F56E7">
              <w:fldChar w:fldCharType="begin">
                <w:ffData>
                  <w:name w:val="Check2"/>
                  <w:enabled/>
                  <w:calcOnExit w:val="0"/>
                  <w:checkBox>
                    <w:sizeAuto/>
                    <w:default w:val="1"/>
                  </w:checkBox>
                </w:ffData>
              </w:fldChar>
            </w:r>
            <w:bookmarkStart w:id="2" w:name="Check2"/>
            <w:r w:rsidR="007C4E11" w:rsidRPr="004F56E7">
              <w:instrText xml:space="preserve"> FORMCHECKBOX </w:instrText>
            </w:r>
            <w:r w:rsidR="00FB5C8B">
              <w:fldChar w:fldCharType="separate"/>
            </w:r>
            <w:r w:rsidR="007C4E11" w:rsidRPr="004F56E7">
              <w:fldChar w:fldCharType="end"/>
            </w:r>
            <w:bookmarkEnd w:id="2"/>
            <w:r w:rsidRPr="004F56E7">
              <w:t xml:space="preserve"> Non-cumulative</w:t>
            </w:r>
          </w:p>
        </w:tc>
      </w:tr>
      <w:tr w:rsidR="002B7F49" w:rsidRPr="00C237A0" w14:paraId="11865D09" w14:textId="77777777" w:rsidTr="00C035ED">
        <w:trPr>
          <w:cantSplit/>
          <w:trHeight w:hRule="exact" w:val="2038"/>
        </w:trPr>
        <w:tc>
          <w:tcPr>
            <w:tcW w:w="2835" w:type="dxa"/>
          </w:tcPr>
          <w:p w14:paraId="354704DE" w14:textId="77777777" w:rsidR="002B7F49" w:rsidRPr="0017293C" w:rsidRDefault="002B7F49" w:rsidP="0017293C">
            <w:pPr>
              <w:pStyle w:val="DHHStablecolhead"/>
            </w:pPr>
            <w:r w:rsidRPr="00575BC9">
              <w:t>Counting rule</w:t>
            </w:r>
          </w:p>
        </w:tc>
        <w:tc>
          <w:tcPr>
            <w:tcW w:w="7379" w:type="dxa"/>
          </w:tcPr>
          <w:p w14:paraId="06382176" w14:textId="1246A8FA" w:rsidR="00FE4F13" w:rsidRPr="00325D0E" w:rsidRDefault="00FE4F13" w:rsidP="00C035ED">
            <w:pPr>
              <w:pStyle w:val="DHHStabletext"/>
              <w:rPr>
                <w:rFonts w:cs="Arial"/>
              </w:rPr>
            </w:pPr>
            <w:r w:rsidRPr="00325D0E">
              <w:rPr>
                <w:rFonts w:cs="Arial"/>
              </w:rPr>
              <w:t xml:space="preserve">For standard and complex </w:t>
            </w:r>
            <w:proofErr w:type="gramStart"/>
            <w:r w:rsidRPr="00325D0E">
              <w:rPr>
                <w:rFonts w:cs="Arial"/>
              </w:rPr>
              <w:t>clients</w:t>
            </w:r>
            <w:proofErr w:type="gramEnd"/>
            <w:r w:rsidRPr="00325D0E">
              <w:rPr>
                <w:rFonts w:cs="Arial"/>
              </w:rPr>
              <w:t xml:space="preserve"> community-based withdrawal is counted on course of withdrawal, brief interventions and family single sessions are counted on completed contact.</w:t>
            </w:r>
          </w:p>
          <w:p w14:paraId="00928F0C" w14:textId="7C3E4881" w:rsidR="002B7F49" w:rsidRPr="00C237A0" w:rsidRDefault="004F56E7" w:rsidP="00C035ED">
            <w:pPr>
              <w:pStyle w:val="DHHStabletext"/>
            </w:pPr>
            <w:r w:rsidRPr="00325D0E">
              <w:rPr>
                <w:rFonts w:cs="Arial"/>
              </w:rPr>
              <w:t xml:space="preserve">DTAUs and their operation are described </w:t>
            </w:r>
            <w:r w:rsidR="00FE4F13" w:rsidRPr="00325D0E">
              <w:rPr>
                <w:rFonts w:cs="Arial"/>
              </w:rPr>
              <w:t xml:space="preserve">further </w:t>
            </w:r>
            <w:r w:rsidRPr="00325D0E">
              <w:rPr>
                <w:rFonts w:cs="Arial"/>
              </w:rPr>
              <w:t xml:space="preserve">in Part 3, Section 4.1 of the AOD program guidelines. These are available on the </w:t>
            </w:r>
            <w:hyperlink r:id="rId13" w:history="1">
              <w:r w:rsidRPr="00325D0E">
                <w:rPr>
                  <w:rFonts w:cs="Arial"/>
                </w:rPr>
                <w:t>department’s website</w:t>
              </w:r>
            </w:hyperlink>
            <w:r w:rsidRPr="00325D0E">
              <w:rPr>
                <w:rFonts w:cs="Arial"/>
              </w:rPr>
              <w:t xml:space="preserve">. </w:t>
            </w:r>
            <w:hyperlink r:id="rId14" w:history="1">
              <w:r w:rsidR="00325D0E" w:rsidRPr="00D869F2">
                <w:rPr>
                  <w:rStyle w:val="Hyperlink"/>
                  <w:rFonts w:cs="Arial"/>
                </w:rPr>
                <w:t>https://www2.health.vic.gov.au/alcohol-and-drugs/aod-service-standards-guidelines/aod-program-guidelines</w:t>
              </w:r>
            </w:hyperlink>
            <w:r w:rsidR="00325D0E">
              <w:rPr>
                <w:rFonts w:cs="Arial"/>
              </w:rPr>
              <w:t xml:space="preserve"> </w:t>
            </w:r>
          </w:p>
        </w:tc>
      </w:tr>
      <w:tr w:rsidR="002B7F49" w:rsidRPr="00C237A0" w14:paraId="27E0BAE3" w14:textId="77777777" w:rsidTr="00C035ED">
        <w:trPr>
          <w:cantSplit/>
          <w:trHeight w:hRule="exact" w:val="340"/>
        </w:trPr>
        <w:tc>
          <w:tcPr>
            <w:tcW w:w="2835" w:type="dxa"/>
          </w:tcPr>
          <w:p w14:paraId="6AABD30C" w14:textId="77777777" w:rsidR="002B7F49" w:rsidRPr="0017293C" w:rsidRDefault="002B7F49" w:rsidP="0017293C">
            <w:pPr>
              <w:pStyle w:val="DHHStablecolhead"/>
            </w:pPr>
            <w:r w:rsidRPr="00575BC9">
              <w:t>Data source(s) collection</w:t>
            </w:r>
          </w:p>
        </w:tc>
        <w:tc>
          <w:tcPr>
            <w:tcW w:w="7379" w:type="dxa"/>
          </w:tcPr>
          <w:p w14:paraId="5CCC6237" w14:textId="77777777" w:rsidR="002B7F49" w:rsidRPr="002F7C4B" w:rsidRDefault="004F56E7" w:rsidP="00C035ED">
            <w:pPr>
              <w:pStyle w:val="DHHStabletext"/>
              <w:rPr>
                <w:color w:val="7030A0"/>
              </w:rPr>
            </w:pPr>
            <w:r w:rsidRPr="00C624B8">
              <w:t>The Victorian Alcohol and Drug Collection</w:t>
            </w:r>
          </w:p>
        </w:tc>
      </w:tr>
      <w:tr w:rsidR="002B7F49" w:rsidRPr="00C237A0" w14:paraId="1FA4AD63" w14:textId="77777777" w:rsidTr="00C035ED">
        <w:trPr>
          <w:cantSplit/>
          <w:trHeight w:hRule="exact" w:val="1212"/>
        </w:trPr>
        <w:tc>
          <w:tcPr>
            <w:tcW w:w="2835" w:type="dxa"/>
          </w:tcPr>
          <w:p w14:paraId="736E674F" w14:textId="77777777" w:rsidR="002B7F49" w:rsidRPr="0017293C" w:rsidRDefault="002B7F49" w:rsidP="0017293C">
            <w:pPr>
              <w:pStyle w:val="DHHStablecolhead"/>
            </w:pPr>
            <w:r w:rsidRPr="00575BC9">
              <w:t>Definition of terms</w:t>
            </w:r>
          </w:p>
        </w:tc>
        <w:tc>
          <w:tcPr>
            <w:tcW w:w="7379" w:type="dxa"/>
          </w:tcPr>
          <w:p w14:paraId="6D7E4186" w14:textId="77777777" w:rsidR="002B7F49" w:rsidRPr="002F7C4B" w:rsidRDefault="00714735" w:rsidP="00C035ED">
            <w:pPr>
              <w:pStyle w:val="DHHStabletext"/>
              <w:rPr>
                <w:color w:val="7030A0"/>
              </w:rPr>
            </w:pPr>
            <w:r w:rsidRPr="00714735">
              <w:rPr>
                <w:rFonts w:cs="Arial"/>
              </w:rPr>
              <w:t>A DTAU unit is the measure used to quantify AOD service delivery. DTAUs have a fixed dollar value which is subject to indexation. Different activity types have different DTAU weightings and some priority populations attract an additional weighting.</w:t>
            </w:r>
          </w:p>
        </w:tc>
      </w:tr>
    </w:tbl>
    <w:p w14:paraId="0B9C849D" w14:textId="77777777" w:rsidR="00A75DC5" w:rsidRDefault="00A75DC5" w:rsidP="00A75DC5">
      <w:pPr>
        <w:pStyle w:val="DHHStablecaption"/>
        <w:spacing w:before="40"/>
      </w:pPr>
    </w:p>
    <w:p w14:paraId="766EAC5E" w14:textId="77777777" w:rsidR="00C035ED" w:rsidRDefault="00C035ED" w:rsidP="00C035ED">
      <w:pPr>
        <w:pStyle w:val="DHHSbody"/>
      </w:pPr>
    </w:p>
    <w:p w14:paraId="7ECE7BBF" w14:textId="77777777" w:rsidR="00C035ED" w:rsidRDefault="00C035ED" w:rsidP="00C035ED">
      <w:pPr>
        <w:pStyle w:val="Heading1"/>
      </w:pPr>
    </w:p>
    <w:p w14:paraId="0E981FC1" w14:textId="0ED7907B" w:rsidR="002B7F49" w:rsidRPr="00575BC9" w:rsidRDefault="002B7F49" w:rsidP="00C035ED">
      <w:pPr>
        <w:pStyle w:val="Heading1"/>
      </w:pPr>
      <w:r>
        <w:t>6. Data collection</w:t>
      </w:r>
    </w:p>
    <w:p w14:paraId="7D06E2BC" w14:textId="77777777" w:rsidR="002B7F49" w:rsidRDefault="002B7F49" w:rsidP="00C035ED">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3791"/>
        <w:gridCol w:w="2038"/>
        <w:gridCol w:w="2009"/>
      </w:tblGrid>
      <w:tr w:rsidR="00D461E3" w:rsidRPr="00045493" w14:paraId="1596E45B" w14:textId="77777777" w:rsidTr="00C035ED">
        <w:trPr>
          <w:trHeight w:hRule="exact" w:val="325"/>
          <w:tblHeader/>
        </w:trPr>
        <w:tc>
          <w:tcPr>
            <w:tcW w:w="2410" w:type="dxa"/>
          </w:tcPr>
          <w:p w14:paraId="0C354C46" w14:textId="77777777" w:rsidR="00D461E3" w:rsidRPr="00575BC9" w:rsidRDefault="00D461E3" w:rsidP="00D461E3">
            <w:pPr>
              <w:pStyle w:val="DHHStablecolhead"/>
              <w:spacing w:before="0" w:after="0"/>
            </w:pPr>
            <w:r w:rsidRPr="00575BC9">
              <w:t>Data collection name</w:t>
            </w:r>
          </w:p>
        </w:tc>
        <w:tc>
          <w:tcPr>
            <w:tcW w:w="3791" w:type="dxa"/>
          </w:tcPr>
          <w:p w14:paraId="73BBC436" w14:textId="77777777" w:rsidR="00D461E3" w:rsidRPr="00575BC9" w:rsidRDefault="00D461E3" w:rsidP="00D461E3">
            <w:pPr>
              <w:pStyle w:val="DHHStablecolhead"/>
              <w:spacing w:before="0" w:after="0"/>
            </w:pPr>
            <w:r w:rsidRPr="00575BC9">
              <w:t xml:space="preserve">Data system </w:t>
            </w:r>
          </w:p>
        </w:tc>
        <w:tc>
          <w:tcPr>
            <w:tcW w:w="2038" w:type="dxa"/>
          </w:tcPr>
          <w:p w14:paraId="056340F5" w14:textId="77777777" w:rsidR="00D461E3" w:rsidRPr="00575BC9" w:rsidRDefault="00D461E3" w:rsidP="00D461E3">
            <w:pPr>
              <w:pStyle w:val="DHHStablecolhead"/>
              <w:spacing w:before="0" w:after="0"/>
            </w:pPr>
            <w:r w:rsidRPr="00575BC9">
              <w:t xml:space="preserve">Data set </w:t>
            </w:r>
          </w:p>
        </w:tc>
        <w:tc>
          <w:tcPr>
            <w:tcW w:w="2009" w:type="dxa"/>
          </w:tcPr>
          <w:p w14:paraId="4BBFBBDD" w14:textId="77777777" w:rsidR="00D461E3" w:rsidRPr="00575BC9" w:rsidRDefault="00D461E3" w:rsidP="00D461E3">
            <w:pPr>
              <w:pStyle w:val="DHHStablecolhead"/>
              <w:spacing w:before="0" w:after="0"/>
            </w:pPr>
            <w:r w:rsidRPr="00575BC9">
              <w:t>Reporting cycle</w:t>
            </w:r>
          </w:p>
        </w:tc>
      </w:tr>
      <w:tr w:rsidR="00D461E3" w:rsidRPr="00C237A0" w14:paraId="6CC3C217" w14:textId="77777777" w:rsidTr="00C035ED">
        <w:trPr>
          <w:trHeight w:val="978"/>
        </w:trPr>
        <w:tc>
          <w:tcPr>
            <w:tcW w:w="2410" w:type="dxa"/>
          </w:tcPr>
          <w:p w14:paraId="58C32D15" w14:textId="77777777" w:rsidR="00D461E3" w:rsidRPr="002F7C4B" w:rsidRDefault="00D461E3" w:rsidP="00C035ED">
            <w:pPr>
              <w:pStyle w:val="DHHStabletext"/>
              <w:rPr>
                <w:color w:val="7030A0"/>
              </w:rPr>
            </w:pPr>
            <w:r w:rsidRPr="00DC6292">
              <w:t>Victorian Alcohol and Drug Collection</w:t>
            </w:r>
            <w:r>
              <w:t xml:space="preserve"> (VADC)</w:t>
            </w:r>
          </w:p>
        </w:tc>
        <w:tc>
          <w:tcPr>
            <w:tcW w:w="3791" w:type="dxa"/>
          </w:tcPr>
          <w:p w14:paraId="52A5570B" w14:textId="77777777" w:rsidR="00D461E3" w:rsidRPr="00311CDF" w:rsidRDefault="00D461E3" w:rsidP="00C035ED">
            <w:pPr>
              <w:pStyle w:val="DHHStabletext"/>
            </w:pPr>
            <w:r w:rsidRPr="00311CDF">
              <w:t xml:space="preserve">Various </w:t>
            </w:r>
            <w:r>
              <w:t>– Service providers are required to integrate the VADC into their own client management systems</w:t>
            </w:r>
          </w:p>
        </w:tc>
        <w:tc>
          <w:tcPr>
            <w:tcW w:w="2038" w:type="dxa"/>
          </w:tcPr>
          <w:p w14:paraId="2C0927B9" w14:textId="77777777" w:rsidR="00D461E3" w:rsidRPr="00311CDF" w:rsidRDefault="00D461E3" w:rsidP="00C035ED">
            <w:pPr>
              <w:pStyle w:val="DHHStabletext"/>
            </w:pPr>
            <w:r w:rsidRPr="00311CDF">
              <w:t>Not applicable</w:t>
            </w:r>
          </w:p>
        </w:tc>
        <w:tc>
          <w:tcPr>
            <w:tcW w:w="2009" w:type="dxa"/>
          </w:tcPr>
          <w:p w14:paraId="7645BF2B" w14:textId="77777777" w:rsidR="00D461E3" w:rsidRPr="00311CDF" w:rsidRDefault="00D461E3" w:rsidP="00C035ED">
            <w:pPr>
              <w:pStyle w:val="DHHStabletext"/>
            </w:pPr>
            <w:r>
              <w:t>Monthly</w:t>
            </w:r>
          </w:p>
        </w:tc>
      </w:tr>
    </w:tbl>
    <w:p w14:paraId="2CF9D4BB" w14:textId="77777777" w:rsidR="002B7F49" w:rsidRDefault="002B7F49" w:rsidP="007B7E5D">
      <w:pPr>
        <w:rPr>
          <w:sz w:val="18"/>
          <w:szCs w:val="4"/>
        </w:rPr>
      </w:pPr>
    </w:p>
    <w:p w14:paraId="0762E4D3" w14:textId="77777777" w:rsidR="002B7F49" w:rsidRDefault="002B7F49" w:rsidP="007B7E5D">
      <w:pPr>
        <w:rPr>
          <w:sz w:val="18"/>
          <w:szCs w:val="4"/>
        </w:rPr>
      </w:pPr>
    </w:p>
    <w:p w14:paraId="77F132CA" w14:textId="77777777" w:rsidR="002B7F49" w:rsidRDefault="002B7F49" w:rsidP="007B7E5D">
      <w:pPr>
        <w:rPr>
          <w:sz w:val="18"/>
          <w:szCs w:val="4"/>
        </w:rPr>
      </w:pPr>
    </w:p>
    <w:p w14:paraId="7B365BCD"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082242B6"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EC7B41D" w14:textId="77777777" w:rsidR="00FB5C8B" w:rsidRDefault="00FB5C8B" w:rsidP="00FB5C8B">
            <w:pPr>
              <w:pStyle w:val="DHHSaccessibilitypara"/>
            </w:pPr>
            <w:r>
              <w:t xml:space="preserve">To receive this publication in an accessible format </w:t>
            </w:r>
            <w:hyperlink r:id="rId15" w:history="1">
              <w:r>
                <w:rPr>
                  <w:rStyle w:val="Hyperlink"/>
                </w:rPr>
                <w:t>email Service Agreement Policy</w:t>
              </w:r>
            </w:hyperlink>
            <w:r>
              <w:t xml:space="preserve"> &lt;</w:t>
            </w:r>
            <w:hyperlink r:id="rId16" w:history="1">
              <w:r>
                <w:rPr>
                  <w:rStyle w:val="Hyperlink"/>
                </w:rPr>
                <w:t>sapolicy@dhhs.vic.gov.au</w:t>
              </w:r>
            </w:hyperlink>
            <w:r>
              <w:t>&gt;</w:t>
            </w:r>
          </w:p>
          <w:p w14:paraId="6E558A86" w14:textId="77777777" w:rsidR="00FB5C8B" w:rsidRDefault="00FB5C8B" w:rsidP="00FB5C8B">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4DA32DD6" w14:textId="62B02B01" w:rsidR="002B7F49" w:rsidRPr="00CA4422" w:rsidRDefault="00FB5C8B" w:rsidP="00FB5C8B">
            <w:pPr>
              <w:pStyle w:val="DHHSbody"/>
              <w:spacing w:line="240" w:lineRule="auto"/>
            </w:pPr>
            <w:r>
              <w:t xml:space="preserve">Available on the department’s </w:t>
            </w:r>
            <w:hyperlink r:id="rId17" w:history="1">
              <w:r>
                <w:rPr>
                  <w:rStyle w:val="Hyperlink"/>
                </w:rPr>
                <w:t>Health and human services activity search</w:t>
              </w:r>
            </w:hyperlink>
            <w:r>
              <w:t xml:space="preserve"> &lt;</w:t>
            </w:r>
            <w:hyperlink r:id="rId18" w:history="1">
              <w:r w:rsidRPr="00FB5C8B">
                <w:t>http://providers.dhhs.vic.gov.au/health-human-services-activity-search</w:t>
              </w:r>
            </w:hyperlink>
            <w:r w:rsidRPr="00FB5C8B">
              <w:t>&gt;</w:t>
            </w:r>
          </w:p>
        </w:tc>
      </w:tr>
    </w:tbl>
    <w:p w14:paraId="2565FD09" w14:textId="77777777" w:rsidR="002B7F49" w:rsidRDefault="002B7F49" w:rsidP="007B7E5D">
      <w:pPr>
        <w:rPr>
          <w:sz w:val="18"/>
          <w:szCs w:val="4"/>
        </w:rPr>
      </w:pPr>
      <w:bookmarkStart w:id="3" w:name="_GoBack"/>
      <w:bookmarkEnd w:id="3"/>
    </w:p>
    <w:sectPr w:rsidR="002B7F49" w:rsidSect="00E96FA4">
      <w:footerReference w:type="default" r:id="rId19"/>
      <w:footerReference w:type="first" r:id="rId20"/>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159F3" w14:textId="77777777" w:rsidR="002B7F49" w:rsidRDefault="002B7F49">
      <w:r>
        <w:separator/>
      </w:r>
    </w:p>
  </w:endnote>
  <w:endnote w:type="continuationSeparator" w:id="0">
    <w:p w14:paraId="6EA47169"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TXinwei">
    <w:altName w:val="Arial Unicode MS"/>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7499" w14:textId="4F1DC973" w:rsidR="00FE4946" w:rsidRPr="00A11421" w:rsidRDefault="00FB5C8B" w:rsidP="0051568D">
    <w:pPr>
      <w:pStyle w:val="DHHSfooter"/>
    </w:pPr>
    <w:r w:rsidRPr="00FB5C8B">
      <w:t>Activity description</w:t>
    </w:r>
    <w:r>
      <w:t xml:space="preserve"> (</w:t>
    </w:r>
    <w:r w:rsidRPr="00FB5C8B">
      <w:t>health</w:t>
    </w:r>
    <w:r>
      <w:t xml:space="preserve">): </w:t>
    </w:r>
    <w:r w:rsidRPr="00FB5C8B">
      <w:t>Non-Residential Withdrawal</w:t>
    </w:r>
    <w:r>
      <w:t xml:space="preserve"> </w:t>
    </w:r>
    <w:r w:rsidRPr="00FB5C8B">
      <w:t>34303</w:t>
    </w:r>
    <w:r w:rsidR="00E06429">
      <w:tab/>
    </w:r>
    <w:r w:rsidR="00FE4946" w:rsidRPr="00A11421">
      <w:fldChar w:fldCharType="begin"/>
    </w:r>
    <w:r w:rsidR="00FE4946" w:rsidRPr="00A11421">
      <w:instrText xml:space="preserve"> PAGE </w:instrText>
    </w:r>
    <w:r w:rsidR="00FE4946" w:rsidRPr="00A11421">
      <w:fldChar w:fldCharType="separate"/>
    </w:r>
    <w:r w:rsidR="00A75DC5">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F847" w14:textId="77777777" w:rsidR="00FE4946" w:rsidRDefault="00FE4946">
    <w:pPr>
      <w:pStyle w:val="Footer"/>
    </w:pPr>
    <w:r>
      <w:rPr>
        <w:noProof/>
        <w:lang w:eastAsia="en-AU"/>
      </w:rPr>
      <w:drawing>
        <wp:anchor distT="0" distB="0" distL="114300" distR="114300" simplePos="0" relativeHeight="251659264" behindDoc="0" locked="0" layoutInCell="0" allowOverlap="1" wp14:anchorId="1E9D0289" wp14:editId="08770AAE">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B97B" w14:textId="77777777" w:rsidR="002B7F49" w:rsidRDefault="002B7F49" w:rsidP="002862F1">
      <w:pPr>
        <w:spacing w:before="120"/>
      </w:pPr>
      <w:r>
        <w:separator/>
      </w:r>
    </w:p>
  </w:footnote>
  <w:footnote w:type="continuationSeparator" w:id="0">
    <w:p w14:paraId="7810D410"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 w:numId="16">
    <w:abstractNumId w:val="8"/>
    <w:lvlOverride w:ilvl="0">
      <w:lvl w:ilvl="0">
        <w:start w:val="1"/>
        <w:numFmt w:val="bullet"/>
        <w:pStyle w:val="DHHSbullet1"/>
        <w:lvlText w:val="•"/>
        <w:lvlJc w:val="left"/>
        <w:pPr>
          <w:ind w:left="284" w:hanging="284"/>
        </w:pPr>
        <w:rPr>
          <w:rFonts w:ascii="Arial" w:hAnsi="Arial" w:cs="Arial" w:hint="default"/>
          <w:sz w:val="20"/>
          <w:szCs w:val="20"/>
        </w:rPr>
      </w:lvl>
    </w:lvlOverride>
    <w:lvlOverride w:ilvl="1">
      <w:lvl w:ilvl="1">
        <w:start w:val="1"/>
        <w:numFmt w:val="bullet"/>
        <w:lvlRestart w:val="0"/>
        <w:pStyle w:val="DHHSbullet1lastline"/>
        <w:lvlText w:val="•"/>
        <w:lvlJc w:val="left"/>
        <w:pPr>
          <w:ind w:left="284" w:hanging="284"/>
        </w:pPr>
        <w:rPr>
          <w:rFonts w:ascii="Arial" w:hAnsi="Arial" w:cs="Arial" w:hint="default"/>
          <w:sz w:val="20"/>
          <w:szCs w:val="2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5D6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4A14"/>
    <w:rsid w:val="00316F27"/>
    <w:rsid w:val="00325D0E"/>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0A6D"/>
    <w:rsid w:val="004F2133"/>
    <w:rsid w:val="004F4473"/>
    <w:rsid w:val="004F55F1"/>
    <w:rsid w:val="004F56E7"/>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3DE6"/>
    <w:rsid w:val="00596A4B"/>
    <w:rsid w:val="00597507"/>
    <w:rsid w:val="005B1BCE"/>
    <w:rsid w:val="005B1FD3"/>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5F43E3"/>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4735"/>
    <w:rsid w:val="007173CA"/>
    <w:rsid w:val="007216AA"/>
    <w:rsid w:val="00721AB5"/>
    <w:rsid w:val="00721DEF"/>
    <w:rsid w:val="00724A43"/>
    <w:rsid w:val="007346E4"/>
    <w:rsid w:val="0073614D"/>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0E46"/>
    <w:rsid w:val="007B0914"/>
    <w:rsid w:val="007B1374"/>
    <w:rsid w:val="007B292B"/>
    <w:rsid w:val="007B589F"/>
    <w:rsid w:val="007B6186"/>
    <w:rsid w:val="007B73BC"/>
    <w:rsid w:val="007B7E5D"/>
    <w:rsid w:val="007C0F0C"/>
    <w:rsid w:val="007C20B9"/>
    <w:rsid w:val="007C4E11"/>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75183"/>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5DC5"/>
    <w:rsid w:val="00A77AA3"/>
    <w:rsid w:val="00A842F2"/>
    <w:rsid w:val="00A853B2"/>
    <w:rsid w:val="00A854EB"/>
    <w:rsid w:val="00A8620A"/>
    <w:rsid w:val="00A872E5"/>
    <w:rsid w:val="00A91406"/>
    <w:rsid w:val="00A96D04"/>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140D"/>
    <w:rsid w:val="00B326B7"/>
    <w:rsid w:val="00B431E8"/>
    <w:rsid w:val="00B43952"/>
    <w:rsid w:val="00B43DD0"/>
    <w:rsid w:val="00B45141"/>
    <w:rsid w:val="00B522A8"/>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2965"/>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35ED"/>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2202"/>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461E3"/>
    <w:rsid w:val="00D50B9C"/>
    <w:rsid w:val="00D52D73"/>
    <w:rsid w:val="00D52E58"/>
    <w:rsid w:val="00D714CC"/>
    <w:rsid w:val="00D730A8"/>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96FA4"/>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B5C8B"/>
    <w:rsid w:val="00FC0F81"/>
    <w:rsid w:val="00FC395C"/>
    <w:rsid w:val="00FD3766"/>
    <w:rsid w:val="00FD47C4"/>
    <w:rsid w:val="00FE2DCF"/>
    <w:rsid w:val="00FE4946"/>
    <w:rsid w:val="00FE4F13"/>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D2F7BA9"/>
  <w15:docId w15:val="{BE5CB694-2D29-471A-BCCA-55E462D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C035ED"/>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C035E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5E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C035E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link w:val="DHHSbullet1Char"/>
    <w:uiPriority w:val="99"/>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paragraph" w:customStyle="1" w:styleId="DHHSBody0">
    <w:name w:val="DHHS Body"/>
    <w:basedOn w:val="DHHSbody"/>
    <w:link w:val="DHHSBodyChar0"/>
    <w:qFormat/>
    <w:rsid w:val="00314A14"/>
  </w:style>
  <w:style w:type="character" w:customStyle="1" w:styleId="DHHSBodyChar0">
    <w:name w:val="DHHS Body Char"/>
    <w:basedOn w:val="DHHSbodyChar"/>
    <w:link w:val="DHHSBody0"/>
    <w:rsid w:val="00314A14"/>
    <w:rPr>
      <w:rFonts w:ascii="Arial" w:eastAsia="Times" w:hAnsi="Arial"/>
      <w:lang w:eastAsia="en-US"/>
    </w:rPr>
  </w:style>
  <w:style w:type="character" w:customStyle="1" w:styleId="DHHSbullet1Char">
    <w:name w:val="DHHS bullet 1 Char"/>
    <w:basedOn w:val="DHHSbodyChar"/>
    <w:link w:val="DHHSbullet1"/>
    <w:uiPriority w:val="99"/>
    <w:rsid w:val="00314A14"/>
    <w:rPr>
      <w:rFonts w:ascii="Arial" w:eastAsia="Times" w:hAnsi="Arial"/>
      <w:lang w:eastAsia="en-US"/>
    </w:rPr>
  </w:style>
  <w:style w:type="character" w:styleId="CommentReference">
    <w:name w:val="annotation reference"/>
    <w:basedOn w:val="DefaultParagraphFont"/>
    <w:uiPriority w:val="99"/>
    <w:semiHidden/>
    <w:unhideWhenUsed/>
    <w:rsid w:val="00B3140D"/>
    <w:rPr>
      <w:sz w:val="16"/>
      <w:szCs w:val="16"/>
    </w:rPr>
  </w:style>
  <w:style w:type="paragraph" w:styleId="CommentText">
    <w:name w:val="annotation text"/>
    <w:basedOn w:val="Normal"/>
    <w:link w:val="CommentTextChar"/>
    <w:uiPriority w:val="99"/>
    <w:semiHidden/>
    <w:unhideWhenUsed/>
    <w:rsid w:val="00B3140D"/>
    <w:pPr>
      <w:spacing w:line="240" w:lineRule="auto"/>
    </w:pPr>
  </w:style>
  <w:style w:type="character" w:customStyle="1" w:styleId="CommentTextChar">
    <w:name w:val="Comment Text Char"/>
    <w:basedOn w:val="DefaultParagraphFont"/>
    <w:link w:val="CommentText"/>
    <w:uiPriority w:val="99"/>
    <w:semiHidden/>
    <w:rsid w:val="00B3140D"/>
    <w:rPr>
      <w:rFonts w:ascii="Arial" w:hAnsi="Arial"/>
    </w:rPr>
  </w:style>
  <w:style w:type="paragraph" w:styleId="CommentSubject">
    <w:name w:val="annotation subject"/>
    <w:basedOn w:val="CommentText"/>
    <w:next w:val="CommentText"/>
    <w:link w:val="CommentSubjectChar"/>
    <w:uiPriority w:val="99"/>
    <w:semiHidden/>
    <w:unhideWhenUsed/>
    <w:rsid w:val="00B3140D"/>
    <w:rPr>
      <w:b/>
      <w:bCs/>
    </w:rPr>
  </w:style>
  <w:style w:type="character" w:customStyle="1" w:styleId="CommentSubjectChar">
    <w:name w:val="Comment Subject Char"/>
    <w:basedOn w:val="CommentTextChar"/>
    <w:link w:val="CommentSubject"/>
    <w:uiPriority w:val="99"/>
    <w:semiHidden/>
    <w:rsid w:val="00B3140D"/>
    <w:rPr>
      <w:rFonts w:ascii="Arial" w:hAnsi="Arial"/>
      <w:b/>
      <w:bCs/>
    </w:rPr>
  </w:style>
  <w:style w:type="character" w:styleId="UnresolvedMention">
    <w:name w:val="Unresolved Mention"/>
    <w:basedOn w:val="DefaultParagraphFont"/>
    <w:uiPriority w:val="99"/>
    <w:semiHidden/>
    <w:unhideWhenUsed/>
    <w:rsid w:val="0032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92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health.vic.gov.au/alcohol-and-drugs/aod-service-standards-guidelines/aod-program-guidelines" TargetMode="External"/><Relationship Id="rId18" Type="http://schemas.openxmlformats.org/officeDocument/2006/relationships/hyperlink" Target="http://providers.dhhs.vic.gov.au/health-human-services-activity-se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health.vic.gov.au/alcohol-and-drugs/aod-service-standards-guidelines/aod-program-guidelines" TargetMode="External"/><Relationship Id="rId17" Type="http://schemas.openxmlformats.org/officeDocument/2006/relationships/hyperlink" Target="http://providers.dhhs.vic.gov.au/health-human-services-activity-sea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sapolicy@dhhs.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060\group\Drug%20Policy%20and%20Services\Delivery%20&amp;%20Performance\Service%20agreement%20activity%20descriptions%20project\Guidelines\Alcohol%20and%20other%20drugs%20program%20guidelines-part%202-program%20and%20service%20specifications.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sapolicy@dhhs.vic.gov.au" TargetMode="External"/><Relationship Id="rId23" Type="http://schemas.openxmlformats.org/officeDocument/2006/relationships/customXml" Target="../customXml/item2.xml"/><Relationship Id="rId10" Type="http://schemas.openxmlformats.org/officeDocument/2006/relationships/hyperlink" Target="file:///\\N060\group\Drug%20Policy%20and%20Services\Delivery%20&amp;%20Performance\Service%20agreement%20activity%20descriptions%20project\Guidelines\aod-services-accreditation-requirements-sep-2017-pdf.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urningpoint.org.au/treatment/clinicians/withdrawal-guidelines%3e" TargetMode="External"/><Relationship Id="rId14" Type="http://schemas.openxmlformats.org/officeDocument/2006/relationships/hyperlink" Target="https://www2.health.vic.gov.au/alcohol-and-drugs/aod-service-standards-guidelines/aod-program-guidelin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4544CAF-336A-4BD1-8DF6-D1039A638EE6}">
  <ds:schemaRefs>
    <ds:schemaRef ds:uri="http://schemas.openxmlformats.org/officeDocument/2006/bibliography"/>
  </ds:schemaRefs>
</ds:datastoreItem>
</file>

<file path=customXml/itemProps2.xml><?xml version="1.0" encoding="utf-8"?>
<ds:datastoreItem xmlns:ds="http://schemas.openxmlformats.org/officeDocument/2006/customXml" ds:itemID="{6BB87102-233B-4B77-8FA6-5378B72F4EB4}"/>
</file>

<file path=customXml/itemProps3.xml><?xml version="1.0" encoding="utf-8"?>
<ds:datastoreItem xmlns:ds="http://schemas.openxmlformats.org/officeDocument/2006/customXml" ds:itemID="{E4C0A06C-C668-4865-90A3-3721287C4096}"/>
</file>

<file path=customXml/itemProps4.xml><?xml version="1.0" encoding="utf-8"?>
<ds:datastoreItem xmlns:ds="http://schemas.openxmlformats.org/officeDocument/2006/customXml" ds:itemID="{F61127AD-3699-4450-B453-B1D70B4C89D8}"/>
</file>

<file path=docProps/app.xml><?xml version="1.0" encoding="utf-8"?>
<Properties xmlns="http://schemas.openxmlformats.org/officeDocument/2006/extended-properties" xmlns:vt="http://schemas.openxmlformats.org/officeDocument/2006/docPropsVTypes">
  <Template>DHHS Factsheet 01 Navy 2765.dot</Template>
  <TotalTime>2</TotalTime>
  <Pages>3</Pages>
  <Words>820</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Activity description health Non-Residential Withdrawal 34303</vt:lpstr>
    </vt:vector>
  </TitlesOfParts>
  <Company>Department of Health and Human Services</Company>
  <LinksUpToDate>false</LinksUpToDate>
  <CharactersWithSpaces>7558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Non-Residential Withdrawal 34303</dc:title>
  <dc:subject>service agreement activity descriptions</dc:subject>
  <dc:creator>Service Agreement Policy unit</dc:creator>
  <cp:keywords>service agreement;Activity description;health;drug services;Non-Residential Withdrawal;34303</cp:keywords>
  <cp:lastModifiedBy>Louise Crowther (DHHS)</cp:lastModifiedBy>
  <cp:revision>3</cp:revision>
  <cp:lastPrinted>2019-01-08T23:20:00Z</cp:lastPrinted>
  <dcterms:created xsi:type="dcterms:W3CDTF">2019-06-11T07:25:00Z</dcterms:created>
  <dcterms:modified xsi:type="dcterms:W3CDTF">2019-06-11T07:27:00Z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