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25033" w14:textId="77777777" w:rsidR="0074696E" w:rsidRPr="004C6EEE" w:rsidRDefault="00457807" w:rsidP="00AD784C">
      <w:pPr>
        <w:pStyle w:val="Spacerparatopoffirstpage"/>
      </w:pPr>
      <w:r>
        <w:rPr>
          <w:lang w:eastAsia="en-AU"/>
        </w:rPr>
        <w:drawing>
          <wp:anchor distT="0" distB="0" distL="114300" distR="114300" simplePos="0" relativeHeight="251657728" behindDoc="1" locked="1" layoutInCell="0" allowOverlap="1" wp14:anchorId="415492C8" wp14:editId="648FCC16">
            <wp:simplePos x="0" y="0"/>
            <wp:positionH relativeFrom="page">
              <wp:posOffset>0</wp:posOffset>
            </wp:positionH>
            <wp:positionV relativeFrom="page">
              <wp:posOffset>0</wp:posOffset>
            </wp:positionV>
            <wp:extent cx="7564755" cy="2216785"/>
            <wp:effectExtent l="0" t="0" r="0" b="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4755" cy="2216785"/>
                    </a:xfrm>
                    <a:prstGeom prst="rect">
                      <a:avLst/>
                    </a:prstGeom>
                    <a:noFill/>
                  </pic:spPr>
                </pic:pic>
              </a:graphicData>
            </a:graphic>
            <wp14:sizeRelH relativeFrom="page">
              <wp14:pctWidth>0</wp14:pctWidth>
            </wp14:sizeRelH>
            <wp14:sizeRelV relativeFrom="page">
              <wp14:pctHeight>0</wp14:pctHeight>
            </wp14:sizeRelV>
          </wp:anchor>
        </w:drawing>
      </w:r>
    </w:p>
    <w:p w14:paraId="51200557" w14:textId="77777777" w:rsidR="00A62D44" w:rsidRPr="004C6EEE" w:rsidRDefault="00A62D44" w:rsidP="00D1443D">
      <w:pPr>
        <w:pStyle w:val="Sectionbreakfirstpage"/>
        <w:rPr>
          <w:rFonts w:eastAsia="Times"/>
          <w:noProof/>
          <w:sz w:val="12"/>
        </w:rPr>
        <w:sectPr w:rsidR="00A62D44" w:rsidRPr="004C6EEE" w:rsidSect="00F922BE">
          <w:headerReference w:type="default" r:id="rId13"/>
          <w:footerReference w:type="default" r:id="rId14"/>
          <w:headerReference w:type="first" r:id="rId15"/>
          <w:footerReference w:type="first" r:id="rId16"/>
          <w:pgSz w:w="11906" w:h="16838" w:code="9"/>
          <w:pgMar w:top="426" w:right="851" w:bottom="1418" w:left="851" w:header="510" w:footer="510" w:gutter="0"/>
          <w:cols w:space="708"/>
          <w:docGrid w:linePitch="360"/>
        </w:sectPr>
      </w:pPr>
    </w:p>
    <w:tbl>
      <w:tblPr>
        <w:tblW w:w="0" w:type="auto"/>
        <w:tblLook w:val="04A0" w:firstRow="1" w:lastRow="0" w:firstColumn="1" w:lastColumn="0" w:noHBand="0" w:noVBand="1"/>
      </w:tblPr>
      <w:tblGrid>
        <w:gridCol w:w="8401"/>
      </w:tblGrid>
      <w:tr w:rsidR="00AD784C" w14:paraId="5F67C46A" w14:textId="77777777" w:rsidTr="009F24E6">
        <w:trPr>
          <w:trHeight w:val="869"/>
        </w:trPr>
        <w:tc>
          <w:tcPr>
            <w:tcW w:w="8401" w:type="dxa"/>
            <w:shd w:val="clear" w:color="auto" w:fill="auto"/>
            <w:vAlign w:val="bottom"/>
          </w:tcPr>
          <w:p w14:paraId="1897A501" w14:textId="0CA1D7A8" w:rsidR="008A5E87" w:rsidRDefault="008A5E87" w:rsidP="00FF69F5">
            <w:pPr>
              <w:pStyle w:val="DHHSmainheading"/>
              <w:spacing w:line="270" w:lineRule="atLeast"/>
              <w:rPr>
                <w:rFonts w:cs="Arial"/>
                <w:sz w:val="44"/>
                <w:szCs w:val="44"/>
              </w:rPr>
            </w:pPr>
            <w:r>
              <w:rPr>
                <w:rFonts w:cs="Arial"/>
                <w:sz w:val="44"/>
                <w:szCs w:val="44"/>
              </w:rPr>
              <w:lastRenderedPageBreak/>
              <w:t>Men’s Family Violence Services</w:t>
            </w:r>
          </w:p>
          <w:p w14:paraId="5479CAD9" w14:textId="660F45FC" w:rsidR="00AD784C" w:rsidRPr="0032513C" w:rsidRDefault="00745942" w:rsidP="008A5E87">
            <w:pPr>
              <w:pStyle w:val="DHHSmainheading"/>
              <w:spacing w:line="270" w:lineRule="atLeast"/>
              <w:rPr>
                <w:sz w:val="44"/>
                <w:szCs w:val="44"/>
              </w:rPr>
            </w:pPr>
            <w:r w:rsidRPr="0032513C">
              <w:rPr>
                <w:rFonts w:cs="Arial"/>
                <w:sz w:val="44"/>
                <w:szCs w:val="44"/>
              </w:rPr>
              <w:t>3</w:t>
            </w:r>
            <w:r w:rsidR="00A02D2C" w:rsidRPr="0032513C">
              <w:rPr>
                <w:rFonts w:cs="Arial"/>
                <w:sz w:val="44"/>
                <w:szCs w:val="44"/>
              </w:rPr>
              <w:t>80</w:t>
            </w:r>
            <w:r w:rsidR="008A5E87">
              <w:rPr>
                <w:rFonts w:cs="Arial"/>
                <w:sz w:val="44"/>
                <w:szCs w:val="44"/>
              </w:rPr>
              <w:t>19</w:t>
            </w:r>
          </w:p>
        </w:tc>
      </w:tr>
      <w:tr w:rsidR="00AD784C" w14:paraId="1977DFB9" w14:textId="77777777" w:rsidTr="009F24E6">
        <w:trPr>
          <w:trHeight w:hRule="exact" w:val="1204"/>
        </w:trPr>
        <w:tc>
          <w:tcPr>
            <w:tcW w:w="8401" w:type="dxa"/>
            <w:shd w:val="clear" w:color="auto" w:fill="auto"/>
            <w:tcMar>
              <w:top w:w="170" w:type="dxa"/>
              <w:bottom w:w="510" w:type="dxa"/>
            </w:tcMar>
          </w:tcPr>
          <w:p w14:paraId="2AE711B1" w14:textId="77777777" w:rsidR="008B158F" w:rsidRPr="0032513C" w:rsidRDefault="00F922BE" w:rsidP="005E76EA">
            <w:pPr>
              <w:pStyle w:val="DHHSmainsubheading"/>
              <w:rPr>
                <w:szCs w:val="28"/>
              </w:rPr>
            </w:pPr>
            <w:r w:rsidRPr="0032513C">
              <w:rPr>
                <w:szCs w:val="28"/>
              </w:rPr>
              <w:t>Outcome objective</w:t>
            </w:r>
            <w:r w:rsidR="00DE4E5C" w:rsidRPr="0032513C">
              <w:rPr>
                <w:szCs w:val="28"/>
              </w:rPr>
              <w:t>:</w:t>
            </w:r>
            <w:r w:rsidRPr="0032513C">
              <w:rPr>
                <w:szCs w:val="28"/>
              </w:rPr>
              <w:t xml:space="preserve"> </w:t>
            </w:r>
            <w:r w:rsidR="008B158F" w:rsidRPr="0032513C">
              <w:rPr>
                <w:szCs w:val="28"/>
              </w:rPr>
              <w:t>Victorians are safe and secure</w:t>
            </w:r>
          </w:p>
          <w:p w14:paraId="7D9E7E73" w14:textId="77777777" w:rsidR="008B158F" w:rsidRPr="0032513C" w:rsidRDefault="00F922BE" w:rsidP="00D1443D">
            <w:pPr>
              <w:pStyle w:val="DHHSmainsubheading"/>
              <w:rPr>
                <w:szCs w:val="28"/>
              </w:rPr>
            </w:pPr>
            <w:r w:rsidRPr="0032513C">
              <w:rPr>
                <w:szCs w:val="28"/>
              </w:rPr>
              <w:t xml:space="preserve">Output group: </w:t>
            </w:r>
            <w:r w:rsidR="00A02D2C" w:rsidRPr="0032513C">
              <w:rPr>
                <w:szCs w:val="28"/>
              </w:rPr>
              <w:t>Family violence service delivery</w:t>
            </w:r>
          </w:p>
          <w:p w14:paraId="44660919" w14:textId="524231BE" w:rsidR="00F922BE" w:rsidRPr="0032513C" w:rsidRDefault="00F922BE" w:rsidP="00D1443D">
            <w:pPr>
              <w:pStyle w:val="DHHSmainsubheading"/>
              <w:rPr>
                <w:szCs w:val="28"/>
              </w:rPr>
            </w:pPr>
            <w:r w:rsidRPr="0032513C">
              <w:rPr>
                <w:szCs w:val="28"/>
              </w:rPr>
              <w:t xml:space="preserve">Output: </w:t>
            </w:r>
            <w:r w:rsidR="008B158F" w:rsidRPr="0032513C">
              <w:rPr>
                <w:szCs w:val="28"/>
              </w:rPr>
              <w:t xml:space="preserve">Family </w:t>
            </w:r>
            <w:r w:rsidR="009E61A0" w:rsidRPr="0032513C">
              <w:rPr>
                <w:szCs w:val="28"/>
              </w:rPr>
              <w:t>violence service delivery</w:t>
            </w:r>
          </w:p>
        </w:tc>
      </w:tr>
    </w:tbl>
    <w:p w14:paraId="20454A14" w14:textId="77777777" w:rsidR="007173CA" w:rsidRDefault="007173CA" w:rsidP="006C7A1F">
      <w:pPr>
        <w:pStyle w:val="DHHSbody"/>
        <w:spacing w:beforeLines="40" w:before="96"/>
        <w:sectPr w:rsidR="007173CA" w:rsidSect="00F922BE">
          <w:headerReference w:type="default" r:id="rId17"/>
          <w:footerReference w:type="default" r:id="rId18"/>
          <w:type w:val="continuous"/>
          <w:pgSz w:w="11906" w:h="16838" w:code="9"/>
          <w:pgMar w:top="993" w:right="851" w:bottom="1134" w:left="851" w:header="567" w:footer="510" w:gutter="0"/>
          <w:cols w:space="340"/>
          <w:titlePg/>
          <w:docGrid w:linePitch="360"/>
        </w:sectPr>
      </w:pPr>
      <w:bookmarkStart w:id="0" w:name="_Toc440566508"/>
    </w:p>
    <w:bookmarkEnd w:id="0"/>
    <w:p w14:paraId="1D379771" w14:textId="77777777" w:rsidR="00A62D44" w:rsidRDefault="00B70F76" w:rsidP="009F24E6">
      <w:pPr>
        <w:pStyle w:val="Heading1"/>
      </w:pPr>
      <w:r w:rsidRPr="00B70F76">
        <w:lastRenderedPageBreak/>
        <w:t>1.</w:t>
      </w:r>
      <w:r>
        <w:t xml:space="preserve"> </w:t>
      </w:r>
      <w:r w:rsidR="00DF6BAF">
        <w:t xml:space="preserve">Service Objective </w:t>
      </w:r>
    </w:p>
    <w:p w14:paraId="36FE026A" w14:textId="77777777" w:rsidR="00433219" w:rsidRPr="00E220DA" w:rsidRDefault="00433219" w:rsidP="00433219">
      <w:pPr>
        <w:pStyle w:val="DHHSbody"/>
      </w:pPr>
      <w:bookmarkStart w:id="1" w:name="_Toc256778633"/>
      <w:r w:rsidRPr="00E220DA">
        <w:t>Men’s family violence services aim to reduce violence and enhance the safety of women and children experiencing or recovering from family violence, through the provision of timely and appropriate services directed at men attempting to address their violent behaviour.</w:t>
      </w:r>
    </w:p>
    <w:p w14:paraId="4BCCDAAF" w14:textId="77777777" w:rsidR="00DF6BAF" w:rsidRDefault="00DE4E5C" w:rsidP="009F24E6">
      <w:pPr>
        <w:pStyle w:val="Heading1"/>
      </w:pPr>
      <w:r>
        <w:t>2</w:t>
      </w:r>
      <w:r w:rsidR="00B70F76" w:rsidRPr="00B70F76">
        <w:t xml:space="preserve">. </w:t>
      </w:r>
      <w:r w:rsidR="00DF6BAF">
        <w:t>Description of the service</w:t>
      </w:r>
    </w:p>
    <w:p w14:paraId="387332E3" w14:textId="77777777" w:rsidR="00433219" w:rsidRPr="00E220DA" w:rsidRDefault="00433219" w:rsidP="00433219">
      <w:pPr>
        <w:pStyle w:val="DHHSbody"/>
      </w:pPr>
      <w:r w:rsidRPr="00E220DA">
        <w:t>Men’s family violence services assist men with a history of violent and abusive behaviour towards family members to develop non-abusive behaviours and parenting skills. Services provided to men may include: intake and assessment, individual or group counselling, telephone counselling and referral.</w:t>
      </w:r>
    </w:p>
    <w:p w14:paraId="3673F5DF" w14:textId="77777777" w:rsidR="00433219" w:rsidRPr="00E220DA" w:rsidRDefault="00433219" w:rsidP="00433219">
      <w:pPr>
        <w:pStyle w:val="DHHSbody"/>
      </w:pPr>
      <w:r w:rsidRPr="00E220DA">
        <w:t xml:space="preserve">These services include the </w:t>
      </w:r>
      <w:r w:rsidRPr="00E220DA">
        <w:rPr>
          <w:i/>
        </w:rPr>
        <w:t xml:space="preserve">Men’s referral service </w:t>
      </w:r>
      <w:r w:rsidRPr="00E220DA">
        <w:t xml:space="preserve">and </w:t>
      </w:r>
      <w:r w:rsidRPr="00E220DA">
        <w:rPr>
          <w:i/>
        </w:rPr>
        <w:t>Men’s behaviour change programs</w:t>
      </w:r>
      <w:r w:rsidRPr="00E220DA">
        <w:t xml:space="preserve"> (including enhanced intake provided on a divisional or sub-divisional basis).</w:t>
      </w:r>
    </w:p>
    <w:p w14:paraId="19AC49D3" w14:textId="77777777" w:rsidR="00433219" w:rsidRPr="00E220DA" w:rsidRDefault="00433219" w:rsidP="00433219">
      <w:pPr>
        <w:pStyle w:val="DHHSbody"/>
      </w:pPr>
      <w:r w:rsidRPr="00E220DA">
        <w:t xml:space="preserve">The </w:t>
      </w:r>
      <w:r w:rsidRPr="00E220DA">
        <w:rPr>
          <w:i/>
        </w:rPr>
        <w:t>Men’s referral service</w:t>
      </w:r>
      <w:r w:rsidRPr="00E220DA">
        <w:t xml:space="preserve"> provides an anonymous and confidential telephone counselling, information and referral service for men who are violent or abusive towards family members.</w:t>
      </w:r>
    </w:p>
    <w:p w14:paraId="0198E704" w14:textId="77777777" w:rsidR="00433219" w:rsidRPr="00E220DA" w:rsidRDefault="00433219" w:rsidP="00433219">
      <w:pPr>
        <w:pStyle w:val="DHHSbody"/>
      </w:pPr>
      <w:r w:rsidRPr="00E220DA">
        <w:rPr>
          <w:i/>
        </w:rPr>
        <w:t xml:space="preserve">Enhanced </w:t>
      </w:r>
      <w:r>
        <w:rPr>
          <w:i/>
        </w:rPr>
        <w:t>i</w:t>
      </w:r>
      <w:r w:rsidRPr="00E220DA">
        <w:rPr>
          <w:i/>
        </w:rPr>
        <w:t>ntake</w:t>
      </w:r>
      <w:r w:rsidRPr="00E220DA">
        <w:t xml:space="preserve"> provides an entry point for active referrals (i.e. not self</w:t>
      </w:r>
      <w:r>
        <w:t>-</w:t>
      </w:r>
      <w:r w:rsidRPr="00E220DA">
        <w:t>referrals) from a range of sources (including police) as well as referrals via other pathways.</w:t>
      </w:r>
      <w:r>
        <w:t xml:space="preserve"> </w:t>
      </w:r>
      <w:r w:rsidRPr="00E220DA">
        <w:t>Intake services actively attempt to engage men who use violence.</w:t>
      </w:r>
    </w:p>
    <w:p w14:paraId="61E3433E" w14:textId="77777777" w:rsidR="00433219" w:rsidRPr="00E220DA" w:rsidRDefault="00433219" w:rsidP="00433219">
      <w:pPr>
        <w:pStyle w:val="DHHSbody"/>
      </w:pPr>
      <w:r w:rsidRPr="00E220DA">
        <w:t xml:space="preserve">The </w:t>
      </w:r>
      <w:r w:rsidRPr="00E220DA">
        <w:rPr>
          <w:i/>
        </w:rPr>
        <w:t>Court-</w:t>
      </w:r>
      <w:r>
        <w:rPr>
          <w:i/>
        </w:rPr>
        <w:t>d</w:t>
      </w:r>
      <w:r w:rsidRPr="00E220DA">
        <w:rPr>
          <w:i/>
        </w:rPr>
        <w:t>irected men’s behaviour change program</w:t>
      </w:r>
      <w:r w:rsidRPr="00E220DA">
        <w:t xml:space="preserve"> provides men who are the subject of family violence court orders with placements in the program.</w:t>
      </w:r>
      <w:r>
        <w:t xml:space="preserve"> </w:t>
      </w:r>
      <w:r w:rsidRPr="00E220DA">
        <w:t xml:space="preserve">The program aims to </w:t>
      </w:r>
      <w:r w:rsidRPr="00E220DA">
        <w:rPr>
          <w:rFonts w:cs="Arial"/>
        </w:rPr>
        <w:t>improve the accountability of men who use violence against their families, and improve the safety of women and children.</w:t>
      </w:r>
    </w:p>
    <w:p w14:paraId="6697839B" w14:textId="77777777" w:rsidR="00433219" w:rsidRPr="00E220DA" w:rsidRDefault="00433219" w:rsidP="00433219">
      <w:pPr>
        <w:pStyle w:val="DHHSbody"/>
      </w:pPr>
      <w:r w:rsidRPr="00E220DA">
        <w:rPr>
          <w:i/>
        </w:rPr>
        <w:t>Men’s behaviour change programs</w:t>
      </w:r>
      <w:r w:rsidRPr="00E220DA">
        <w:t xml:space="preserve"> aim to promote the safety of women and children by holding men accountable for their use of violence towards family members and by changing their attitudes and behaviour. Group programs are provided as well as individual counselling and partner contact.</w:t>
      </w:r>
    </w:p>
    <w:p w14:paraId="5DA0ADB2" w14:textId="77777777" w:rsidR="00433219" w:rsidRPr="00E220DA" w:rsidRDefault="00433219" w:rsidP="00433219">
      <w:pPr>
        <w:pStyle w:val="DHHSbody"/>
      </w:pPr>
      <w:r w:rsidRPr="00E220DA">
        <w:t>Family violence services for men are a component of an integrated, area</w:t>
      </w:r>
      <w:r>
        <w:t>-</w:t>
      </w:r>
      <w:r w:rsidRPr="00E220DA">
        <w:t xml:space="preserve">based suite of family violence services and will develop strong linkages and partnerships with women’s and children’s family violence services, Indigenous family violence services, </w:t>
      </w:r>
      <w:r>
        <w:t xml:space="preserve">LGBTIQ services, </w:t>
      </w:r>
      <w:r w:rsidRPr="00E220DA">
        <w:t>police and courts.</w:t>
      </w:r>
    </w:p>
    <w:p w14:paraId="4404736B" w14:textId="77777777" w:rsidR="00B70F76" w:rsidRPr="00B70F76" w:rsidRDefault="00BE7DED" w:rsidP="009F24E6">
      <w:pPr>
        <w:pStyle w:val="Heading1"/>
      </w:pPr>
      <w:r w:rsidRPr="00F34542" w:rsidDel="00BE7DED">
        <w:rPr>
          <w:rFonts w:eastAsia="Times"/>
          <w:sz w:val="20"/>
          <w:szCs w:val="20"/>
          <w:lang w:eastAsia="en-AU"/>
        </w:rPr>
        <w:t xml:space="preserve"> </w:t>
      </w:r>
      <w:r w:rsidR="00DF6BAF">
        <w:t xml:space="preserve">3. </w:t>
      </w:r>
      <w:r w:rsidR="00B70F76" w:rsidRPr="00B70F76">
        <w:t>Client group</w:t>
      </w:r>
    </w:p>
    <w:p w14:paraId="0C0A0BFF" w14:textId="77777777" w:rsidR="00433219" w:rsidRPr="00E220DA" w:rsidRDefault="00433219" w:rsidP="00433219">
      <w:pPr>
        <w:pStyle w:val="DHHSbody"/>
      </w:pPr>
      <w:r w:rsidRPr="00E220DA">
        <w:t>The target group for men’s family violence services are men who are attempting to address their violent behaviour and women and children family members who have had violence used against them.</w:t>
      </w:r>
    </w:p>
    <w:p w14:paraId="3B35C130" w14:textId="77777777" w:rsidR="002D1AA5" w:rsidRDefault="00DF6BAF" w:rsidP="009F24E6">
      <w:pPr>
        <w:pStyle w:val="Heading1"/>
      </w:pPr>
      <w:r>
        <w:t>4</w:t>
      </w:r>
      <w:r w:rsidR="00B70F76">
        <w:t xml:space="preserve">. Obligations specific to this </w:t>
      </w:r>
      <w:r w:rsidR="00EC4117">
        <w:t>activity</w:t>
      </w:r>
    </w:p>
    <w:p w14:paraId="18411A7E" w14:textId="77777777" w:rsidR="00B70F76" w:rsidRDefault="00DF6BAF" w:rsidP="006C7A1F">
      <w:pPr>
        <w:pStyle w:val="DHHSbody"/>
        <w:spacing w:beforeLines="40" w:before="96"/>
      </w:pPr>
      <w:r>
        <w:t>In addition to the obligations listed in the Service Agreement, o</w:t>
      </w:r>
      <w:r w:rsidR="002B3651">
        <w:t xml:space="preserve">rganisations funded to deliver this </w:t>
      </w:r>
      <w:r w:rsidR="00EC4117">
        <w:t xml:space="preserve">activity </w:t>
      </w:r>
      <w:r w:rsidR="002B3651">
        <w:t>must comply with the following:</w:t>
      </w:r>
    </w:p>
    <w:p w14:paraId="14A21544" w14:textId="77777777" w:rsidR="001F3DE2" w:rsidRDefault="00020209" w:rsidP="009F24E6">
      <w:pPr>
        <w:pStyle w:val="Heading2"/>
      </w:pPr>
      <w:r w:rsidRPr="001F3DE2">
        <w:lastRenderedPageBreak/>
        <w:t xml:space="preserve">4a.  Registration and Accreditation </w:t>
      </w:r>
    </w:p>
    <w:p w14:paraId="29167BBD" w14:textId="77777777" w:rsidR="009D251B" w:rsidRPr="009F24E6" w:rsidRDefault="009D251B" w:rsidP="009F24E6">
      <w:pPr>
        <w:pStyle w:val="DHHSbullet1"/>
      </w:pPr>
      <w:r w:rsidRPr="009F24E6">
        <w:t>Independent review and accreditation against the department’s Human Services Standards, unless exempted</w:t>
      </w:r>
    </w:p>
    <w:p w14:paraId="5E95D7AD" w14:textId="77777777" w:rsidR="001F3DE2" w:rsidRPr="001F3DE2" w:rsidRDefault="00020209" w:rsidP="009F24E6">
      <w:pPr>
        <w:pStyle w:val="Heading2"/>
      </w:pPr>
      <w:r w:rsidRPr="001F3DE2">
        <w:t xml:space="preserve">4b. </w:t>
      </w:r>
      <w:r w:rsidR="001F3DE2" w:rsidRPr="001F3DE2">
        <w:t xml:space="preserve">Program requirements and other policy guidelines </w:t>
      </w:r>
    </w:p>
    <w:bookmarkStart w:id="2" w:name="_Toc421023841"/>
    <w:bookmarkStart w:id="3" w:name="_Toc475953722"/>
    <w:bookmarkStart w:id="4" w:name="_Toc477437702"/>
    <w:bookmarkStart w:id="5" w:name="_Toc529373787"/>
    <w:p w14:paraId="7214B4BC" w14:textId="77777777" w:rsidR="00433219" w:rsidRPr="00415F5D" w:rsidRDefault="00433219" w:rsidP="00433219">
      <w:pPr>
        <w:pStyle w:val="DHHSbullet1"/>
      </w:pPr>
      <w:r>
        <w:fldChar w:fldCharType="begin"/>
      </w:r>
      <w:r>
        <w:instrText xml:space="preserve"> HYPERLINK "https://providers.dhhs.vic.gov.au/mens-behaviour-change-program" </w:instrText>
      </w:r>
      <w:r>
        <w:fldChar w:fldCharType="separate"/>
      </w:r>
      <w:r>
        <w:rPr>
          <w:rStyle w:val="Hyperlink"/>
          <w:rFonts w:cs="Arial"/>
        </w:rPr>
        <w:t>Men’s behaviour change group w</w:t>
      </w:r>
      <w:r w:rsidRPr="001A567D">
        <w:rPr>
          <w:rStyle w:val="Hyperlink"/>
          <w:rFonts w:cs="Arial"/>
        </w:rPr>
        <w:t>o</w:t>
      </w:r>
      <w:r>
        <w:rPr>
          <w:rStyle w:val="Hyperlink"/>
          <w:rFonts w:cs="Arial"/>
        </w:rPr>
        <w:t>rk: Minimum standards and quality p</w:t>
      </w:r>
      <w:r w:rsidRPr="001A567D">
        <w:rPr>
          <w:rStyle w:val="Hyperlink"/>
          <w:rFonts w:cs="Arial"/>
        </w:rPr>
        <w:t>ractice: No To Violence (2005</w:t>
      </w:r>
      <w:r w:rsidRPr="001A567D">
        <w:rPr>
          <w:rStyle w:val="Hyperlink"/>
        </w:rPr>
        <w:t>)</w:t>
      </w:r>
      <w:r>
        <w:rPr>
          <w:rStyle w:val="Hyperlink"/>
        </w:rPr>
        <w:fldChar w:fldCharType="end"/>
      </w:r>
      <w:r>
        <w:rPr>
          <w:rFonts w:cs="Arial"/>
        </w:rPr>
        <w:br/>
      </w:r>
      <w:r w:rsidRPr="00415F5D">
        <w:t>&lt;</w:t>
      </w:r>
      <w:r>
        <w:t>https://</w:t>
      </w:r>
      <w:r w:rsidRPr="00415F5D">
        <w:t>providers.dhhs.vic.gov.au/mens-behaviour-change-program&gt;</w:t>
      </w:r>
    </w:p>
    <w:p w14:paraId="1F66814B" w14:textId="77777777" w:rsidR="00433219" w:rsidRPr="00415F5D" w:rsidRDefault="00433219" w:rsidP="00433219">
      <w:pPr>
        <w:pStyle w:val="DHHSbullet1"/>
      </w:pPr>
      <w:hyperlink r:id="rId19" w:history="1">
        <w:r w:rsidRPr="00550983">
          <w:rPr>
            <w:rStyle w:val="Hyperlink"/>
            <w:rFonts w:cs="Arial"/>
          </w:rPr>
          <w:t>A framework for comprehensive assessment in men’s behaviour change programs (2009)</w:t>
        </w:r>
      </w:hyperlink>
      <w:r w:rsidRPr="00550983">
        <w:rPr>
          <w:rFonts w:cs="Arial"/>
        </w:rPr>
        <w:br/>
      </w:r>
      <w:r>
        <w:t>&lt;https://</w:t>
      </w:r>
      <w:r w:rsidRPr="00415F5D">
        <w:t>providers.dhhs.vic.gov.au/mens-behaviour-change-program&gt;</w:t>
      </w:r>
    </w:p>
    <w:p w14:paraId="3A7ACA6D" w14:textId="77777777" w:rsidR="00433219" w:rsidRPr="00415F5D" w:rsidRDefault="00433219" w:rsidP="00433219">
      <w:pPr>
        <w:pStyle w:val="DHHSbullet1"/>
      </w:pPr>
      <w:hyperlink r:id="rId20" w:history="1">
        <w:r w:rsidRPr="00550983">
          <w:rPr>
            <w:rStyle w:val="Hyperlink"/>
            <w:rFonts w:cs="Arial"/>
          </w:rPr>
          <w:t>Enhancing access to men’s behaviour change programs: Service intake and practice guide (2009)</w:t>
        </w:r>
      </w:hyperlink>
      <w:r w:rsidRPr="00550983">
        <w:rPr>
          <w:rFonts w:cs="Arial"/>
        </w:rPr>
        <w:br/>
      </w:r>
      <w:r>
        <w:t>&lt;https://</w:t>
      </w:r>
      <w:r w:rsidRPr="00415F5D">
        <w:t>providers.dhhs.vic.gov.au/mens-behaviour-change-program&gt;</w:t>
      </w:r>
    </w:p>
    <w:p w14:paraId="13B48992" w14:textId="77777777" w:rsidR="00433219" w:rsidRDefault="00433219" w:rsidP="00433219">
      <w:pPr>
        <w:pStyle w:val="DHHSbullet1"/>
      </w:pPr>
      <w:hyperlink r:id="rId21" w:history="1">
        <w:r>
          <w:rPr>
            <w:rStyle w:val="Hyperlink"/>
            <w:rFonts w:cs="Arial"/>
          </w:rPr>
          <w:t>Assessing children and young people experiencing family violence: A practice guide for family violence practitioners</w:t>
        </w:r>
      </w:hyperlink>
      <w:bookmarkStart w:id="6" w:name="_GoBack"/>
      <w:bookmarkEnd w:id="6"/>
      <w:r>
        <w:rPr>
          <w:rFonts w:cs="Arial"/>
        </w:rPr>
        <w:br/>
        <w:t>&lt;</w:t>
      </w:r>
      <w:r w:rsidRPr="0060595E">
        <w:rPr>
          <w:rFonts w:cs="Arial"/>
        </w:rPr>
        <w:t>https://providers.dhhs.vic.gov.au/assessing-children-and-young-people-experiencing-family-violence-practice-guide-word</w:t>
      </w:r>
      <w:r>
        <w:rPr>
          <w:rFonts w:cs="Arial"/>
        </w:rPr>
        <w:t>&gt;</w:t>
      </w:r>
    </w:p>
    <w:p w14:paraId="100E74F1" w14:textId="77777777" w:rsidR="00433219" w:rsidRPr="00550983" w:rsidRDefault="00433219" w:rsidP="00433219">
      <w:pPr>
        <w:pStyle w:val="DHHSbullet1"/>
        <w:rPr>
          <w:rFonts w:cs="Arial"/>
        </w:rPr>
      </w:pPr>
      <w:hyperlink r:id="rId22" w:history="1">
        <w:r w:rsidRPr="00550983">
          <w:rPr>
            <w:rStyle w:val="Hyperlink"/>
            <w:rFonts w:cs="Arial"/>
          </w:rPr>
          <w:t>Family violence risk assessment and risk management framework and practice guides 1-3</w:t>
        </w:r>
      </w:hyperlink>
      <w:r>
        <w:rPr>
          <w:rFonts w:cs="Arial"/>
        </w:rPr>
        <w:br/>
      </w:r>
      <w:r>
        <w:t>&lt;https://providers.dhhs.vic.gov.au/family-violence-risk-assessment-and-risk-management-framework&gt;</w:t>
      </w:r>
    </w:p>
    <w:p w14:paraId="15A8FF4B" w14:textId="77777777" w:rsidR="00433219" w:rsidRDefault="00433219" w:rsidP="00433219">
      <w:pPr>
        <w:pStyle w:val="DHHSbullet1"/>
      </w:pPr>
      <w:hyperlink r:id="rId23" w:history="1">
        <w:r w:rsidRPr="006B1614">
          <w:rPr>
            <w:rStyle w:val="Hyperlink"/>
          </w:rPr>
          <w:t>Code of Practice for Specialist Family Violence Services for Women and Children</w:t>
        </w:r>
      </w:hyperlink>
      <w:r w:rsidRPr="006B1614">
        <w:br/>
      </w:r>
      <w:r>
        <w:t>&lt;</w:t>
      </w:r>
      <w:r w:rsidRPr="00BE0BA4">
        <w:t>https://dhhs.vic.gov.au/code-practice-specialist-family-violence-services-women-and-children</w:t>
      </w:r>
      <w:r>
        <w:t>&gt;</w:t>
      </w:r>
    </w:p>
    <w:p w14:paraId="0F56AD80" w14:textId="77777777" w:rsidR="00433219" w:rsidRDefault="00433219" w:rsidP="00433219">
      <w:pPr>
        <w:pStyle w:val="DHHSbullet1"/>
      </w:pPr>
      <w:hyperlink r:id="rId24" w:history="1">
        <w:r w:rsidRPr="006B1614">
          <w:rPr>
            <w:rStyle w:val="Hyperlink"/>
            <w:rFonts w:cs="Arial"/>
          </w:rPr>
          <w:t>Guideline: Family violence services and accommodation: Complying with the Equal Opportunity Act 2010</w:t>
        </w:r>
      </w:hyperlink>
      <w:r>
        <w:rPr>
          <w:rFonts w:cs="Arial"/>
        </w:rPr>
        <w:br/>
        <w:t>&lt;http://www.humanrightscommission.vic.gov.au/home/our-resources-and-publications/eoa-practice-guidelines&gt;</w:t>
      </w:r>
    </w:p>
    <w:p w14:paraId="0B4AC565" w14:textId="77777777" w:rsidR="00433219" w:rsidRDefault="00433219" w:rsidP="00433219">
      <w:pPr>
        <w:pStyle w:val="DHHSbullet1"/>
        <w:rPr>
          <w:rStyle w:val="Strong"/>
          <w:b w:val="0"/>
          <w:bCs w:val="0"/>
        </w:rPr>
      </w:pPr>
      <w:hyperlink r:id="rId25" w:history="1">
        <w:r>
          <w:rPr>
            <w:rStyle w:val="Hyperlink"/>
          </w:rPr>
          <w:t>Family violence referral protocol between DHHS, Family Safety Victoria and Department of Justice and Regulation and Victoria Police 2018</w:t>
        </w:r>
      </w:hyperlink>
      <w:r>
        <w:rPr>
          <w:color w:val="3366FF"/>
          <w:u w:val="dotted"/>
        </w:rPr>
        <w:br/>
      </w:r>
      <w:r>
        <w:t>&lt;https://providers.dhhs.vic.gov.au/family-violence-referral-protocol-between-dhhs-family-safety-victoria-and-department-justice-and&gt;</w:t>
      </w:r>
    </w:p>
    <w:p w14:paraId="2F2B2FDF" w14:textId="77777777" w:rsidR="00575BC9" w:rsidRPr="00575BC9" w:rsidRDefault="00DF6BAF" w:rsidP="009F24E6">
      <w:pPr>
        <w:pStyle w:val="Heading1"/>
      </w:pPr>
      <w:r>
        <w:t>5</w:t>
      </w:r>
      <w:r w:rsidR="00575BC9">
        <w:t xml:space="preserve">. </w:t>
      </w:r>
      <w:bookmarkEnd w:id="2"/>
      <w:bookmarkEnd w:id="3"/>
      <w:bookmarkEnd w:id="4"/>
      <w:bookmarkEnd w:id="5"/>
      <w:r w:rsidR="0017293C">
        <w:t>Performance</w:t>
      </w:r>
    </w:p>
    <w:p w14:paraId="26D852D5" w14:textId="77777777" w:rsidR="00575BC9" w:rsidRPr="001F1A17" w:rsidRDefault="00E05E8D" w:rsidP="009F24E6">
      <w:pPr>
        <w:pStyle w:val="DHHSbody"/>
      </w:pPr>
      <w:r>
        <w:t>Funding is subject to</w:t>
      </w:r>
      <w:r w:rsidR="0017293C">
        <w:t xml:space="preserve"> achieving</w:t>
      </w:r>
      <w:r>
        <w:t xml:space="preserve"> the</w:t>
      </w:r>
      <w:r w:rsidR="00575BC9" w:rsidRPr="00171F04">
        <w:t xml:space="preserve"> </w:t>
      </w:r>
      <w:r w:rsidR="00895643">
        <w:t xml:space="preserve">performance </w:t>
      </w:r>
      <w:r>
        <w:t xml:space="preserve">targets </w:t>
      </w:r>
      <w:r w:rsidR="00895643">
        <w:t xml:space="preserve">specified in </w:t>
      </w:r>
      <w:r w:rsidR="00575BC9">
        <w:t>Schedule 2 of the Service Agreement</w:t>
      </w:r>
      <w:r w:rsidR="00895643">
        <w:t>.</w:t>
      </w:r>
      <w:r w:rsidR="006C7A1F">
        <w:t xml:space="preserve"> </w:t>
      </w:r>
      <w:r>
        <w:t xml:space="preserve">Performance is measured as follows:  </w:t>
      </w:r>
    </w:p>
    <w:p w14:paraId="53EE8088" w14:textId="77777777" w:rsidR="00575BC9" w:rsidRPr="000E2F2F" w:rsidRDefault="00E05E8D" w:rsidP="009F24E6">
      <w:pPr>
        <w:pStyle w:val="Heading2"/>
        <w:rPr>
          <w:color w:val="FF0000"/>
        </w:rPr>
      </w:pPr>
      <w:r>
        <w:t>Key performance measure</w:t>
      </w:r>
      <w:r w:rsidR="009F24E6">
        <w:t xml:space="preserve"> 1</w:t>
      </w:r>
      <w:r w:rsidR="00575BC9" w:rsidRPr="00575BC9">
        <w:t xml:space="preserve">: </w:t>
      </w:r>
      <w:r w:rsidR="00E74D0B" w:rsidRPr="006E0AEE">
        <w:rPr>
          <w:rFonts w:eastAsia="Times"/>
        </w:rPr>
        <w:t>Number of new cases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FF69F5" w:rsidRPr="00C237A0" w14:paraId="7E746006" w14:textId="77777777" w:rsidTr="009F24E6">
        <w:trPr>
          <w:cantSplit/>
          <w:trHeight w:hRule="exact" w:val="744"/>
        </w:trPr>
        <w:tc>
          <w:tcPr>
            <w:tcW w:w="2835" w:type="dxa"/>
          </w:tcPr>
          <w:p w14:paraId="7FC5C25C" w14:textId="77777777" w:rsidR="00FF69F5" w:rsidRPr="0017293C" w:rsidRDefault="00FF69F5" w:rsidP="0017293C">
            <w:pPr>
              <w:pStyle w:val="DHHStablecolhead"/>
            </w:pPr>
            <w:r w:rsidRPr="00575BC9">
              <w:t>Aim/objective</w:t>
            </w:r>
          </w:p>
        </w:tc>
        <w:tc>
          <w:tcPr>
            <w:tcW w:w="7379" w:type="dxa"/>
          </w:tcPr>
          <w:p w14:paraId="60BE4545" w14:textId="77777777" w:rsidR="00FF69F5" w:rsidRPr="003A326F" w:rsidRDefault="00FF69F5" w:rsidP="002E5C66">
            <w:pPr>
              <w:pStyle w:val="DHHStabletext"/>
            </w:pPr>
            <w:r>
              <w:t>The aim of this performance measure is t</w:t>
            </w:r>
            <w:r w:rsidRPr="003A326F">
              <w:t xml:space="preserve">o </w:t>
            </w:r>
            <w:r>
              <w:t>monitor the number of new cases of support.</w:t>
            </w:r>
          </w:p>
        </w:tc>
      </w:tr>
      <w:tr w:rsidR="00035D3B" w:rsidRPr="00C237A0" w14:paraId="01FDB6A6" w14:textId="77777777" w:rsidTr="009F24E6">
        <w:trPr>
          <w:cantSplit/>
          <w:trHeight w:hRule="exact" w:val="340"/>
        </w:trPr>
        <w:tc>
          <w:tcPr>
            <w:tcW w:w="2835" w:type="dxa"/>
          </w:tcPr>
          <w:p w14:paraId="5194BEF7" w14:textId="77777777" w:rsidR="00035D3B" w:rsidRPr="0017293C" w:rsidRDefault="00035D3B" w:rsidP="0017293C">
            <w:pPr>
              <w:pStyle w:val="DHHStablecolhead"/>
            </w:pPr>
            <w:r w:rsidRPr="00575BC9">
              <w:t>Target</w:t>
            </w:r>
          </w:p>
        </w:tc>
        <w:tc>
          <w:tcPr>
            <w:tcW w:w="7379" w:type="dxa"/>
          </w:tcPr>
          <w:p w14:paraId="526EDC13" w14:textId="77777777" w:rsidR="00035D3B" w:rsidRPr="0091599A" w:rsidRDefault="009F24E6" w:rsidP="002E5C66">
            <w:pPr>
              <w:pStyle w:val="DHHStabletext"/>
            </w:pPr>
            <w:r>
              <w:t>The performance measure is p</w:t>
            </w:r>
            <w:r w:rsidR="00035D3B">
              <w:t xml:space="preserve">rovided in </w:t>
            </w:r>
            <w:r>
              <w:t xml:space="preserve">the </w:t>
            </w:r>
            <w:r w:rsidR="00035D3B">
              <w:t>Service Agreement.</w:t>
            </w:r>
          </w:p>
        </w:tc>
      </w:tr>
      <w:tr w:rsidR="00B8690F" w:rsidRPr="00C237A0" w14:paraId="5554C29B" w14:textId="77777777" w:rsidTr="009F24E6">
        <w:trPr>
          <w:cantSplit/>
          <w:trHeight w:hRule="exact" w:val="340"/>
        </w:trPr>
        <w:tc>
          <w:tcPr>
            <w:tcW w:w="2835" w:type="dxa"/>
          </w:tcPr>
          <w:p w14:paraId="7D54A770" w14:textId="77777777" w:rsidR="00B8690F" w:rsidRPr="0017293C" w:rsidRDefault="00B8690F" w:rsidP="0017293C">
            <w:pPr>
              <w:pStyle w:val="DHHStablecolhead"/>
            </w:pPr>
            <w:r w:rsidRPr="00575BC9">
              <w:t>Type of count</w:t>
            </w:r>
          </w:p>
        </w:tc>
        <w:tc>
          <w:tcPr>
            <w:tcW w:w="7379" w:type="dxa"/>
          </w:tcPr>
          <w:p w14:paraId="33A8692E" w14:textId="33894F80" w:rsidR="00B8690F" w:rsidRDefault="00B8690F" w:rsidP="0017293C">
            <w:pPr>
              <w:pStyle w:val="DHHStabletext"/>
              <w:spacing w:before="0" w:after="0"/>
            </w:pPr>
            <w:bookmarkStart w:id="7" w:name="Check2"/>
            <w:bookmarkEnd w:id="7"/>
            <w:r>
              <w:rPr>
                <w:color w:val="7030A0"/>
              </w:rPr>
              <w:t xml:space="preserve"> </w:t>
            </w:r>
            <w:r>
              <w:t xml:space="preserve">Cumulative          </w:t>
            </w:r>
            <w:r>
              <w:rPr>
                <w:color w:val="7030A0"/>
              </w:rPr>
              <w:t xml:space="preserve"> </w:t>
            </w:r>
          </w:p>
          <w:p w14:paraId="5ED7CD12" w14:textId="77777777" w:rsidR="00A02D2C" w:rsidRPr="00A02D2C" w:rsidRDefault="00A02D2C" w:rsidP="00A02D2C">
            <w:pPr>
              <w:rPr>
                <w:lang w:eastAsia="en-US"/>
              </w:rPr>
            </w:pPr>
          </w:p>
          <w:p w14:paraId="17E310B2" w14:textId="77777777" w:rsidR="00A02D2C" w:rsidRPr="00A02D2C" w:rsidRDefault="00A02D2C" w:rsidP="00A02D2C">
            <w:pPr>
              <w:rPr>
                <w:lang w:eastAsia="en-US"/>
              </w:rPr>
            </w:pPr>
          </w:p>
          <w:p w14:paraId="7D043861" w14:textId="77777777" w:rsidR="00A02D2C" w:rsidRPr="00A02D2C" w:rsidRDefault="00A02D2C" w:rsidP="00A02D2C">
            <w:pPr>
              <w:rPr>
                <w:lang w:eastAsia="en-US"/>
              </w:rPr>
            </w:pPr>
          </w:p>
          <w:p w14:paraId="25F3D887" w14:textId="77777777" w:rsidR="00A02D2C" w:rsidRPr="00A02D2C" w:rsidRDefault="00A02D2C" w:rsidP="00A02D2C">
            <w:pPr>
              <w:rPr>
                <w:lang w:eastAsia="en-US"/>
              </w:rPr>
            </w:pPr>
          </w:p>
          <w:p w14:paraId="16C66D1E" w14:textId="4D0A2DE7" w:rsidR="00A02D2C" w:rsidRPr="00A02D2C" w:rsidRDefault="000170DB" w:rsidP="000170DB">
            <w:pPr>
              <w:tabs>
                <w:tab w:val="left" w:pos="2540"/>
              </w:tabs>
              <w:rPr>
                <w:lang w:eastAsia="en-US"/>
              </w:rPr>
            </w:pPr>
            <w:r>
              <w:rPr>
                <w:lang w:eastAsia="en-US"/>
              </w:rPr>
              <w:tab/>
            </w:r>
          </w:p>
        </w:tc>
      </w:tr>
      <w:tr w:rsidR="00F7130B" w:rsidRPr="00C237A0" w14:paraId="72AFFB05" w14:textId="77777777" w:rsidTr="009F24E6">
        <w:trPr>
          <w:cantSplit/>
          <w:trHeight w:hRule="exact" w:val="4640"/>
        </w:trPr>
        <w:tc>
          <w:tcPr>
            <w:tcW w:w="2835" w:type="dxa"/>
          </w:tcPr>
          <w:p w14:paraId="2FBAA2AE" w14:textId="77777777" w:rsidR="00F7130B" w:rsidRPr="0017293C" w:rsidRDefault="00F7130B" w:rsidP="0017293C">
            <w:pPr>
              <w:pStyle w:val="DHHStablecolhead"/>
            </w:pPr>
            <w:r w:rsidRPr="00575BC9">
              <w:lastRenderedPageBreak/>
              <w:t>Counting rule</w:t>
            </w:r>
          </w:p>
        </w:tc>
        <w:tc>
          <w:tcPr>
            <w:tcW w:w="7379" w:type="dxa"/>
          </w:tcPr>
          <w:p w14:paraId="25FFB60B" w14:textId="77777777" w:rsidR="00F7130B" w:rsidRDefault="00F7130B" w:rsidP="002E5C66">
            <w:pPr>
              <w:pStyle w:val="DHHStabletext"/>
            </w:pPr>
            <w:r w:rsidRPr="00C07EB9">
              <w:t>Count the number of new c</w:t>
            </w:r>
            <w:r>
              <w:t xml:space="preserve">ases that are opened during the reporting period. </w:t>
            </w:r>
          </w:p>
          <w:p w14:paraId="5DF78CC0" w14:textId="77777777" w:rsidR="00F7130B" w:rsidRPr="007C05D6" w:rsidRDefault="00F7130B" w:rsidP="002E5C66">
            <w:pPr>
              <w:pStyle w:val="DHHStabletext"/>
              <w:rPr>
                <w:color w:val="000000"/>
              </w:rPr>
            </w:pPr>
            <w:r>
              <w:rPr>
                <w:color w:val="000000"/>
              </w:rPr>
              <w:t>The counting rule seeks to capture new instances where support is provided to a person.</w:t>
            </w:r>
          </w:p>
          <w:p w14:paraId="7CDF89E6" w14:textId="77777777" w:rsidR="00F7130B" w:rsidRDefault="00F7130B" w:rsidP="002E5C66">
            <w:pPr>
              <w:pStyle w:val="DHHStabletext"/>
              <w:rPr>
                <w:color w:val="000000"/>
              </w:rPr>
            </w:pPr>
            <w:r>
              <w:rPr>
                <w:color w:val="000000"/>
              </w:rPr>
              <w:t xml:space="preserve">A new case is counted when a client receives services from a service provider for the first time within the </w:t>
            </w:r>
            <w:r w:rsidRPr="00386038">
              <w:rPr>
                <w:color w:val="000000"/>
              </w:rPr>
              <w:t>past three months</w:t>
            </w:r>
            <w:r>
              <w:rPr>
                <w:color w:val="000000"/>
              </w:rPr>
              <w:t>.</w:t>
            </w:r>
          </w:p>
          <w:p w14:paraId="26BA28D4" w14:textId="77777777" w:rsidR="00F7130B" w:rsidRDefault="00F7130B" w:rsidP="002E5C66">
            <w:pPr>
              <w:pStyle w:val="DHHStabletext"/>
              <w:rPr>
                <w:color w:val="000000"/>
              </w:rPr>
            </w:pPr>
            <w:r>
              <w:rPr>
                <w:color w:val="000000"/>
              </w:rPr>
              <w:t>When to count a new case:</w:t>
            </w:r>
          </w:p>
          <w:p w14:paraId="4EBD12A0" w14:textId="77777777" w:rsidR="00F7130B" w:rsidRDefault="00F7130B" w:rsidP="002E5C66">
            <w:pPr>
              <w:pStyle w:val="DHHStablebullet"/>
              <w:numPr>
                <w:ilvl w:val="6"/>
                <w:numId w:val="1"/>
              </w:numPr>
            </w:pPr>
            <w:r>
              <w:t>when a client receives services from this service provider for the first time</w:t>
            </w:r>
          </w:p>
          <w:p w14:paraId="46805426" w14:textId="77777777" w:rsidR="00F7130B" w:rsidRDefault="00F7130B" w:rsidP="002E5C66">
            <w:pPr>
              <w:pStyle w:val="DHHStablebullet"/>
              <w:numPr>
                <w:ilvl w:val="6"/>
                <w:numId w:val="1"/>
              </w:numPr>
            </w:pPr>
            <w:r>
              <w:t xml:space="preserve">when a client presents for services after a previous case has been closed </w:t>
            </w:r>
          </w:p>
          <w:p w14:paraId="44290F58" w14:textId="77777777" w:rsidR="00F7130B" w:rsidRPr="00386038" w:rsidRDefault="00F7130B" w:rsidP="002E5C66">
            <w:pPr>
              <w:pStyle w:val="DHHStablebullet"/>
              <w:numPr>
                <w:ilvl w:val="6"/>
                <w:numId w:val="1"/>
              </w:numPr>
            </w:pPr>
            <w:proofErr w:type="gramStart"/>
            <w:r w:rsidRPr="00386038">
              <w:t>when</w:t>
            </w:r>
            <w:proofErr w:type="gramEnd"/>
            <w:r w:rsidRPr="00386038">
              <w:t xml:space="preserve"> a client presents for servic</w:t>
            </w:r>
            <w:r>
              <w:t>es relating to the same incident</w:t>
            </w:r>
            <w:r w:rsidRPr="00386038">
              <w:t>, but has not received services from this service provider for three months or more.</w:t>
            </w:r>
          </w:p>
          <w:p w14:paraId="763E7F21" w14:textId="77777777" w:rsidR="00F7130B" w:rsidRDefault="00F7130B" w:rsidP="002E5C66">
            <w:pPr>
              <w:pStyle w:val="DHHStabletext"/>
              <w:rPr>
                <w:color w:val="000000"/>
              </w:rPr>
            </w:pPr>
            <w:r>
              <w:rPr>
                <w:color w:val="000000"/>
              </w:rPr>
              <w:t xml:space="preserve">When </w:t>
            </w:r>
            <w:r w:rsidRPr="007C05D6">
              <w:rPr>
                <w:b/>
                <w:color w:val="000000"/>
              </w:rPr>
              <w:t>not</w:t>
            </w:r>
            <w:r>
              <w:rPr>
                <w:color w:val="000000"/>
              </w:rPr>
              <w:t xml:space="preserve"> to count a new case:</w:t>
            </w:r>
          </w:p>
          <w:p w14:paraId="569FFEDC" w14:textId="77777777" w:rsidR="00F7130B" w:rsidRPr="00386038" w:rsidRDefault="00F7130B" w:rsidP="002E5C66">
            <w:pPr>
              <w:pStyle w:val="DHHStablebullet"/>
              <w:numPr>
                <w:ilvl w:val="6"/>
                <w:numId w:val="1"/>
              </w:numPr>
            </w:pPr>
            <w:r>
              <w:t xml:space="preserve">when the client has received the same service from the service provider relating to the same incident within the </w:t>
            </w:r>
            <w:r w:rsidRPr="00386038">
              <w:t>last three months</w:t>
            </w:r>
          </w:p>
          <w:p w14:paraId="53013116" w14:textId="77777777" w:rsidR="00F7130B" w:rsidRDefault="00F7130B" w:rsidP="002E5C66">
            <w:pPr>
              <w:pStyle w:val="DHHStablebullet"/>
              <w:numPr>
                <w:ilvl w:val="6"/>
                <w:numId w:val="1"/>
              </w:numPr>
            </w:pPr>
            <w:r>
              <w:t xml:space="preserve">when an existing case carries over into a new financial or calendar year </w:t>
            </w:r>
          </w:p>
          <w:p w14:paraId="6FC4F9CC" w14:textId="77777777" w:rsidR="00F7130B" w:rsidRPr="00890F96" w:rsidRDefault="00F7130B" w:rsidP="002E5C66">
            <w:pPr>
              <w:pStyle w:val="DHHStablebullet"/>
              <w:numPr>
                <w:ilvl w:val="6"/>
                <w:numId w:val="1"/>
              </w:numPr>
            </w:pPr>
            <w:r>
              <w:t>when an existing case carries over into a new month.</w:t>
            </w:r>
          </w:p>
        </w:tc>
      </w:tr>
      <w:tr w:rsidR="00F7130B" w:rsidRPr="00C237A0" w14:paraId="59843896" w14:textId="77777777" w:rsidTr="009F24E6">
        <w:trPr>
          <w:cantSplit/>
          <w:trHeight w:hRule="exact" w:val="727"/>
        </w:trPr>
        <w:tc>
          <w:tcPr>
            <w:tcW w:w="2835" w:type="dxa"/>
          </w:tcPr>
          <w:p w14:paraId="643DEF04" w14:textId="77777777" w:rsidR="00F7130B" w:rsidRPr="0017293C" w:rsidRDefault="00F7130B" w:rsidP="0017293C">
            <w:pPr>
              <w:pStyle w:val="DHHStablecolhead"/>
            </w:pPr>
            <w:r w:rsidRPr="00575BC9">
              <w:t>Data source(s) collection</w:t>
            </w:r>
          </w:p>
        </w:tc>
        <w:tc>
          <w:tcPr>
            <w:tcW w:w="7379" w:type="dxa"/>
          </w:tcPr>
          <w:p w14:paraId="37076490" w14:textId="77777777" w:rsidR="00F7130B" w:rsidRDefault="00F7130B" w:rsidP="002E5C66">
            <w:pPr>
              <w:pStyle w:val="DHHStabletext"/>
            </w:pPr>
            <w:r w:rsidRPr="00890F96">
              <w:t xml:space="preserve">Integrated Reports </w:t>
            </w:r>
            <w:r>
              <w:t>and</w:t>
            </w:r>
            <w:r w:rsidRPr="00890F96">
              <w:t xml:space="preserve"> Information System (IRIS)</w:t>
            </w:r>
            <w:r>
              <w:t xml:space="preserve"> </w:t>
            </w:r>
          </w:p>
          <w:p w14:paraId="31A9C8AC" w14:textId="77777777" w:rsidR="00F7130B" w:rsidRPr="00890F96" w:rsidRDefault="00F7130B" w:rsidP="002E5C66">
            <w:pPr>
              <w:pStyle w:val="DHHStabletext"/>
            </w:pPr>
            <w:r>
              <w:t>Service delivery tracking</w:t>
            </w:r>
          </w:p>
        </w:tc>
      </w:tr>
      <w:tr w:rsidR="00FF69F5" w:rsidRPr="00C237A0" w14:paraId="3976FB7E" w14:textId="77777777" w:rsidTr="00433219">
        <w:trPr>
          <w:cantSplit/>
          <w:trHeight w:hRule="exact" w:val="1299"/>
        </w:trPr>
        <w:tc>
          <w:tcPr>
            <w:tcW w:w="2835" w:type="dxa"/>
          </w:tcPr>
          <w:p w14:paraId="407BC4FC" w14:textId="77777777" w:rsidR="00FF69F5" w:rsidRPr="0017293C" w:rsidRDefault="00FF69F5" w:rsidP="0017293C">
            <w:pPr>
              <w:pStyle w:val="DHHStablecolhead"/>
            </w:pPr>
            <w:r w:rsidRPr="00575BC9">
              <w:t>Definition of terms</w:t>
            </w:r>
          </w:p>
        </w:tc>
        <w:tc>
          <w:tcPr>
            <w:tcW w:w="7379" w:type="dxa"/>
          </w:tcPr>
          <w:p w14:paraId="1B3F10BD" w14:textId="77777777" w:rsidR="00433219" w:rsidRPr="00AF112A" w:rsidRDefault="00433219" w:rsidP="00433219">
            <w:pPr>
              <w:pStyle w:val="DHHStabletext"/>
            </w:pPr>
            <w:proofErr w:type="gramStart"/>
            <w:r w:rsidRPr="00AF112A">
              <w:t>Clients refers</w:t>
            </w:r>
            <w:proofErr w:type="gramEnd"/>
            <w:r w:rsidRPr="00AF112A">
              <w:t xml:space="preserve"> to men who use family violence towards family members and receive a service from a men’s family violence service.</w:t>
            </w:r>
          </w:p>
          <w:p w14:paraId="7A5C13F8" w14:textId="5D71D037" w:rsidR="00FF69F5" w:rsidRPr="003A326F" w:rsidRDefault="00433219" w:rsidP="00433219">
            <w:pPr>
              <w:pStyle w:val="DHHStabletext"/>
            </w:pPr>
            <w:r w:rsidRPr="00AF112A">
              <w:t xml:space="preserve">The receipt of a service during the reporting period is defined as having provided at least one hour of continuous service to </w:t>
            </w:r>
            <w:r>
              <w:t xml:space="preserve">the client during the reporting </w:t>
            </w:r>
            <w:r w:rsidRPr="00AF112A">
              <w:t>period.</w:t>
            </w:r>
          </w:p>
        </w:tc>
      </w:tr>
    </w:tbl>
    <w:p w14:paraId="249AE7EB" w14:textId="77777777" w:rsidR="00575BC9" w:rsidRPr="00575BC9" w:rsidRDefault="00DF6BAF" w:rsidP="009F24E6">
      <w:pPr>
        <w:pStyle w:val="Heading1"/>
      </w:pPr>
      <w:r>
        <w:t>6</w:t>
      </w:r>
      <w:r w:rsidR="00575BC9">
        <w:t>. Data collection</w:t>
      </w:r>
    </w:p>
    <w:p w14:paraId="65BFDF5C" w14:textId="77777777" w:rsidR="00575BC9" w:rsidRDefault="00A11FC5" w:rsidP="009F24E6">
      <w:pPr>
        <w:pStyle w:val="DHHSbody"/>
      </w:pPr>
      <w:r>
        <w:t>The r</w:t>
      </w:r>
      <w:r w:rsidR="0087683C">
        <w:t>eporting requirements for this service</w:t>
      </w:r>
      <w:r>
        <w:t xml:space="preserve"> are: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551"/>
        <w:gridCol w:w="2552"/>
        <w:gridCol w:w="2551"/>
      </w:tblGrid>
      <w:tr w:rsidR="00575BC9" w:rsidRPr="00045493" w14:paraId="4E397C04" w14:textId="77777777" w:rsidTr="006E0AEE">
        <w:trPr>
          <w:trHeight w:hRule="exact" w:val="340"/>
          <w:tblHeader/>
        </w:trPr>
        <w:tc>
          <w:tcPr>
            <w:tcW w:w="2552" w:type="dxa"/>
            <w:vAlign w:val="center"/>
          </w:tcPr>
          <w:p w14:paraId="0CE8C715" w14:textId="77777777" w:rsidR="00575BC9" w:rsidRPr="00575BC9" w:rsidRDefault="00575BC9" w:rsidP="0017293C">
            <w:pPr>
              <w:pStyle w:val="DHHStablecolhead"/>
              <w:spacing w:before="0" w:after="0"/>
            </w:pPr>
            <w:r w:rsidRPr="00575BC9">
              <w:t>Data collection name</w:t>
            </w:r>
          </w:p>
        </w:tc>
        <w:tc>
          <w:tcPr>
            <w:tcW w:w="2551" w:type="dxa"/>
            <w:vAlign w:val="center"/>
          </w:tcPr>
          <w:p w14:paraId="592A315E" w14:textId="77777777" w:rsidR="00575BC9" w:rsidRPr="00575BC9" w:rsidRDefault="00575BC9" w:rsidP="0017293C">
            <w:pPr>
              <w:pStyle w:val="DHHStablecolhead"/>
              <w:spacing w:before="0" w:after="0"/>
            </w:pPr>
            <w:r w:rsidRPr="00575BC9">
              <w:t xml:space="preserve">Data system </w:t>
            </w:r>
          </w:p>
        </w:tc>
        <w:tc>
          <w:tcPr>
            <w:tcW w:w="2552" w:type="dxa"/>
            <w:vAlign w:val="center"/>
          </w:tcPr>
          <w:p w14:paraId="42B4BA97" w14:textId="77777777" w:rsidR="00575BC9" w:rsidRPr="00575BC9" w:rsidRDefault="00575BC9" w:rsidP="0017293C">
            <w:pPr>
              <w:pStyle w:val="DHHStablecolhead"/>
              <w:spacing w:before="0" w:after="0"/>
            </w:pPr>
            <w:r w:rsidRPr="00575BC9">
              <w:t xml:space="preserve">Data set </w:t>
            </w:r>
          </w:p>
        </w:tc>
        <w:tc>
          <w:tcPr>
            <w:tcW w:w="2551" w:type="dxa"/>
            <w:vAlign w:val="center"/>
          </w:tcPr>
          <w:p w14:paraId="2A670BB9" w14:textId="77777777" w:rsidR="00575BC9" w:rsidRPr="00575BC9" w:rsidRDefault="00575BC9" w:rsidP="0017293C">
            <w:pPr>
              <w:pStyle w:val="DHHStablecolhead"/>
              <w:spacing w:before="0" w:after="0"/>
            </w:pPr>
            <w:r w:rsidRPr="00575BC9">
              <w:t>Reporting cycle</w:t>
            </w:r>
          </w:p>
        </w:tc>
      </w:tr>
      <w:tr w:rsidR="00E74D0B" w:rsidRPr="00884FC0" w14:paraId="3AA023B2" w14:textId="77777777" w:rsidTr="006E0AEE">
        <w:tblPrEx>
          <w:tblLook w:val="01E0" w:firstRow="1" w:lastRow="1" w:firstColumn="1" w:lastColumn="1" w:noHBand="0" w:noVBand="0"/>
        </w:tblPrEx>
        <w:trPr>
          <w:cantSplit/>
          <w:trHeight w:val="20"/>
        </w:trPr>
        <w:tc>
          <w:tcPr>
            <w:tcW w:w="2552" w:type="dxa"/>
            <w:tcBorders>
              <w:top w:val="single" w:sz="4" w:space="0" w:color="auto"/>
              <w:left w:val="single" w:sz="4" w:space="0" w:color="auto"/>
              <w:bottom w:val="single" w:sz="4" w:space="0" w:color="auto"/>
              <w:right w:val="single" w:sz="4" w:space="0" w:color="auto"/>
            </w:tcBorders>
          </w:tcPr>
          <w:p w14:paraId="0E578E0E" w14:textId="77777777" w:rsidR="00E74D0B" w:rsidRPr="005C09D1" w:rsidDel="00326E44" w:rsidRDefault="00E74D0B" w:rsidP="002E5C66">
            <w:pPr>
              <w:pStyle w:val="DHHStabletext"/>
              <w:rPr>
                <w:b/>
              </w:rPr>
            </w:pPr>
            <w:r w:rsidRPr="005C09D1">
              <w:t xml:space="preserve">Family </w:t>
            </w:r>
            <w:r>
              <w:t>v</w:t>
            </w:r>
            <w:r w:rsidRPr="005C09D1">
              <w:t>iolence</w:t>
            </w:r>
          </w:p>
        </w:tc>
        <w:tc>
          <w:tcPr>
            <w:tcW w:w="2551" w:type="dxa"/>
            <w:tcBorders>
              <w:top w:val="single" w:sz="4" w:space="0" w:color="auto"/>
              <w:left w:val="single" w:sz="4" w:space="0" w:color="auto"/>
              <w:bottom w:val="single" w:sz="4" w:space="0" w:color="auto"/>
              <w:right w:val="single" w:sz="4" w:space="0" w:color="auto"/>
            </w:tcBorders>
          </w:tcPr>
          <w:p w14:paraId="4FF17871" w14:textId="77777777" w:rsidR="00E74D0B" w:rsidRPr="005C09D1" w:rsidRDefault="00E74D0B" w:rsidP="002E5C66">
            <w:pPr>
              <w:pStyle w:val="DHHStabletext"/>
              <w:rPr>
                <w:b/>
              </w:rPr>
            </w:pPr>
            <w:r w:rsidRPr="005C09D1">
              <w:t>Integrated Reports and Information System (IRIS)</w:t>
            </w:r>
          </w:p>
        </w:tc>
        <w:tc>
          <w:tcPr>
            <w:tcW w:w="2552" w:type="dxa"/>
            <w:tcBorders>
              <w:top w:val="single" w:sz="4" w:space="0" w:color="auto"/>
              <w:left w:val="single" w:sz="4" w:space="0" w:color="auto"/>
              <w:bottom w:val="single" w:sz="4" w:space="0" w:color="auto"/>
              <w:right w:val="single" w:sz="4" w:space="0" w:color="auto"/>
            </w:tcBorders>
          </w:tcPr>
          <w:p w14:paraId="7DA65A38" w14:textId="77777777" w:rsidR="00E74D0B" w:rsidRPr="005C09D1" w:rsidRDefault="00E74D0B" w:rsidP="002E5C66">
            <w:pPr>
              <w:pStyle w:val="DHHStabletext"/>
              <w:rPr>
                <w:b/>
              </w:rPr>
            </w:pPr>
            <w:r w:rsidRPr="005C09D1">
              <w:t>IRIS family violence</w:t>
            </w:r>
          </w:p>
        </w:tc>
        <w:tc>
          <w:tcPr>
            <w:tcW w:w="2551" w:type="dxa"/>
            <w:tcBorders>
              <w:top w:val="single" w:sz="4" w:space="0" w:color="auto"/>
              <w:left w:val="single" w:sz="4" w:space="0" w:color="auto"/>
              <w:bottom w:val="single" w:sz="4" w:space="0" w:color="auto"/>
              <w:right w:val="single" w:sz="4" w:space="0" w:color="auto"/>
            </w:tcBorders>
          </w:tcPr>
          <w:p w14:paraId="71E00802" w14:textId="77777777" w:rsidR="00E74D0B" w:rsidRPr="005C09D1" w:rsidRDefault="00E74D0B" w:rsidP="002E5C66">
            <w:pPr>
              <w:pStyle w:val="DHHStabletext"/>
              <w:rPr>
                <w:b/>
              </w:rPr>
            </w:pPr>
            <w:r w:rsidRPr="005C09D1">
              <w:t>Monthly</w:t>
            </w:r>
          </w:p>
        </w:tc>
      </w:tr>
      <w:tr w:rsidR="00E74D0B" w:rsidRPr="00890F96" w14:paraId="2D10783B" w14:textId="77777777" w:rsidTr="006E0AEE">
        <w:tblPrEx>
          <w:tblLook w:val="01E0" w:firstRow="1" w:lastRow="1" w:firstColumn="1" w:lastColumn="1" w:noHBand="0" w:noVBand="0"/>
        </w:tblPrEx>
        <w:trPr>
          <w:cantSplit/>
          <w:trHeight w:val="20"/>
        </w:trPr>
        <w:tc>
          <w:tcPr>
            <w:tcW w:w="2552" w:type="dxa"/>
            <w:tcBorders>
              <w:top w:val="single" w:sz="4" w:space="0" w:color="auto"/>
              <w:left w:val="single" w:sz="4" w:space="0" w:color="auto"/>
              <w:bottom w:val="single" w:sz="4" w:space="0" w:color="auto"/>
              <w:right w:val="single" w:sz="4" w:space="0" w:color="auto"/>
            </w:tcBorders>
          </w:tcPr>
          <w:p w14:paraId="2C863DF4" w14:textId="77777777" w:rsidR="00E74D0B" w:rsidRPr="005C09D1" w:rsidRDefault="00E74D0B" w:rsidP="002E5C66">
            <w:pPr>
              <w:pStyle w:val="DHHStabletext"/>
              <w:rPr>
                <w:b/>
              </w:rPr>
            </w:pPr>
            <w:r w:rsidRPr="005C09D1">
              <w:t>Service delivery tracking (SDT)</w:t>
            </w:r>
          </w:p>
        </w:tc>
        <w:tc>
          <w:tcPr>
            <w:tcW w:w="2551" w:type="dxa"/>
            <w:tcBorders>
              <w:top w:val="single" w:sz="4" w:space="0" w:color="auto"/>
              <w:left w:val="single" w:sz="4" w:space="0" w:color="auto"/>
              <w:bottom w:val="single" w:sz="4" w:space="0" w:color="auto"/>
              <w:right w:val="single" w:sz="4" w:space="0" w:color="auto"/>
            </w:tcBorders>
          </w:tcPr>
          <w:p w14:paraId="35038EC3" w14:textId="77777777" w:rsidR="00E74D0B" w:rsidRPr="005C09D1" w:rsidRDefault="00E74D0B" w:rsidP="002E5C66">
            <w:pPr>
              <w:pStyle w:val="DHHStabletext"/>
              <w:rPr>
                <w:b/>
              </w:rPr>
            </w:pPr>
            <w:r w:rsidRPr="005C09D1">
              <w:t>FAC/SAMS2</w:t>
            </w:r>
          </w:p>
        </w:tc>
        <w:tc>
          <w:tcPr>
            <w:tcW w:w="2552" w:type="dxa"/>
            <w:tcBorders>
              <w:top w:val="single" w:sz="4" w:space="0" w:color="auto"/>
              <w:left w:val="single" w:sz="4" w:space="0" w:color="auto"/>
              <w:bottom w:val="single" w:sz="4" w:space="0" w:color="auto"/>
              <w:right w:val="single" w:sz="4" w:space="0" w:color="auto"/>
            </w:tcBorders>
          </w:tcPr>
          <w:p w14:paraId="64888F80" w14:textId="77777777" w:rsidR="00E74D0B" w:rsidRPr="005C09D1" w:rsidRDefault="00E74D0B" w:rsidP="002E5C66">
            <w:pPr>
              <w:pStyle w:val="DHHStabletext"/>
              <w:rPr>
                <w:b/>
              </w:rPr>
            </w:pPr>
            <w:r w:rsidRPr="005C09D1">
              <w:t>SAMS2/Service delivery tracking data set</w:t>
            </w:r>
          </w:p>
        </w:tc>
        <w:tc>
          <w:tcPr>
            <w:tcW w:w="2551" w:type="dxa"/>
            <w:tcBorders>
              <w:top w:val="single" w:sz="4" w:space="0" w:color="auto"/>
              <w:left w:val="single" w:sz="4" w:space="0" w:color="auto"/>
              <w:bottom w:val="single" w:sz="4" w:space="0" w:color="auto"/>
              <w:right w:val="single" w:sz="4" w:space="0" w:color="auto"/>
            </w:tcBorders>
          </w:tcPr>
          <w:p w14:paraId="65F61856" w14:textId="77777777" w:rsidR="00E74D0B" w:rsidRPr="005C09D1" w:rsidRDefault="00E74D0B" w:rsidP="002E5C66">
            <w:pPr>
              <w:pStyle w:val="DHHStabletext"/>
              <w:rPr>
                <w:b/>
              </w:rPr>
            </w:pPr>
            <w:r w:rsidRPr="005C09D1">
              <w:t>Monthly</w:t>
            </w:r>
          </w:p>
        </w:tc>
      </w:tr>
    </w:tbl>
    <w:bookmarkEnd w:id="1"/>
    <w:p w14:paraId="45E95897" w14:textId="77777777" w:rsidR="009C4DDD" w:rsidRPr="00575BC9" w:rsidRDefault="009C4DDD" w:rsidP="009C4DDD">
      <w:pPr>
        <w:pStyle w:val="Heading1"/>
      </w:pPr>
      <w:r>
        <w:t>7. Activity mapping</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2551"/>
        <w:gridCol w:w="2552"/>
        <w:gridCol w:w="2551"/>
      </w:tblGrid>
      <w:tr w:rsidR="009C4DDD" w14:paraId="6D3156B0" w14:textId="77777777" w:rsidTr="00F329D7">
        <w:trPr>
          <w:trHeight w:val="263"/>
        </w:trPr>
        <w:tc>
          <w:tcPr>
            <w:tcW w:w="2552" w:type="dxa"/>
            <w:tcMar>
              <w:top w:w="0" w:type="dxa"/>
              <w:left w:w="108" w:type="dxa"/>
              <w:bottom w:w="0" w:type="dxa"/>
              <w:right w:w="108" w:type="dxa"/>
            </w:tcMar>
            <w:hideMark/>
          </w:tcPr>
          <w:p w14:paraId="23F86A4E" w14:textId="77777777" w:rsidR="009C4DDD" w:rsidRDefault="009C4DDD" w:rsidP="00F329D7">
            <w:pPr>
              <w:pStyle w:val="DHHStablecolhead"/>
            </w:pPr>
            <w:r>
              <w:t>New Output Group</w:t>
            </w:r>
          </w:p>
        </w:tc>
        <w:tc>
          <w:tcPr>
            <w:tcW w:w="2551" w:type="dxa"/>
            <w:tcMar>
              <w:top w:w="0" w:type="dxa"/>
              <w:left w:w="108" w:type="dxa"/>
              <w:bottom w:w="0" w:type="dxa"/>
              <w:right w:w="108" w:type="dxa"/>
            </w:tcMar>
            <w:hideMark/>
          </w:tcPr>
          <w:p w14:paraId="0C12F6D3" w14:textId="77777777" w:rsidR="009C4DDD" w:rsidRDefault="009C4DDD" w:rsidP="00F329D7">
            <w:pPr>
              <w:pStyle w:val="DHHStablecolhead"/>
            </w:pPr>
            <w:r>
              <w:t>New Activity</w:t>
            </w:r>
          </w:p>
        </w:tc>
        <w:tc>
          <w:tcPr>
            <w:tcW w:w="2552" w:type="dxa"/>
            <w:noWrap/>
            <w:tcMar>
              <w:top w:w="0" w:type="dxa"/>
              <w:left w:w="108" w:type="dxa"/>
              <w:bottom w:w="0" w:type="dxa"/>
              <w:right w:w="108" w:type="dxa"/>
            </w:tcMar>
            <w:hideMark/>
          </w:tcPr>
          <w:p w14:paraId="4E93B0E0" w14:textId="77777777" w:rsidR="009C4DDD" w:rsidRDefault="009C4DDD" w:rsidP="00F329D7">
            <w:pPr>
              <w:pStyle w:val="DHHStablecolhead"/>
            </w:pPr>
            <w:r>
              <w:t>Old Output group</w:t>
            </w:r>
          </w:p>
        </w:tc>
        <w:tc>
          <w:tcPr>
            <w:tcW w:w="2551" w:type="dxa"/>
            <w:noWrap/>
            <w:tcMar>
              <w:top w:w="0" w:type="dxa"/>
              <w:left w:w="108" w:type="dxa"/>
              <w:bottom w:w="0" w:type="dxa"/>
              <w:right w:w="108" w:type="dxa"/>
            </w:tcMar>
            <w:hideMark/>
          </w:tcPr>
          <w:p w14:paraId="12F5725F" w14:textId="77777777" w:rsidR="009C4DDD" w:rsidRDefault="009C4DDD" w:rsidP="00F329D7">
            <w:pPr>
              <w:pStyle w:val="DHHStablecolhead"/>
            </w:pPr>
            <w:r>
              <w:t>OLD activity</w:t>
            </w:r>
          </w:p>
        </w:tc>
      </w:tr>
      <w:tr w:rsidR="009C4DDD" w14:paraId="30E6E9C4" w14:textId="77777777" w:rsidTr="00F329D7">
        <w:trPr>
          <w:trHeight w:val="263"/>
        </w:trPr>
        <w:tc>
          <w:tcPr>
            <w:tcW w:w="2552" w:type="dxa"/>
            <w:tcMar>
              <w:top w:w="0" w:type="dxa"/>
              <w:left w:w="108" w:type="dxa"/>
              <w:bottom w:w="0" w:type="dxa"/>
              <w:right w:w="108" w:type="dxa"/>
            </w:tcMar>
            <w:hideMark/>
          </w:tcPr>
          <w:p w14:paraId="18D79646" w14:textId="77777777" w:rsidR="009C4DDD" w:rsidRPr="00A52D39" w:rsidRDefault="009C4DDD" w:rsidP="00F329D7">
            <w:pPr>
              <w:pStyle w:val="DHHStablecolhead"/>
              <w:rPr>
                <w:b w:val="0"/>
                <w:color w:val="auto"/>
              </w:rPr>
            </w:pPr>
            <w:r w:rsidRPr="00A52D39">
              <w:rPr>
                <w:b w:val="0"/>
                <w:bCs/>
                <w:color w:val="auto"/>
              </w:rPr>
              <w:t>Family Violence Service Delivery</w:t>
            </w:r>
          </w:p>
        </w:tc>
        <w:tc>
          <w:tcPr>
            <w:tcW w:w="2551" w:type="dxa"/>
            <w:tcMar>
              <w:top w:w="0" w:type="dxa"/>
              <w:left w:w="108" w:type="dxa"/>
              <w:bottom w:w="0" w:type="dxa"/>
              <w:right w:w="108" w:type="dxa"/>
            </w:tcMar>
            <w:hideMark/>
          </w:tcPr>
          <w:p w14:paraId="21ACCA7B" w14:textId="329701BE" w:rsidR="009C4DDD" w:rsidRPr="00A52D39" w:rsidRDefault="00433219" w:rsidP="00433219">
            <w:pPr>
              <w:pStyle w:val="DHHStablecolhead"/>
              <w:rPr>
                <w:b w:val="0"/>
                <w:bCs/>
                <w:color w:val="auto"/>
              </w:rPr>
            </w:pPr>
            <w:r>
              <w:rPr>
                <w:b w:val="0"/>
                <w:bCs/>
                <w:color w:val="auto"/>
              </w:rPr>
              <w:t>38019</w:t>
            </w:r>
            <w:r w:rsidR="009C4DDD" w:rsidRPr="00A52D39">
              <w:rPr>
                <w:b w:val="0"/>
                <w:bCs/>
                <w:color w:val="auto"/>
              </w:rPr>
              <w:t xml:space="preserve"> – </w:t>
            </w:r>
            <w:r>
              <w:rPr>
                <w:b w:val="0"/>
                <w:bCs/>
                <w:color w:val="auto"/>
              </w:rPr>
              <w:t>Men’s</w:t>
            </w:r>
            <w:r w:rsidR="009C4DDD">
              <w:rPr>
                <w:b w:val="0"/>
                <w:bCs/>
                <w:color w:val="auto"/>
              </w:rPr>
              <w:t xml:space="preserve"> family violence services</w:t>
            </w:r>
          </w:p>
        </w:tc>
        <w:tc>
          <w:tcPr>
            <w:tcW w:w="2552" w:type="dxa"/>
            <w:noWrap/>
            <w:tcMar>
              <w:top w:w="0" w:type="dxa"/>
              <w:left w:w="108" w:type="dxa"/>
              <w:bottom w:w="0" w:type="dxa"/>
              <w:right w:w="108" w:type="dxa"/>
            </w:tcMar>
          </w:tcPr>
          <w:p w14:paraId="7CE09C5C" w14:textId="77777777" w:rsidR="009C4DDD" w:rsidRDefault="009C4DDD" w:rsidP="00F329D7">
            <w:pPr>
              <w:rPr>
                <w:rFonts w:cs="Arial"/>
              </w:rPr>
            </w:pPr>
            <w:r>
              <w:rPr>
                <w:rFonts w:cs="Arial"/>
              </w:rPr>
              <w:t>Child Protection and Family Services</w:t>
            </w:r>
          </w:p>
          <w:p w14:paraId="4FDB60CB" w14:textId="77777777" w:rsidR="009C4DDD" w:rsidRDefault="009C4DDD" w:rsidP="00F329D7">
            <w:pPr>
              <w:pStyle w:val="DHHStablecolhead"/>
              <w:rPr>
                <w:rFonts w:cs="Arial"/>
                <w:b w:val="0"/>
              </w:rPr>
            </w:pPr>
          </w:p>
        </w:tc>
        <w:tc>
          <w:tcPr>
            <w:tcW w:w="2551" w:type="dxa"/>
            <w:noWrap/>
            <w:tcMar>
              <w:top w:w="0" w:type="dxa"/>
              <w:left w:w="108" w:type="dxa"/>
              <w:bottom w:w="0" w:type="dxa"/>
              <w:right w:w="108" w:type="dxa"/>
            </w:tcMar>
            <w:hideMark/>
          </w:tcPr>
          <w:p w14:paraId="2E1D30D3" w14:textId="6E1E34E5" w:rsidR="009C4DDD" w:rsidRDefault="009C4DDD" w:rsidP="00433219">
            <w:pPr>
              <w:pStyle w:val="DHHStablecolhead"/>
              <w:rPr>
                <w:b w:val="0"/>
                <w:bCs/>
              </w:rPr>
            </w:pPr>
            <w:r w:rsidRPr="007E6ED5">
              <w:rPr>
                <w:b w:val="0"/>
                <w:bCs/>
                <w:color w:val="auto"/>
              </w:rPr>
              <w:t>312</w:t>
            </w:r>
            <w:r w:rsidR="00433219">
              <w:rPr>
                <w:b w:val="0"/>
                <w:bCs/>
                <w:color w:val="auto"/>
              </w:rPr>
              <w:t>40</w:t>
            </w:r>
            <w:r w:rsidRPr="007E6ED5">
              <w:rPr>
                <w:b w:val="0"/>
                <w:bCs/>
                <w:color w:val="auto"/>
              </w:rPr>
              <w:t xml:space="preserve"> </w:t>
            </w:r>
            <w:r w:rsidR="00433219">
              <w:rPr>
                <w:b w:val="0"/>
                <w:bCs/>
                <w:color w:val="auto"/>
              </w:rPr>
              <w:t>–</w:t>
            </w:r>
            <w:r w:rsidRPr="007E6ED5">
              <w:rPr>
                <w:b w:val="0"/>
                <w:bCs/>
                <w:color w:val="auto"/>
              </w:rPr>
              <w:t xml:space="preserve"> </w:t>
            </w:r>
            <w:r w:rsidR="00433219">
              <w:rPr>
                <w:b w:val="0"/>
                <w:bCs/>
                <w:color w:val="auto"/>
              </w:rPr>
              <w:t xml:space="preserve">Men’s </w:t>
            </w:r>
            <w:r>
              <w:rPr>
                <w:b w:val="0"/>
                <w:bCs/>
                <w:color w:val="auto"/>
              </w:rPr>
              <w:t>family violence</w:t>
            </w:r>
            <w:r w:rsidR="00433219">
              <w:rPr>
                <w:b w:val="0"/>
                <w:bCs/>
                <w:color w:val="auto"/>
              </w:rPr>
              <w:t xml:space="preserve"> services</w:t>
            </w:r>
          </w:p>
        </w:tc>
      </w:tr>
    </w:tbl>
    <w:p w14:paraId="707EEA4A" w14:textId="77777777" w:rsidR="00B20B9A" w:rsidRDefault="00B20B9A" w:rsidP="00AA3CA8">
      <w:pPr>
        <w:rPr>
          <w:sz w:val="4"/>
          <w:szCs w:val="4"/>
        </w:rPr>
      </w:pPr>
    </w:p>
    <w:tbl>
      <w:tblPr>
        <w:tblW w:w="4800" w:type="pct"/>
        <w:tblInd w:w="113" w:type="dxa"/>
        <w:tblCellMar>
          <w:top w:w="113" w:type="dxa"/>
          <w:bottom w:w="57" w:type="dxa"/>
        </w:tblCellMar>
        <w:tblLook w:val="00A0" w:firstRow="1" w:lastRow="0" w:firstColumn="1" w:lastColumn="0" w:noHBand="0" w:noVBand="0"/>
      </w:tblPr>
      <w:tblGrid>
        <w:gridCol w:w="10003"/>
      </w:tblGrid>
      <w:tr w:rsidR="006A7939" w:rsidRPr="002802E3" w14:paraId="387A86A2" w14:textId="77777777" w:rsidTr="00431E46">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5F1E7944" w14:textId="77777777" w:rsidR="00211248" w:rsidRDefault="00211248" w:rsidP="00211248">
            <w:pPr>
              <w:pStyle w:val="DHHSaccessibilitypara"/>
            </w:pPr>
            <w:r>
              <w:lastRenderedPageBreak/>
              <w:t xml:space="preserve">To receive this publication in an accessible format </w:t>
            </w:r>
            <w:hyperlink r:id="rId26" w:history="1">
              <w:r>
                <w:rPr>
                  <w:rStyle w:val="Hyperlink"/>
                </w:rPr>
                <w:t>email Service Agreement Policy</w:t>
              </w:r>
            </w:hyperlink>
            <w:r>
              <w:t xml:space="preserve"> &lt;</w:t>
            </w:r>
            <w:hyperlink r:id="rId27" w:history="1">
              <w:r>
                <w:rPr>
                  <w:rStyle w:val="Hyperlink"/>
                </w:rPr>
                <w:t>sapolicy@dhhs.vic.gov.au</w:t>
              </w:r>
            </w:hyperlink>
            <w:r>
              <w:t>&gt;</w:t>
            </w:r>
          </w:p>
          <w:p w14:paraId="2F1F150C" w14:textId="2F32BE88" w:rsidR="00211248" w:rsidRDefault="00211248" w:rsidP="00211248">
            <w:pPr>
              <w:pStyle w:val="DHHSbody"/>
              <w:rPr>
                <w:sz w:val="16"/>
                <w:szCs w:val="16"/>
              </w:rPr>
            </w:pPr>
            <w:r>
              <w:rPr>
                <w:sz w:val="16"/>
                <w:szCs w:val="16"/>
              </w:rPr>
              <w:t>Authorised and published by the Victorian Government, 1 Treasury Place, Melbourne. © State of Victoria, Department of Heal</w:t>
            </w:r>
            <w:r w:rsidR="006E0AEE">
              <w:rPr>
                <w:sz w:val="16"/>
                <w:szCs w:val="16"/>
              </w:rPr>
              <w:t>th and Human Services, April 2020</w:t>
            </w:r>
            <w:r>
              <w:rPr>
                <w:sz w:val="16"/>
                <w:szCs w:val="16"/>
              </w:rPr>
              <w:t>. Where the term ‘Aboriginal’ is used it refers to both Aboriginal and Torres Strait Islander people. Indigenous is retained when it is part of the title of a report, program or quotation. ISSN 2207-8347 (online/PDF/Word)</w:t>
            </w:r>
          </w:p>
          <w:p w14:paraId="5677440D" w14:textId="77777777" w:rsidR="006A7939" w:rsidRPr="00CA4422" w:rsidRDefault="00211248" w:rsidP="00211248">
            <w:pPr>
              <w:pStyle w:val="DHHSbody"/>
              <w:spacing w:line="240" w:lineRule="auto"/>
            </w:pPr>
            <w:r>
              <w:t xml:space="preserve">Available on the department’s </w:t>
            </w:r>
            <w:hyperlink r:id="rId28" w:history="1">
              <w:r>
                <w:rPr>
                  <w:rStyle w:val="Hyperlink"/>
                </w:rPr>
                <w:t>Health and human services activity search</w:t>
              </w:r>
            </w:hyperlink>
            <w:r>
              <w:t xml:space="preserve"> &lt;</w:t>
            </w:r>
            <w:hyperlink r:id="rId29" w:history="1">
              <w:r>
                <w:rPr>
                  <w:rStyle w:val="Hyperlink"/>
                  <w:lang w:eastAsia="en-AU"/>
                </w:rPr>
                <w:t>http://providers.dhhs.vic.gov.au/health-human-services-activity-search</w:t>
              </w:r>
            </w:hyperlink>
            <w:r>
              <w:rPr>
                <w:color w:val="000000"/>
                <w:lang w:eastAsia="en-AU"/>
              </w:rPr>
              <w:t>&gt;</w:t>
            </w:r>
          </w:p>
        </w:tc>
      </w:tr>
    </w:tbl>
    <w:p w14:paraId="4F8BBB82" w14:textId="77777777" w:rsidR="000918C3" w:rsidRPr="006C7A1F" w:rsidRDefault="000918C3" w:rsidP="00211248">
      <w:pPr>
        <w:rPr>
          <w:sz w:val="2"/>
          <w:szCs w:val="2"/>
          <w:lang w:eastAsia="en-US"/>
        </w:rPr>
      </w:pPr>
    </w:p>
    <w:sectPr w:rsidR="000918C3" w:rsidRPr="006C7A1F" w:rsidSect="000979F9">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AD4C3" w14:textId="77777777" w:rsidR="00471727" w:rsidRDefault="00471727">
      <w:r>
        <w:separator/>
      </w:r>
    </w:p>
  </w:endnote>
  <w:endnote w:type="continuationSeparator" w:id="0">
    <w:p w14:paraId="4FA19E7C" w14:textId="77777777" w:rsidR="00471727" w:rsidRDefault="0047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8A451" w14:textId="4B1D19CE" w:rsidR="009D70A4" w:rsidRPr="00F65AA9" w:rsidRDefault="00457807" w:rsidP="0051568D">
    <w:pPr>
      <w:pStyle w:val="DHHSfooter"/>
    </w:pPr>
    <w:r>
      <w:rPr>
        <w:noProof/>
        <w:lang w:eastAsia="en-AU"/>
      </w:rPr>
      <w:drawing>
        <wp:anchor distT="0" distB="0" distL="114300" distR="114300" simplePos="0" relativeHeight="251657728" behindDoc="0" locked="1" layoutInCell="0" allowOverlap="1" wp14:anchorId="6304C0EB" wp14:editId="3673C7D5">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8FC24" w14:textId="77777777" w:rsidR="00A02D2C" w:rsidRDefault="00A02D2C">
    <w:pPr>
      <w:pStyle w:val="Footer"/>
    </w:pPr>
    <w:r>
      <w:rPr>
        <w:noProof/>
        <w:lang w:eastAsia="en-AU"/>
      </w:rPr>
      <mc:AlternateContent>
        <mc:Choice Requires="wps">
          <w:drawing>
            <wp:anchor distT="0" distB="0" distL="114300" distR="114300" simplePos="1" relativeHeight="251663360" behindDoc="0" locked="0" layoutInCell="0" allowOverlap="1" wp14:anchorId="65FB0083" wp14:editId="694F944E">
              <wp:simplePos x="0" y="10234930"/>
              <wp:positionH relativeFrom="page">
                <wp:posOffset>0</wp:posOffset>
              </wp:positionH>
              <wp:positionV relativeFrom="page">
                <wp:posOffset>10234930</wp:posOffset>
              </wp:positionV>
              <wp:extent cx="7560310" cy="266700"/>
              <wp:effectExtent l="0" t="0" r="0" b="0"/>
              <wp:wrapNone/>
              <wp:docPr id="5" name="MSIPCM865146adab4de6902cb726da" descr="{&quot;HashCode&quot;:-140416105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3E1E60" w14:textId="77777777" w:rsidR="00A02D2C" w:rsidRPr="00A02D2C" w:rsidRDefault="00A02D2C" w:rsidP="00A02D2C">
                          <w:pPr>
                            <w:spacing w:before="0"/>
                            <w:jc w:val="center"/>
                            <w:rPr>
                              <w:rFonts w:ascii="Arial Black" w:hAnsi="Arial Black"/>
                              <w:color w:val="E4100E"/>
                            </w:rPr>
                          </w:pPr>
                          <w:r w:rsidRPr="00A02D2C">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5FB0083" id="_x0000_t202" coordsize="21600,21600" o:spt="202" path="m,l,21600r21600,l21600,xe">
              <v:stroke joinstyle="miter"/>
              <v:path gradientshapeok="t" o:connecttype="rect"/>
            </v:shapetype>
            <v:shape id="MSIPCM865146adab4de6902cb726da" o:spid="_x0000_s1029" type="#_x0000_t202" alt="{&quot;HashCode&quot;:-1404161052,&quot;Height&quot;:841.0,&quot;Width&quot;:595.0,&quot;Placement&quot;:&quot;Footer&quot;,&quot;Index&quot;:&quot;FirstPage&quot;,&quot;Section&quot;:1,&quot;Top&quot;:0.0,&quot;Left&quot;:0.0}" style="position:absolute;margin-left:0;margin-top:805.9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" o:allowincell="f" filled="f" stroked="f" strokeweight=".5pt">
              <v:textbox inset=",0,,0">
                <w:txbxContent>
                  <w:p w14:paraId="133E1E60" w14:textId="77777777" w:rsidR="00A02D2C" w:rsidRPr="00A02D2C" w:rsidRDefault="00A02D2C" w:rsidP="00A02D2C">
                    <w:pPr>
                      <w:spacing w:before="0"/>
                      <w:jc w:val="center"/>
                      <w:rPr>
                        <w:rFonts w:ascii="Arial Black" w:hAnsi="Arial Black"/>
                        <w:color w:val="E4100E"/>
                      </w:rPr>
                    </w:pPr>
                    <w:r w:rsidRPr="00A02D2C">
                      <w:rPr>
                        <w:rFonts w:ascii="Arial Black" w:hAnsi="Arial Black"/>
                        <w:color w:val="E4100E"/>
                      </w:rPr>
                      <w:t>OFFICIAL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96BEC" w14:textId="3157DA2D" w:rsidR="009D70A4" w:rsidRPr="00A11421" w:rsidRDefault="000A0B53" w:rsidP="0051568D">
    <w:pPr>
      <w:pStyle w:val="DHHSfooter"/>
    </w:pPr>
    <w:r w:rsidRPr="000A0B53">
      <w:t>Activity description</w:t>
    </w:r>
    <w:r>
      <w:t xml:space="preserve"> (</w:t>
    </w:r>
    <w:r w:rsidRPr="000A0B53">
      <w:t xml:space="preserve">human </w:t>
    </w:r>
    <w:r>
      <w:t xml:space="preserve">services): </w:t>
    </w:r>
    <w:r w:rsidR="00433219">
      <w:t>Men’s</w:t>
    </w:r>
    <w:r w:rsidRPr="000A0B53">
      <w:t xml:space="preserve"> family violence</w:t>
    </w:r>
    <w:r w:rsidR="00A02D2C">
      <w:t xml:space="preserve"> </w:t>
    </w:r>
    <w:r w:rsidR="00A02D2C" w:rsidRPr="000170DB">
      <w:t>services</w:t>
    </w:r>
    <w:r w:rsidRPr="000170DB">
      <w:t xml:space="preserve"> 3</w:t>
    </w:r>
    <w:r w:rsidR="00433219">
      <w:t>8019</w:t>
    </w:r>
    <w:r w:rsidR="009D70A4" w:rsidRPr="00A11421">
      <w:tab/>
    </w:r>
    <w:r w:rsidR="00FF69F5">
      <w:rPr>
        <w:noProof/>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616D3" w14:textId="77777777" w:rsidR="00471727" w:rsidRDefault="00471727" w:rsidP="002862F1">
      <w:pPr>
        <w:spacing w:before="120"/>
      </w:pPr>
      <w:r>
        <w:separator/>
      </w:r>
    </w:p>
  </w:footnote>
  <w:footnote w:type="continuationSeparator" w:id="0">
    <w:p w14:paraId="0B9AAE96" w14:textId="77777777" w:rsidR="00471727" w:rsidRDefault="00471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340A7" w14:textId="77777777" w:rsidR="00A02D2C" w:rsidRDefault="00A02D2C">
    <w:pPr>
      <w:pStyle w:val="Header"/>
    </w:pPr>
    <w:r>
      <w:rPr>
        <w:noProof/>
        <w:lang w:eastAsia="en-AU"/>
      </w:rPr>
      <mc:AlternateContent>
        <mc:Choice Requires="wps">
          <w:drawing>
            <wp:anchor distT="0" distB="0" distL="114300" distR="114300" simplePos="0" relativeHeight="251659264" behindDoc="0" locked="0" layoutInCell="0" allowOverlap="1" wp14:anchorId="0D21E4F1" wp14:editId="6858A433">
              <wp:simplePos x="0" y="0"/>
              <wp:positionH relativeFrom="page">
                <wp:posOffset>0</wp:posOffset>
              </wp:positionH>
              <wp:positionV relativeFrom="page">
                <wp:posOffset>190500</wp:posOffset>
              </wp:positionV>
              <wp:extent cx="7560310" cy="266700"/>
              <wp:effectExtent l="0" t="0" r="0" b="0"/>
              <wp:wrapNone/>
              <wp:docPr id="1" name="MSIPCM15b44e399f545fdb061a51a4"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63EA19" w14:textId="77777777" w:rsidR="00A02D2C" w:rsidRPr="00A02D2C" w:rsidRDefault="00A02D2C" w:rsidP="00A02D2C">
                          <w:pPr>
                            <w:spacing w:before="0"/>
                            <w:jc w:val="center"/>
                            <w:rPr>
                              <w:rFonts w:ascii="Arial Black" w:hAnsi="Arial Black"/>
                              <w:color w:val="E4100E"/>
                            </w:rPr>
                          </w:pPr>
                          <w:r w:rsidRPr="00A02D2C">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D21E4F1" id="_x0000_t202" coordsize="21600,21600" o:spt="202" path="m,l,21600r21600,l21600,xe">
              <v:stroke joinstyle="miter"/>
              <v:path gradientshapeok="t" o:connecttype="rect"/>
            </v:shapetype>
            <v:shape id="MSIPCM15b44e399f545fdb061a51a4" o:spid="_x0000_s1026" type="#_x0000_t202" alt="{&quot;HashCode&quot;:-142829862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" o:allowincell="f" filled="f" stroked="f" strokeweight=".5pt">
              <v:textbox inset=",0,,0">
                <w:txbxContent>
                  <w:p w14:paraId="7763EA19" w14:textId="77777777" w:rsidR="00A02D2C" w:rsidRPr="00A02D2C" w:rsidRDefault="00A02D2C" w:rsidP="00A02D2C">
                    <w:pPr>
                      <w:spacing w:before="0"/>
                      <w:jc w:val="center"/>
                      <w:rPr>
                        <w:rFonts w:ascii="Arial Black" w:hAnsi="Arial Black"/>
                        <w:color w:val="E4100E"/>
                      </w:rPr>
                    </w:pPr>
                    <w:r w:rsidRPr="00A02D2C">
                      <w:rPr>
                        <w:rFonts w:ascii="Arial Black" w:hAnsi="Arial Black"/>
                        <w:color w:val="E4100E"/>
                      </w:rPr>
                      <w:t>OFFICIAL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9E8BD" w14:textId="77777777" w:rsidR="00A02D2C" w:rsidRDefault="00A02D2C">
    <w:pPr>
      <w:pStyle w:val="Header"/>
    </w:pPr>
    <w:r>
      <w:rPr>
        <w:noProof/>
        <w:lang w:eastAsia="en-AU"/>
      </w:rPr>
      <mc:AlternateContent>
        <mc:Choice Requires="wps">
          <w:drawing>
            <wp:anchor distT="0" distB="0" distL="114300" distR="114300" simplePos="1" relativeHeight="251660288" behindDoc="0" locked="0" layoutInCell="0" allowOverlap="1" wp14:anchorId="55537A81" wp14:editId="7E8F995A">
              <wp:simplePos x="0" y="190500"/>
              <wp:positionH relativeFrom="page">
                <wp:posOffset>0</wp:posOffset>
              </wp:positionH>
              <wp:positionV relativeFrom="page">
                <wp:posOffset>190500</wp:posOffset>
              </wp:positionV>
              <wp:extent cx="7560310" cy="266700"/>
              <wp:effectExtent l="0" t="0" r="0" b="0"/>
              <wp:wrapNone/>
              <wp:docPr id="2" name="MSIPCM991a43ee9339140dc18f2cf2" descr="{&quot;HashCode&quot;:-142829862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8D5221" w14:textId="77777777" w:rsidR="00A02D2C" w:rsidRPr="00A02D2C" w:rsidRDefault="00A02D2C" w:rsidP="00A02D2C">
                          <w:pPr>
                            <w:spacing w:before="0"/>
                            <w:jc w:val="center"/>
                            <w:rPr>
                              <w:rFonts w:ascii="Arial Black" w:hAnsi="Arial Black"/>
                              <w:color w:val="E4100E"/>
                            </w:rPr>
                          </w:pPr>
                          <w:r w:rsidRPr="00A02D2C">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5537A81" id="_x0000_t202" coordsize="21600,21600" o:spt="202" path="m,l,21600r21600,l21600,xe">
              <v:stroke joinstyle="miter"/>
              <v:path gradientshapeok="t" o:connecttype="rect"/>
            </v:shapetype>
            <v:shape id="MSIPCM991a43ee9339140dc18f2cf2" o:spid="_x0000_s1028" type="#_x0000_t202" alt="{&quot;HashCode&quot;:-1428298621,&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" o:allowincell="f" filled="f" stroked="f" strokeweight=".5pt">
              <v:textbox inset=",0,,0">
                <w:txbxContent>
                  <w:p w14:paraId="458D5221" w14:textId="77777777" w:rsidR="00A02D2C" w:rsidRPr="00A02D2C" w:rsidRDefault="00A02D2C" w:rsidP="00A02D2C">
                    <w:pPr>
                      <w:spacing w:before="0"/>
                      <w:jc w:val="center"/>
                      <w:rPr>
                        <w:rFonts w:ascii="Arial Black" w:hAnsi="Arial Black"/>
                        <w:color w:val="E4100E"/>
                      </w:rPr>
                    </w:pPr>
                    <w:r w:rsidRPr="00A02D2C">
                      <w:rPr>
                        <w:rFonts w:ascii="Arial Black" w:hAnsi="Arial Black"/>
                        <w:color w:val="E4100E"/>
                      </w:rPr>
                      <w:t>OFFICIAL</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6F48C" w14:textId="72C6AE64"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B8D43DB"/>
    <w:multiLevelType w:val="multilevel"/>
    <w:tmpl w:val="4B4E7622"/>
    <w:numStyleLink w:val="ZZNumbers"/>
  </w:abstractNum>
  <w:abstractNum w:abstractNumId="4">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474BA0"/>
    <w:multiLevelType w:val="hybridMultilevel"/>
    <w:tmpl w:val="FF260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C5F195B"/>
    <w:multiLevelType w:val="hybridMultilevel"/>
    <w:tmpl w:val="F2404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11"/>
  </w:num>
  <w:num w:numId="10">
    <w:abstractNumId w:val="13"/>
  </w:num>
  <w:num w:numId="11">
    <w:abstractNumId w:val="7"/>
  </w:num>
  <w:num w:numId="12">
    <w:abstractNumId w:val="8"/>
  </w:num>
  <w:num w:numId="13">
    <w:abstractNumId w:val="4"/>
  </w:num>
  <w:num w:numId="14">
    <w:abstractNumId w:val="12"/>
  </w:num>
  <w:num w:numId="15">
    <w:abstractNumId w:val="2"/>
  </w:num>
  <w:num w:numId="16">
    <w:abstractNumId w:val="9"/>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76"/>
    <w:rsid w:val="000072B6"/>
    <w:rsid w:val="0001021B"/>
    <w:rsid w:val="00011D89"/>
    <w:rsid w:val="000170DB"/>
    <w:rsid w:val="00020209"/>
    <w:rsid w:val="000214DC"/>
    <w:rsid w:val="00024D89"/>
    <w:rsid w:val="000250B6"/>
    <w:rsid w:val="00033D81"/>
    <w:rsid w:val="00035D3B"/>
    <w:rsid w:val="00041BF0"/>
    <w:rsid w:val="0004536B"/>
    <w:rsid w:val="00046B68"/>
    <w:rsid w:val="00047B50"/>
    <w:rsid w:val="000527DD"/>
    <w:rsid w:val="000578B2"/>
    <w:rsid w:val="00060959"/>
    <w:rsid w:val="000663CD"/>
    <w:rsid w:val="000667DA"/>
    <w:rsid w:val="000733FE"/>
    <w:rsid w:val="00074219"/>
    <w:rsid w:val="00074ED5"/>
    <w:rsid w:val="0009038C"/>
    <w:rsid w:val="0009113B"/>
    <w:rsid w:val="000918C3"/>
    <w:rsid w:val="00094DA3"/>
    <w:rsid w:val="00096CD1"/>
    <w:rsid w:val="000979F9"/>
    <w:rsid w:val="000A012C"/>
    <w:rsid w:val="000A0B53"/>
    <w:rsid w:val="000A0EB9"/>
    <w:rsid w:val="000A186C"/>
    <w:rsid w:val="000B23FD"/>
    <w:rsid w:val="000B543D"/>
    <w:rsid w:val="000B5BF7"/>
    <w:rsid w:val="000B6BC8"/>
    <w:rsid w:val="000C42EA"/>
    <w:rsid w:val="000C4546"/>
    <w:rsid w:val="000D1242"/>
    <w:rsid w:val="000D3756"/>
    <w:rsid w:val="000E3CC7"/>
    <w:rsid w:val="000E6BD4"/>
    <w:rsid w:val="000F1F1E"/>
    <w:rsid w:val="000F2259"/>
    <w:rsid w:val="000F2B4A"/>
    <w:rsid w:val="0010392D"/>
    <w:rsid w:val="0010447F"/>
    <w:rsid w:val="00104FE3"/>
    <w:rsid w:val="00120AF7"/>
    <w:rsid w:val="00120BD3"/>
    <w:rsid w:val="00121D8F"/>
    <w:rsid w:val="00122B26"/>
    <w:rsid w:val="00122FEA"/>
    <w:rsid w:val="001232BD"/>
    <w:rsid w:val="00124ED5"/>
    <w:rsid w:val="00130027"/>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B6442"/>
    <w:rsid w:val="001C1970"/>
    <w:rsid w:val="001C277E"/>
    <w:rsid w:val="001C2A72"/>
    <w:rsid w:val="001C51D8"/>
    <w:rsid w:val="001D0B75"/>
    <w:rsid w:val="001D3C09"/>
    <w:rsid w:val="001D44E8"/>
    <w:rsid w:val="001D60EC"/>
    <w:rsid w:val="001E44DF"/>
    <w:rsid w:val="001E68A5"/>
    <w:rsid w:val="001E6BB0"/>
    <w:rsid w:val="001F3826"/>
    <w:rsid w:val="001F3DE2"/>
    <w:rsid w:val="001F6E46"/>
    <w:rsid w:val="001F7C91"/>
    <w:rsid w:val="00206463"/>
    <w:rsid w:val="00206F2F"/>
    <w:rsid w:val="0021053D"/>
    <w:rsid w:val="00210A92"/>
    <w:rsid w:val="00211248"/>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49A"/>
    <w:rsid w:val="00293D28"/>
    <w:rsid w:val="0029597D"/>
    <w:rsid w:val="002962C3"/>
    <w:rsid w:val="0029752B"/>
    <w:rsid w:val="002A483C"/>
    <w:rsid w:val="002B1729"/>
    <w:rsid w:val="002B3651"/>
    <w:rsid w:val="002B4DD4"/>
    <w:rsid w:val="002B5277"/>
    <w:rsid w:val="002B5375"/>
    <w:rsid w:val="002B77C1"/>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513C"/>
    <w:rsid w:val="00327870"/>
    <w:rsid w:val="0033259D"/>
    <w:rsid w:val="00337C54"/>
    <w:rsid w:val="003406C6"/>
    <w:rsid w:val="003418CC"/>
    <w:rsid w:val="003459BD"/>
    <w:rsid w:val="00350D38"/>
    <w:rsid w:val="003512C8"/>
    <w:rsid w:val="00351B36"/>
    <w:rsid w:val="00357B4E"/>
    <w:rsid w:val="00365F89"/>
    <w:rsid w:val="003744CF"/>
    <w:rsid w:val="00374717"/>
    <w:rsid w:val="0037676C"/>
    <w:rsid w:val="003829E5"/>
    <w:rsid w:val="00382AFC"/>
    <w:rsid w:val="003956CC"/>
    <w:rsid w:val="00395C9A"/>
    <w:rsid w:val="003A6B67"/>
    <w:rsid w:val="003B15E6"/>
    <w:rsid w:val="003C2045"/>
    <w:rsid w:val="003C43A1"/>
    <w:rsid w:val="003C4FC0"/>
    <w:rsid w:val="003C55F4"/>
    <w:rsid w:val="003C7A3F"/>
    <w:rsid w:val="003D1A91"/>
    <w:rsid w:val="003D2766"/>
    <w:rsid w:val="003D3E8F"/>
    <w:rsid w:val="003D6475"/>
    <w:rsid w:val="003F0445"/>
    <w:rsid w:val="003F0CF0"/>
    <w:rsid w:val="003F14B1"/>
    <w:rsid w:val="003F3289"/>
    <w:rsid w:val="00401FCF"/>
    <w:rsid w:val="00406285"/>
    <w:rsid w:val="004148F9"/>
    <w:rsid w:val="0042084E"/>
    <w:rsid w:val="00421EEF"/>
    <w:rsid w:val="00424D65"/>
    <w:rsid w:val="00433219"/>
    <w:rsid w:val="00442C6C"/>
    <w:rsid w:val="00443CBE"/>
    <w:rsid w:val="00443E8A"/>
    <w:rsid w:val="004441BC"/>
    <w:rsid w:val="004468B4"/>
    <w:rsid w:val="0045230A"/>
    <w:rsid w:val="00457337"/>
    <w:rsid w:val="00457807"/>
    <w:rsid w:val="00471727"/>
    <w:rsid w:val="0047372D"/>
    <w:rsid w:val="004743DD"/>
    <w:rsid w:val="00474CEA"/>
    <w:rsid w:val="00474DF0"/>
    <w:rsid w:val="00483968"/>
    <w:rsid w:val="00484F86"/>
    <w:rsid w:val="00490746"/>
    <w:rsid w:val="00490852"/>
    <w:rsid w:val="00491856"/>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7AC"/>
    <w:rsid w:val="00526C15"/>
    <w:rsid w:val="00536499"/>
    <w:rsid w:val="005409A4"/>
    <w:rsid w:val="00543903"/>
    <w:rsid w:val="00543F11"/>
    <w:rsid w:val="00547A95"/>
    <w:rsid w:val="005620F5"/>
    <w:rsid w:val="00572031"/>
    <w:rsid w:val="00575BC9"/>
    <w:rsid w:val="00576E84"/>
    <w:rsid w:val="00582B8C"/>
    <w:rsid w:val="0058757E"/>
    <w:rsid w:val="005938E5"/>
    <w:rsid w:val="00596A4B"/>
    <w:rsid w:val="00597507"/>
    <w:rsid w:val="005B21B6"/>
    <w:rsid w:val="005B384F"/>
    <w:rsid w:val="005B3A08"/>
    <w:rsid w:val="005B7A63"/>
    <w:rsid w:val="005C0955"/>
    <w:rsid w:val="005C49DA"/>
    <w:rsid w:val="005C50F3"/>
    <w:rsid w:val="005C5D91"/>
    <w:rsid w:val="005C7CBC"/>
    <w:rsid w:val="005D07B8"/>
    <w:rsid w:val="005D6597"/>
    <w:rsid w:val="005E14E7"/>
    <w:rsid w:val="005E26A3"/>
    <w:rsid w:val="005E447E"/>
    <w:rsid w:val="005E76EA"/>
    <w:rsid w:val="005F0775"/>
    <w:rsid w:val="005F0CF5"/>
    <w:rsid w:val="005F21EB"/>
    <w:rsid w:val="00605908"/>
    <w:rsid w:val="00610D7C"/>
    <w:rsid w:val="00611ADC"/>
    <w:rsid w:val="00613414"/>
    <w:rsid w:val="0062408D"/>
    <w:rsid w:val="006240CC"/>
    <w:rsid w:val="00627DA7"/>
    <w:rsid w:val="0063071B"/>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7574"/>
    <w:rsid w:val="0068454C"/>
    <w:rsid w:val="00691B62"/>
    <w:rsid w:val="00693D14"/>
    <w:rsid w:val="00697090"/>
    <w:rsid w:val="006A18C2"/>
    <w:rsid w:val="006A7939"/>
    <w:rsid w:val="006B077C"/>
    <w:rsid w:val="006B6803"/>
    <w:rsid w:val="006C5390"/>
    <w:rsid w:val="006C7A1F"/>
    <w:rsid w:val="006D2A3F"/>
    <w:rsid w:val="006D2FBC"/>
    <w:rsid w:val="006D72EA"/>
    <w:rsid w:val="006E0AEE"/>
    <w:rsid w:val="006E138B"/>
    <w:rsid w:val="006E6093"/>
    <w:rsid w:val="006F0FB0"/>
    <w:rsid w:val="006F1FDC"/>
    <w:rsid w:val="006F6592"/>
    <w:rsid w:val="007013EF"/>
    <w:rsid w:val="00701DC9"/>
    <w:rsid w:val="00706E3A"/>
    <w:rsid w:val="00716C03"/>
    <w:rsid w:val="007173CA"/>
    <w:rsid w:val="007216AA"/>
    <w:rsid w:val="00721AB5"/>
    <w:rsid w:val="00721DEF"/>
    <w:rsid w:val="00724A43"/>
    <w:rsid w:val="0072747E"/>
    <w:rsid w:val="007346E4"/>
    <w:rsid w:val="00740F22"/>
    <w:rsid w:val="00741F1A"/>
    <w:rsid w:val="007450F8"/>
    <w:rsid w:val="00745942"/>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C0F0C"/>
    <w:rsid w:val="007C20B9"/>
    <w:rsid w:val="007C7301"/>
    <w:rsid w:val="007C7859"/>
    <w:rsid w:val="007D2932"/>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237E6"/>
    <w:rsid w:val="00830940"/>
    <w:rsid w:val="008338A2"/>
    <w:rsid w:val="008370FF"/>
    <w:rsid w:val="00841AA9"/>
    <w:rsid w:val="00845ADF"/>
    <w:rsid w:val="00853EE4"/>
    <w:rsid w:val="00855535"/>
    <w:rsid w:val="00856DD3"/>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A5E87"/>
    <w:rsid w:val="008B158F"/>
    <w:rsid w:val="008B2EE4"/>
    <w:rsid w:val="008B4D3D"/>
    <w:rsid w:val="008B57C7"/>
    <w:rsid w:val="008C2F92"/>
    <w:rsid w:val="008D2846"/>
    <w:rsid w:val="008D4236"/>
    <w:rsid w:val="008D462F"/>
    <w:rsid w:val="008D6DCF"/>
    <w:rsid w:val="008E27D4"/>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E43"/>
    <w:rsid w:val="00961400"/>
    <w:rsid w:val="00963646"/>
    <w:rsid w:val="009853E1"/>
    <w:rsid w:val="00986E6B"/>
    <w:rsid w:val="00991769"/>
    <w:rsid w:val="00994386"/>
    <w:rsid w:val="009A13D8"/>
    <w:rsid w:val="009A279E"/>
    <w:rsid w:val="009B0A6F"/>
    <w:rsid w:val="009B0A94"/>
    <w:rsid w:val="009B59E9"/>
    <w:rsid w:val="009B70AA"/>
    <w:rsid w:val="009C4DDD"/>
    <w:rsid w:val="009C7A7E"/>
    <w:rsid w:val="009D02E8"/>
    <w:rsid w:val="009D251B"/>
    <w:rsid w:val="009D51D0"/>
    <w:rsid w:val="009D70A4"/>
    <w:rsid w:val="009E08D1"/>
    <w:rsid w:val="009E1B95"/>
    <w:rsid w:val="009E496F"/>
    <w:rsid w:val="009E4B0D"/>
    <w:rsid w:val="009E5954"/>
    <w:rsid w:val="009E5B33"/>
    <w:rsid w:val="009E61A0"/>
    <w:rsid w:val="009E7F92"/>
    <w:rsid w:val="009F02A3"/>
    <w:rsid w:val="009F24E6"/>
    <w:rsid w:val="009F2F27"/>
    <w:rsid w:val="009F34AA"/>
    <w:rsid w:val="009F6BCB"/>
    <w:rsid w:val="009F7B78"/>
    <w:rsid w:val="00A0057A"/>
    <w:rsid w:val="00A02D2C"/>
    <w:rsid w:val="00A11421"/>
    <w:rsid w:val="00A11FC5"/>
    <w:rsid w:val="00A157B1"/>
    <w:rsid w:val="00A164BA"/>
    <w:rsid w:val="00A20D71"/>
    <w:rsid w:val="00A22229"/>
    <w:rsid w:val="00A27106"/>
    <w:rsid w:val="00A44882"/>
    <w:rsid w:val="00A54715"/>
    <w:rsid w:val="00A6061C"/>
    <w:rsid w:val="00A62D44"/>
    <w:rsid w:val="00A67263"/>
    <w:rsid w:val="00A7161C"/>
    <w:rsid w:val="00A77AA3"/>
    <w:rsid w:val="00A842F2"/>
    <w:rsid w:val="00A854EB"/>
    <w:rsid w:val="00A872E5"/>
    <w:rsid w:val="00A91406"/>
    <w:rsid w:val="00A96E65"/>
    <w:rsid w:val="00A97C72"/>
    <w:rsid w:val="00AA0F86"/>
    <w:rsid w:val="00AA3CA8"/>
    <w:rsid w:val="00AA63D4"/>
    <w:rsid w:val="00AA78F2"/>
    <w:rsid w:val="00AA7900"/>
    <w:rsid w:val="00AB06E8"/>
    <w:rsid w:val="00AB1CD3"/>
    <w:rsid w:val="00AB352F"/>
    <w:rsid w:val="00AC0C15"/>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0B9A"/>
    <w:rsid w:val="00B22291"/>
    <w:rsid w:val="00B23F9A"/>
    <w:rsid w:val="00B2417B"/>
    <w:rsid w:val="00B24E6F"/>
    <w:rsid w:val="00B26CB5"/>
    <w:rsid w:val="00B2752E"/>
    <w:rsid w:val="00B307CC"/>
    <w:rsid w:val="00B320BC"/>
    <w:rsid w:val="00B326B7"/>
    <w:rsid w:val="00B431E8"/>
    <w:rsid w:val="00B45141"/>
    <w:rsid w:val="00B5273A"/>
    <w:rsid w:val="00B54AE8"/>
    <w:rsid w:val="00B62B50"/>
    <w:rsid w:val="00B635B7"/>
    <w:rsid w:val="00B63AE8"/>
    <w:rsid w:val="00B63C0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E7DED"/>
    <w:rsid w:val="00BF7F58"/>
    <w:rsid w:val="00C01381"/>
    <w:rsid w:val="00C079B8"/>
    <w:rsid w:val="00C123EA"/>
    <w:rsid w:val="00C12A49"/>
    <w:rsid w:val="00C133EE"/>
    <w:rsid w:val="00C230A1"/>
    <w:rsid w:val="00C27201"/>
    <w:rsid w:val="00C27DE9"/>
    <w:rsid w:val="00C30AD3"/>
    <w:rsid w:val="00C33388"/>
    <w:rsid w:val="00C35484"/>
    <w:rsid w:val="00C4173A"/>
    <w:rsid w:val="00C47E78"/>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507D"/>
    <w:rsid w:val="00D4606D"/>
    <w:rsid w:val="00D50B9C"/>
    <w:rsid w:val="00D52D73"/>
    <w:rsid w:val="00D52E58"/>
    <w:rsid w:val="00D707D9"/>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28E8"/>
    <w:rsid w:val="00DF68C7"/>
    <w:rsid w:val="00DF6BAF"/>
    <w:rsid w:val="00DF731A"/>
    <w:rsid w:val="00E05E8D"/>
    <w:rsid w:val="00E170DC"/>
    <w:rsid w:val="00E20176"/>
    <w:rsid w:val="00E26818"/>
    <w:rsid w:val="00E27FFC"/>
    <w:rsid w:val="00E30B15"/>
    <w:rsid w:val="00E327EB"/>
    <w:rsid w:val="00E40181"/>
    <w:rsid w:val="00E427EB"/>
    <w:rsid w:val="00E53D0C"/>
    <w:rsid w:val="00E56A01"/>
    <w:rsid w:val="00E629A1"/>
    <w:rsid w:val="00E71591"/>
    <w:rsid w:val="00E74D0B"/>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0783C"/>
    <w:rsid w:val="00F11037"/>
    <w:rsid w:val="00F16F1B"/>
    <w:rsid w:val="00F250A9"/>
    <w:rsid w:val="00F30FF4"/>
    <w:rsid w:val="00F3122E"/>
    <w:rsid w:val="00F331AD"/>
    <w:rsid w:val="00F34542"/>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130B"/>
    <w:rsid w:val="00F72C2C"/>
    <w:rsid w:val="00F76CAB"/>
    <w:rsid w:val="00F772C6"/>
    <w:rsid w:val="00F815B5"/>
    <w:rsid w:val="00F85195"/>
    <w:rsid w:val="00F87FCF"/>
    <w:rsid w:val="00F922BE"/>
    <w:rsid w:val="00F92609"/>
    <w:rsid w:val="00F938BA"/>
    <w:rsid w:val="00FA2C46"/>
    <w:rsid w:val="00FA3525"/>
    <w:rsid w:val="00FB4CDA"/>
    <w:rsid w:val="00FC0F81"/>
    <w:rsid w:val="00FC395C"/>
    <w:rsid w:val="00FD3766"/>
    <w:rsid w:val="00FD47C4"/>
    <w:rsid w:val="00FE2DCF"/>
    <w:rsid w:val="00FF2FCE"/>
    <w:rsid w:val="00FF4F7D"/>
    <w:rsid w:val="00FF69F5"/>
    <w:rsid w:val="00FF6D9D"/>
    <w:rsid w:val="0C8E7E37"/>
    <w:rsid w:val="18C458D9"/>
    <w:rsid w:val="3E4B757D"/>
    <w:rsid w:val="43077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30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lsdException w:name="TOC Heading" w:uiPriority="71" w:qFormat="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9F24E6"/>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9F24E6"/>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F24E6"/>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9F24E6"/>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qFormat/>
    <w:rsid w:val="008D2846"/>
    <w:pPr>
      <w:spacing w:before="80" w:after="60"/>
    </w:pPr>
    <w:rPr>
      <w:rFonts w:ascii="Arial" w:hAnsi="Arial"/>
      <w:b/>
      <w:color w:val="201547"/>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numbering" w:customStyle="1" w:styleId="ZZBullets1">
    <w:name w:val="ZZ Bullets1"/>
    <w:rsid w:val="00035D3B"/>
  </w:style>
  <w:style w:type="character" w:customStyle="1" w:styleId="UnresolvedMention">
    <w:name w:val="Unresolved Mention"/>
    <w:basedOn w:val="DefaultParagraphFont"/>
    <w:uiPriority w:val="99"/>
    <w:semiHidden/>
    <w:unhideWhenUsed/>
    <w:rsid w:val="00130027"/>
    <w:rPr>
      <w:color w:val="808080"/>
      <w:shd w:val="clear" w:color="auto" w:fill="E6E6E6"/>
    </w:rPr>
  </w:style>
  <w:style w:type="character" w:styleId="CommentReference">
    <w:name w:val="annotation reference"/>
    <w:basedOn w:val="DefaultParagraphFont"/>
    <w:uiPriority w:val="99"/>
    <w:semiHidden/>
    <w:unhideWhenUsed/>
    <w:rsid w:val="00BE7DED"/>
    <w:rPr>
      <w:sz w:val="16"/>
      <w:szCs w:val="16"/>
    </w:rPr>
  </w:style>
  <w:style w:type="paragraph" w:styleId="CommentText">
    <w:name w:val="annotation text"/>
    <w:basedOn w:val="Normal"/>
    <w:link w:val="CommentTextChar"/>
    <w:uiPriority w:val="99"/>
    <w:semiHidden/>
    <w:unhideWhenUsed/>
    <w:rsid w:val="00BE7DED"/>
    <w:pPr>
      <w:spacing w:line="240" w:lineRule="auto"/>
    </w:pPr>
  </w:style>
  <w:style w:type="character" w:customStyle="1" w:styleId="CommentTextChar">
    <w:name w:val="Comment Text Char"/>
    <w:basedOn w:val="DefaultParagraphFont"/>
    <w:link w:val="CommentText"/>
    <w:uiPriority w:val="99"/>
    <w:semiHidden/>
    <w:rsid w:val="00BE7DED"/>
    <w:rPr>
      <w:rFonts w:ascii="Arial" w:hAnsi="Arial"/>
    </w:rPr>
  </w:style>
  <w:style w:type="paragraph" w:styleId="CommentSubject">
    <w:name w:val="annotation subject"/>
    <w:basedOn w:val="CommentText"/>
    <w:next w:val="CommentText"/>
    <w:link w:val="CommentSubjectChar"/>
    <w:uiPriority w:val="99"/>
    <w:semiHidden/>
    <w:unhideWhenUsed/>
    <w:rsid w:val="00BE7DED"/>
    <w:rPr>
      <w:b/>
      <w:bCs/>
    </w:rPr>
  </w:style>
  <w:style w:type="character" w:customStyle="1" w:styleId="CommentSubjectChar">
    <w:name w:val="Comment Subject Char"/>
    <w:basedOn w:val="CommentTextChar"/>
    <w:link w:val="CommentSubject"/>
    <w:uiPriority w:val="99"/>
    <w:semiHidden/>
    <w:rsid w:val="00BE7DED"/>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lsdException w:name="TOC Heading" w:uiPriority="71" w:qFormat="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9F24E6"/>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9F24E6"/>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F24E6"/>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9F24E6"/>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qFormat/>
    <w:rsid w:val="008D2846"/>
    <w:pPr>
      <w:spacing w:before="80" w:after="60"/>
    </w:pPr>
    <w:rPr>
      <w:rFonts w:ascii="Arial" w:hAnsi="Arial"/>
      <w:b/>
      <w:color w:val="201547"/>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numbering" w:customStyle="1" w:styleId="ZZBullets1">
    <w:name w:val="ZZ Bullets1"/>
    <w:rsid w:val="00035D3B"/>
  </w:style>
  <w:style w:type="character" w:customStyle="1" w:styleId="UnresolvedMention">
    <w:name w:val="Unresolved Mention"/>
    <w:basedOn w:val="DefaultParagraphFont"/>
    <w:uiPriority w:val="99"/>
    <w:semiHidden/>
    <w:unhideWhenUsed/>
    <w:rsid w:val="00130027"/>
    <w:rPr>
      <w:color w:val="808080"/>
      <w:shd w:val="clear" w:color="auto" w:fill="E6E6E6"/>
    </w:rPr>
  </w:style>
  <w:style w:type="character" w:styleId="CommentReference">
    <w:name w:val="annotation reference"/>
    <w:basedOn w:val="DefaultParagraphFont"/>
    <w:uiPriority w:val="99"/>
    <w:semiHidden/>
    <w:unhideWhenUsed/>
    <w:rsid w:val="00BE7DED"/>
    <w:rPr>
      <w:sz w:val="16"/>
      <w:szCs w:val="16"/>
    </w:rPr>
  </w:style>
  <w:style w:type="paragraph" w:styleId="CommentText">
    <w:name w:val="annotation text"/>
    <w:basedOn w:val="Normal"/>
    <w:link w:val="CommentTextChar"/>
    <w:uiPriority w:val="99"/>
    <w:semiHidden/>
    <w:unhideWhenUsed/>
    <w:rsid w:val="00BE7DED"/>
    <w:pPr>
      <w:spacing w:line="240" w:lineRule="auto"/>
    </w:pPr>
  </w:style>
  <w:style w:type="character" w:customStyle="1" w:styleId="CommentTextChar">
    <w:name w:val="Comment Text Char"/>
    <w:basedOn w:val="DefaultParagraphFont"/>
    <w:link w:val="CommentText"/>
    <w:uiPriority w:val="99"/>
    <w:semiHidden/>
    <w:rsid w:val="00BE7DED"/>
    <w:rPr>
      <w:rFonts w:ascii="Arial" w:hAnsi="Arial"/>
    </w:rPr>
  </w:style>
  <w:style w:type="paragraph" w:styleId="CommentSubject">
    <w:name w:val="annotation subject"/>
    <w:basedOn w:val="CommentText"/>
    <w:next w:val="CommentText"/>
    <w:link w:val="CommentSubjectChar"/>
    <w:uiPriority w:val="99"/>
    <w:semiHidden/>
    <w:unhideWhenUsed/>
    <w:rsid w:val="00BE7DED"/>
    <w:rPr>
      <w:b/>
      <w:bCs/>
    </w:rPr>
  </w:style>
  <w:style w:type="character" w:customStyle="1" w:styleId="CommentSubjectChar">
    <w:name w:val="Comment Subject Char"/>
    <w:basedOn w:val="CommentTextChar"/>
    <w:link w:val="CommentSubject"/>
    <w:uiPriority w:val="99"/>
    <w:semiHidden/>
    <w:rsid w:val="00BE7DE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84064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84354112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https://providers.dhhs.vic.gov.au/assessing-children-and-young-people-experiencing-family-violence-practice-guide-wo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providers.dhhs.vic.gov.au/family-violence-referral-protocol-between-dhhs-family-safety-victoria-and-department-justice-and"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viders.dhhs.vic.gov.au/mens-behaviour-change-program"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humanrightscommission.vic.gov.au/home/our-resources-and-publications/eoa-practice-guidelines/item/1577-guideline-family-violence-services-and-accommodation-complying-with-the-equal-opportunity-act-2010"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dhhs.vic.gov.au/code-practice-specialist-family-violence-services-women-and-children" TargetMode="External"/><Relationship Id="rId28" Type="http://schemas.openxmlformats.org/officeDocument/2006/relationships/hyperlink" Target="about:blank" TargetMode="External"/><Relationship Id="rId10" Type="http://schemas.openxmlformats.org/officeDocument/2006/relationships/footnotes" Target="footnotes.xml"/><Relationship Id="rId19" Type="http://schemas.openxmlformats.org/officeDocument/2006/relationships/hyperlink" Target="https://providers.dhhs.vic.gov.au/mens-behaviour-change-progra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providers.dhhs.vic.gov.au/family-violence-risk-assessment-and-risk-management-framework" TargetMode="External"/><Relationship Id="rId27" Type="http://schemas.openxmlformats.org/officeDocument/2006/relationships/hyperlink" Target="about:blank"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C0449-47AF-417E-8148-7A482A1A18C3}">
  <ds:schemaRefs>
    <ds:schemaRef ds:uri="http://schemas.microsoft.com/sharepoint/v3/contenttype/forms"/>
  </ds:schemaRefs>
</ds:datastoreItem>
</file>

<file path=customXml/itemProps2.xml><?xml version="1.0" encoding="utf-8"?>
<ds:datastoreItem xmlns:ds="http://schemas.openxmlformats.org/officeDocument/2006/customXml" ds:itemID="{5A9981D1-5BE1-4F28-A16E-D77017139F4B}"/>
</file>

<file path=customXml/itemProps3.xml><?xml version="1.0" encoding="utf-8"?>
<ds:datastoreItem xmlns:ds="http://schemas.openxmlformats.org/officeDocument/2006/customXml" ds:itemID="{61ECED3A-5A45-4BFA-9AC0-50C923EFEA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2788AF-260A-4A8F-904A-C6A0579D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Activity description human services Aboriginal family violence 38021</vt:lpstr>
    </vt:vector>
  </TitlesOfParts>
  <Company>Department of Health and Human Services</Company>
  <LinksUpToDate>false</LinksUpToDate>
  <CharactersWithSpaces>8391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human services Men's family violence services 38019</dc:title>
  <dc:subject>service agreement activity descriptions</dc:subject>
  <dc:creator>Service Agreement Policy unit</dc:creator>
  <cp:keywords>service agreement; Activity description;Family Violence Service Delivery;human services; Men's family violence services;38019</cp:keywords>
  <cp:lastModifiedBy>user</cp:lastModifiedBy>
  <cp:revision>3</cp:revision>
  <cp:lastPrinted>2019-01-24T02:30:00Z</cp:lastPrinted>
  <dcterms:created xsi:type="dcterms:W3CDTF">2020-03-26T04:31:00Z</dcterms:created>
  <dcterms:modified xsi:type="dcterms:W3CDTF">2020-03-26T04:37:00Z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ad6ac21b-c26e-4a58-afbb-d8a477ffc503_Enabled">
    <vt:lpwstr>True</vt:lpwstr>
  </property>
  <property fmtid="{D5CDD505-2E9C-101B-9397-08002B2CF9AE}" pid="4" name="MSIP_Label_ad6ac21b-c26e-4a58-afbb-d8a477ffc503_SiteId">
    <vt:lpwstr>c0e0601f-0fac-449c-9c88-a104c4eb9f28</vt:lpwstr>
  </property>
  <property fmtid="{D5CDD505-2E9C-101B-9397-08002B2CF9AE}" pid="5" name="MSIP_Label_ad6ac21b-c26e-4a58-afbb-d8a477ffc503_Owner">
    <vt:lpwstr>Lorraine.Kwangwari@familysafety.vic.gov.au</vt:lpwstr>
  </property>
  <property fmtid="{D5CDD505-2E9C-101B-9397-08002B2CF9AE}" pid="6" name="MSIP_Label_ad6ac21b-c26e-4a58-afbb-d8a477ffc503_SetDate">
    <vt:lpwstr>2020-03-19T06:45:01.1633659Z</vt:lpwstr>
  </property>
  <property fmtid="{D5CDD505-2E9C-101B-9397-08002B2CF9AE}" pid="7" name="MSIP_Label_ad6ac21b-c26e-4a58-afbb-d8a477ffc503_Name">
    <vt:lpwstr>OFFICIAL (FSV)</vt:lpwstr>
  </property>
  <property fmtid="{D5CDD505-2E9C-101B-9397-08002B2CF9AE}" pid="8" name="MSIP_Label_ad6ac21b-c26e-4a58-afbb-d8a477ffc503_Application">
    <vt:lpwstr>Microsoft Azure Information Protection</vt:lpwstr>
  </property>
  <property fmtid="{D5CDD505-2E9C-101B-9397-08002B2CF9AE}" pid="9" name="MSIP_Label_ad6ac21b-c26e-4a58-afbb-d8a477ffc503_ActionId">
    <vt:lpwstr>a7195023-8c8a-48ba-b3dd-c5113caaf8e3</vt:lpwstr>
  </property>
  <property fmtid="{D5CDD505-2E9C-101B-9397-08002B2CF9AE}" pid="10" name="MSIP_Label_ad6ac21b-c26e-4a58-afbb-d8a477ffc503_Extended_MSFT_Method">
    <vt:lpwstr>Manual</vt:lpwstr>
  </property>
  <property fmtid="{D5CDD505-2E9C-101B-9397-08002B2CF9AE}" pid="11" name="Sensitivity">
    <vt:lpwstr>OFFICIAL (FSV)</vt:lpwstr>
  </property>
  <property fmtid="{D5CDD505-2E9C-101B-9397-08002B2CF9AE}" pid="12" name="ContentTypeId">
    <vt:lpwstr>0x0101009F0C4347C5C6D34BA8C9FCC4F57D19B6</vt:lpwstr>
  </property>
</Properties>
</file>