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Mens Behaviour Change Corrections 38014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providers.dffh.vic.gov.au/mens-behaviour-change-program" TargetMode="External"/>
<Relationship Id="rId12" Type="http://schemas.openxmlformats.org/officeDocument/2006/relationships/hyperlink" Target="https://www.vic.gov.au/sites/default/files/2021-03/Perpetrator-case-management-program-operational-guidelines.DOCX" TargetMode="External"/>
<Relationship Id="rId13" Type="http://schemas.openxmlformats.org/officeDocument/2006/relationships/hyperlink" Target="file:/F:/Oracle/Middleware/Oracle_Home/user_projects/domains/bi/SharePoint%20&#8211;%20Corrections%20Victoria" TargetMode="External"/>
<Relationship Id="rId14" Type="http://schemas.openxmlformats.org/officeDocument/2006/relationships/hyperlink" Target="https://providers.dffh.vic.gov.au/family-violence-referral-protocol-between-dffh-family-safety-victoria-and-department-justice-and" TargetMode="External"/>
<Relationship Id="rId15" Type="http://schemas.openxmlformats.org/officeDocument/2006/relationships/hyperlink" Target="https://www.vic.gov.au/family-violence-information-sharing-scheme" TargetMode="External"/>
<Relationship Id="rId16" Type="http://schemas.openxmlformats.org/officeDocument/2006/relationships/hyperlink" Target="mailto:sapolicy@dffh.vic.gov.au" TargetMode="External"/>
<Relationship Id="rId17" Type="http://schemas.openxmlformats.org/officeDocument/2006/relationships/hyperlink" Target="http://providers.dffh.vic.gov.au/families-fairness-housing-health-activity-search" TargetMode="External"/>
<Relationship Id="rId18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Mens Behaviour Change Corrections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38014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safe and secure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Family Violence Service Delivery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Family Violence Service Delivery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purpose of Perpetrator Interventions Corrections is to hold perpetrators to account for their violence and enhance the safety of victim survivors by monitoring and responding to risk.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Perpetrator interventions for offenders subject to supervision by Community Correctional Services (CCS) include both individual and group-based responses that are tailored to meet a person’s risks and needs. </w:t>
      </w:r>
      <w:r>
        <w:br/>
      </w:r>
      <w:r>
        <w:rPr>
          <w:rFonts w:ascii="Arial" w:hAnsi="Arial" w:eastAsia="Arial" w:cs="Arial"/>
          <w:color w:val="000000"/>
          <w:sz w:val="20"/>
        </w:rPr>
        <w:t>This activity funds two services: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The Men’s Behaviour Change Program (MBCP) which provides perpetrators with placement in a group program. </w:t>
      </w:r>
      <w:r>
        <w:br/>
      </w:r>
      <w:r>
        <w:rPr>
          <w:rFonts w:ascii="Arial" w:hAnsi="Arial" w:eastAsia="Arial" w:cs="Arial"/>
          <w:color w:val="000000"/>
          <w:sz w:val="20"/>
        </w:rPr>
        <w:t>• Individual Case Management (ICM) is available to persons who are ineligible or found unsuitable for group-based interventions. The ICM will provide one-to-one support, in consultation with the CCS case manager to manage risk and reduce the likelihood of further violence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For offenders subject to Perpetrator Interventions for Corrections, assessment outcomes, case notes, attendance records and completion reports will be made available to CCS.  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client group is perpetrators required to attend a Men’s Behaviour Change Program or Individual Case Management program as a condition of a Community Corrections Order that have committed offences relating to family violence.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Registration under the Children, Youth and Families Act 2005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Men’s behaviour change minimum standards and quality practice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&lt;https://providers.dffh.vic.gov.au/mens-behaviour-change-program&gt;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Perpetrator case management program – Operational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&lt;https://www.vic.gov.au/sites/default/files/2021-03/Perpetrator-case-management-program-operational-guidelines.DOCX&gt;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3" w:tgtFrame="_blank" w:history="1">
        <w:r>
          <w:rPr>
            <w:rFonts w:ascii="Arial" w:hAnsi="Arial" w:eastAsia="Arial" w:cs="Arial"/>
            <w:color w:val="3366FF"/>
            <w:sz w:val="20"/>
          </w:rPr>
          <w:t>Family Violence Interventions -   Operational Requirements for providers and Corrections Victoria staff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&lt;SharePoint – Corrections Victoria&gt;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4" w:tgtFrame="_blank" w:history="1">
        <w:r>
          <w:rPr>
            <w:rFonts w:ascii="Arial" w:hAnsi="Arial" w:eastAsia="Arial" w:cs="Arial"/>
            <w:color w:val="3366FF"/>
            <w:sz w:val="20"/>
          </w:rPr>
          <w:t>Family violence referral protocol between DHHS, Family Safety Victoria and Department of Justice and Regulation and Victoria Police 2018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&lt;https://providers.dffh.vic.gov.au/family-violence-referral-protocol-between-dffh-family-safety-victoria-and-department-justice-and&gt;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5" w:tgtFrame="_blank" w:history="1">
        <w:r>
          <w:rPr>
            <w:rFonts w:ascii="Arial" w:hAnsi="Arial" w:eastAsia="Arial" w:cs="Arial"/>
            <w:color w:val="3366FF"/>
            <w:sz w:val="20"/>
          </w:rPr>
          <w:t>Family Violence Information Sharing Guidelines: Guidance for Information Sharing Entities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&lt;https://www.vic.gov.au/family-violence-information-sharing-scheme&gt;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new cases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new cases of support during the reporting period for Men’s Behaviour Change Programs and Individual Case Management.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number of new cases that are opened during the reporting period and identify them as Men’s Behaviour Change Program or Individual Case Management case.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The counting rule seeks to capture new instances where a response is provided to a person.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A new case is counted when a client receives services from a service provider for the first time within the past three months.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When to count a new case: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 when a client receives services from this service provider for the first time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• when a client presents for services after a previous case has been closed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• when a client presents for services relating to the same incident but has not received services from this service provider for three months or more.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When not to count a new case: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• when the client has received the same service from the service provider relating to the same incident within the last three months when an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 existing case carries over into a new financial year or calendar year when an existing case carries over into a new month.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SharePoint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Clients refers to perpetrators of family violence who receive a service from a perpetrator family violence provider.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A service is defined as at least one hour of service to a client.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SharePoint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SharePoint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Corrections Victoria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My Agency/SAM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SAMS2/Service delivery tracking data set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4"/>
      </w:tblGrid>
      <w:tr>
        <w:trPr>
          <w:cantSplit/>
        </w:trPr>
        <w:tc>
          <w:tcPr>
            <w:tcW w:w="1020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To receive this publication in an accessible format </w:t>
            </w:r>
            <w:r>
              <w:rPr>
                <w:rFonts w:ascii="Arial" w:hAnsi="Arial" w:eastAsia="Arial" w:cs="Arial"/>
                <w:color w:val="000000"/>
                <w:sz w:val="20"/>
              </w:rPr>
              <w:t>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Service Agreement Strategy and Practice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 </w:t>
            </w:r>
            <w:hyperlink r:id="rId16" w:tgtFrame="_blank" w:history="1">
              <w:r>
                <w:rPr>
                  <w:rFonts w:ascii="Arial" w:hAnsi="Arial" w:eastAsia="Arial" w:cs="Arial"/>
                  <w:color w:val="3366FF"/>
                  <w:sz w:val="24"/>
                </w:rPr>
                <w:t>&lt;sapolicy@dffh.vic.gov.au</w:t>
              </w:r>
            </w:hyperlink>
            <w:r>
              <w:rPr>
                <w:rFonts w:ascii="Arial" w:hAnsi="Arial" w:eastAsia="Arial" w:cs="Arial"/>
                <w:color w:val="000000"/>
                <w:sz w:val="24"/>
              </w:rPr>
              <w:t>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© State of Victoria, Australia, Department of Families, Fairness and Housing, </w:t>
            </w:r>
            <w:r>
              <w:rPr>
                <w:rFonts w:ascii="Arial" w:hAnsi="Arial" w:eastAsia="Arial" w:cs="Arial"/>
                <w:color w:val="000000"/>
                <w:sz w:val="16"/>
              </w:rPr>
              <w:t>May 2022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2653-0929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7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111" w:type="dxa"/>
      <w:tblLayout w:type="fixed"/>
      <w:tblCellMar>
        <w:left w:w="0" w:type="dxa"/>
        <w:right w:w="0" w:type="dxa"/>
      </w:tblCellMar>
    </w:tblPr>
    <w:tblGrid>
      <w:gridCol w:w="3185"/>
      <w:gridCol w:w="3473"/>
      <w:gridCol w:w="3692"/>
    </w:tblGrid>
    <w:tr>
      <w:tc>
        <w:tcPr>
          <w:tcW w:w="3185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1" w:type="dxa"/>
      <w:tblLayout w:type="fixed"/>
      <w:tblCellMar>
        <w:left w:w="0" w:type="dxa"/>
        <w:right w:w="0" w:type="dxa"/>
      </w:tblCellMar>
    </w:tblPr>
    <w:tblGrid>
      <w:gridCol w:w="3185"/>
      <w:gridCol w:w="3473"/>
      <w:gridCol w:w="3473"/>
    </w:tblGrid>
    <w:tr>
      <w:tc>
        <w:tcPr>
          <w:tcW w:w="3185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 xml:space="preserve">   </w:t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Family Violence Service Delivery 38014 Mens Behaviour Change Corrections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