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56EC4" w:rsidP="00056EC4" w:rsidRDefault="00A01FB1" w14:paraId="4739B500" w14:textId="14BC946A">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99"/>
      </w:tblGrid>
      <w:tr w:rsidR="00AD784C" w:rsidTr="00431F42" w14:paraId="18FF4B0B" w14:textId="77777777">
        <w:trPr>
          <w:cantSplit/>
        </w:trPr>
        <w:tc>
          <w:tcPr>
            <w:tcW w:w="0" w:type="auto"/>
            <w:tcMar>
              <w:top w:w="0" w:type="dxa"/>
              <w:left w:w="0" w:type="dxa"/>
              <w:right w:w="0" w:type="dxa"/>
            </w:tcMar>
          </w:tcPr>
          <w:p w:rsidRPr="00431F42" w:rsidR="00AD784C" w:rsidP="00431F42" w:rsidRDefault="00BF7596" w14:paraId="30E6956D" w14:textId="2FA8EC57">
            <w:pPr>
              <w:pStyle w:val="Documenttitle"/>
            </w:pPr>
            <w:r>
              <w:t xml:space="preserve">Vacant </w:t>
            </w:r>
            <w:r w:rsidR="00EE1BBA">
              <w:t xml:space="preserve">Unit Maintenance Operational Guidelines </w:t>
            </w:r>
          </w:p>
        </w:tc>
      </w:tr>
      <w:tr w:rsidR="00AD784C" w:rsidTr="00431F42" w14:paraId="246F9CB0" w14:textId="77777777">
        <w:trPr>
          <w:cantSplit/>
        </w:trPr>
        <w:tc>
          <w:tcPr>
            <w:tcW w:w="0" w:type="auto"/>
          </w:tcPr>
          <w:p w:rsidRPr="00A1389F" w:rsidR="00386109" w:rsidP="00C12B05" w:rsidRDefault="001B163C" w14:paraId="14EEB3AC" w14:textId="0A50DE75">
            <w:pPr>
              <w:pStyle w:val="Documentsubtitle"/>
            </w:pPr>
            <w:r>
              <w:t>June 2025</w:t>
            </w:r>
          </w:p>
        </w:tc>
      </w:tr>
      <w:tr w:rsidR="00430393" w:rsidTr="00431F42" w14:paraId="2AE57792" w14:textId="77777777">
        <w:trPr>
          <w:cantSplit/>
        </w:trPr>
        <w:tc>
          <w:tcPr>
            <w:tcW w:w="0" w:type="auto"/>
          </w:tcPr>
          <w:p w:rsidR="00430393" w:rsidP="00430393" w:rsidRDefault="001A6272" w14:paraId="68DABF30" w14:textId="77777777">
            <w:pPr>
              <w:pStyle w:val="Bannermarking"/>
            </w:pPr>
            <w:r>
              <w:fldChar w:fldCharType="begin"/>
            </w:r>
            <w:r>
              <w:instrText>FILLIN  "Type the protective marking" \d OFFICIAL \o  \* MERGEFORMAT</w:instrText>
            </w:r>
            <w:r>
              <w:fldChar w:fldCharType="separate"/>
            </w:r>
            <w:r>
              <w:t>OFFICIAL</w:t>
            </w:r>
            <w:r>
              <w:fldChar w:fldCharType="end"/>
            </w:r>
          </w:p>
        </w:tc>
      </w:tr>
    </w:tbl>
    <w:p w:rsidR="00FE4081" w:rsidP="00FE4081" w:rsidRDefault="00FE4081" w14:paraId="36665FAE" w14:textId="77777777">
      <w:pPr>
        <w:pStyle w:val="Body"/>
      </w:pPr>
    </w:p>
    <w:p w:rsidRPr="00FE4081" w:rsidR="00FE4081" w:rsidP="00FE4081" w:rsidRDefault="00FE4081" w14:paraId="3B4B7FED" w14:textId="5A778641">
      <w:pPr>
        <w:pStyle w:val="Body"/>
        <w:sectPr w:rsidRPr="00FE4081" w:rsid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orient="portrait" w:code="9"/>
          <w:pgMar w:top="3969" w:right="1304" w:bottom="851" w:left="1304" w:header="680" w:footer="567" w:gutter="0"/>
          <w:cols w:space="340"/>
          <w:titlePg/>
          <w:docGrid w:linePitch="360"/>
        </w:sectPr>
      </w:pPr>
    </w:p>
    <w:p w:rsidR="00CF230C" w:rsidRDefault="00CF230C" w14:paraId="6C2632DE" w14:textId="0CB0EA31">
      <w:pPr>
        <w:spacing w:after="0" w:line="240" w:lineRule="auto"/>
        <w:rPr>
          <w:rFonts w:eastAsia="Times"/>
        </w:rPr>
      </w:pPr>
    </w:p>
    <w:tbl>
      <w:tblPr>
        <w:tblStyle w:val="TableGrid"/>
        <w:tblW w:w="7598" w:type="dxa"/>
        <w:tblInd w:w="17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7598"/>
      </w:tblGrid>
      <w:tr w:rsidR="00431F42" w:rsidTr="00431F42" w14:paraId="649C9799" w14:textId="77777777">
        <w:trPr>
          <w:trHeight w:val="7371"/>
        </w:trPr>
        <w:tc>
          <w:tcPr>
            <w:tcW w:w="7598" w:type="dxa"/>
            <w:vAlign w:val="center"/>
          </w:tcPr>
          <w:p w:rsidR="00431F42" w:rsidP="00431F42" w:rsidRDefault="00547F70" w14:paraId="6ABF9062" w14:textId="3E76E9F8">
            <w:pPr>
              <w:pStyle w:val="Documenttitle"/>
            </w:pPr>
            <w:r>
              <w:t>Vacant Unit Maintenance Operational Guideline</w:t>
            </w:r>
            <w:r w:rsidR="001B163C">
              <w:t>s</w:t>
            </w:r>
          </w:p>
          <w:p w:rsidR="00431F42" w:rsidP="00431F42" w:rsidRDefault="001B163C" w14:paraId="482C3FE9" w14:textId="47AD7685">
            <w:pPr>
              <w:pStyle w:val="Documentsubtitle"/>
            </w:pPr>
            <w:r>
              <w:t>June</w:t>
            </w:r>
            <w:r w:rsidR="00547F70">
              <w:t xml:space="preserve"> 202</w:t>
            </w:r>
            <w:r w:rsidR="00266637">
              <w:t>5</w:t>
            </w:r>
          </w:p>
        </w:tc>
      </w:tr>
      <w:tr w:rsidR="00431F42" w:rsidTr="00431F42" w14:paraId="0BAEE86B" w14:textId="77777777">
        <w:tc>
          <w:tcPr>
            <w:tcW w:w="7598" w:type="dxa"/>
          </w:tcPr>
          <w:p w:rsidR="00431F42" w:rsidP="00431F42" w:rsidRDefault="00431F42" w14:paraId="6670AD22" w14:textId="77777777">
            <w:pPr>
              <w:pStyle w:val="Body"/>
            </w:pPr>
          </w:p>
        </w:tc>
      </w:tr>
    </w:tbl>
    <w:p w:rsidR="000D2ABA" w:rsidP="00431F42" w:rsidRDefault="000D2ABA" w14:paraId="7059F254" w14:textId="77777777">
      <w:pPr>
        <w:pStyle w:val="Body"/>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600" w:firstRow="0" w:lastRow="0" w:firstColumn="0" w:lastColumn="0" w:noHBand="1" w:noVBand="1"/>
      </w:tblPr>
      <w:tblGrid>
        <w:gridCol w:w="9288"/>
      </w:tblGrid>
      <w:tr w:rsidR="009F2182" w:rsidTr="45A9006C" w14:paraId="6CB2BDC7" w14:textId="77777777">
        <w:trPr>
          <w:cantSplit/>
          <w:trHeight w:val="7088"/>
        </w:trPr>
        <w:tc>
          <w:tcPr>
            <w:tcW w:w="9288" w:type="dxa"/>
            <w:tcMar/>
          </w:tcPr>
          <w:p w:rsidRPr="006A2717" w:rsidR="009F2182" w:rsidP="001C7128" w:rsidRDefault="009F2182" w14:paraId="48A49346" w14:textId="02DB85E5">
            <w:pPr>
              <w:pStyle w:val="Body"/>
              <w:spacing w:before="120"/>
              <w:rPr>
                <w:rFonts w:eastAsia="Times New Roman"/>
                <w:color w:val="87189D"/>
                <w:sz w:val="24"/>
                <w:szCs w:val="24"/>
              </w:rPr>
            </w:pPr>
          </w:p>
        </w:tc>
      </w:tr>
      <w:tr w:rsidR="009F2182" w:rsidTr="45A9006C" w14:paraId="2657A1D9" w14:textId="77777777">
        <w:trPr>
          <w:cantSplit/>
          <w:trHeight w:val="5103"/>
        </w:trPr>
        <w:tc>
          <w:tcPr>
            <w:tcW w:w="9288" w:type="dxa"/>
            <w:tcMar/>
            <w:vAlign w:val="bottom"/>
          </w:tcPr>
          <w:p w:rsidRPr="00E83EE5" w:rsidR="00E83EE5" w:rsidP="00E83EE5" w:rsidRDefault="00E83EE5" w14:paraId="3251AFA2" w14:textId="77777777">
            <w:pPr>
              <w:keepNext/>
              <w:keepLines/>
              <w:spacing w:before="360" w:line="360" w:lineRule="atLeast"/>
              <w:ind w:left="576" w:hanging="576"/>
              <w:outlineLvl w:val="1"/>
              <w:rPr>
                <w:b/>
                <w:color w:val="201547"/>
                <w:sz w:val="32"/>
                <w:szCs w:val="28"/>
              </w:rPr>
            </w:pPr>
            <w:bookmarkStart w:name="_Toc159340408" w:id="0"/>
            <w:bookmarkStart w:name="_Toc181781613" w:id="1"/>
            <w:r w:rsidRPr="00E83EE5">
              <w:rPr>
                <w:b/>
                <w:color w:val="201547"/>
                <w:sz w:val="32"/>
                <w:szCs w:val="28"/>
              </w:rPr>
              <w:t>More Information</w:t>
            </w:r>
            <w:bookmarkEnd w:id="0"/>
            <w:bookmarkEnd w:id="1"/>
          </w:p>
          <w:p w:rsidRPr="00E83EE5" w:rsidR="00E83EE5" w:rsidP="00E83EE5" w:rsidRDefault="00E83EE5" w14:paraId="02CBB139" w14:textId="77777777">
            <w:pPr>
              <w:rPr>
                <w:rFonts w:eastAsia="Times"/>
              </w:rPr>
            </w:pPr>
            <w:r w:rsidRPr="00E83EE5">
              <w:rPr>
                <w:rFonts w:eastAsia="Times"/>
              </w:rPr>
              <w:t xml:space="preserve">To find out about housing options visit the </w:t>
            </w:r>
            <w:hyperlink w:history="1" r:id="rId18">
              <w:r w:rsidRPr="00E83EE5">
                <w:rPr>
                  <w:rFonts w:eastAsia="Times"/>
                  <w:color w:val="3366FF"/>
                  <w:u w:val="dotted"/>
                </w:rPr>
                <w:t>Housing website</w:t>
              </w:r>
            </w:hyperlink>
            <w:r w:rsidRPr="00E83EE5">
              <w:rPr>
                <w:rFonts w:eastAsia="Times"/>
              </w:rPr>
              <w:t xml:space="preserve"> </w:t>
            </w:r>
            <w:r w:rsidRPr="00E83EE5">
              <w:rPr>
                <w:rFonts w:eastAsia="Times" w:cs="Arial"/>
              </w:rPr>
              <w:t>&lt;http://www.housing.vic.gov.au&gt;</w:t>
            </w:r>
            <w:r w:rsidRPr="00E83EE5">
              <w:rPr>
                <w:rFonts w:eastAsia="Times"/>
              </w:rPr>
              <w:t xml:space="preserve"> or contact your local </w:t>
            </w:r>
            <w:hyperlink w:history="1" r:id="rId19">
              <w:r w:rsidRPr="00E83EE5">
                <w:rPr>
                  <w:rFonts w:eastAsia="Times"/>
                  <w:u w:val="dotted"/>
                </w:rPr>
                <w:t>Housing Office</w:t>
              </w:r>
            </w:hyperlink>
            <w:r w:rsidRPr="00E83EE5">
              <w:rPr>
                <w:rFonts w:eastAsia="Times"/>
              </w:rPr>
              <w:t xml:space="preserve"> &lt;http://www.housing.vic.gov.au/contact-a-housing-office&gt;.</w:t>
            </w:r>
          </w:p>
          <w:p w:rsidRPr="00E83EE5" w:rsidR="00E83EE5" w:rsidP="00E83EE5" w:rsidRDefault="00E83EE5" w14:paraId="5B5A833D" w14:textId="77777777">
            <w:pPr>
              <w:rPr>
                <w:rFonts w:eastAsia="Times"/>
              </w:rPr>
            </w:pPr>
            <w:r w:rsidRPr="00E83EE5">
              <w:rPr>
                <w:rFonts w:eastAsia="Times"/>
              </w:rPr>
              <w:t xml:space="preserve">To receive this publication in an accessible format contact </w:t>
            </w:r>
            <w:hyperlink w:history="1" r:id="rId20">
              <w:r w:rsidRPr="00E83EE5">
                <w:rPr>
                  <w:rFonts w:eastAsia="Times"/>
                  <w:color w:val="004C97"/>
                  <w:u w:val="dotted"/>
                </w:rPr>
                <w:t>Homes Victoria</w:t>
              </w:r>
            </w:hyperlink>
            <w:r w:rsidRPr="00E83EE5">
              <w:rPr>
                <w:rFonts w:eastAsia="Times"/>
              </w:rPr>
              <w:t xml:space="preserve"> &lt;enquiries@homes.vic.gov.au&gt;.</w:t>
            </w:r>
          </w:p>
          <w:p w:rsidRPr="00E83EE5" w:rsidR="00E83EE5" w:rsidP="00E83EE5" w:rsidRDefault="00E83EE5" w14:paraId="3A69A975" w14:textId="77777777">
            <w:pPr>
              <w:rPr>
                <w:rFonts w:eastAsia="Times"/>
              </w:rPr>
            </w:pPr>
            <w:r w:rsidRPr="00E83EE5">
              <w:rPr>
                <w:rFonts w:eastAsia="Times"/>
              </w:rPr>
              <w:t>This guideline contains some links to internal resources which will not be accessible for external parties reading this document.</w:t>
            </w:r>
          </w:p>
          <w:p w:rsidRPr="00E83EE5" w:rsidR="00E83EE5" w:rsidP="00E83EE5" w:rsidRDefault="00E83EE5" w14:paraId="16F54DB2" w14:textId="77777777">
            <w:r w:rsidRPr="00E83EE5">
              <w:t>Authorised and published by the Victorian Government, 1 Treasury Place, Melbourne.</w:t>
            </w:r>
          </w:p>
          <w:p w:rsidRPr="00E83EE5" w:rsidR="00E83EE5" w:rsidP="00E83EE5" w:rsidRDefault="00E83EE5" w14:paraId="6D44EE52" w14:textId="1566E35F">
            <w:pPr>
              <w:rPr>
                <w:rFonts w:eastAsia="Times"/>
              </w:rPr>
            </w:pPr>
            <w:r w:rsidRPr="182A1F62">
              <w:rPr>
                <w:rFonts w:eastAsia="Times"/>
              </w:rPr>
              <w:t xml:space="preserve">© State of Victoria, Department of Families, Fairness and Housing, </w:t>
            </w:r>
            <w:r w:rsidR="001B163C">
              <w:rPr>
                <w:rFonts w:eastAsia="Times"/>
              </w:rPr>
              <w:t>June 2025</w:t>
            </w:r>
            <w:r w:rsidRPr="182A1F62">
              <w:rPr>
                <w:rFonts w:eastAsia="Times"/>
              </w:rPr>
              <w:t>.</w:t>
            </w:r>
          </w:p>
          <w:p w:rsidRPr="00E83EE5" w:rsidR="00E83EE5" w:rsidP="21A4E637" w:rsidRDefault="00E83EE5" w14:paraId="0877A865" w14:textId="63558CD5">
            <w:pPr>
              <w:spacing w:line="300" w:lineRule="atLeast"/>
              <w:rPr>
                <w:rFonts w:eastAsia="Times"/>
              </w:rPr>
            </w:pPr>
            <w:r w:rsidRPr="45A9006C" w:rsidR="00E83EE5">
              <w:rPr>
                <w:rFonts w:eastAsia="Times"/>
              </w:rPr>
              <w:t xml:space="preserve">ISBN: </w:t>
            </w:r>
            <w:r w:rsidRPr="45A9006C" w:rsidR="623607A9">
              <w:rPr>
                <w:rFonts w:eastAsia="Times"/>
              </w:rPr>
              <w:t xml:space="preserve">978-1-76130-835-2 </w:t>
            </w:r>
            <w:r w:rsidRPr="45A9006C" w:rsidR="00E83EE5">
              <w:rPr>
                <w:rFonts w:cs="Arial"/>
                <w:color w:val="000000" w:themeColor="text1" w:themeTint="FF" w:themeShade="FF"/>
              </w:rPr>
              <w:t>(pdf/online/MS word)</w:t>
            </w:r>
          </w:p>
          <w:p w:rsidRPr="00E83EE5" w:rsidR="00E83EE5" w:rsidP="00E83EE5" w:rsidRDefault="00E83EE5" w14:paraId="7183E4C2" w14:textId="77777777">
            <w:pPr>
              <w:spacing w:line="270" w:lineRule="atLeast"/>
              <w:rPr>
                <w:rFonts w:eastAsia="Times"/>
                <w:szCs w:val="21"/>
              </w:rPr>
            </w:pPr>
            <w:r w:rsidRPr="00E83EE5">
              <w:rPr>
                <w:rFonts w:eastAsia="Times"/>
                <w:szCs w:val="21"/>
              </w:rPr>
              <w:t>Available on the on Services Providers website &lt;</w:t>
            </w:r>
            <w:r w:rsidRPr="00E83EE5">
              <w:rPr>
                <w:rFonts w:eastAsia="Times"/>
                <w:sz w:val="20"/>
              </w:rPr>
              <w:t>https://providers.dffh.vic.gov.au</w:t>
            </w:r>
            <w:r w:rsidRPr="00E83EE5">
              <w:rPr>
                <w:rFonts w:eastAsia="Times"/>
                <w:szCs w:val="21"/>
              </w:rPr>
              <w:t>&gt;.</w:t>
            </w:r>
          </w:p>
          <w:p w:rsidR="009F2182" w:rsidP="006F6B76" w:rsidRDefault="009F2182" w14:paraId="20277F9E" w14:textId="5A4F6139">
            <w:pPr>
              <w:pStyle w:val="Imprint"/>
            </w:pPr>
          </w:p>
        </w:tc>
      </w:tr>
      <w:tr w:rsidR="0008204A" w:rsidTr="45A9006C" w14:paraId="657B4CC4" w14:textId="77777777">
        <w:trPr>
          <w:cantSplit/>
        </w:trPr>
        <w:tc>
          <w:tcPr>
            <w:tcW w:w="9288" w:type="dxa"/>
            <w:tcMar/>
          </w:tcPr>
          <w:p w:rsidRPr="0055119B" w:rsidR="0008204A" w:rsidP="0008204A" w:rsidRDefault="0008204A" w14:paraId="14002AEC" w14:textId="77777777">
            <w:pPr>
              <w:pStyle w:val="Body"/>
            </w:pPr>
          </w:p>
        </w:tc>
      </w:tr>
    </w:tbl>
    <w:p w:rsidRPr="0008204A" w:rsidR="0008204A" w:rsidP="0008204A" w:rsidRDefault="0008204A" w14:paraId="0A182FBD" w14:textId="328F7B3D">
      <w:pPr>
        <w:pStyle w:val="Body"/>
      </w:pPr>
      <w:r w:rsidRPr="0008204A">
        <w:br w:type="page"/>
      </w:r>
    </w:p>
    <w:p w:rsidR="00F00A95" w:rsidP="00562811" w:rsidRDefault="008115B4" w14:paraId="7F56DEB1" w14:textId="6140A162">
      <w:pPr>
        <w:pStyle w:val="Heading1"/>
        <w:spacing w:before="0"/>
      </w:pPr>
      <w:bookmarkStart w:name="_Toc200818188" w:id="2"/>
      <w:r>
        <w:t>Revision history</w:t>
      </w:r>
      <w:bookmarkEnd w:id="2"/>
    </w:p>
    <w:tbl>
      <w:tblPr>
        <w:tblStyle w:val="TableGrid"/>
        <w:tblW w:w="9299" w:type="dxa"/>
        <w:tblLook w:val="06A0" w:firstRow="1" w:lastRow="0" w:firstColumn="1" w:lastColumn="0" w:noHBand="1" w:noVBand="1"/>
      </w:tblPr>
      <w:tblGrid>
        <w:gridCol w:w="988"/>
        <w:gridCol w:w="2126"/>
        <w:gridCol w:w="1984"/>
        <w:gridCol w:w="4201"/>
      </w:tblGrid>
      <w:tr w:rsidRPr="008115B4" w:rsidR="008115B4" w:rsidTr="008115B4" w14:paraId="45A394BD" w14:textId="77777777">
        <w:trPr>
          <w:tblHeader/>
        </w:trPr>
        <w:tc>
          <w:tcPr>
            <w:tcW w:w="988" w:type="dxa"/>
          </w:tcPr>
          <w:p w:rsidRPr="008115B4" w:rsidR="008115B4" w:rsidP="008115B4" w:rsidRDefault="008115B4" w14:paraId="66E0D48B" w14:textId="77777777">
            <w:pPr>
              <w:spacing w:before="80" w:after="60" w:line="240" w:lineRule="auto"/>
              <w:rPr>
                <w:b/>
                <w:color w:val="201547"/>
              </w:rPr>
            </w:pPr>
            <w:r w:rsidRPr="008115B4">
              <w:rPr>
                <w:b/>
                <w:color w:val="201547"/>
              </w:rPr>
              <w:t>Version</w:t>
            </w:r>
          </w:p>
        </w:tc>
        <w:tc>
          <w:tcPr>
            <w:tcW w:w="2126" w:type="dxa"/>
          </w:tcPr>
          <w:p w:rsidRPr="008115B4" w:rsidR="008115B4" w:rsidP="008115B4" w:rsidRDefault="008115B4" w14:paraId="5A46CEF5" w14:textId="77777777">
            <w:pPr>
              <w:spacing w:before="80" w:after="60" w:line="240" w:lineRule="auto"/>
              <w:rPr>
                <w:b/>
                <w:color w:val="201547"/>
              </w:rPr>
            </w:pPr>
            <w:r w:rsidRPr="008115B4">
              <w:rPr>
                <w:b/>
                <w:color w:val="201547"/>
              </w:rPr>
              <w:t>Amended section</w:t>
            </w:r>
          </w:p>
        </w:tc>
        <w:tc>
          <w:tcPr>
            <w:tcW w:w="1984" w:type="dxa"/>
          </w:tcPr>
          <w:p w:rsidRPr="008115B4" w:rsidR="008115B4" w:rsidP="008115B4" w:rsidRDefault="008115B4" w14:paraId="697E6D82" w14:textId="77777777">
            <w:pPr>
              <w:spacing w:before="80" w:after="60" w:line="240" w:lineRule="auto"/>
              <w:rPr>
                <w:b/>
                <w:color w:val="201547"/>
              </w:rPr>
            </w:pPr>
            <w:r w:rsidRPr="008115B4">
              <w:rPr>
                <w:b/>
                <w:color w:val="201547"/>
              </w:rPr>
              <w:t>Effective</w:t>
            </w:r>
          </w:p>
        </w:tc>
        <w:tc>
          <w:tcPr>
            <w:tcW w:w="4201" w:type="dxa"/>
          </w:tcPr>
          <w:p w:rsidRPr="008115B4" w:rsidR="008115B4" w:rsidP="008115B4" w:rsidRDefault="008115B4" w14:paraId="323C12A2" w14:textId="77777777">
            <w:pPr>
              <w:spacing w:before="80" w:after="60" w:line="240" w:lineRule="auto"/>
              <w:rPr>
                <w:b/>
                <w:color w:val="201547"/>
              </w:rPr>
            </w:pPr>
            <w:r w:rsidRPr="008115B4">
              <w:rPr>
                <w:b/>
                <w:color w:val="201547"/>
              </w:rPr>
              <w:t>Details</w:t>
            </w:r>
          </w:p>
        </w:tc>
      </w:tr>
      <w:tr w:rsidRPr="008115B4" w:rsidR="008115B4" w14:paraId="7317B8DA" w14:textId="77777777">
        <w:trPr>
          <w:tblHeader/>
        </w:trPr>
        <w:tc>
          <w:tcPr>
            <w:tcW w:w="9299" w:type="dxa"/>
            <w:gridSpan w:val="4"/>
          </w:tcPr>
          <w:p w:rsidRPr="001B163C" w:rsidR="008115B4" w:rsidP="001B163C" w:rsidRDefault="008115B4" w14:paraId="1D9187E9" w14:textId="3269789E">
            <w:pPr>
              <w:pStyle w:val="Tabletext"/>
              <w:rPr>
                <w:b/>
                <w:bCs/>
              </w:rPr>
            </w:pPr>
            <w:r w:rsidRPr="001B163C">
              <w:rPr>
                <w:b/>
                <w:bCs/>
              </w:rPr>
              <w:t xml:space="preserve">Chapter 2: Vacant </w:t>
            </w:r>
            <w:r w:rsidR="001B163C">
              <w:rPr>
                <w:b/>
                <w:bCs/>
              </w:rPr>
              <w:t>U</w:t>
            </w:r>
            <w:r w:rsidRPr="001B163C">
              <w:rPr>
                <w:b/>
                <w:bCs/>
              </w:rPr>
              <w:t xml:space="preserve">nit </w:t>
            </w:r>
            <w:r w:rsidR="001B163C">
              <w:rPr>
                <w:b/>
                <w:bCs/>
              </w:rPr>
              <w:t>M</w:t>
            </w:r>
            <w:r w:rsidRPr="001B163C">
              <w:rPr>
                <w:b/>
                <w:bCs/>
              </w:rPr>
              <w:t>aintenance</w:t>
            </w:r>
          </w:p>
        </w:tc>
      </w:tr>
      <w:tr w:rsidRPr="008115B4" w:rsidR="008115B4" w:rsidTr="008115B4" w14:paraId="5DC01504" w14:textId="77777777">
        <w:trPr>
          <w:tblHeader/>
        </w:trPr>
        <w:tc>
          <w:tcPr>
            <w:tcW w:w="988" w:type="dxa"/>
          </w:tcPr>
          <w:p w:rsidRPr="008115B4" w:rsidR="008115B4" w:rsidP="008115B4" w:rsidRDefault="008115B4" w14:paraId="3E11266E" w14:textId="73FFBB93">
            <w:pPr>
              <w:pStyle w:val="Tabletext"/>
              <w:rPr>
                <w:b/>
                <w:color w:val="201547"/>
              </w:rPr>
            </w:pPr>
            <w:r>
              <w:t>1.0</w:t>
            </w:r>
          </w:p>
        </w:tc>
        <w:tc>
          <w:tcPr>
            <w:tcW w:w="2126" w:type="dxa"/>
          </w:tcPr>
          <w:p w:rsidRPr="008115B4" w:rsidR="008115B4" w:rsidP="008115B4" w:rsidRDefault="008115B4" w14:paraId="32FC2F0A" w14:textId="77777777">
            <w:pPr>
              <w:pStyle w:val="Tabletext"/>
              <w:rPr>
                <w:b/>
                <w:color w:val="201547"/>
              </w:rPr>
            </w:pPr>
          </w:p>
        </w:tc>
        <w:tc>
          <w:tcPr>
            <w:tcW w:w="1984" w:type="dxa"/>
          </w:tcPr>
          <w:p w:rsidRPr="008115B4" w:rsidR="008115B4" w:rsidP="008115B4" w:rsidRDefault="008115B4" w14:paraId="0FA56DC0" w14:textId="34CBEAFE">
            <w:pPr>
              <w:pStyle w:val="Tabletext"/>
              <w:rPr>
                <w:b/>
                <w:color w:val="201547"/>
              </w:rPr>
            </w:pPr>
            <w:r w:rsidRPr="008115B4">
              <w:t>November 2017</w:t>
            </w:r>
          </w:p>
        </w:tc>
        <w:tc>
          <w:tcPr>
            <w:tcW w:w="4201" w:type="dxa"/>
          </w:tcPr>
          <w:p w:rsidR="008115B4" w:rsidP="008115B4" w:rsidRDefault="008115B4" w14:paraId="0E02DE08" w14:textId="77777777">
            <w:pPr>
              <w:pStyle w:val="Tabletext"/>
            </w:pPr>
            <w:r>
              <w:t>Incorporation of version control table</w:t>
            </w:r>
          </w:p>
          <w:p w:rsidRPr="008115B4" w:rsidR="008115B4" w:rsidP="008115B4" w:rsidRDefault="008115B4" w14:paraId="58700D6E" w14:textId="1F0C7E86">
            <w:pPr>
              <w:pStyle w:val="Tabletext"/>
              <w:rPr>
                <w:b/>
                <w:color w:val="201547"/>
              </w:rPr>
            </w:pPr>
            <w:r>
              <w:t>Accessible format</w:t>
            </w:r>
          </w:p>
        </w:tc>
      </w:tr>
      <w:tr w:rsidRPr="008115B4" w:rsidR="008115B4" w:rsidTr="008115B4" w14:paraId="7F81923B" w14:textId="77777777">
        <w:trPr>
          <w:tblHeader/>
        </w:trPr>
        <w:tc>
          <w:tcPr>
            <w:tcW w:w="988" w:type="dxa"/>
          </w:tcPr>
          <w:p w:rsidRPr="008115B4" w:rsidR="008115B4" w:rsidP="008115B4" w:rsidRDefault="008115B4" w14:paraId="4885E606" w14:textId="3D5E9533">
            <w:pPr>
              <w:pStyle w:val="Tabletext"/>
              <w:rPr>
                <w:b/>
                <w:color w:val="201547"/>
              </w:rPr>
            </w:pPr>
            <w:r w:rsidRPr="008115B4">
              <w:t>1.2</w:t>
            </w:r>
          </w:p>
        </w:tc>
        <w:tc>
          <w:tcPr>
            <w:tcW w:w="2126" w:type="dxa"/>
          </w:tcPr>
          <w:p w:rsidRPr="008115B4" w:rsidR="008115B4" w:rsidP="008115B4" w:rsidRDefault="008115B4" w14:paraId="53D65716" w14:textId="708E9A0B">
            <w:pPr>
              <w:pStyle w:val="Tabletext"/>
              <w:rPr>
                <w:b/>
                <w:color w:val="201547"/>
              </w:rPr>
            </w:pPr>
            <w:r w:rsidRPr="008115B4">
              <w:t>Mandatory works for vacant properties</w:t>
            </w:r>
          </w:p>
        </w:tc>
        <w:tc>
          <w:tcPr>
            <w:tcW w:w="1984" w:type="dxa"/>
          </w:tcPr>
          <w:p w:rsidRPr="008115B4" w:rsidR="008115B4" w:rsidP="008115B4" w:rsidRDefault="008115B4" w14:paraId="60D7B7D7" w14:textId="29B89401">
            <w:pPr>
              <w:pStyle w:val="Tabletext"/>
              <w:rPr>
                <w:b/>
                <w:color w:val="201547"/>
              </w:rPr>
            </w:pPr>
            <w:r w:rsidRPr="008115B4">
              <w:t>April 2018</w:t>
            </w:r>
          </w:p>
        </w:tc>
        <w:tc>
          <w:tcPr>
            <w:tcW w:w="4201" w:type="dxa"/>
          </w:tcPr>
          <w:p w:rsidRPr="008115B4" w:rsidR="008115B4" w:rsidP="008115B4" w:rsidRDefault="008115B4" w14:paraId="4EB48C92" w14:textId="2912B585">
            <w:pPr>
              <w:pStyle w:val="Tabletext"/>
              <w:rPr>
                <w:b/>
                <w:color w:val="201547"/>
              </w:rPr>
            </w:pPr>
            <w:r w:rsidRPr="008115B4">
              <w:t>Amended to reflect that gas appliances are serviced as part of mandatory works</w:t>
            </w:r>
          </w:p>
        </w:tc>
      </w:tr>
      <w:tr w:rsidRPr="008115B4" w:rsidR="008115B4" w14:paraId="5C048D1C" w14:textId="77777777">
        <w:tc>
          <w:tcPr>
            <w:tcW w:w="9299" w:type="dxa"/>
            <w:gridSpan w:val="4"/>
          </w:tcPr>
          <w:p w:rsidRPr="001B163C" w:rsidR="008115B4" w:rsidP="001B163C" w:rsidRDefault="008115B4" w14:paraId="75586AC2" w14:textId="585920F4">
            <w:pPr>
              <w:pStyle w:val="Tabletext"/>
              <w:rPr>
                <w:b/>
                <w:bCs/>
              </w:rPr>
            </w:pPr>
            <w:r w:rsidRPr="001B163C">
              <w:rPr>
                <w:b/>
                <w:bCs/>
              </w:rPr>
              <w:t xml:space="preserve">Vacant </w:t>
            </w:r>
            <w:r w:rsidR="001B163C">
              <w:rPr>
                <w:b/>
                <w:bCs/>
              </w:rPr>
              <w:t>U</w:t>
            </w:r>
            <w:r w:rsidRPr="001B163C">
              <w:rPr>
                <w:b/>
                <w:bCs/>
              </w:rPr>
              <w:t xml:space="preserve">nit </w:t>
            </w:r>
            <w:r w:rsidR="001B163C">
              <w:rPr>
                <w:b/>
                <w:bCs/>
              </w:rPr>
              <w:t>G</w:t>
            </w:r>
            <w:r w:rsidRPr="001B163C">
              <w:rPr>
                <w:b/>
                <w:bCs/>
              </w:rPr>
              <w:t>uide</w:t>
            </w:r>
          </w:p>
        </w:tc>
      </w:tr>
      <w:tr w:rsidRPr="008115B4" w:rsidR="008115B4" w:rsidTr="008115B4" w14:paraId="1F814327" w14:textId="77777777">
        <w:tc>
          <w:tcPr>
            <w:tcW w:w="988" w:type="dxa"/>
          </w:tcPr>
          <w:p w:rsidRPr="001B163C" w:rsidR="008115B4" w:rsidP="001B163C" w:rsidRDefault="008115B4" w14:paraId="2F8DDFDE" w14:textId="77777777">
            <w:pPr>
              <w:pStyle w:val="Tabletext"/>
            </w:pPr>
            <w:r w:rsidRPr="001B163C">
              <w:t>1.0</w:t>
            </w:r>
          </w:p>
        </w:tc>
        <w:tc>
          <w:tcPr>
            <w:tcW w:w="2126" w:type="dxa"/>
          </w:tcPr>
          <w:p w:rsidRPr="001B163C" w:rsidR="008115B4" w:rsidP="001B163C" w:rsidRDefault="008115B4" w14:paraId="70D20CE1" w14:textId="77777777">
            <w:pPr>
              <w:pStyle w:val="Tabletext"/>
            </w:pPr>
            <w:r w:rsidRPr="001B163C">
              <w:t>First publication</w:t>
            </w:r>
          </w:p>
        </w:tc>
        <w:tc>
          <w:tcPr>
            <w:tcW w:w="1984" w:type="dxa"/>
          </w:tcPr>
          <w:p w:rsidRPr="001B163C" w:rsidR="008115B4" w:rsidP="001B163C" w:rsidRDefault="008115B4" w14:paraId="45450DA6" w14:textId="77777777">
            <w:pPr>
              <w:pStyle w:val="Tabletext"/>
            </w:pPr>
            <w:r w:rsidRPr="001B163C">
              <w:t>29 March 2021</w:t>
            </w:r>
          </w:p>
        </w:tc>
        <w:tc>
          <w:tcPr>
            <w:tcW w:w="4201" w:type="dxa"/>
          </w:tcPr>
          <w:p w:rsidRPr="008115B4" w:rsidR="008115B4" w:rsidP="008115B4" w:rsidRDefault="008115B4" w14:paraId="0529612A" w14:textId="77777777">
            <w:pPr>
              <w:pStyle w:val="Tablebullet1"/>
            </w:pPr>
            <w:r w:rsidRPr="008115B4">
              <w:t>Date of issue.</w:t>
            </w:r>
          </w:p>
        </w:tc>
      </w:tr>
      <w:tr w:rsidRPr="008115B4" w:rsidR="008115B4" w:rsidTr="008115B4" w14:paraId="3D00D3A5" w14:textId="77777777">
        <w:trPr>
          <w:trHeight w:val="756"/>
        </w:trPr>
        <w:tc>
          <w:tcPr>
            <w:tcW w:w="988" w:type="dxa"/>
          </w:tcPr>
          <w:p w:rsidRPr="001B163C" w:rsidR="008115B4" w:rsidP="001B163C" w:rsidRDefault="008115B4" w14:paraId="3CFA002A" w14:textId="77777777">
            <w:pPr>
              <w:pStyle w:val="Tabletext"/>
            </w:pPr>
            <w:r w:rsidRPr="001B163C">
              <w:t>2.0</w:t>
            </w:r>
          </w:p>
        </w:tc>
        <w:tc>
          <w:tcPr>
            <w:tcW w:w="2126" w:type="dxa"/>
          </w:tcPr>
          <w:p w:rsidRPr="001B163C" w:rsidR="008115B4" w:rsidP="001B163C" w:rsidRDefault="008115B4" w14:paraId="5DE532A8" w14:textId="77777777">
            <w:pPr>
              <w:pStyle w:val="Tabletext"/>
            </w:pPr>
            <w:r w:rsidRPr="001B163C">
              <w:t>Revised</w:t>
            </w:r>
          </w:p>
        </w:tc>
        <w:tc>
          <w:tcPr>
            <w:tcW w:w="1984" w:type="dxa"/>
          </w:tcPr>
          <w:p w:rsidRPr="001B163C" w:rsidR="008115B4" w:rsidP="001B163C" w:rsidRDefault="008115B4" w14:paraId="3CD54A59" w14:textId="77777777">
            <w:pPr>
              <w:pStyle w:val="Tabletext"/>
            </w:pPr>
            <w:r w:rsidRPr="001B163C">
              <w:t>7 July 2023</w:t>
            </w:r>
          </w:p>
        </w:tc>
        <w:tc>
          <w:tcPr>
            <w:tcW w:w="4201" w:type="dxa"/>
          </w:tcPr>
          <w:p w:rsidRPr="008115B4" w:rsidR="008115B4" w:rsidP="008115B4" w:rsidRDefault="008115B4" w14:paraId="5D9200B6" w14:textId="77777777">
            <w:pPr>
              <w:pStyle w:val="Tablebullet1"/>
            </w:pPr>
            <w:r w:rsidRPr="008115B4">
              <w:t>Moved to DFFH template.</w:t>
            </w:r>
          </w:p>
          <w:p w:rsidRPr="008115B4" w:rsidR="008115B4" w:rsidP="008115B4" w:rsidRDefault="008115B4" w14:paraId="453231CA" w14:textId="77777777">
            <w:pPr>
              <w:pStyle w:val="Tablebullet1"/>
            </w:pPr>
            <w:r w:rsidRPr="008115B4">
              <w:t>The option for Head contractors to scope vacant works has been removed.</w:t>
            </w:r>
          </w:p>
          <w:p w:rsidRPr="008115B4" w:rsidR="008115B4" w:rsidP="00547F70" w:rsidRDefault="008115B4" w14:paraId="5208F737" w14:textId="2BD94AEA">
            <w:pPr>
              <w:pStyle w:val="Tablebullet1"/>
            </w:pPr>
            <w:r w:rsidRPr="008115B4">
              <w:t>Further information provided about raising Residential Tenancies Act</w:t>
            </w:r>
            <w:r w:rsidR="00F02746">
              <w:t xml:space="preserve"> </w:t>
            </w:r>
            <w:r w:rsidRPr="008115B4">
              <w:t>safety checks</w:t>
            </w:r>
          </w:p>
        </w:tc>
      </w:tr>
      <w:tr w:rsidRPr="008115B4" w:rsidR="008115B4" w:rsidTr="008115B4" w14:paraId="6C3D23B5" w14:textId="77777777">
        <w:trPr>
          <w:trHeight w:val="225"/>
        </w:trPr>
        <w:tc>
          <w:tcPr>
            <w:tcW w:w="9299" w:type="dxa"/>
            <w:gridSpan w:val="4"/>
          </w:tcPr>
          <w:p w:rsidRPr="001B163C" w:rsidR="008115B4" w:rsidP="001B163C" w:rsidRDefault="00547F70" w14:paraId="787644DF" w14:textId="0D68A52F">
            <w:pPr>
              <w:pStyle w:val="Tabletext"/>
              <w:rPr>
                <w:b/>
                <w:bCs/>
              </w:rPr>
            </w:pPr>
            <w:r w:rsidRPr="001B163C">
              <w:rPr>
                <w:b/>
                <w:bCs/>
              </w:rPr>
              <w:t xml:space="preserve">Vacant </w:t>
            </w:r>
            <w:r w:rsidR="001B163C">
              <w:rPr>
                <w:b/>
                <w:bCs/>
              </w:rPr>
              <w:t>U</w:t>
            </w:r>
            <w:r w:rsidRPr="001B163C">
              <w:rPr>
                <w:b/>
                <w:bCs/>
              </w:rPr>
              <w:t xml:space="preserve">nit </w:t>
            </w:r>
            <w:r w:rsidR="001B163C">
              <w:rPr>
                <w:b/>
                <w:bCs/>
              </w:rPr>
              <w:t>M</w:t>
            </w:r>
            <w:r w:rsidRPr="001B163C">
              <w:rPr>
                <w:b/>
                <w:bCs/>
              </w:rPr>
              <w:t xml:space="preserve">aintenance </w:t>
            </w:r>
            <w:r w:rsidR="001B163C">
              <w:rPr>
                <w:b/>
                <w:bCs/>
              </w:rPr>
              <w:t>O</w:t>
            </w:r>
            <w:r w:rsidRPr="001B163C">
              <w:rPr>
                <w:b/>
                <w:bCs/>
              </w:rPr>
              <w:t xml:space="preserve">perational </w:t>
            </w:r>
            <w:r w:rsidR="001B163C">
              <w:rPr>
                <w:b/>
                <w:bCs/>
              </w:rPr>
              <w:t>G</w:t>
            </w:r>
            <w:r w:rsidRPr="001B163C">
              <w:rPr>
                <w:b/>
                <w:bCs/>
              </w:rPr>
              <w:t>uideline</w:t>
            </w:r>
            <w:r w:rsidR="001B163C">
              <w:rPr>
                <w:b/>
                <w:bCs/>
              </w:rPr>
              <w:t>s</w:t>
            </w:r>
          </w:p>
        </w:tc>
      </w:tr>
      <w:tr w:rsidRPr="008115B4" w:rsidR="008115B4" w:rsidTr="008115B4" w14:paraId="7052522D" w14:textId="77777777">
        <w:trPr>
          <w:trHeight w:val="495"/>
        </w:trPr>
        <w:tc>
          <w:tcPr>
            <w:tcW w:w="988" w:type="dxa"/>
          </w:tcPr>
          <w:p w:rsidRPr="008115B4" w:rsidR="008115B4" w:rsidP="001B163C" w:rsidRDefault="00547F70" w14:paraId="4D9EF2B6" w14:textId="18C8730A">
            <w:pPr>
              <w:pStyle w:val="Tabletext"/>
            </w:pPr>
            <w:r>
              <w:t>1.0</w:t>
            </w:r>
          </w:p>
        </w:tc>
        <w:tc>
          <w:tcPr>
            <w:tcW w:w="2126" w:type="dxa"/>
          </w:tcPr>
          <w:p w:rsidRPr="008115B4" w:rsidR="008115B4" w:rsidP="001B163C" w:rsidRDefault="00547F70" w14:paraId="65D21498" w14:textId="196E1C08">
            <w:pPr>
              <w:pStyle w:val="Tabletext"/>
            </w:pPr>
            <w:r>
              <w:t xml:space="preserve">First publication </w:t>
            </w:r>
          </w:p>
        </w:tc>
        <w:tc>
          <w:tcPr>
            <w:tcW w:w="1984" w:type="dxa"/>
          </w:tcPr>
          <w:p w:rsidRPr="008115B4" w:rsidR="008115B4" w:rsidP="001B163C" w:rsidRDefault="00BA1BD2" w14:paraId="476CFB50" w14:textId="7B47345B">
            <w:pPr>
              <w:pStyle w:val="Tabletext"/>
            </w:pPr>
            <w:r>
              <w:t>December</w:t>
            </w:r>
            <w:r w:rsidR="00547F70">
              <w:t xml:space="preserve"> 202</w:t>
            </w:r>
            <w:r w:rsidR="00E65A0A">
              <w:t>4</w:t>
            </w:r>
          </w:p>
        </w:tc>
        <w:tc>
          <w:tcPr>
            <w:tcW w:w="4201" w:type="dxa"/>
          </w:tcPr>
          <w:p w:rsidR="008115B4" w:rsidP="00547F70" w:rsidRDefault="00E65A0A" w14:paraId="07AC67AC" w14:textId="0C57741B">
            <w:pPr>
              <w:pStyle w:val="Tablebullet1"/>
            </w:pPr>
            <w:r w:rsidRPr="00E65A0A">
              <w:t xml:space="preserve">Combined </w:t>
            </w:r>
            <w:r w:rsidRPr="00216AA2">
              <w:rPr>
                <w:i/>
                <w:iCs/>
              </w:rPr>
              <w:t xml:space="preserve">Chapter 2: Vacant unit maintenance </w:t>
            </w:r>
            <w:r w:rsidRPr="00216AA2" w:rsidR="00216AA2">
              <w:rPr>
                <w:i/>
                <w:iCs/>
              </w:rPr>
              <w:t>v1.2</w:t>
            </w:r>
            <w:r w:rsidR="00216AA2">
              <w:t xml:space="preserve"> </w:t>
            </w:r>
            <w:r w:rsidRPr="00E65A0A">
              <w:t xml:space="preserve">and </w:t>
            </w:r>
            <w:r w:rsidRPr="00216AA2">
              <w:rPr>
                <w:i/>
                <w:iCs/>
              </w:rPr>
              <w:t>Vacant unit guide v2.0</w:t>
            </w:r>
            <w:r>
              <w:t xml:space="preserve"> </w:t>
            </w:r>
            <w:r w:rsidRPr="00E65A0A">
              <w:t>into a single comprehensive guideline.</w:t>
            </w:r>
          </w:p>
          <w:p w:rsidR="00E65A0A" w:rsidP="00E65A0A" w:rsidRDefault="00E65A0A" w14:paraId="7457C029" w14:textId="77777777">
            <w:pPr>
              <w:pStyle w:val="Tabletext"/>
            </w:pPr>
            <w:r>
              <w:t>Updates from previous versions:</w:t>
            </w:r>
          </w:p>
          <w:p w:rsidR="00752321" w:rsidP="00E65A0A" w:rsidRDefault="00752321" w14:paraId="66C2B646" w14:textId="243338CC">
            <w:pPr>
              <w:pStyle w:val="Tablebullet1"/>
            </w:pPr>
            <w:r>
              <w:t>R</w:t>
            </w:r>
            <w:r w:rsidRPr="00752321">
              <w:t>emoval of guidance that standard vacant unit works include safety and compliance checks.</w:t>
            </w:r>
          </w:p>
          <w:p w:rsidRPr="008115B4" w:rsidR="00E65A0A" w:rsidP="00E65A0A" w:rsidRDefault="00E65A0A" w14:paraId="3AF1FBB6" w14:textId="2638A946">
            <w:pPr>
              <w:pStyle w:val="Tablebullet1"/>
            </w:pPr>
            <w:r>
              <w:t>New sections have been introduced to provide updated and comprehensive guidance on vacant unit maintenance.</w:t>
            </w:r>
          </w:p>
        </w:tc>
      </w:tr>
      <w:tr w:rsidRPr="008115B4" w:rsidR="001B163C" w:rsidTr="008115B4" w14:paraId="110005D3" w14:textId="77777777">
        <w:trPr>
          <w:trHeight w:val="495"/>
        </w:trPr>
        <w:tc>
          <w:tcPr>
            <w:tcW w:w="988" w:type="dxa"/>
          </w:tcPr>
          <w:p w:rsidRPr="00337EAF" w:rsidR="001B163C" w:rsidP="008115B4" w:rsidRDefault="001B163C" w14:paraId="3D10C99C" w14:textId="6C32AB69">
            <w:pPr>
              <w:spacing w:before="80" w:line="240" w:lineRule="auto"/>
            </w:pPr>
            <w:r w:rsidRPr="00337EAF">
              <w:t>1.2</w:t>
            </w:r>
          </w:p>
        </w:tc>
        <w:tc>
          <w:tcPr>
            <w:tcW w:w="2126" w:type="dxa"/>
          </w:tcPr>
          <w:p w:rsidRPr="00337EAF" w:rsidR="001B163C" w:rsidP="008115B4" w:rsidRDefault="00D046EA" w14:paraId="4813413C" w14:textId="2EB6FC75">
            <w:pPr>
              <w:spacing w:before="80" w:line="240" w:lineRule="auto"/>
            </w:pPr>
            <w:r w:rsidRPr="00337EAF">
              <w:t xml:space="preserve">4.1 </w:t>
            </w:r>
            <w:r w:rsidRPr="00337EAF" w:rsidR="001B163C">
              <w:t>Reletting restrictions</w:t>
            </w:r>
          </w:p>
        </w:tc>
        <w:tc>
          <w:tcPr>
            <w:tcW w:w="1984" w:type="dxa"/>
          </w:tcPr>
          <w:p w:rsidRPr="00337EAF" w:rsidR="001B163C" w:rsidP="008115B4" w:rsidRDefault="001B163C" w14:paraId="25BA734A" w14:textId="42F29B18">
            <w:pPr>
              <w:spacing w:before="80" w:after="60" w:line="240" w:lineRule="auto"/>
            </w:pPr>
            <w:r w:rsidRPr="00337EAF">
              <w:t>June 2025</w:t>
            </w:r>
          </w:p>
        </w:tc>
        <w:tc>
          <w:tcPr>
            <w:tcW w:w="4201" w:type="dxa"/>
          </w:tcPr>
          <w:p w:rsidRPr="00337EAF" w:rsidR="001B163C" w:rsidP="00547F70" w:rsidRDefault="002C0F1F" w14:paraId="2C54918C" w14:textId="1623DC8E">
            <w:pPr>
              <w:pStyle w:val="Tablebullet1"/>
            </w:pPr>
            <w:r w:rsidRPr="00337EAF">
              <w:t>Expanded guidance on the management and application of reletting restrictions, including detailed oversight and approval procedures.</w:t>
            </w:r>
          </w:p>
          <w:p w:rsidRPr="00337EAF" w:rsidR="0016255F" w:rsidP="00492566" w:rsidRDefault="00D046EA" w14:paraId="7CE5A536" w14:textId="2193F0B8">
            <w:pPr>
              <w:pStyle w:val="Tablebullet1"/>
            </w:pPr>
            <w:r w:rsidRPr="00337EAF">
              <w:t>Integrated standalone section 6.5 Upgrade Referral Requests into the reordered Reletting Restrictions section, which has been moved from section 4.1 to section 5.</w:t>
            </w:r>
          </w:p>
        </w:tc>
      </w:tr>
    </w:tbl>
    <w:p w:rsidR="00547F70" w:rsidP="008115B4" w:rsidRDefault="00547F70" w14:paraId="0D6508D3" w14:textId="77777777">
      <w:pPr>
        <w:pStyle w:val="Body"/>
      </w:pPr>
    </w:p>
    <w:p w:rsidR="00547F70" w:rsidP="008115B4" w:rsidRDefault="00547F70" w14:paraId="2108DBDF" w14:textId="77777777">
      <w:pPr>
        <w:pStyle w:val="Body"/>
      </w:pPr>
    </w:p>
    <w:p w:rsidR="00547F70" w:rsidP="008115B4" w:rsidRDefault="00547F70" w14:paraId="32D1DC41" w14:textId="77777777">
      <w:pPr>
        <w:pStyle w:val="Body"/>
      </w:pPr>
    </w:p>
    <w:p w:rsidR="00547F70" w:rsidP="008115B4" w:rsidRDefault="00547F70" w14:paraId="45F1D631" w14:textId="77777777">
      <w:pPr>
        <w:pStyle w:val="Body"/>
      </w:pPr>
    </w:p>
    <w:p w:rsidR="00547F70" w:rsidP="008115B4" w:rsidRDefault="00547F70" w14:paraId="1329DB06" w14:textId="77777777">
      <w:pPr>
        <w:pStyle w:val="Body"/>
      </w:pPr>
    </w:p>
    <w:p w:rsidR="00547F70" w:rsidP="008115B4" w:rsidRDefault="00547F70" w14:paraId="4F6ED7A1" w14:textId="77777777">
      <w:pPr>
        <w:pStyle w:val="Body"/>
      </w:pPr>
    </w:p>
    <w:p w:rsidR="00547F70" w:rsidP="008115B4" w:rsidRDefault="00547F70" w14:paraId="7C6F2F24" w14:textId="77777777">
      <w:pPr>
        <w:pStyle w:val="Body"/>
        <w:sectPr w:rsidR="00547F70" w:rsidSect="00F15144">
          <w:headerReference w:type="even" r:id="rId21"/>
          <w:headerReference w:type="default" r:id="rId22"/>
          <w:footerReference w:type="even" r:id="rId23"/>
          <w:footerReference w:type="default" r:id="rId24"/>
          <w:pgSz w:w="11906" w:h="16838" w:orient="portrait" w:code="9"/>
          <w:pgMar w:top="1418" w:right="1304" w:bottom="851" w:left="1304" w:header="680" w:footer="567" w:gutter="0"/>
          <w:cols w:space="340"/>
          <w:docGrid w:linePitch="360"/>
        </w:sectPr>
      </w:pPr>
    </w:p>
    <w:p w:rsidRPr="00B57329" w:rsidR="00547F70" w:rsidP="00547F70" w:rsidRDefault="00547F70" w14:paraId="2CE06297" w14:textId="77777777">
      <w:pPr>
        <w:pStyle w:val="Heading1"/>
        <w:numPr>
          <w:ilvl w:val="0"/>
          <w:numId w:val="0"/>
        </w:numPr>
        <w:ind w:left="432" w:hanging="432"/>
      </w:pPr>
      <w:bookmarkStart w:name="_Toc200818189" w:id="3"/>
      <w:r w:rsidRPr="00B57329">
        <w:t>Contents</w:t>
      </w:r>
      <w:bookmarkEnd w:id="3"/>
    </w:p>
    <w:p w:rsidR="00523C12" w:rsidRDefault="00547F70" w14:paraId="7F33BD07" w14:textId="2B784B14">
      <w:pPr>
        <w:pStyle w:val="TOC1"/>
        <w:tabs>
          <w:tab w:val="left" w:pos="567"/>
        </w:tabs>
        <w:rPr>
          <w:rFonts w:asciiTheme="minorHAnsi" w:hAnsiTheme="minorHAnsi" w:eastAsiaTheme="minorEastAsia"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history="1" w:anchor="_Toc200818188">
        <w:r w:rsidRPr="006F69C2" w:rsidR="00523C12">
          <w:rPr>
            <w:rStyle w:val="Hyperlink"/>
          </w:rPr>
          <w:t>1</w:t>
        </w:r>
        <w:r w:rsidR="00523C12">
          <w:rPr>
            <w:rFonts w:asciiTheme="minorHAnsi" w:hAnsiTheme="minorHAnsi" w:eastAsiaTheme="minorEastAsia" w:cstheme="minorBidi"/>
            <w:b w:val="0"/>
            <w:kern w:val="2"/>
            <w:sz w:val="24"/>
            <w:szCs w:val="24"/>
            <w:lang w:eastAsia="en-AU"/>
            <w14:ligatures w14:val="standardContextual"/>
          </w:rPr>
          <w:tab/>
        </w:r>
        <w:r w:rsidRPr="006F69C2" w:rsidR="00523C12">
          <w:rPr>
            <w:rStyle w:val="Hyperlink"/>
          </w:rPr>
          <w:t>Revision history</w:t>
        </w:r>
        <w:r w:rsidR="00523C12">
          <w:rPr>
            <w:webHidden/>
          </w:rPr>
          <w:tab/>
        </w:r>
        <w:r w:rsidR="00523C12">
          <w:rPr>
            <w:webHidden/>
          </w:rPr>
          <w:fldChar w:fldCharType="begin"/>
        </w:r>
        <w:r w:rsidR="00523C12">
          <w:rPr>
            <w:webHidden/>
          </w:rPr>
          <w:instrText xml:space="preserve"> PAGEREF _Toc200818188 \h </w:instrText>
        </w:r>
        <w:r w:rsidR="00523C12">
          <w:rPr>
            <w:webHidden/>
          </w:rPr>
        </w:r>
        <w:r w:rsidR="00523C12">
          <w:rPr>
            <w:webHidden/>
          </w:rPr>
          <w:fldChar w:fldCharType="separate"/>
        </w:r>
        <w:r w:rsidR="00523C12">
          <w:rPr>
            <w:webHidden/>
          </w:rPr>
          <w:t>4</w:t>
        </w:r>
        <w:r w:rsidR="00523C12">
          <w:rPr>
            <w:webHidden/>
          </w:rPr>
          <w:fldChar w:fldCharType="end"/>
        </w:r>
      </w:hyperlink>
    </w:p>
    <w:p w:rsidR="00523C12" w:rsidRDefault="00523C12" w14:paraId="7EE79F30" w14:textId="155CD0AE">
      <w:pPr>
        <w:pStyle w:val="TOC1"/>
        <w:rPr>
          <w:rFonts w:asciiTheme="minorHAnsi" w:hAnsiTheme="minorHAnsi" w:eastAsiaTheme="minorEastAsia" w:cstheme="minorBidi"/>
          <w:b w:val="0"/>
          <w:kern w:val="2"/>
          <w:sz w:val="24"/>
          <w:szCs w:val="24"/>
          <w:lang w:eastAsia="en-AU"/>
          <w14:ligatures w14:val="standardContextual"/>
        </w:rPr>
      </w:pPr>
      <w:hyperlink w:history="1" w:anchor="_Toc200818189">
        <w:r w:rsidRPr="006F69C2">
          <w:rPr>
            <w:rStyle w:val="Hyperlink"/>
          </w:rPr>
          <w:t>Contents</w:t>
        </w:r>
        <w:r>
          <w:rPr>
            <w:webHidden/>
          </w:rPr>
          <w:tab/>
        </w:r>
        <w:r>
          <w:rPr>
            <w:webHidden/>
          </w:rPr>
          <w:fldChar w:fldCharType="begin"/>
        </w:r>
        <w:r>
          <w:rPr>
            <w:webHidden/>
          </w:rPr>
          <w:instrText xml:space="preserve"> PAGEREF _Toc200818189 \h </w:instrText>
        </w:r>
        <w:r>
          <w:rPr>
            <w:webHidden/>
          </w:rPr>
        </w:r>
        <w:r>
          <w:rPr>
            <w:webHidden/>
          </w:rPr>
          <w:fldChar w:fldCharType="separate"/>
        </w:r>
        <w:r>
          <w:rPr>
            <w:webHidden/>
          </w:rPr>
          <w:t>5</w:t>
        </w:r>
        <w:r>
          <w:rPr>
            <w:webHidden/>
          </w:rPr>
          <w:fldChar w:fldCharType="end"/>
        </w:r>
      </w:hyperlink>
    </w:p>
    <w:p w:rsidR="00523C12" w:rsidRDefault="00523C12" w14:paraId="16D2F923" w14:textId="64310610">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190">
        <w:r w:rsidRPr="006F69C2">
          <w:rPr>
            <w:rStyle w:val="Hyperlink"/>
          </w:rPr>
          <w:t>2</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Overview</w:t>
        </w:r>
        <w:r>
          <w:rPr>
            <w:webHidden/>
          </w:rPr>
          <w:tab/>
        </w:r>
        <w:r>
          <w:rPr>
            <w:webHidden/>
          </w:rPr>
          <w:fldChar w:fldCharType="begin"/>
        </w:r>
        <w:r>
          <w:rPr>
            <w:webHidden/>
          </w:rPr>
          <w:instrText xml:space="preserve"> PAGEREF _Toc200818190 \h </w:instrText>
        </w:r>
        <w:r>
          <w:rPr>
            <w:webHidden/>
          </w:rPr>
        </w:r>
        <w:r>
          <w:rPr>
            <w:webHidden/>
          </w:rPr>
          <w:fldChar w:fldCharType="separate"/>
        </w:r>
        <w:r>
          <w:rPr>
            <w:webHidden/>
          </w:rPr>
          <w:t>6</w:t>
        </w:r>
        <w:r>
          <w:rPr>
            <w:webHidden/>
          </w:rPr>
          <w:fldChar w:fldCharType="end"/>
        </w:r>
      </w:hyperlink>
    </w:p>
    <w:p w:rsidR="00523C12" w:rsidRDefault="00523C12" w14:paraId="36AC8191" w14:textId="5E6C2FF4">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191">
        <w:r w:rsidRPr="006F69C2">
          <w:rPr>
            <w:rStyle w:val="Hyperlink"/>
          </w:rPr>
          <w:t>3</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Occupational health and safety</w:t>
        </w:r>
        <w:r>
          <w:rPr>
            <w:webHidden/>
          </w:rPr>
          <w:tab/>
        </w:r>
        <w:r>
          <w:rPr>
            <w:webHidden/>
          </w:rPr>
          <w:fldChar w:fldCharType="begin"/>
        </w:r>
        <w:r>
          <w:rPr>
            <w:webHidden/>
          </w:rPr>
          <w:instrText xml:space="preserve"> PAGEREF _Toc200818191 \h </w:instrText>
        </w:r>
        <w:r>
          <w:rPr>
            <w:webHidden/>
          </w:rPr>
        </w:r>
        <w:r>
          <w:rPr>
            <w:webHidden/>
          </w:rPr>
          <w:fldChar w:fldCharType="separate"/>
        </w:r>
        <w:r>
          <w:rPr>
            <w:webHidden/>
          </w:rPr>
          <w:t>6</w:t>
        </w:r>
        <w:r>
          <w:rPr>
            <w:webHidden/>
          </w:rPr>
          <w:fldChar w:fldCharType="end"/>
        </w:r>
      </w:hyperlink>
    </w:p>
    <w:p w:rsidR="00523C12" w:rsidRDefault="00523C12" w14:paraId="12F366F4" w14:textId="2D4D3C2D">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2">
        <w:r w:rsidRPr="006F69C2">
          <w:rPr>
            <w:rStyle w:val="Hyperlink"/>
          </w:rPr>
          <w:t>3.1</w:t>
        </w:r>
        <w:r>
          <w:rPr>
            <w:rFonts w:asciiTheme="minorHAnsi" w:hAnsiTheme="minorHAnsi" w:eastAsiaTheme="minorEastAsia" w:cstheme="minorBidi"/>
            <w:kern w:val="2"/>
            <w:sz w:val="24"/>
            <w:szCs w:val="24"/>
            <w:lang w:eastAsia="en-AU"/>
            <w14:ligatures w14:val="standardContextual"/>
          </w:rPr>
          <w:tab/>
        </w:r>
        <w:r w:rsidRPr="006F69C2">
          <w:rPr>
            <w:rStyle w:val="Hyperlink"/>
          </w:rPr>
          <w:t>Before entering or proceeding with a vacant unit inspection</w:t>
        </w:r>
        <w:r>
          <w:rPr>
            <w:webHidden/>
          </w:rPr>
          <w:tab/>
        </w:r>
        <w:r>
          <w:rPr>
            <w:webHidden/>
          </w:rPr>
          <w:fldChar w:fldCharType="begin"/>
        </w:r>
        <w:r>
          <w:rPr>
            <w:webHidden/>
          </w:rPr>
          <w:instrText xml:space="preserve"> PAGEREF _Toc200818192 \h </w:instrText>
        </w:r>
        <w:r>
          <w:rPr>
            <w:webHidden/>
          </w:rPr>
        </w:r>
        <w:r>
          <w:rPr>
            <w:webHidden/>
          </w:rPr>
          <w:fldChar w:fldCharType="separate"/>
        </w:r>
        <w:r>
          <w:rPr>
            <w:webHidden/>
          </w:rPr>
          <w:t>6</w:t>
        </w:r>
        <w:r>
          <w:rPr>
            <w:webHidden/>
          </w:rPr>
          <w:fldChar w:fldCharType="end"/>
        </w:r>
      </w:hyperlink>
    </w:p>
    <w:p w:rsidR="00523C12" w:rsidRDefault="00523C12" w14:paraId="1EC158DD" w14:textId="27C5BF18">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3">
        <w:r w:rsidRPr="006F69C2">
          <w:rPr>
            <w:rStyle w:val="Hyperlink"/>
          </w:rPr>
          <w:t>3.2</w:t>
        </w:r>
        <w:r>
          <w:rPr>
            <w:rFonts w:asciiTheme="minorHAnsi" w:hAnsiTheme="minorHAnsi" w:eastAsiaTheme="minorEastAsia" w:cstheme="minorBidi"/>
            <w:kern w:val="2"/>
            <w:sz w:val="24"/>
            <w:szCs w:val="24"/>
            <w:lang w:eastAsia="en-AU"/>
            <w14:ligatures w14:val="standardContextual"/>
          </w:rPr>
          <w:tab/>
        </w:r>
        <w:r w:rsidRPr="006F69C2">
          <w:rPr>
            <w:rStyle w:val="Hyperlink"/>
          </w:rPr>
          <w:t>Properties presenting a risk of contamination</w:t>
        </w:r>
        <w:r>
          <w:rPr>
            <w:webHidden/>
          </w:rPr>
          <w:tab/>
        </w:r>
        <w:r>
          <w:rPr>
            <w:webHidden/>
          </w:rPr>
          <w:fldChar w:fldCharType="begin"/>
        </w:r>
        <w:r>
          <w:rPr>
            <w:webHidden/>
          </w:rPr>
          <w:instrText xml:space="preserve"> PAGEREF _Toc200818193 \h </w:instrText>
        </w:r>
        <w:r>
          <w:rPr>
            <w:webHidden/>
          </w:rPr>
        </w:r>
        <w:r>
          <w:rPr>
            <w:webHidden/>
          </w:rPr>
          <w:fldChar w:fldCharType="separate"/>
        </w:r>
        <w:r>
          <w:rPr>
            <w:webHidden/>
          </w:rPr>
          <w:t>7</w:t>
        </w:r>
        <w:r>
          <w:rPr>
            <w:webHidden/>
          </w:rPr>
          <w:fldChar w:fldCharType="end"/>
        </w:r>
      </w:hyperlink>
    </w:p>
    <w:p w:rsidR="00523C12" w:rsidRDefault="00523C12" w14:paraId="7A7ACEED" w14:textId="48CA4AD6">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4">
        <w:r w:rsidRPr="006F69C2">
          <w:rPr>
            <w:rStyle w:val="Hyperlink"/>
          </w:rPr>
          <w:t>3.3</w:t>
        </w:r>
        <w:r>
          <w:rPr>
            <w:rFonts w:asciiTheme="minorHAnsi" w:hAnsiTheme="minorHAnsi" w:eastAsiaTheme="minorEastAsia" w:cstheme="minorBidi"/>
            <w:kern w:val="2"/>
            <w:sz w:val="24"/>
            <w:szCs w:val="24"/>
            <w:lang w:eastAsia="en-AU"/>
            <w14:ligatures w14:val="standardContextual"/>
          </w:rPr>
          <w:tab/>
        </w:r>
        <w:r w:rsidRPr="006F69C2">
          <w:rPr>
            <w:rStyle w:val="Hyperlink"/>
          </w:rPr>
          <w:t>Don'ts during inspections</w:t>
        </w:r>
        <w:r>
          <w:rPr>
            <w:webHidden/>
          </w:rPr>
          <w:tab/>
        </w:r>
        <w:r>
          <w:rPr>
            <w:webHidden/>
          </w:rPr>
          <w:fldChar w:fldCharType="begin"/>
        </w:r>
        <w:r>
          <w:rPr>
            <w:webHidden/>
          </w:rPr>
          <w:instrText xml:space="preserve"> PAGEREF _Toc200818194 \h </w:instrText>
        </w:r>
        <w:r>
          <w:rPr>
            <w:webHidden/>
          </w:rPr>
        </w:r>
        <w:r>
          <w:rPr>
            <w:webHidden/>
          </w:rPr>
          <w:fldChar w:fldCharType="separate"/>
        </w:r>
        <w:r>
          <w:rPr>
            <w:webHidden/>
          </w:rPr>
          <w:t>7</w:t>
        </w:r>
        <w:r>
          <w:rPr>
            <w:webHidden/>
          </w:rPr>
          <w:fldChar w:fldCharType="end"/>
        </w:r>
      </w:hyperlink>
    </w:p>
    <w:p w:rsidR="00523C12" w:rsidRDefault="00523C12" w14:paraId="54616696" w14:textId="3FA31742">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5">
        <w:r w:rsidRPr="006F69C2">
          <w:rPr>
            <w:rStyle w:val="Hyperlink"/>
          </w:rPr>
          <w:t>3.4</w:t>
        </w:r>
        <w:r>
          <w:rPr>
            <w:rFonts w:asciiTheme="minorHAnsi" w:hAnsiTheme="minorHAnsi" w:eastAsiaTheme="minorEastAsia" w:cstheme="minorBidi"/>
            <w:kern w:val="2"/>
            <w:sz w:val="24"/>
            <w:szCs w:val="24"/>
            <w:lang w:eastAsia="en-AU"/>
            <w14:ligatures w14:val="standardContextual"/>
          </w:rPr>
          <w:tab/>
        </w:r>
        <w:r w:rsidRPr="006F69C2">
          <w:rPr>
            <w:rStyle w:val="Hyperlink"/>
          </w:rPr>
          <w:t>Do's during inspections</w:t>
        </w:r>
        <w:r>
          <w:rPr>
            <w:webHidden/>
          </w:rPr>
          <w:tab/>
        </w:r>
        <w:r>
          <w:rPr>
            <w:webHidden/>
          </w:rPr>
          <w:fldChar w:fldCharType="begin"/>
        </w:r>
        <w:r>
          <w:rPr>
            <w:webHidden/>
          </w:rPr>
          <w:instrText xml:space="preserve"> PAGEREF _Toc200818195 \h </w:instrText>
        </w:r>
        <w:r>
          <w:rPr>
            <w:webHidden/>
          </w:rPr>
        </w:r>
        <w:r>
          <w:rPr>
            <w:webHidden/>
          </w:rPr>
          <w:fldChar w:fldCharType="separate"/>
        </w:r>
        <w:r>
          <w:rPr>
            <w:webHidden/>
          </w:rPr>
          <w:t>7</w:t>
        </w:r>
        <w:r>
          <w:rPr>
            <w:webHidden/>
          </w:rPr>
          <w:fldChar w:fldCharType="end"/>
        </w:r>
      </w:hyperlink>
    </w:p>
    <w:p w:rsidR="00523C12" w:rsidRDefault="00523C12" w14:paraId="37A97883" w14:textId="4FDA0DDF">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196">
        <w:r w:rsidRPr="006F69C2">
          <w:rPr>
            <w:rStyle w:val="Hyperlink"/>
          </w:rPr>
          <w:t>4</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Target timeframes for vacant unit maintenance</w:t>
        </w:r>
        <w:r>
          <w:rPr>
            <w:webHidden/>
          </w:rPr>
          <w:tab/>
        </w:r>
        <w:r>
          <w:rPr>
            <w:webHidden/>
          </w:rPr>
          <w:fldChar w:fldCharType="begin"/>
        </w:r>
        <w:r>
          <w:rPr>
            <w:webHidden/>
          </w:rPr>
          <w:instrText xml:space="preserve"> PAGEREF _Toc200818196 \h </w:instrText>
        </w:r>
        <w:r>
          <w:rPr>
            <w:webHidden/>
          </w:rPr>
        </w:r>
        <w:r>
          <w:rPr>
            <w:webHidden/>
          </w:rPr>
          <w:fldChar w:fldCharType="separate"/>
        </w:r>
        <w:r>
          <w:rPr>
            <w:webHidden/>
          </w:rPr>
          <w:t>8</w:t>
        </w:r>
        <w:r>
          <w:rPr>
            <w:webHidden/>
          </w:rPr>
          <w:fldChar w:fldCharType="end"/>
        </w:r>
      </w:hyperlink>
    </w:p>
    <w:p w:rsidR="00523C12" w:rsidRDefault="00523C12" w14:paraId="7B810244" w14:textId="6DC6D998">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7">
        <w:r w:rsidRPr="006F69C2">
          <w:rPr>
            <w:rStyle w:val="Hyperlink"/>
          </w:rPr>
          <w:t>4.1</w:t>
        </w:r>
        <w:r>
          <w:rPr>
            <w:rFonts w:asciiTheme="minorHAnsi" w:hAnsiTheme="minorHAnsi" w:eastAsiaTheme="minorEastAsia" w:cstheme="minorBidi"/>
            <w:kern w:val="2"/>
            <w:sz w:val="24"/>
            <w:szCs w:val="24"/>
            <w:lang w:eastAsia="en-AU"/>
            <w14:ligatures w14:val="standardContextual"/>
          </w:rPr>
          <w:tab/>
        </w:r>
        <w:r w:rsidRPr="006F69C2">
          <w:rPr>
            <w:rStyle w:val="Hyperlink"/>
          </w:rPr>
          <w:t>Contractor extension requests</w:t>
        </w:r>
        <w:r>
          <w:rPr>
            <w:webHidden/>
          </w:rPr>
          <w:tab/>
        </w:r>
        <w:r>
          <w:rPr>
            <w:webHidden/>
          </w:rPr>
          <w:fldChar w:fldCharType="begin"/>
        </w:r>
        <w:r>
          <w:rPr>
            <w:webHidden/>
          </w:rPr>
          <w:instrText xml:space="preserve"> PAGEREF _Toc200818197 \h </w:instrText>
        </w:r>
        <w:r>
          <w:rPr>
            <w:webHidden/>
          </w:rPr>
        </w:r>
        <w:r>
          <w:rPr>
            <w:webHidden/>
          </w:rPr>
          <w:fldChar w:fldCharType="separate"/>
        </w:r>
        <w:r>
          <w:rPr>
            <w:webHidden/>
          </w:rPr>
          <w:t>8</w:t>
        </w:r>
        <w:r>
          <w:rPr>
            <w:webHidden/>
          </w:rPr>
          <w:fldChar w:fldCharType="end"/>
        </w:r>
      </w:hyperlink>
    </w:p>
    <w:p w:rsidR="00523C12" w:rsidRDefault="00523C12" w14:paraId="1F40F240" w14:textId="4AB4A8DD">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198">
        <w:r w:rsidRPr="006F69C2">
          <w:rPr>
            <w:rStyle w:val="Hyperlink"/>
          </w:rPr>
          <w:t>4.2</w:t>
        </w:r>
        <w:r>
          <w:rPr>
            <w:rFonts w:asciiTheme="minorHAnsi" w:hAnsiTheme="minorHAnsi" w:eastAsiaTheme="minorEastAsia" w:cstheme="minorBidi"/>
            <w:kern w:val="2"/>
            <w:sz w:val="24"/>
            <w:szCs w:val="24"/>
            <w:lang w:eastAsia="en-AU"/>
            <w14:ligatures w14:val="standardContextual"/>
          </w:rPr>
          <w:tab/>
        </w:r>
        <w:r w:rsidRPr="006F69C2">
          <w:rPr>
            <w:rStyle w:val="Hyperlink"/>
          </w:rPr>
          <w:t>Considerations for approving extension requests</w:t>
        </w:r>
        <w:r>
          <w:rPr>
            <w:webHidden/>
          </w:rPr>
          <w:tab/>
        </w:r>
        <w:r>
          <w:rPr>
            <w:webHidden/>
          </w:rPr>
          <w:fldChar w:fldCharType="begin"/>
        </w:r>
        <w:r>
          <w:rPr>
            <w:webHidden/>
          </w:rPr>
          <w:instrText xml:space="preserve"> PAGEREF _Toc200818198 \h </w:instrText>
        </w:r>
        <w:r>
          <w:rPr>
            <w:webHidden/>
          </w:rPr>
        </w:r>
        <w:r>
          <w:rPr>
            <w:webHidden/>
          </w:rPr>
          <w:fldChar w:fldCharType="separate"/>
        </w:r>
        <w:r>
          <w:rPr>
            <w:webHidden/>
          </w:rPr>
          <w:t>8</w:t>
        </w:r>
        <w:r>
          <w:rPr>
            <w:webHidden/>
          </w:rPr>
          <w:fldChar w:fldCharType="end"/>
        </w:r>
      </w:hyperlink>
    </w:p>
    <w:p w:rsidR="00523C12" w:rsidRDefault="00523C12" w14:paraId="199A4B5B" w14:textId="5DA43B1F">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199">
        <w:r w:rsidRPr="006F69C2">
          <w:rPr>
            <w:rStyle w:val="Hyperlink"/>
          </w:rPr>
          <w:t>5</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Reletting restrictions</w:t>
        </w:r>
        <w:r>
          <w:rPr>
            <w:webHidden/>
          </w:rPr>
          <w:tab/>
        </w:r>
        <w:r>
          <w:rPr>
            <w:webHidden/>
          </w:rPr>
          <w:fldChar w:fldCharType="begin"/>
        </w:r>
        <w:r>
          <w:rPr>
            <w:webHidden/>
          </w:rPr>
          <w:instrText xml:space="preserve"> PAGEREF _Toc200818199 \h </w:instrText>
        </w:r>
        <w:r>
          <w:rPr>
            <w:webHidden/>
          </w:rPr>
        </w:r>
        <w:r>
          <w:rPr>
            <w:webHidden/>
          </w:rPr>
          <w:fldChar w:fldCharType="separate"/>
        </w:r>
        <w:r>
          <w:rPr>
            <w:webHidden/>
          </w:rPr>
          <w:t>9</w:t>
        </w:r>
        <w:r>
          <w:rPr>
            <w:webHidden/>
          </w:rPr>
          <w:fldChar w:fldCharType="end"/>
        </w:r>
      </w:hyperlink>
    </w:p>
    <w:p w:rsidR="00523C12" w:rsidRDefault="00523C12" w14:paraId="4F49AE2F" w14:textId="5A082226">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0">
        <w:r w:rsidRPr="006F69C2">
          <w:rPr>
            <w:rStyle w:val="Hyperlink"/>
          </w:rPr>
          <w:t>5.1</w:t>
        </w:r>
        <w:r>
          <w:rPr>
            <w:rFonts w:asciiTheme="minorHAnsi" w:hAnsiTheme="minorHAnsi" w:eastAsiaTheme="minorEastAsia" w:cstheme="minorBidi"/>
            <w:kern w:val="2"/>
            <w:sz w:val="24"/>
            <w:szCs w:val="24"/>
            <w:lang w:eastAsia="en-AU"/>
            <w14:ligatures w14:val="standardContextual"/>
          </w:rPr>
          <w:tab/>
        </w:r>
        <w:r w:rsidRPr="006F69C2">
          <w:rPr>
            <w:rStyle w:val="Hyperlink"/>
          </w:rPr>
          <w:t>General manager oversight</w:t>
        </w:r>
        <w:r>
          <w:rPr>
            <w:webHidden/>
          </w:rPr>
          <w:tab/>
        </w:r>
        <w:r>
          <w:rPr>
            <w:webHidden/>
          </w:rPr>
          <w:fldChar w:fldCharType="begin"/>
        </w:r>
        <w:r>
          <w:rPr>
            <w:webHidden/>
          </w:rPr>
          <w:instrText xml:space="preserve"> PAGEREF _Toc200818200 \h </w:instrText>
        </w:r>
        <w:r>
          <w:rPr>
            <w:webHidden/>
          </w:rPr>
        </w:r>
        <w:r>
          <w:rPr>
            <w:webHidden/>
          </w:rPr>
          <w:fldChar w:fldCharType="separate"/>
        </w:r>
        <w:r>
          <w:rPr>
            <w:webHidden/>
          </w:rPr>
          <w:t>9</w:t>
        </w:r>
        <w:r>
          <w:rPr>
            <w:webHidden/>
          </w:rPr>
          <w:fldChar w:fldCharType="end"/>
        </w:r>
      </w:hyperlink>
    </w:p>
    <w:p w:rsidR="00523C12" w:rsidRDefault="00523C12" w14:paraId="58AC2FE4" w14:textId="32670CF3">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1">
        <w:r w:rsidRPr="006F69C2">
          <w:rPr>
            <w:rStyle w:val="Hyperlink"/>
          </w:rPr>
          <w:t>5.2</w:t>
        </w:r>
        <w:r>
          <w:rPr>
            <w:rFonts w:asciiTheme="minorHAnsi" w:hAnsiTheme="minorHAnsi" w:eastAsiaTheme="minorEastAsia" w:cstheme="minorBidi"/>
            <w:kern w:val="2"/>
            <w:sz w:val="24"/>
            <w:szCs w:val="24"/>
            <w:lang w:eastAsia="en-AU"/>
            <w14:ligatures w14:val="standardContextual"/>
          </w:rPr>
          <w:tab/>
        </w:r>
        <w:r w:rsidRPr="006F69C2">
          <w:rPr>
            <w:rStyle w:val="Hyperlink"/>
          </w:rPr>
          <w:t>Asset Management oversight and approval</w:t>
        </w:r>
        <w:r>
          <w:rPr>
            <w:webHidden/>
          </w:rPr>
          <w:tab/>
        </w:r>
        <w:r>
          <w:rPr>
            <w:webHidden/>
          </w:rPr>
          <w:fldChar w:fldCharType="begin"/>
        </w:r>
        <w:r>
          <w:rPr>
            <w:webHidden/>
          </w:rPr>
          <w:instrText xml:space="preserve"> PAGEREF _Toc200818201 \h </w:instrText>
        </w:r>
        <w:r>
          <w:rPr>
            <w:webHidden/>
          </w:rPr>
        </w:r>
        <w:r>
          <w:rPr>
            <w:webHidden/>
          </w:rPr>
          <w:fldChar w:fldCharType="separate"/>
        </w:r>
        <w:r>
          <w:rPr>
            <w:webHidden/>
          </w:rPr>
          <w:t>10</w:t>
        </w:r>
        <w:r>
          <w:rPr>
            <w:webHidden/>
          </w:rPr>
          <w:fldChar w:fldCharType="end"/>
        </w:r>
      </w:hyperlink>
    </w:p>
    <w:p w:rsidR="00523C12" w:rsidRDefault="00523C12" w14:paraId="60B63077" w14:textId="50B89FF5">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2">
        <w:r w:rsidRPr="006F69C2">
          <w:rPr>
            <w:rStyle w:val="Hyperlink"/>
          </w:rPr>
          <w:t>5.3</w:t>
        </w:r>
        <w:r>
          <w:rPr>
            <w:rFonts w:asciiTheme="minorHAnsi" w:hAnsiTheme="minorHAnsi" w:eastAsiaTheme="minorEastAsia" w:cstheme="minorBidi"/>
            <w:kern w:val="2"/>
            <w:sz w:val="24"/>
            <w:szCs w:val="24"/>
            <w:lang w:eastAsia="en-AU"/>
            <w14:ligatures w14:val="standardContextual"/>
          </w:rPr>
          <w:tab/>
        </w:r>
        <w:r w:rsidRPr="006F69C2">
          <w:rPr>
            <w:rStyle w:val="Hyperlink"/>
          </w:rPr>
          <w:t>Raising a reletting restriction for review and approval</w:t>
        </w:r>
        <w:r>
          <w:rPr>
            <w:webHidden/>
          </w:rPr>
          <w:tab/>
        </w:r>
        <w:r>
          <w:rPr>
            <w:webHidden/>
          </w:rPr>
          <w:fldChar w:fldCharType="begin"/>
        </w:r>
        <w:r>
          <w:rPr>
            <w:webHidden/>
          </w:rPr>
          <w:instrText xml:space="preserve"> PAGEREF _Toc200818202 \h </w:instrText>
        </w:r>
        <w:r>
          <w:rPr>
            <w:webHidden/>
          </w:rPr>
        </w:r>
        <w:r>
          <w:rPr>
            <w:webHidden/>
          </w:rPr>
          <w:fldChar w:fldCharType="separate"/>
        </w:r>
        <w:r>
          <w:rPr>
            <w:webHidden/>
          </w:rPr>
          <w:t>11</w:t>
        </w:r>
        <w:r>
          <w:rPr>
            <w:webHidden/>
          </w:rPr>
          <w:fldChar w:fldCharType="end"/>
        </w:r>
      </w:hyperlink>
    </w:p>
    <w:p w:rsidR="00523C12" w:rsidRDefault="00523C12" w14:paraId="486E41FC" w14:textId="0E9A9017">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3">
        <w:r w:rsidRPr="006F69C2">
          <w:rPr>
            <w:rStyle w:val="Hyperlink"/>
          </w:rPr>
          <w:t>5.4</w:t>
        </w:r>
        <w:r>
          <w:rPr>
            <w:rFonts w:asciiTheme="minorHAnsi" w:hAnsiTheme="minorHAnsi" w:eastAsiaTheme="minorEastAsia" w:cstheme="minorBidi"/>
            <w:kern w:val="2"/>
            <w:sz w:val="24"/>
            <w:szCs w:val="24"/>
            <w:lang w:eastAsia="en-AU"/>
            <w14:ligatures w14:val="standardContextual"/>
          </w:rPr>
          <w:tab/>
        </w:r>
        <w:r w:rsidRPr="006F69C2">
          <w:rPr>
            <w:rStyle w:val="Hyperlink"/>
          </w:rPr>
          <w:t>CSHS Manager oversight and approval of referrals to Asset Management</w:t>
        </w:r>
        <w:r>
          <w:rPr>
            <w:webHidden/>
          </w:rPr>
          <w:tab/>
        </w:r>
        <w:r>
          <w:rPr>
            <w:webHidden/>
          </w:rPr>
          <w:fldChar w:fldCharType="begin"/>
        </w:r>
        <w:r>
          <w:rPr>
            <w:webHidden/>
          </w:rPr>
          <w:instrText xml:space="preserve"> PAGEREF _Toc200818203 \h </w:instrText>
        </w:r>
        <w:r>
          <w:rPr>
            <w:webHidden/>
          </w:rPr>
        </w:r>
        <w:r>
          <w:rPr>
            <w:webHidden/>
          </w:rPr>
          <w:fldChar w:fldCharType="separate"/>
        </w:r>
        <w:r>
          <w:rPr>
            <w:webHidden/>
          </w:rPr>
          <w:t>12</w:t>
        </w:r>
        <w:r>
          <w:rPr>
            <w:webHidden/>
          </w:rPr>
          <w:fldChar w:fldCharType="end"/>
        </w:r>
      </w:hyperlink>
    </w:p>
    <w:p w:rsidR="00523C12" w:rsidRDefault="00523C12" w14:paraId="48E64AF2" w14:textId="644A361F">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204">
        <w:r w:rsidRPr="006F69C2">
          <w:rPr>
            <w:rStyle w:val="Hyperlink"/>
          </w:rPr>
          <w:t>6</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Goods left behind</w:t>
        </w:r>
        <w:r>
          <w:rPr>
            <w:webHidden/>
          </w:rPr>
          <w:tab/>
        </w:r>
        <w:r>
          <w:rPr>
            <w:webHidden/>
          </w:rPr>
          <w:fldChar w:fldCharType="begin"/>
        </w:r>
        <w:r>
          <w:rPr>
            <w:webHidden/>
          </w:rPr>
          <w:instrText xml:space="preserve"> PAGEREF _Toc200818204 \h </w:instrText>
        </w:r>
        <w:r>
          <w:rPr>
            <w:webHidden/>
          </w:rPr>
        </w:r>
        <w:r>
          <w:rPr>
            <w:webHidden/>
          </w:rPr>
          <w:fldChar w:fldCharType="separate"/>
        </w:r>
        <w:r>
          <w:rPr>
            <w:webHidden/>
          </w:rPr>
          <w:t>13</w:t>
        </w:r>
        <w:r>
          <w:rPr>
            <w:webHidden/>
          </w:rPr>
          <w:fldChar w:fldCharType="end"/>
        </w:r>
      </w:hyperlink>
    </w:p>
    <w:p w:rsidR="00523C12" w:rsidRDefault="00523C12" w14:paraId="45D5FD0E" w14:textId="4B385F3F">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205">
        <w:r w:rsidRPr="006F69C2">
          <w:rPr>
            <w:rStyle w:val="Hyperlink"/>
          </w:rPr>
          <w:t>7</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Vacant unit work</w:t>
        </w:r>
        <w:r>
          <w:rPr>
            <w:webHidden/>
          </w:rPr>
          <w:tab/>
        </w:r>
        <w:r>
          <w:rPr>
            <w:webHidden/>
          </w:rPr>
          <w:fldChar w:fldCharType="begin"/>
        </w:r>
        <w:r>
          <w:rPr>
            <w:webHidden/>
          </w:rPr>
          <w:instrText xml:space="preserve"> PAGEREF _Toc200818205 \h </w:instrText>
        </w:r>
        <w:r>
          <w:rPr>
            <w:webHidden/>
          </w:rPr>
        </w:r>
        <w:r>
          <w:rPr>
            <w:webHidden/>
          </w:rPr>
          <w:fldChar w:fldCharType="separate"/>
        </w:r>
        <w:r>
          <w:rPr>
            <w:webHidden/>
          </w:rPr>
          <w:t>13</w:t>
        </w:r>
        <w:r>
          <w:rPr>
            <w:webHidden/>
          </w:rPr>
          <w:fldChar w:fldCharType="end"/>
        </w:r>
      </w:hyperlink>
    </w:p>
    <w:p w:rsidR="00523C12" w:rsidRDefault="00523C12" w14:paraId="3D59E571" w14:textId="7909639F">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6">
        <w:r w:rsidRPr="006F69C2">
          <w:rPr>
            <w:rStyle w:val="Hyperlink"/>
          </w:rPr>
          <w:t>7.1</w:t>
        </w:r>
        <w:r>
          <w:rPr>
            <w:rFonts w:asciiTheme="minorHAnsi" w:hAnsiTheme="minorHAnsi" w:eastAsiaTheme="minorEastAsia" w:cstheme="minorBidi"/>
            <w:kern w:val="2"/>
            <w:sz w:val="24"/>
            <w:szCs w:val="24"/>
            <w:lang w:eastAsia="en-AU"/>
            <w14:ligatures w14:val="standardContextual"/>
          </w:rPr>
          <w:tab/>
        </w:r>
        <w:r w:rsidRPr="006F69C2">
          <w:rPr>
            <w:rStyle w:val="Hyperlink"/>
          </w:rPr>
          <w:t>Mandatory lock changes</w:t>
        </w:r>
        <w:r>
          <w:rPr>
            <w:webHidden/>
          </w:rPr>
          <w:tab/>
        </w:r>
        <w:r>
          <w:rPr>
            <w:webHidden/>
          </w:rPr>
          <w:fldChar w:fldCharType="begin"/>
        </w:r>
        <w:r>
          <w:rPr>
            <w:webHidden/>
          </w:rPr>
          <w:instrText xml:space="preserve"> PAGEREF _Toc200818206 \h </w:instrText>
        </w:r>
        <w:r>
          <w:rPr>
            <w:webHidden/>
          </w:rPr>
        </w:r>
        <w:r>
          <w:rPr>
            <w:webHidden/>
          </w:rPr>
          <w:fldChar w:fldCharType="separate"/>
        </w:r>
        <w:r>
          <w:rPr>
            <w:webHidden/>
          </w:rPr>
          <w:t>13</w:t>
        </w:r>
        <w:r>
          <w:rPr>
            <w:webHidden/>
          </w:rPr>
          <w:fldChar w:fldCharType="end"/>
        </w:r>
      </w:hyperlink>
    </w:p>
    <w:p w:rsidR="00523C12" w:rsidRDefault="00523C12" w14:paraId="3CC3F458" w14:textId="044C6B2D">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7">
        <w:r w:rsidRPr="006F69C2">
          <w:rPr>
            <w:rStyle w:val="Hyperlink"/>
          </w:rPr>
          <w:t>7.2</w:t>
        </w:r>
        <w:r>
          <w:rPr>
            <w:rFonts w:asciiTheme="minorHAnsi" w:hAnsiTheme="minorHAnsi" w:eastAsiaTheme="minorEastAsia" w:cstheme="minorBidi"/>
            <w:kern w:val="2"/>
            <w:sz w:val="24"/>
            <w:szCs w:val="24"/>
            <w:lang w:eastAsia="en-AU"/>
            <w14:ligatures w14:val="standardContextual"/>
          </w:rPr>
          <w:tab/>
        </w:r>
        <w:r w:rsidRPr="006F69C2">
          <w:rPr>
            <w:rStyle w:val="Hyperlink"/>
          </w:rPr>
          <w:t>RTA Safety checks</w:t>
        </w:r>
        <w:r>
          <w:rPr>
            <w:webHidden/>
          </w:rPr>
          <w:tab/>
        </w:r>
        <w:r>
          <w:rPr>
            <w:webHidden/>
          </w:rPr>
          <w:fldChar w:fldCharType="begin"/>
        </w:r>
        <w:r>
          <w:rPr>
            <w:webHidden/>
          </w:rPr>
          <w:instrText xml:space="preserve"> PAGEREF _Toc200818207 \h </w:instrText>
        </w:r>
        <w:r>
          <w:rPr>
            <w:webHidden/>
          </w:rPr>
        </w:r>
        <w:r>
          <w:rPr>
            <w:webHidden/>
          </w:rPr>
          <w:fldChar w:fldCharType="separate"/>
        </w:r>
        <w:r>
          <w:rPr>
            <w:webHidden/>
          </w:rPr>
          <w:t>13</w:t>
        </w:r>
        <w:r>
          <w:rPr>
            <w:webHidden/>
          </w:rPr>
          <w:fldChar w:fldCharType="end"/>
        </w:r>
      </w:hyperlink>
    </w:p>
    <w:p w:rsidR="00523C12" w:rsidRDefault="00523C12" w14:paraId="4481BB12" w14:textId="7479AA18">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8">
        <w:r w:rsidRPr="006F69C2">
          <w:rPr>
            <w:rStyle w:val="Hyperlink"/>
          </w:rPr>
          <w:t>7.3</w:t>
        </w:r>
        <w:r>
          <w:rPr>
            <w:rFonts w:asciiTheme="minorHAnsi" w:hAnsiTheme="minorHAnsi" w:eastAsiaTheme="minorEastAsia" w:cstheme="minorBidi"/>
            <w:kern w:val="2"/>
            <w:sz w:val="24"/>
            <w:szCs w:val="24"/>
            <w:lang w:eastAsia="en-AU"/>
            <w14:ligatures w14:val="standardContextual"/>
          </w:rPr>
          <w:tab/>
        </w:r>
        <w:r w:rsidRPr="006F69C2">
          <w:rPr>
            <w:rStyle w:val="Hyperlink"/>
          </w:rPr>
          <w:t>Standard work</w:t>
        </w:r>
        <w:r>
          <w:rPr>
            <w:webHidden/>
          </w:rPr>
          <w:tab/>
        </w:r>
        <w:r>
          <w:rPr>
            <w:webHidden/>
          </w:rPr>
          <w:fldChar w:fldCharType="begin"/>
        </w:r>
        <w:r>
          <w:rPr>
            <w:webHidden/>
          </w:rPr>
          <w:instrText xml:space="preserve"> PAGEREF _Toc200818208 \h </w:instrText>
        </w:r>
        <w:r>
          <w:rPr>
            <w:webHidden/>
          </w:rPr>
        </w:r>
        <w:r>
          <w:rPr>
            <w:webHidden/>
          </w:rPr>
          <w:fldChar w:fldCharType="separate"/>
        </w:r>
        <w:r>
          <w:rPr>
            <w:webHidden/>
          </w:rPr>
          <w:t>13</w:t>
        </w:r>
        <w:r>
          <w:rPr>
            <w:webHidden/>
          </w:rPr>
          <w:fldChar w:fldCharType="end"/>
        </w:r>
      </w:hyperlink>
    </w:p>
    <w:p w:rsidR="00523C12" w:rsidRDefault="00523C12" w14:paraId="3FF278FB" w14:textId="35A0281C">
      <w:pPr>
        <w:pStyle w:val="TOC2"/>
        <w:tabs>
          <w:tab w:val="left" w:pos="567"/>
        </w:tabs>
        <w:rPr>
          <w:rFonts w:asciiTheme="minorHAnsi" w:hAnsiTheme="minorHAnsi" w:eastAsiaTheme="minorEastAsia" w:cstheme="minorBidi"/>
          <w:kern w:val="2"/>
          <w:sz w:val="24"/>
          <w:szCs w:val="24"/>
          <w:lang w:eastAsia="en-AU"/>
          <w14:ligatures w14:val="standardContextual"/>
        </w:rPr>
      </w:pPr>
      <w:hyperlink w:history="1" w:anchor="_Toc200818209">
        <w:r w:rsidRPr="006F69C2">
          <w:rPr>
            <w:rStyle w:val="Hyperlink"/>
          </w:rPr>
          <w:t>7.4</w:t>
        </w:r>
        <w:r>
          <w:rPr>
            <w:rFonts w:asciiTheme="minorHAnsi" w:hAnsiTheme="minorHAnsi" w:eastAsiaTheme="minorEastAsia" w:cstheme="minorBidi"/>
            <w:kern w:val="2"/>
            <w:sz w:val="24"/>
            <w:szCs w:val="24"/>
            <w:lang w:eastAsia="en-AU"/>
            <w14:ligatures w14:val="standardContextual"/>
          </w:rPr>
          <w:tab/>
        </w:r>
        <w:r w:rsidRPr="006F69C2">
          <w:rPr>
            <w:rStyle w:val="Hyperlink"/>
          </w:rPr>
          <w:t>Additional work</w:t>
        </w:r>
        <w:r>
          <w:rPr>
            <w:webHidden/>
          </w:rPr>
          <w:tab/>
        </w:r>
        <w:r>
          <w:rPr>
            <w:webHidden/>
          </w:rPr>
          <w:fldChar w:fldCharType="begin"/>
        </w:r>
        <w:r>
          <w:rPr>
            <w:webHidden/>
          </w:rPr>
          <w:instrText xml:space="preserve"> PAGEREF _Toc200818209 \h </w:instrText>
        </w:r>
        <w:r>
          <w:rPr>
            <w:webHidden/>
          </w:rPr>
        </w:r>
        <w:r>
          <w:rPr>
            <w:webHidden/>
          </w:rPr>
          <w:fldChar w:fldCharType="separate"/>
        </w:r>
        <w:r>
          <w:rPr>
            <w:webHidden/>
          </w:rPr>
          <w:t>14</w:t>
        </w:r>
        <w:r>
          <w:rPr>
            <w:webHidden/>
          </w:rPr>
          <w:fldChar w:fldCharType="end"/>
        </w:r>
      </w:hyperlink>
    </w:p>
    <w:p w:rsidR="00523C12" w:rsidRDefault="00523C12" w14:paraId="54180E0C" w14:textId="16611AE8">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210">
        <w:r w:rsidRPr="006F69C2">
          <w:rPr>
            <w:rStyle w:val="Hyperlink"/>
          </w:rPr>
          <w:t>8</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Vacant unit handback inspections</w:t>
        </w:r>
        <w:r>
          <w:rPr>
            <w:webHidden/>
          </w:rPr>
          <w:tab/>
        </w:r>
        <w:r>
          <w:rPr>
            <w:webHidden/>
          </w:rPr>
          <w:fldChar w:fldCharType="begin"/>
        </w:r>
        <w:r>
          <w:rPr>
            <w:webHidden/>
          </w:rPr>
          <w:instrText xml:space="preserve"> PAGEREF _Toc200818210 \h </w:instrText>
        </w:r>
        <w:r>
          <w:rPr>
            <w:webHidden/>
          </w:rPr>
        </w:r>
        <w:r>
          <w:rPr>
            <w:webHidden/>
          </w:rPr>
          <w:fldChar w:fldCharType="separate"/>
        </w:r>
        <w:r>
          <w:rPr>
            <w:webHidden/>
          </w:rPr>
          <w:t>15</w:t>
        </w:r>
        <w:r>
          <w:rPr>
            <w:webHidden/>
          </w:rPr>
          <w:fldChar w:fldCharType="end"/>
        </w:r>
      </w:hyperlink>
    </w:p>
    <w:p w:rsidR="00523C12" w:rsidRDefault="00523C12" w14:paraId="39DFCC89" w14:textId="4E8AF696">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211">
        <w:r w:rsidRPr="006F69C2">
          <w:rPr>
            <w:rStyle w:val="Hyperlink"/>
          </w:rPr>
          <w:t>9</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Move in Tenancy Condition Reports</w:t>
        </w:r>
        <w:r>
          <w:rPr>
            <w:webHidden/>
          </w:rPr>
          <w:tab/>
        </w:r>
        <w:r>
          <w:rPr>
            <w:webHidden/>
          </w:rPr>
          <w:fldChar w:fldCharType="begin"/>
        </w:r>
        <w:r>
          <w:rPr>
            <w:webHidden/>
          </w:rPr>
          <w:instrText xml:space="preserve"> PAGEREF _Toc200818211 \h </w:instrText>
        </w:r>
        <w:r>
          <w:rPr>
            <w:webHidden/>
          </w:rPr>
        </w:r>
        <w:r>
          <w:rPr>
            <w:webHidden/>
          </w:rPr>
          <w:fldChar w:fldCharType="separate"/>
        </w:r>
        <w:r>
          <w:rPr>
            <w:webHidden/>
          </w:rPr>
          <w:t>15</w:t>
        </w:r>
        <w:r>
          <w:rPr>
            <w:webHidden/>
          </w:rPr>
          <w:fldChar w:fldCharType="end"/>
        </w:r>
      </w:hyperlink>
    </w:p>
    <w:p w:rsidR="00523C12" w:rsidRDefault="00523C12" w14:paraId="59B66601" w14:textId="77E67584">
      <w:pPr>
        <w:pStyle w:val="TOC1"/>
        <w:tabs>
          <w:tab w:val="left" w:pos="567"/>
        </w:tabs>
        <w:rPr>
          <w:rFonts w:asciiTheme="minorHAnsi" w:hAnsiTheme="minorHAnsi" w:eastAsiaTheme="minorEastAsia" w:cstheme="minorBidi"/>
          <w:b w:val="0"/>
          <w:kern w:val="2"/>
          <w:sz w:val="24"/>
          <w:szCs w:val="24"/>
          <w:lang w:eastAsia="en-AU"/>
          <w14:ligatures w14:val="standardContextual"/>
        </w:rPr>
      </w:pPr>
      <w:hyperlink w:history="1" w:anchor="_Toc200818212">
        <w:r w:rsidRPr="006F69C2">
          <w:rPr>
            <w:rStyle w:val="Hyperlink"/>
          </w:rPr>
          <w:t>10</w:t>
        </w:r>
        <w:r>
          <w:rPr>
            <w:rFonts w:asciiTheme="minorHAnsi" w:hAnsiTheme="minorHAnsi" w:eastAsiaTheme="minorEastAsia" w:cstheme="minorBidi"/>
            <w:b w:val="0"/>
            <w:kern w:val="2"/>
            <w:sz w:val="24"/>
            <w:szCs w:val="24"/>
            <w:lang w:eastAsia="en-AU"/>
            <w14:ligatures w14:val="standardContextual"/>
          </w:rPr>
          <w:tab/>
        </w:r>
        <w:r w:rsidRPr="006F69C2">
          <w:rPr>
            <w:rStyle w:val="Hyperlink"/>
          </w:rPr>
          <w:t>Guide to Vacant Unit Checks</w:t>
        </w:r>
        <w:r>
          <w:rPr>
            <w:webHidden/>
          </w:rPr>
          <w:tab/>
        </w:r>
        <w:r>
          <w:rPr>
            <w:webHidden/>
          </w:rPr>
          <w:fldChar w:fldCharType="begin"/>
        </w:r>
        <w:r>
          <w:rPr>
            <w:webHidden/>
          </w:rPr>
          <w:instrText xml:space="preserve"> PAGEREF _Toc200818212 \h </w:instrText>
        </w:r>
        <w:r>
          <w:rPr>
            <w:webHidden/>
          </w:rPr>
        </w:r>
        <w:r>
          <w:rPr>
            <w:webHidden/>
          </w:rPr>
          <w:fldChar w:fldCharType="separate"/>
        </w:r>
        <w:r>
          <w:rPr>
            <w:webHidden/>
          </w:rPr>
          <w:t>16</w:t>
        </w:r>
        <w:r>
          <w:rPr>
            <w:webHidden/>
          </w:rPr>
          <w:fldChar w:fldCharType="end"/>
        </w:r>
      </w:hyperlink>
    </w:p>
    <w:p w:rsidR="00523C12" w:rsidRDefault="00523C12" w14:paraId="45742415" w14:textId="0EAB6EEE">
      <w:pPr>
        <w:pStyle w:val="TOC2"/>
        <w:tabs>
          <w:tab w:val="left" w:pos="851"/>
        </w:tabs>
        <w:rPr>
          <w:rFonts w:asciiTheme="minorHAnsi" w:hAnsiTheme="minorHAnsi" w:eastAsiaTheme="minorEastAsia" w:cstheme="minorBidi"/>
          <w:kern w:val="2"/>
          <w:sz w:val="24"/>
          <w:szCs w:val="24"/>
          <w:lang w:eastAsia="en-AU"/>
          <w14:ligatures w14:val="standardContextual"/>
        </w:rPr>
      </w:pPr>
      <w:hyperlink w:history="1" w:anchor="_Toc200818213">
        <w:r w:rsidRPr="006F69C2">
          <w:rPr>
            <w:rStyle w:val="Hyperlink"/>
          </w:rPr>
          <w:t>10.1</w:t>
        </w:r>
        <w:r>
          <w:rPr>
            <w:rFonts w:asciiTheme="minorHAnsi" w:hAnsiTheme="minorHAnsi" w:eastAsiaTheme="minorEastAsia" w:cstheme="minorBidi"/>
            <w:kern w:val="2"/>
            <w:sz w:val="24"/>
            <w:szCs w:val="24"/>
            <w:lang w:eastAsia="en-AU"/>
            <w14:ligatures w14:val="standardContextual"/>
          </w:rPr>
          <w:tab/>
        </w:r>
        <w:r w:rsidRPr="006F69C2">
          <w:rPr>
            <w:rStyle w:val="Hyperlink"/>
          </w:rPr>
          <w:t>Minimum rental standards</w:t>
        </w:r>
        <w:r>
          <w:rPr>
            <w:webHidden/>
          </w:rPr>
          <w:tab/>
        </w:r>
        <w:r>
          <w:rPr>
            <w:webHidden/>
          </w:rPr>
          <w:fldChar w:fldCharType="begin"/>
        </w:r>
        <w:r>
          <w:rPr>
            <w:webHidden/>
          </w:rPr>
          <w:instrText xml:space="preserve"> PAGEREF _Toc200818213 \h </w:instrText>
        </w:r>
        <w:r>
          <w:rPr>
            <w:webHidden/>
          </w:rPr>
        </w:r>
        <w:r>
          <w:rPr>
            <w:webHidden/>
          </w:rPr>
          <w:fldChar w:fldCharType="separate"/>
        </w:r>
        <w:r>
          <w:rPr>
            <w:webHidden/>
          </w:rPr>
          <w:t>16</w:t>
        </w:r>
        <w:r>
          <w:rPr>
            <w:webHidden/>
          </w:rPr>
          <w:fldChar w:fldCharType="end"/>
        </w:r>
      </w:hyperlink>
    </w:p>
    <w:p w:rsidR="00523C12" w:rsidRDefault="00523C12" w14:paraId="13990CCD" w14:textId="4605BB83">
      <w:pPr>
        <w:pStyle w:val="TOC2"/>
        <w:tabs>
          <w:tab w:val="left" w:pos="851"/>
        </w:tabs>
        <w:rPr>
          <w:rFonts w:asciiTheme="minorHAnsi" w:hAnsiTheme="minorHAnsi" w:eastAsiaTheme="minorEastAsia" w:cstheme="minorBidi"/>
          <w:kern w:val="2"/>
          <w:sz w:val="24"/>
          <w:szCs w:val="24"/>
          <w:lang w:eastAsia="en-AU"/>
          <w14:ligatures w14:val="standardContextual"/>
        </w:rPr>
      </w:pPr>
      <w:hyperlink w:history="1" w:anchor="_Toc200818214">
        <w:r w:rsidRPr="006F69C2">
          <w:rPr>
            <w:rStyle w:val="Hyperlink"/>
          </w:rPr>
          <w:t>10.2</w:t>
        </w:r>
        <w:r>
          <w:rPr>
            <w:rFonts w:asciiTheme="minorHAnsi" w:hAnsiTheme="minorHAnsi" w:eastAsiaTheme="minorEastAsia" w:cstheme="minorBidi"/>
            <w:kern w:val="2"/>
            <w:sz w:val="24"/>
            <w:szCs w:val="24"/>
            <w:lang w:eastAsia="en-AU"/>
            <w14:ligatures w14:val="standardContextual"/>
          </w:rPr>
          <w:tab/>
        </w:r>
        <w:r w:rsidRPr="006F69C2">
          <w:rPr>
            <w:rStyle w:val="Hyperlink"/>
          </w:rPr>
          <w:t>Other vacant unit checks</w:t>
        </w:r>
        <w:r>
          <w:rPr>
            <w:webHidden/>
          </w:rPr>
          <w:tab/>
        </w:r>
        <w:r>
          <w:rPr>
            <w:webHidden/>
          </w:rPr>
          <w:fldChar w:fldCharType="begin"/>
        </w:r>
        <w:r>
          <w:rPr>
            <w:webHidden/>
          </w:rPr>
          <w:instrText xml:space="preserve"> PAGEREF _Toc200818214 \h </w:instrText>
        </w:r>
        <w:r>
          <w:rPr>
            <w:webHidden/>
          </w:rPr>
        </w:r>
        <w:r>
          <w:rPr>
            <w:webHidden/>
          </w:rPr>
          <w:fldChar w:fldCharType="separate"/>
        </w:r>
        <w:r>
          <w:rPr>
            <w:webHidden/>
          </w:rPr>
          <w:t>19</w:t>
        </w:r>
        <w:r>
          <w:rPr>
            <w:webHidden/>
          </w:rPr>
          <w:fldChar w:fldCharType="end"/>
        </w:r>
      </w:hyperlink>
    </w:p>
    <w:p w:rsidR="00547F70" w:rsidP="00547F70" w:rsidRDefault="00547F70" w14:paraId="01909B7B" w14:textId="718CDFC6">
      <w:pPr>
        <w:pStyle w:val="Body"/>
      </w:pPr>
      <w:r>
        <w:fldChar w:fldCharType="end"/>
      </w:r>
    </w:p>
    <w:p w:rsidRPr="00547F70" w:rsidR="00547F70" w:rsidP="00547F70" w:rsidRDefault="00547F70" w14:paraId="3BC68303" w14:textId="2AF6A9AC">
      <w:pPr>
        <w:spacing w:after="0" w:line="240" w:lineRule="auto"/>
        <w:rPr>
          <w:rFonts w:eastAsia="Times"/>
        </w:rPr>
        <w:sectPr w:rsidRPr="00547F70" w:rsidR="00547F70" w:rsidSect="00F15144">
          <w:pgSz w:w="11906" w:h="16838" w:orient="portrait" w:code="9"/>
          <w:pgMar w:top="1418" w:right="1304" w:bottom="851" w:left="1304" w:header="680" w:footer="567" w:gutter="0"/>
          <w:cols w:space="340"/>
          <w:docGrid w:linePitch="360"/>
        </w:sectPr>
      </w:pPr>
      <w:r>
        <w:br w:type="page"/>
      </w:r>
    </w:p>
    <w:p w:rsidRPr="00A71CE4" w:rsidR="00EE29AD" w:rsidP="00562811" w:rsidRDefault="00CC459D" w14:paraId="43287790" w14:textId="6A5310FB">
      <w:pPr>
        <w:pStyle w:val="Heading1"/>
        <w:spacing w:before="0"/>
      </w:pPr>
      <w:bookmarkStart w:name="_Toc200818190" w:id="4"/>
      <w:r>
        <w:t>Overview</w:t>
      </w:r>
      <w:bookmarkEnd w:id="4"/>
    </w:p>
    <w:p w:rsidR="00CC459D" w:rsidP="00CC459D" w:rsidRDefault="00CC459D" w14:paraId="2EA3BCDA" w14:textId="77777777">
      <w:pPr>
        <w:pStyle w:val="Body"/>
      </w:pPr>
      <w:r w:rsidRPr="00621BE9">
        <w:t>Vacant unit maintenance refers</w:t>
      </w:r>
      <w:r>
        <w:t xml:space="preserve"> to the routine tasks and checks performed to ensure a rental property is clean, safe, functional, and ready for a new renter after the previous renter has moved out. This process helps maintain the property’s condition, address any wear and tear, and comply with legal standards before re-letting. The key objectives are to:</w:t>
      </w:r>
    </w:p>
    <w:p w:rsidR="00CC459D" w:rsidP="00CC459D" w:rsidRDefault="00CC459D" w14:paraId="5A90B516" w14:textId="6ED5FD9C">
      <w:pPr>
        <w:pStyle w:val="Bullet1"/>
      </w:pPr>
      <w:r w:rsidRPr="00CC459D">
        <w:rPr>
          <w:b/>
          <w:bCs/>
        </w:rPr>
        <w:t xml:space="preserve">Maintain </w:t>
      </w:r>
      <w:r w:rsidR="00621BE9">
        <w:rPr>
          <w:b/>
          <w:bCs/>
        </w:rPr>
        <w:t>p</w:t>
      </w:r>
      <w:r w:rsidRPr="00CC459D">
        <w:rPr>
          <w:b/>
          <w:bCs/>
        </w:rPr>
        <w:t xml:space="preserve">roperty </w:t>
      </w:r>
      <w:r w:rsidR="00621BE9">
        <w:rPr>
          <w:b/>
          <w:bCs/>
        </w:rPr>
        <w:t>s</w:t>
      </w:r>
      <w:r w:rsidRPr="00CC459D">
        <w:rPr>
          <w:b/>
          <w:bCs/>
        </w:rPr>
        <w:t>tandards:</w:t>
      </w:r>
      <w:r>
        <w:t xml:space="preserve"> Ensure the property remains in a suitable and compliant condition while unoccupied.</w:t>
      </w:r>
    </w:p>
    <w:p w:rsidR="00CC459D" w:rsidP="00CC459D" w:rsidRDefault="00CC459D" w14:paraId="7C7FE82D" w14:textId="217D9331">
      <w:pPr>
        <w:pStyle w:val="Bullet1"/>
      </w:pPr>
      <w:r w:rsidRPr="00CC459D">
        <w:rPr>
          <w:b/>
          <w:bCs/>
        </w:rPr>
        <w:t xml:space="preserve">Ensure </w:t>
      </w:r>
      <w:r w:rsidR="00621BE9">
        <w:rPr>
          <w:b/>
          <w:bCs/>
        </w:rPr>
        <w:t>r</w:t>
      </w:r>
      <w:r w:rsidRPr="00CC459D">
        <w:rPr>
          <w:b/>
          <w:bCs/>
        </w:rPr>
        <w:t>eadiness:</w:t>
      </w:r>
      <w:r>
        <w:t xml:space="preserve"> Prepare the unit to meet the functional and safety needs of the next renter.</w:t>
      </w:r>
    </w:p>
    <w:p w:rsidR="00CC459D" w:rsidP="00CC459D" w:rsidRDefault="00CC459D" w14:paraId="66AC7592" w14:textId="12315113">
      <w:pPr>
        <w:pStyle w:val="Bullet1"/>
      </w:pPr>
      <w:r w:rsidRPr="00CC459D">
        <w:rPr>
          <w:b/>
          <w:bCs/>
        </w:rPr>
        <w:t xml:space="preserve">Ensure </w:t>
      </w:r>
      <w:r w:rsidR="00621BE9">
        <w:rPr>
          <w:b/>
          <w:bCs/>
        </w:rPr>
        <w:t>l</w:t>
      </w:r>
      <w:r w:rsidRPr="00CC459D">
        <w:rPr>
          <w:b/>
          <w:bCs/>
        </w:rPr>
        <w:t xml:space="preserve">egal </w:t>
      </w:r>
      <w:r w:rsidR="00621BE9">
        <w:rPr>
          <w:b/>
          <w:bCs/>
        </w:rPr>
        <w:t>c</w:t>
      </w:r>
      <w:r w:rsidRPr="00CC459D">
        <w:rPr>
          <w:b/>
          <w:bCs/>
        </w:rPr>
        <w:t>ompliance:</w:t>
      </w:r>
      <w:r>
        <w:t xml:space="preserve"> Ensure the unit adheres to all safety, health, and minimum rental standards.</w:t>
      </w:r>
    </w:p>
    <w:p w:rsidR="00CC459D" w:rsidP="00CC459D" w:rsidRDefault="00CC459D" w14:paraId="62E20B10" w14:textId="77777777">
      <w:pPr>
        <w:pStyle w:val="Heading1"/>
      </w:pPr>
      <w:bookmarkStart w:name="_Toc200818191" w:id="5"/>
      <w:r w:rsidRPr="00CC459D">
        <w:t>Occupational health and safety</w:t>
      </w:r>
      <w:bookmarkEnd w:id="5"/>
    </w:p>
    <w:p w:rsidR="00CC459D" w:rsidP="00CC459D" w:rsidRDefault="00CC459D" w14:paraId="361BC7E4" w14:textId="77777777">
      <w:pPr>
        <w:pStyle w:val="Body"/>
      </w:pPr>
      <w:r>
        <w:t>When conducting vacant unit maintenance inspections, staff must take all necessary precautions to ensure their safety and minimise exposure to potential hazards. It is essential to assess the property for any risks before entering, and staff should follow correct procedures when conditions are unsafe. Staff should remain in the property only for the duration necessary to carry out the inspection and avoid any actions that could compromise their safety.</w:t>
      </w:r>
    </w:p>
    <w:p w:rsidR="00CC459D" w:rsidP="00CC459D" w:rsidRDefault="00CC459D" w14:paraId="62D03DE8" w14:textId="77777777">
      <w:pPr>
        <w:pStyle w:val="Body"/>
      </w:pPr>
      <w:r>
        <w:t>Staff should always knock and announce their entry before entering a vacant property. This ensures that anyone inside, whether authorised or not, is aware of the staff's arrival and can take appropriate actions. Announcing their presence also allows staff to assess the environment and identify any risks before fully entering the property, such as dangerous animals or unsecured personal belongings. By doing so, staff can avoid unexpected situations and ensure a safer inspection process.</w:t>
      </w:r>
    </w:p>
    <w:p w:rsidR="00CC459D" w:rsidP="00CC459D" w:rsidRDefault="00CC459D" w14:paraId="69E3E371" w14:textId="77777777">
      <w:pPr>
        <w:pStyle w:val="Body"/>
      </w:pPr>
      <w:r>
        <w:t>Staff should wear appropriate personal protective equipment (PPE), including sturdy footwear, shoe covers, gloves, masks, and eye protection, where necessary. The use of PPE helps reduce exposure to contaminants and ensures safety while carrying out the inspection.</w:t>
      </w:r>
    </w:p>
    <w:p w:rsidR="00CC459D" w:rsidP="00CC459D" w:rsidRDefault="00CC459D" w14:paraId="58FD03A3" w14:textId="36E0B30C">
      <w:pPr>
        <w:pStyle w:val="Heading2"/>
      </w:pPr>
      <w:bookmarkStart w:name="_Toc200818192" w:id="6"/>
      <w:r>
        <w:t>Before entering or proceeding with a vacant unit inspection</w:t>
      </w:r>
      <w:bookmarkEnd w:id="6"/>
      <w:r>
        <w:t xml:space="preserve"> </w:t>
      </w:r>
    </w:p>
    <w:p w:rsidR="00CC459D" w:rsidP="00CC459D" w:rsidRDefault="00CC459D" w14:paraId="6699510C" w14:textId="51D0AAA1">
      <w:pPr>
        <w:pStyle w:val="Body"/>
      </w:pPr>
      <w:r>
        <w:t>Staff should not enter or proceed with the vacant unit inspection if:</w:t>
      </w:r>
    </w:p>
    <w:p w:rsidR="00CC459D" w:rsidP="00CC459D" w:rsidRDefault="00CC459D" w14:paraId="22C721E3" w14:textId="5ED289A1">
      <w:pPr>
        <w:pStyle w:val="Bullet1"/>
      </w:pPr>
      <w:r w:rsidRPr="00CC459D">
        <w:rPr>
          <w:b/>
          <w:bCs/>
        </w:rPr>
        <w:t>Illegal occupants are present in the property</w:t>
      </w:r>
      <w:r w:rsidR="00621BE9">
        <w:t>:</w:t>
      </w:r>
      <w:r>
        <w:t xml:space="preserve"> If illegal occupants are identified, staff should follow appropriate reporting procedures and not proceed with the inspection until the situation is resolved.</w:t>
      </w:r>
    </w:p>
    <w:p w:rsidR="00CC459D" w:rsidP="00CC459D" w:rsidRDefault="00CC459D" w14:paraId="4C6BC3DA" w14:textId="50E5D90D">
      <w:pPr>
        <w:pStyle w:val="Bullet1"/>
      </w:pPr>
      <w:r w:rsidRPr="00CC459D">
        <w:rPr>
          <w:b/>
          <w:bCs/>
        </w:rPr>
        <w:t>Unsafe conditions are observed</w:t>
      </w:r>
      <w:r w:rsidR="00621BE9">
        <w:rPr>
          <w:b/>
          <w:bCs/>
        </w:rPr>
        <w:t xml:space="preserve">: </w:t>
      </w:r>
      <w:r>
        <w:t>such as unstable flooring, severe structural damage, or the presence of hazardous materials like asbestos. If the property poses any immediate threat to health or safety, the inspection should not proceed.</w:t>
      </w:r>
    </w:p>
    <w:p w:rsidRPr="009B610C" w:rsidR="00CC459D" w:rsidP="00CC459D" w:rsidRDefault="00CC459D" w14:paraId="5D45597C" w14:textId="2E777EFE">
      <w:pPr>
        <w:pStyle w:val="Bullet1"/>
      </w:pPr>
      <w:r w:rsidRPr="00CC459D">
        <w:rPr>
          <w:b/>
          <w:bCs/>
        </w:rPr>
        <w:t>Cluttered or obstructed pathways make it unsafe to move around</w:t>
      </w:r>
      <w:r w:rsidR="00621BE9">
        <w:rPr>
          <w:b/>
          <w:bCs/>
        </w:rPr>
        <w:t xml:space="preserve">: </w:t>
      </w:r>
      <w:r>
        <w:t xml:space="preserve">Staff should not walk on top </w:t>
      </w:r>
      <w:r w:rsidRPr="009B610C">
        <w:t>of belongings or through congested areas, as it increases the risk of injury or damage.</w:t>
      </w:r>
    </w:p>
    <w:p w:rsidRPr="009B610C" w:rsidR="00CC459D" w:rsidP="00CC459D" w:rsidRDefault="00CC459D" w14:paraId="4886DB57" w14:textId="3C3ED298">
      <w:pPr>
        <w:pStyle w:val="Bullet1"/>
      </w:pPr>
      <w:r w:rsidRPr="009B610C">
        <w:rPr>
          <w:b/>
          <w:bCs/>
        </w:rPr>
        <w:t>There are signs of contamination</w:t>
      </w:r>
      <w:r w:rsidR="00621BE9">
        <w:rPr>
          <w:b/>
          <w:bCs/>
        </w:rPr>
        <w:t>:</w:t>
      </w:r>
      <w:r w:rsidRPr="009B610C">
        <w:rPr>
          <w:b/>
          <w:bCs/>
        </w:rPr>
        <w:t xml:space="preserve"> </w:t>
      </w:r>
      <w:r w:rsidRPr="009B610C">
        <w:t xml:space="preserve">For example, illegal drugs are found, such as methamphetamine pipes or other drug paraphernalia, </w:t>
      </w:r>
      <w:r w:rsidR="00FB015D">
        <w:t xml:space="preserve">or evidence of </w:t>
      </w:r>
      <w:r w:rsidRPr="009B610C">
        <w:t>pests etc.</w:t>
      </w:r>
      <w:r w:rsidR="005A009B">
        <w:t xml:space="preserve"> Refer to </w:t>
      </w:r>
      <w:hyperlink w:history="1" w:anchor="_Properties_presenting_a">
        <w:r w:rsidRPr="005A009B" w:rsidR="005A009B">
          <w:rPr>
            <w:rStyle w:val="Hyperlink"/>
          </w:rPr>
          <w:t>Section 3.2 Properties presenting a risk of contamination</w:t>
        </w:r>
      </w:hyperlink>
      <w:r w:rsidR="005A009B">
        <w:t xml:space="preserve"> for more information.</w:t>
      </w:r>
    </w:p>
    <w:p w:rsidR="00CC459D" w:rsidP="00CC459D" w:rsidRDefault="00CC459D" w14:paraId="789964A8" w14:textId="77777777">
      <w:pPr>
        <w:pStyle w:val="Bodyafterbullets"/>
      </w:pPr>
      <w:r>
        <w:t>Staff should only remain in the property for the duration necessary to complete the inspection. Prolonged exposure to unsafe conditions or unfamiliar hazards should be avoided.</w:t>
      </w:r>
    </w:p>
    <w:p w:rsidR="00E96A7E" w:rsidP="005A009B" w:rsidRDefault="00E96A7E" w14:paraId="692A941B" w14:textId="2204B90F">
      <w:pPr>
        <w:pStyle w:val="Heading2"/>
      </w:pPr>
      <w:bookmarkStart w:name="_Properties_presenting_a" w:id="7"/>
      <w:bookmarkStart w:name="_Toc200818193" w:id="8"/>
      <w:bookmarkEnd w:id="7"/>
      <w:r w:rsidRPr="00E96A7E">
        <w:t xml:space="preserve">Properties </w:t>
      </w:r>
      <w:r>
        <w:t>p</w:t>
      </w:r>
      <w:r w:rsidRPr="00E96A7E">
        <w:t xml:space="preserve">resenting a </w:t>
      </w:r>
      <w:r>
        <w:t>r</w:t>
      </w:r>
      <w:r w:rsidRPr="00E96A7E">
        <w:t xml:space="preserve">isk of </w:t>
      </w:r>
      <w:r>
        <w:t>c</w:t>
      </w:r>
      <w:r w:rsidRPr="00E96A7E">
        <w:t>ontamination</w:t>
      </w:r>
      <w:bookmarkEnd w:id="8"/>
    </w:p>
    <w:p w:rsidR="00E96A7E" w:rsidP="00E96A7E" w:rsidRDefault="00E96A7E" w14:paraId="7BD4CAAD" w14:textId="089423E0">
      <w:pPr>
        <w:pStyle w:val="Body"/>
      </w:pPr>
      <w:r>
        <w:t xml:space="preserve">If a vacant property is assessed to be at risk of contamination based on prior information or observations made during the vacant unit inspection (e.g., evidence of illegal drug use, pest infestations, excessive needles, rubbish, or mould), the external locks must be changed by the </w:t>
      </w:r>
      <w:r w:rsidR="25555F3C">
        <w:t>h</w:t>
      </w:r>
      <w:r>
        <w:t>ead contractor, and the key should be securely stored, such as in a lockbox at the property or the local office. No further vacant works should proceed until the local office has completed the necessary procedures, including any testing or remediation actions as required.</w:t>
      </w:r>
    </w:p>
    <w:p w:rsidR="00E96A7E" w:rsidP="00E96A7E" w:rsidRDefault="00E96A7E" w14:paraId="2D7041DD" w14:textId="77777777">
      <w:pPr>
        <w:pStyle w:val="Body"/>
      </w:pPr>
      <w:r>
        <w:t>For example:</w:t>
      </w:r>
    </w:p>
    <w:p w:rsidR="00E96A7E" w:rsidP="00E96A7E" w:rsidRDefault="00E96A7E" w14:paraId="469B8E3B" w14:textId="248BBBB6">
      <w:pPr>
        <w:pStyle w:val="Bullet1"/>
      </w:pPr>
      <w:r w:rsidRPr="00E96A7E">
        <w:rPr>
          <w:b/>
          <w:bCs/>
        </w:rPr>
        <w:t>Asbestos:</w:t>
      </w:r>
      <w:r>
        <w:t xml:space="preserve"> If asbestos-containing materials are suspected or identified, staff must follow all relevant safety protocols. Asbestos must not be disturbed, and the property should be referred to specialist contractors for a thorough assessment and safe remediation.</w:t>
      </w:r>
    </w:p>
    <w:p w:rsidR="00E96A7E" w:rsidP="00E96A7E" w:rsidRDefault="00E96A7E" w14:paraId="58AC4A32" w14:textId="1C40BBC3">
      <w:pPr>
        <w:pStyle w:val="Bullet1"/>
      </w:pPr>
      <w:r w:rsidRPr="00E96A7E">
        <w:rPr>
          <w:b/>
          <w:bCs/>
        </w:rPr>
        <w:t xml:space="preserve">Pest </w:t>
      </w:r>
      <w:r w:rsidR="00621BE9">
        <w:rPr>
          <w:b/>
          <w:bCs/>
        </w:rPr>
        <w:t>i</w:t>
      </w:r>
      <w:r w:rsidRPr="00E96A7E">
        <w:rPr>
          <w:b/>
          <w:bCs/>
        </w:rPr>
        <w:t>nfestations:</w:t>
      </w:r>
      <w:r>
        <w:t xml:space="preserve"> If signs of pests, such as rodents or insects, are found, staff should immediately arrange for professional pest control services to eliminate the infestation before any further work can be carried out.</w:t>
      </w:r>
    </w:p>
    <w:p w:rsidR="00E96A7E" w:rsidP="00E96A7E" w:rsidRDefault="00E96A7E" w14:paraId="64A7350E" w14:textId="4B976CB0">
      <w:pPr>
        <w:pStyle w:val="Bullet1"/>
      </w:pPr>
      <w:r w:rsidRPr="00E96A7E">
        <w:rPr>
          <w:b/>
          <w:bCs/>
        </w:rPr>
        <w:t>Mould:</w:t>
      </w:r>
      <w:r>
        <w:t xml:space="preserve"> Mould is a serious health hazard. If mould is detected, its extent should be assessed, and professional remediation services should be engaged to safely remove it before any other vacant works can proceed.</w:t>
      </w:r>
    </w:p>
    <w:p w:rsidR="00E96A7E" w:rsidP="00E96A7E" w:rsidRDefault="00E96A7E" w14:paraId="7DAB5291" w14:textId="01A5D00F">
      <w:pPr>
        <w:pStyle w:val="Bullet1"/>
      </w:pPr>
      <w:r w:rsidRPr="00E96A7E">
        <w:rPr>
          <w:b/>
          <w:bCs/>
        </w:rPr>
        <w:t xml:space="preserve">Needles or </w:t>
      </w:r>
      <w:r w:rsidR="00621BE9">
        <w:rPr>
          <w:b/>
          <w:bCs/>
        </w:rPr>
        <w:t>d</w:t>
      </w:r>
      <w:r w:rsidRPr="00E96A7E">
        <w:rPr>
          <w:b/>
          <w:bCs/>
        </w:rPr>
        <w:t xml:space="preserve">rug </w:t>
      </w:r>
      <w:r w:rsidR="00621BE9">
        <w:rPr>
          <w:b/>
          <w:bCs/>
        </w:rPr>
        <w:t>p</w:t>
      </w:r>
      <w:r w:rsidRPr="00E96A7E">
        <w:rPr>
          <w:b/>
          <w:bCs/>
        </w:rPr>
        <w:t>araphernalia:</w:t>
      </w:r>
      <w:r>
        <w:t xml:space="preserve"> If syringes, or other drug-related items are discovered, staff must not touch or handle them. They should report the issue immediately, and biohazard disposal services must be called to safely remove these hazardous items.</w:t>
      </w:r>
    </w:p>
    <w:p w:rsidR="00E96A7E" w:rsidP="00E96A7E" w:rsidRDefault="00E96A7E" w14:paraId="308B87E0" w14:textId="0ADDABB5">
      <w:pPr>
        <w:pStyle w:val="Bullet1"/>
      </w:pPr>
      <w:r w:rsidRPr="00E96A7E">
        <w:rPr>
          <w:b/>
          <w:bCs/>
        </w:rPr>
        <w:t xml:space="preserve">Rubbish and </w:t>
      </w:r>
      <w:r w:rsidR="00621BE9">
        <w:rPr>
          <w:b/>
          <w:bCs/>
        </w:rPr>
        <w:t>d</w:t>
      </w:r>
      <w:r w:rsidRPr="00E96A7E">
        <w:rPr>
          <w:b/>
          <w:bCs/>
        </w:rPr>
        <w:t>ebris</w:t>
      </w:r>
      <w:r>
        <w:t>: In the case of excessive rubbish or waste accumulation, staff should arrange for professional cleaning or waste removal services to safely clear the property before continuing with any maintenance works.</w:t>
      </w:r>
    </w:p>
    <w:p w:rsidR="00E96A7E" w:rsidP="00AB44AC" w:rsidRDefault="00BC02C6" w14:paraId="60BD81CD" w14:textId="2D57B524">
      <w:pPr>
        <w:pStyle w:val="Bodyafterbullets"/>
      </w:pPr>
      <w:r w:rsidRPr="00650B75">
        <w:t xml:space="preserve">For specific guidance on </w:t>
      </w:r>
      <w:r w:rsidRPr="00650B75" w:rsidR="00B7274B">
        <w:t>managing</w:t>
      </w:r>
      <w:r w:rsidRPr="00650B75" w:rsidR="00E96A7E">
        <w:t xml:space="preserve"> methamphetamine contamination in vacant public housing properties, </w:t>
      </w:r>
      <w:r w:rsidRPr="00650B75" w:rsidR="00B7274B">
        <w:t>please</w:t>
      </w:r>
      <w:r w:rsidRPr="00650B75" w:rsidR="00463BF8">
        <w:t xml:space="preserve"> refer to the i</w:t>
      </w:r>
      <w:r w:rsidRPr="00650B75" w:rsidR="00E96A7E">
        <w:t xml:space="preserve">nterim guidelines </w:t>
      </w:r>
      <w:r w:rsidRPr="00650B75" w:rsidR="00463BF8">
        <w:t xml:space="preserve">available </w:t>
      </w:r>
      <w:r w:rsidRPr="00650B75" w:rsidR="00E96A7E">
        <w:t>on the Public Housing Resources SharePoint</w:t>
      </w:r>
      <w:r w:rsidR="0064379D">
        <w:t>.</w:t>
      </w:r>
    </w:p>
    <w:p w:rsidR="005A009B" w:rsidP="005A009B" w:rsidRDefault="005A009B" w14:paraId="05D03549" w14:textId="77777777">
      <w:pPr>
        <w:pStyle w:val="Heading2"/>
      </w:pPr>
      <w:bookmarkStart w:name="_Toc200818194" w:id="9"/>
      <w:r w:rsidRPr="00CC459D">
        <w:t xml:space="preserve">Don'ts </w:t>
      </w:r>
      <w:r>
        <w:t>d</w:t>
      </w:r>
      <w:r w:rsidRPr="00CC459D">
        <w:t xml:space="preserve">uring </w:t>
      </w:r>
      <w:r>
        <w:t>i</w:t>
      </w:r>
      <w:r w:rsidRPr="00CC459D">
        <w:t>nspections</w:t>
      </w:r>
      <w:bookmarkEnd w:id="9"/>
    </w:p>
    <w:p w:rsidR="005A009B" w:rsidP="005A009B" w:rsidRDefault="005A009B" w14:paraId="1F98D869" w14:textId="77777777">
      <w:pPr>
        <w:pStyle w:val="Body"/>
      </w:pPr>
      <w:r w:rsidRPr="00E96A7E">
        <w:t xml:space="preserve">During inspections, staff should avoid the following actions to </w:t>
      </w:r>
      <w:r>
        <w:t xml:space="preserve">prioritise </w:t>
      </w:r>
      <w:r w:rsidRPr="00E96A7E">
        <w:t>safety:</w:t>
      </w:r>
    </w:p>
    <w:p w:rsidR="005A009B" w:rsidP="005A009B" w:rsidRDefault="005A009B" w14:paraId="45B2F209" w14:textId="4F6623C0">
      <w:pPr>
        <w:pStyle w:val="Bullet1"/>
      </w:pPr>
      <w:r w:rsidRPr="00E96A7E">
        <w:rPr>
          <w:b/>
          <w:bCs/>
        </w:rPr>
        <w:t xml:space="preserve">Avoid </w:t>
      </w:r>
      <w:r w:rsidR="006B7A8A">
        <w:rPr>
          <w:b/>
          <w:bCs/>
        </w:rPr>
        <w:t>p</w:t>
      </w:r>
      <w:r w:rsidRPr="00E96A7E">
        <w:rPr>
          <w:b/>
          <w:bCs/>
        </w:rPr>
        <w:t xml:space="preserve">lacing </w:t>
      </w:r>
      <w:r w:rsidR="006B7A8A">
        <w:rPr>
          <w:b/>
          <w:bCs/>
        </w:rPr>
        <w:t>p</w:t>
      </w:r>
      <w:r w:rsidRPr="00E96A7E">
        <w:rPr>
          <w:b/>
          <w:bCs/>
        </w:rPr>
        <w:t xml:space="preserve">ersonal </w:t>
      </w:r>
      <w:r w:rsidR="006B7A8A">
        <w:rPr>
          <w:b/>
          <w:bCs/>
        </w:rPr>
        <w:t>i</w:t>
      </w:r>
      <w:r w:rsidRPr="00E96A7E">
        <w:rPr>
          <w:b/>
          <w:bCs/>
        </w:rPr>
        <w:t>tems:</w:t>
      </w:r>
      <w:r>
        <w:t xml:space="preserve"> Do not place personal items, such as folders, handbags, car keys, on furniture, fixtures, or surfaces to prevent contamination from dust, allergens, or other potential hazards in the property.</w:t>
      </w:r>
    </w:p>
    <w:p w:rsidR="005A009B" w:rsidP="005A009B" w:rsidRDefault="005A009B" w14:paraId="7CFC1E74" w14:textId="55EDB767">
      <w:pPr>
        <w:pStyle w:val="Bullet1"/>
      </w:pPr>
      <w:r w:rsidRPr="00E96A7E">
        <w:rPr>
          <w:b/>
          <w:bCs/>
        </w:rPr>
        <w:t xml:space="preserve">Refrain from </w:t>
      </w:r>
      <w:r w:rsidR="006B7A8A">
        <w:rPr>
          <w:b/>
          <w:bCs/>
        </w:rPr>
        <w:t>t</w:t>
      </w:r>
      <w:r w:rsidRPr="00E96A7E">
        <w:rPr>
          <w:b/>
          <w:bCs/>
        </w:rPr>
        <w:t xml:space="preserve">ouching </w:t>
      </w:r>
      <w:r w:rsidR="006B7A8A">
        <w:rPr>
          <w:b/>
          <w:bCs/>
        </w:rPr>
        <w:t>s</w:t>
      </w:r>
      <w:r w:rsidRPr="00E96A7E">
        <w:rPr>
          <w:b/>
          <w:bCs/>
        </w:rPr>
        <w:t xml:space="preserve">urfaces </w:t>
      </w:r>
      <w:r w:rsidR="006B7A8A">
        <w:rPr>
          <w:b/>
          <w:bCs/>
        </w:rPr>
        <w:t>w</w:t>
      </w:r>
      <w:r w:rsidRPr="00E96A7E">
        <w:rPr>
          <w:b/>
          <w:bCs/>
        </w:rPr>
        <w:t xml:space="preserve">ithout </w:t>
      </w:r>
      <w:r w:rsidR="006B7A8A">
        <w:rPr>
          <w:b/>
          <w:bCs/>
        </w:rPr>
        <w:t>g</w:t>
      </w:r>
      <w:r w:rsidRPr="00E96A7E">
        <w:rPr>
          <w:b/>
          <w:bCs/>
        </w:rPr>
        <w:t>loves</w:t>
      </w:r>
      <w:r w:rsidRPr="00E96A7E">
        <w:t xml:space="preserve">: </w:t>
      </w:r>
      <w:r>
        <w:t>Do not touch surfaces or objects without gloves to minimise exposure to contaminants that may be present.</w:t>
      </w:r>
    </w:p>
    <w:p w:rsidR="005A009B" w:rsidP="005A009B" w:rsidRDefault="005A009B" w14:paraId="6F294A83" w14:textId="77777777">
      <w:pPr>
        <w:pStyle w:val="Bodyafterbullets"/>
      </w:pPr>
      <w:r>
        <w:t>By maintaining vigilance, following health and safety procedures, and adhering to the above guidelines, staff can ensure vacant unit inspections are carried out efficiently and safely.</w:t>
      </w:r>
    </w:p>
    <w:p w:rsidR="005A009B" w:rsidP="005A009B" w:rsidRDefault="005A009B" w14:paraId="1E1C85E4" w14:textId="77777777">
      <w:pPr>
        <w:pStyle w:val="Heading2"/>
      </w:pPr>
      <w:bookmarkStart w:name="_Toc200818195" w:id="10"/>
      <w:r w:rsidRPr="00CC459D">
        <w:t xml:space="preserve">Do's </w:t>
      </w:r>
      <w:r>
        <w:t>during inspections</w:t>
      </w:r>
      <w:bookmarkEnd w:id="10"/>
    </w:p>
    <w:p w:rsidRPr="00E96A7E" w:rsidR="005A009B" w:rsidP="005A009B" w:rsidRDefault="005A009B" w14:paraId="474950DF" w14:textId="77777777">
      <w:pPr>
        <w:pStyle w:val="Body"/>
      </w:pPr>
      <w:r w:rsidRPr="00E96A7E">
        <w:t>To ensure thorough and effective inspections, staff should</w:t>
      </w:r>
      <w:r>
        <w:t>:</w:t>
      </w:r>
    </w:p>
    <w:p w:rsidRPr="009B610C" w:rsidR="005A009B" w:rsidP="005A009B" w:rsidRDefault="005A009B" w14:paraId="62B05B11" w14:textId="58D3830E">
      <w:pPr>
        <w:pStyle w:val="Bullet1"/>
      </w:pPr>
      <w:r w:rsidRPr="009B610C">
        <w:rPr>
          <w:b/>
          <w:bCs/>
        </w:rPr>
        <w:t xml:space="preserve">Use the </w:t>
      </w:r>
      <w:r w:rsidR="00422689">
        <w:rPr>
          <w:b/>
          <w:bCs/>
        </w:rPr>
        <w:t>v</w:t>
      </w:r>
      <w:r w:rsidRPr="009B610C">
        <w:rPr>
          <w:b/>
          <w:bCs/>
        </w:rPr>
        <w:t xml:space="preserve">acant </w:t>
      </w:r>
      <w:r w:rsidR="00422689">
        <w:rPr>
          <w:b/>
          <w:bCs/>
        </w:rPr>
        <w:t>u</w:t>
      </w:r>
      <w:r w:rsidRPr="009B610C">
        <w:rPr>
          <w:b/>
          <w:bCs/>
        </w:rPr>
        <w:t xml:space="preserve">nit </w:t>
      </w:r>
      <w:r w:rsidR="00422689">
        <w:rPr>
          <w:b/>
          <w:bCs/>
        </w:rPr>
        <w:t>c</w:t>
      </w:r>
      <w:r>
        <w:rPr>
          <w:b/>
          <w:bCs/>
        </w:rPr>
        <w:t xml:space="preserve">hecks </w:t>
      </w:r>
      <w:r w:rsidR="00F035E6">
        <w:rPr>
          <w:b/>
          <w:bCs/>
        </w:rPr>
        <w:t>g</w:t>
      </w:r>
      <w:r>
        <w:rPr>
          <w:b/>
          <w:bCs/>
        </w:rPr>
        <w:t>uide</w:t>
      </w:r>
      <w:r w:rsidRPr="009B610C">
        <w:rPr>
          <w:b/>
          <w:bCs/>
        </w:rPr>
        <w:t>:</w:t>
      </w:r>
      <w:r w:rsidRPr="009B610C">
        <w:t xml:space="preserve"> Refer to </w:t>
      </w:r>
      <w:hyperlink w:history="1" w:anchor="_Guide_to_Vacant">
        <w:r w:rsidRPr="0084603E" w:rsidR="0084603E">
          <w:rPr>
            <w:rStyle w:val="Hyperlink"/>
          </w:rPr>
          <w:t>Section 9 Guide to Vacant Unit Checks</w:t>
        </w:r>
      </w:hyperlink>
      <w:r w:rsidRPr="009B610C">
        <w:t xml:space="preserve"> to ensure that minimal rental standards are assessed and met during inspections.</w:t>
      </w:r>
    </w:p>
    <w:p w:rsidR="005A009B" w:rsidP="005A009B" w:rsidRDefault="005A009B" w14:paraId="22A29623" w14:textId="22B1816D">
      <w:pPr>
        <w:pStyle w:val="Bullet1"/>
      </w:pPr>
      <w:r w:rsidRPr="00CC459D">
        <w:rPr>
          <w:b/>
          <w:bCs/>
        </w:rPr>
        <w:t>Utilise</w:t>
      </w:r>
      <w:r w:rsidR="006B7A8A">
        <w:rPr>
          <w:b/>
          <w:bCs/>
        </w:rPr>
        <w:t xml:space="preserve"> printed</w:t>
      </w:r>
      <w:r w:rsidRPr="00CC459D">
        <w:rPr>
          <w:b/>
          <w:bCs/>
        </w:rPr>
        <w:t xml:space="preserve"> </w:t>
      </w:r>
      <w:r w:rsidR="006B7A8A">
        <w:rPr>
          <w:b/>
          <w:bCs/>
        </w:rPr>
        <w:t>r</w:t>
      </w:r>
      <w:r w:rsidRPr="00CC459D">
        <w:rPr>
          <w:b/>
          <w:bCs/>
        </w:rPr>
        <w:t xml:space="preserve">oom </w:t>
      </w:r>
      <w:r w:rsidR="006B7A8A">
        <w:rPr>
          <w:b/>
          <w:bCs/>
        </w:rPr>
        <w:t>i</w:t>
      </w:r>
      <w:r w:rsidRPr="00CC459D">
        <w:rPr>
          <w:b/>
          <w:bCs/>
        </w:rPr>
        <w:t>dentifiers:</w:t>
      </w:r>
      <w:r>
        <w:t xml:space="preserve"> Use </w:t>
      </w:r>
      <w:r w:rsidR="006B7A8A">
        <w:t xml:space="preserve">printed </w:t>
      </w:r>
      <w:r>
        <w:t>room identifiers when taking photos to clearly correlate each image with the corresponding part of the property.</w:t>
      </w:r>
    </w:p>
    <w:p w:rsidR="005A009B" w:rsidP="005A009B" w:rsidRDefault="005A009B" w14:paraId="526672F6" w14:textId="3FB467F2">
      <w:pPr>
        <w:pStyle w:val="Bullet1"/>
      </w:pPr>
      <w:r w:rsidRPr="00CC459D">
        <w:rPr>
          <w:b/>
          <w:bCs/>
        </w:rPr>
        <w:t xml:space="preserve">Document </w:t>
      </w:r>
      <w:r w:rsidR="006B7A8A">
        <w:rPr>
          <w:b/>
          <w:bCs/>
        </w:rPr>
        <w:t>f</w:t>
      </w:r>
      <w:r w:rsidRPr="00CC459D">
        <w:rPr>
          <w:b/>
          <w:bCs/>
        </w:rPr>
        <w:t xml:space="preserve">indings </w:t>
      </w:r>
      <w:r w:rsidR="006B7A8A">
        <w:rPr>
          <w:b/>
          <w:bCs/>
        </w:rPr>
        <w:t>t</w:t>
      </w:r>
      <w:r w:rsidRPr="00CC459D">
        <w:rPr>
          <w:b/>
          <w:bCs/>
        </w:rPr>
        <w:t>horoughly:</w:t>
      </w:r>
      <w:r>
        <w:t xml:space="preserve"> Record all observations and findings in detail to maintain a comprehensive inspection report.</w:t>
      </w:r>
    </w:p>
    <w:p w:rsidR="00E96A7E" w:rsidP="00E96A7E" w:rsidRDefault="00E96A7E" w14:paraId="458C7BBA" w14:textId="7BC1125A">
      <w:pPr>
        <w:pStyle w:val="Heading1"/>
      </w:pPr>
      <w:bookmarkStart w:name="_Toc200818196" w:id="11"/>
      <w:r w:rsidRPr="00E96A7E">
        <w:t xml:space="preserve">Target </w:t>
      </w:r>
      <w:r>
        <w:t>t</w:t>
      </w:r>
      <w:r w:rsidRPr="00E96A7E">
        <w:t>imeframe</w:t>
      </w:r>
      <w:r>
        <w:t>s</w:t>
      </w:r>
      <w:r w:rsidRPr="00E96A7E">
        <w:t xml:space="preserve"> for </w:t>
      </w:r>
      <w:r>
        <w:t>v</w:t>
      </w:r>
      <w:r w:rsidRPr="00E96A7E">
        <w:t xml:space="preserve">acant </w:t>
      </w:r>
      <w:r>
        <w:t>u</w:t>
      </w:r>
      <w:r w:rsidRPr="00E96A7E">
        <w:t xml:space="preserve">nit </w:t>
      </w:r>
      <w:r>
        <w:t>m</w:t>
      </w:r>
      <w:r w:rsidRPr="00E96A7E">
        <w:t>aintenance</w:t>
      </w:r>
      <w:bookmarkEnd w:id="11"/>
    </w:p>
    <w:p w:rsidR="00E96A7E" w:rsidP="00E96A7E" w:rsidRDefault="00E96A7E" w14:paraId="047C3E4A" w14:textId="6DEEB6C6">
      <w:pPr>
        <w:pStyle w:val="Body"/>
      </w:pPr>
      <w:r w:rsidRPr="00E96A7E">
        <w:t>Vacant unit maintenance is a key performance indicator (KPI), tracking the efficiency of the process. Offers to new renters are typically made during this period, ensuring the unit is ready for occupation once maintenance is completed.</w:t>
      </w:r>
    </w:p>
    <w:p w:rsidR="00E96A7E" w:rsidP="00E96A7E" w:rsidRDefault="00E96A7E" w14:paraId="2313CC7C" w14:textId="69B118A7">
      <w:pPr>
        <w:pStyle w:val="Body"/>
      </w:pPr>
      <w:r w:rsidRPr="00E96A7E">
        <w:t xml:space="preserve">The target timeframe for raising vacant unit maintenance is within </w:t>
      </w:r>
      <w:r w:rsidRPr="005179D6">
        <w:rPr>
          <w:b/>
          <w:bCs/>
        </w:rPr>
        <w:t>tw</w:t>
      </w:r>
      <w:r w:rsidRPr="00E96A7E">
        <w:rPr>
          <w:b/>
          <w:bCs/>
        </w:rPr>
        <w:t>o working days of tenancy termination</w:t>
      </w:r>
      <w:r w:rsidRPr="00E96A7E">
        <w:t xml:space="preserve">, in accordance with the </w:t>
      </w:r>
      <w:r w:rsidRPr="006B7A8A">
        <w:rPr>
          <w:i/>
          <w:iCs/>
        </w:rPr>
        <w:t xml:space="preserve">Residential Tenancies Act </w:t>
      </w:r>
      <w:r w:rsidRPr="006B7A8A" w:rsidR="006B7A8A">
        <w:rPr>
          <w:i/>
          <w:iCs/>
        </w:rPr>
        <w:t xml:space="preserve">1997 </w:t>
      </w:r>
      <w:r w:rsidRPr="00E96A7E">
        <w:t>(</w:t>
      </w:r>
      <w:r w:rsidRPr="004C473E">
        <w:t>RTA),</w:t>
      </w:r>
      <w:r w:rsidRPr="00E96A7E">
        <w:t xml:space="preserve"> or after VCAT determines a property was abandoned. After the vacant works are scoped and raised in HiiP Repairs, the Head contractor has </w:t>
      </w:r>
      <w:r w:rsidRPr="00E96A7E">
        <w:rPr>
          <w:b/>
          <w:bCs/>
        </w:rPr>
        <w:t>14 calendar days to finalise the works</w:t>
      </w:r>
      <w:r w:rsidRPr="00E96A7E">
        <w:t>.</w:t>
      </w:r>
    </w:p>
    <w:p w:rsidR="00E96A7E" w:rsidP="004F0F40" w:rsidRDefault="00E96A7E" w14:paraId="7BCFFB3D" w14:textId="15D598A5">
      <w:pPr>
        <w:pStyle w:val="Heading2"/>
      </w:pPr>
      <w:bookmarkStart w:name="_Raising_a_reletting" w:id="12"/>
      <w:bookmarkStart w:name="_Toc200818197" w:id="13"/>
      <w:bookmarkEnd w:id="12"/>
      <w:r w:rsidRPr="00E96A7E">
        <w:t>Contractor extension requests</w:t>
      </w:r>
      <w:bookmarkEnd w:id="13"/>
    </w:p>
    <w:p w:rsidR="00E96A7E" w:rsidP="00E96A7E" w:rsidRDefault="00E96A7E" w14:paraId="4E38A9A1" w14:textId="77777777">
      <w:pPr>
        <w:pStyle w:val="Body"/>
      </w:pPr>
      <w:r>
        <w:t xml:space="preserve">Timely completion of vacant unit works is essential to minimising vacancy periods and ensuring homes are made available for renters as soon as possible. Contractors may request extensions on returning the vacant unit. Staff must carefully assess these requests to mitigate impacts on operations and ensure accountability, including the application of </w:t>
      </w:r>
      <w:r w:rsidRPr="009A5D26">
        <w:rPr>
          <w:b/>
          <w:bCs/>
        </w:rPr>
        <w:t>liquidated damages</w:t>
      </w:r>
      <w:r>
        <w:t xml:space="preserve"> where appropriate.</w:t>
      </w:r>
    </w:p>
    <w:p w:rsidR="00E96A7E" w:rsidP="00E96A7E" w:rsidRDefault="00E96A7E" w14:paraId="6ED057C2" w14:textId="63CC3DFF">
      <w:pPr>
        <w:pStyle w:val="Heading3"/>
      </w:pPr>
      <w:r w:rsidRPr="00E96A7E">
        <w:t xml:space="preserve">Impacts of </w:t>
      </w:r>
      <w:r w:rsidR="009A5D26">
        <w:t>d</w:t>
      </w:r>
      <w:r w:rsidRPr="00E96A7E">
        <w:t>elays</w:t>
      </w:r>
      <w:r w:rsidR="009A5D26">
        <w:t xml:space="preserve"> and liquidated damages</w:t>
      </w:r>
    </w:p>
    <w:p w:rsidRPr="009A5D26" w:rsidR="009A5D26" w:rsidP="009A5D26" w:rsidRDefault="009A5D26" w14:paraId="0949F6EF" w14:textId="1665D9AB">
      <w:pPr>
        <w:pStyle w:val="Body"/>
      </w:pPr>
      <w:r w:rsidRPr="009A5D26">
        <w:t xml:space="preserve">Delays in maintenance and turnaround times for vacant units can have significant </w:t>
      </w:r>
      <w:r w:rsidR="00854F45">
        <w:t>impacts</w:t>
      </w:r>
      <w:r w:rsidRPr="009A5D26">
        <w:t xml:space="preserve"> on both operational efficiency and overall housing availability. The following points outline </w:t>
      </w:r>
      <w:r>
        <w:t xml:space="preserve">some </w:t>
      </w:r>
      <w:r w:rsidRPr="009A5D26">
        <w:t>impacts of these delays, highlighting the importance of timely completion and the role of liquidated damages in holding contractors accountable:</w:t>
      </w:r>
    </w:p>
    <w:p w:rsidR="00E96A7E" w:rsidP="00E96A7E" w:rsidRDefault="00E96A7E" w14:paraId="73271B2A" w14:textId="13C5B85D">
      <w:pPr>
        <w:pStyle w:val="Bullet1"/>
      </w:pPr>
      <w:r w:rsidRPr="00E96A7E">
        <w:rPr>
          <w:b/>
          <w:bCs/>
        </w:rPr>
        <w:t>Extended Vacancy Periods:</w:t>
      </w:r>
      <w:r>
        <w:t xml:space="preserve"> Delays in completing works result in longer periods where units remain unoccupied, impacting housing availability and increasing vacancy costs.</w:t>
      </w:r>
    </w:p>
    <w:p w:rsidR="00E96A7E" w:rsidP="00E96A7E" w:rsidRDefault="00E96A7E" w14:paraId="3A5C2468" w14:textId="560FA4E8">
      <w:pPr>
        <w:pStyle w:val="Bullet1"/>
      </w:pPr>
      <w:r w:rsidRPr="00E96A7E">
        <w:rPr>
          <w:b/>
          <w:bCs/>
        </w:rPr>
        <w:t>Service Delivery Disruptions</w:t>
      </w:r>
      <w:r>
        <w:t>: Delays can affect renters waiting for housing, creating reputational risks and additional pressure on housing services.</w:t>
      </w:r>
    </w:p>
    <w:p w:rsidR="00E96A7E" w:rsidP="00E96A7E" w:rsidRDefault="00E96A7E" w14:paraId="3423DCAD" w14:textId="511AC6A6">
      <w:pPr>
        <w:pStyle w:val="Bullet1"/>
      </w:pPr>
      <w:r w:rsidRPr="00E96A7E">
        <w:rPr>
          <w:b/>
          <w:bCs/>
        </w:rPr>
        <w:t>Accountability Issues:</w:t>
      </w:r>
      <w:r>
        <w:t xml:space="preserve"> Poor contractor performance, if unaddressed, can lead to ongoing inefficiencies and reduced trust in contractor reliability.</w:t>
      </w:r>
    </w:p>
    <w:p w:rsidR="00E96A7E" w:rsidP="00E96A7E" w:rsidRDefault="00E96A7E" w14:paraId="43410922" w14:textId="3DD2C266">
      <w:pPr>
        <w:pStyle w:val="Bullet1"/>
      </w:pPr>
      <w:r w:rsidRPr="00E96A7E">
        <w:rPr>
          <w:b/>
          <w:bCs/>
        </w:rPr>
        <w:t>Liquidated Damages:</w:t>
      </w:r>
      <w:r>
        <w:t xml:space="preserve"> Liquidated damages are a tool to hold contractors accountable for delays and recover costs incurred due to missed deadlines. They can be applied in the following scenarios:</w:t>
      </w:r>
    </w:p>
    <w:p w:rsidR="00E96A7E" w:rsidP="009A5D26" w:rsidRDefault="00E96A7E" w14:paraId="2214F1AA" w14:textId="38FD2EFF">
      <w:pPr>
        <w:pStyle w:val="Bullet2"/>
      </w:pPr>
      <w:r w:rsidRPr="00E96A7E">
        <w:rPr>
          <w:b/>
          <w:bCs/>
        </w:rPr>
        <w:t>Non-compliance with Contractual Timelines:</w:t>
      </w:r>
      <w:r>
        <w:t xml:space="preserve"> If the contractor fails to meet agreed completion dates without valid justification, liquidated damages may be imposed as outlined in the contract.</w:t>
      </w:r>
    </w:p>
    <w:p w:rsidR="00E96A7E" w:rsidP="009A5D26" w:rsidRDefault="00E96A7E" w14:paraId="2F6FA2E0" w14:textId="6B6AC02F">
      <w:pPr>
        <w:pStyle w:val="Bullet2"/>
      </w:pPr>
      <w:r w:rsidRPr="009A5D26">
        <w:rPr>
          <w:b/>
          <w:bCs/>
        </w:rPr>
        <w:t>Recovering Financial Losses:</w:t>
      </w:r>
      <w:r>
        <w:t xml:space="preserve"> Damages compensate for costs such as lost rent, interim housing, or administrative expenses caused by delays.</w:t>
      </w:r>
    </w:p>
    <w:p w:rsidR="00E96A7E" w:rsidP="009A5D26" w:rsidRDefault="00E96A7E" w14:paraId="660E60E9" w14:textId="7B475783">
      <w:pPr>
        <w:pStyle w:val="Bullet2"/>
      </w:pPr>
      <w:r w:rsidRPr="00E96A7E">
        <w:rPr>
          <w:b/>
          <w:bCs/>
        </w:rPr>
        <w:t>Incentivising Timely Completion:</w:t>
      </w:r>
      <w:r>
        <w:t xml:space="preserve"> The risk of liquidated damages encourages contractors to prioritise timely delivery and manage resources effectively.</w:t>
      </w:r>
    </w:p>
    <w:p w:rsidR="00E96A7E" w:rsidP="009A5D26" w:rsidRDefault="00E96A7E" w14:paraId="50A8AC47" w14:textId="77777777">
      <w:pPr>
        <w:pStyle w:val="Bullet2"/>
      </w:pPr>
      <w:r w:rsidRPr="00E96A7E">
        <w:rPr>
          <w:b/>
          <w:bCs/>
        </w:rPr>
        <w:t>Important Note:</w:t>
      </w:r>
      <w:r>
        <w:t xml:space="preserve"> Liquidated damages must be applied in accordance with contract terms and after assessing the validity of extension requests.</w:t>
      </w:r>
    </w:p>
    <w:p w:rsidR="00F00A95" w:rsidP="00F00A95" w:rsidRDefault="00F00A95" w14:paraId="5C8C7C59" w14:textId="0C24A494">
      <w:pPr>
        <w:pStyle w:val="Heading2"/>
      </w:pPr>
      <w:bookmarkStart w:name="_Toc200818198" w:id="14"/>
      <w:r w:rsidRPr="00F00A95">
        <w:t xml:space="preserve">Considerations for </w:t>
      </w:r>
      <w:r>
        <w:t>a</w:t>
      </w:r>
      <w:r w:rsidRPr="00F00A95">
        <w:t xml:space="preserve">pproving </w:t>
      </w:r>
      <w:r>
        <w:t>e</w:t>
      </w:r>
      <w:r w:rsidRPr="00F00A95">
        <w:t xml:space="preserve">xtension </w:t>
      </w:r>
      <w:r>
        <w:t>r</w:t>
      </w:r>
      <w:r w:rsidRPr="00F00A95">
        <w:t>equests</w:t>
      </w:r>
      <w:bookmarkEnd w:id="14"/>
    </w:p>
    <w:p w:rsidRPr="009B610C" w:rsidR="009A5D26" w:rsidP="00E96A7E" w:rsidRDefault="009A5D26" w14:paraId="2FEAA079" w14:textId="7728352A">
      <w:pPr>
        <w:pStyle w:val="Body"/>
      </w:pPr>
      <w:r w:rsidRPr="009A5D26">
        <w:t xml:space="preserve">In deciding whether to approve extension requests, staff must consider the following factors, noting that </w:t>
      </w:r>
      <w:r w:rsidRPr="009B610C">
        <w:t>all extension requests must be approved by Team Managers or their equivalents:</w:t>
      </w:r>
    </w:p>
    <w:p w:rsidRPr="009B610C" w:rsidR="00E96A7E" w:rsidP="00F00A95" w:rsidRDefault="00E96A7E" w14:paraId="632DE72F" w14:textId="727A19F3">
      <w:pPr>
        <w:pStyle w:val="Bullet1"/>
      </w:pPr>
      <w:r w:rsidRPr="009B610C">
        <w:rPr>
          <w:b/>
          <w:bCs/>
        </w:rPr>
        <w:t>Review Supporting Evidence</w:t>
      </w:r>
      <w:r w:rsidRPr="009B610C" w:rsidR="009A5D26">
        <w:rPr>
          <w:b/>
          <w:bCs/>
        </w:rPr>
        <w:t>:</w:t>
      </w:r>
      <w:r w:rsidRPr="009B610C" w:rsidR="009A5D26">
        <w:t xml:space="preserve"> </w:t>
      </w:r>
      <w:r w:rsidRPr="009B610C">
        <w:t>Ensure all extension requests are backed by detailed explanations, including photographs, reports, or external assessments where applicable.</w:t>
      </w:r>
    </w:p>
    <w:p w:rsidRPr="009B610C" w:rsidR="00E96A7E" w:rsidP="00F00A95" w:rsidRDefault="00E96A7E" w14:paraId="0260E3F7" w14:textId="1D86C850">
      <w:pPr>
        <w:pStyle w:val="Bullet1"/>
      </w:pPr>
      <w:r w:rsidRPr="009B610C">
        <w:rPr>
          <w:b/>
          <w:bCs/>
        </w:rPr>
        <w:t>Consult Relevan</w:t>
      </w:r>
      <w:r w:rsidRPr="009B610C" w:rsidR="00F00A95">
        <w:rPr>
          <w:b/>
          <w:bCs/>
        </w:rPr>
        <w:t>t Staff</w:t>
      </w:r>
      <w:r w:rsidRPr="009B610C">
        <w:rPr>
          <w:b/>
          <w:bCs/>
        </w:rPr>
        <w:t>:</w:t>
      </w:r>
      <w:r w:rsidRPr="009B610C" w:rsidR="009A5D26">
        <w:t xml:space="preserve"> </w:t>
      </w:r>
      <w:r w:rsidRPr="009B610C">
        <w:t xml:space="preserve">Engage with internal teams, such as </w:t>
      </w:r>
      <w:r w:rsidRPr="009B610C" w:rsidR="00F00A95">
        <w:t>Field Services Officers</w:t>
      </w:r>
      <w:r w:rsidRPr="009B610C">
        <w:t>, to assess the legitimacy of the request.</w:t>
      </w:r>
    </w:p>
    <w:p w:rsidR="00E96A7E" w:rsidP="00F00A95" w:rsidRDefault="00E96A7E" w14:paraId="2189E6D3" w14:textId="51A30889">
      <w:pPr>
        <w:pStyle w:val="Bullet1"/>
      </w:pPr>
      <w:r w:rsidRPr="00F00A95">
        <w:rPr>
          <w:b/>
          <w:bCs/>
        </w:rPr>
        <w:t>Evaluate the Need for Liquidated Damages</w:t>
      </w:r>
      <w:r>
        <w:t>:</w:t>
      </w:r>
      <w:r w:rsidR="009A5D26">
        <w:t xml:space="preserve"> </w:t>
      </w:r>
      <w:r>
        <w:t>If delays are unjustified, consider the financial impacts and determine whether liquidated damages should be applied per contract terms.</w:t>
      </w:r>
    </w:p>
    <w:p w:rsidR="009A5D26" w:rsidP="00E96A7E" w:rsidRDefault="00E96A7E" w14:paraId="729E5F4A" w14:textId="376384C3">
      <w:pPr>
        <w:pStyle w:val="Bullet1"/>
      </w:pPr>
      <w:r w:rsidRPr="00F00A95">
        <w:rPr>
          <w:b/>
          <w:bCs/>
        </w:rPr>
        <w:t>Document Decisions</w:t>
      </w:r>
      <w:r>
        <w:t>:</w:t>
      </w:r>
      <w:r w:rsidR="009A5D26">
        <w:t xml:space="preserve"> </w:t>
      </w:r>
      <w:r>
        <w:t xml:space="preserve">Record the rationale for accepting or rejecting an extension in </w:t>
      </w:r>
      <w:r w:rsidR="00F00A95">
        <w:t>HiiP Repairs</w:t>
      </w:r>
      <w:r>
        <w:t xml:space="preserve"> to ensure transparency and consistency in decision-making.</w:t>
      </w:r>
    </w:p>
    <w:p w:rsidRPr="00486BB9" w:rsidR="004F0F40" w:rsidP="004F0F40" w:rsidRDefault="004F0F40" w14:paraId="4905B378" w14:textId="77777777">
      <w:pPr>
        <w:pStyle w:val="Heading1"/>
      </w:pPr>
      <w:bookmarkStart w:name="_Toc200818199" w:id="15"/>
      <w:r w:rsidRPr="00486BB9">
        <w:t>Reletting restrictions</w:t>
      </w:r>
      <w:bookmarkEnd w:id="15"/>
      <w:r w:rsidRPr="00486BB9">
        <w:t xml:space="preserve"> </w:t>
      </w:r>
    </w:p>
    <w:p w:rsidRPr="00486BB9" w:rsidR="004F0F40" w:rsidP="004F0F40" w:rsidRDefault="004F0F40" w14:paraId="7AC2D7EF" w14:textId="77777777">
      <w:pPr>
        <w:pStyle w:val="Bodyafterbullets"/>
      </w:pPr>
      <w:r w:rsidRPr="00486BB9">
        <w:t>A reletting restriction is applied to a vacant property in HiiP to prevent it from being offered to new renters. When applied, the property is flagged as unavailable for reletting (vacant untenantable). They are often applied when there are issues that need to be addressed before the property can be re-let, such as:</w:t>
      </w:r>
    </w:p>
    <w:p w:rsidRPr="00486BB9" w:rsidR="004F0F40" w:rsidP="004F0F40" w:rsidRDefault="004F0F40" w14:paraId="1FE2E7C2" w14:textId="77777777">
      <w:pPr>
        <w:pStyle w:val="Bullet1"/>
      </w:pPr>
      <w:r w:rsidRPr="00486BB9">
        <w:t>Goods left behind</w:t>
      </w:r>
    </w:p>
    <w:p w:rsidRPr="00486BB9" w:rsidR="004F0F40" w:rsidP="004F0F40" w:rsidRDefault="004F0F40" w14:paraId="5EE1C1BC" w14:textId="77777777">
      <w:pPr>
        <w:pStyle w:val="Bullet1"/>
      </w:pPr>
      <w:r w:rsidRPr="00486BB9">
        <w:t>Illegal occupants</w:t>
      </w:r>
    </w:p>
    <w:p w:rsidRPr="00486BB9" w:rsidR="004F0F40" w:rsidP="004F0F40" w:rsidRDefault="004F0F40" w14:paraId="15D23559" w14:textId="77777777">
      <w:pPr>
        <w:pStyle w:val="Bullet1"/>
      </w:pPr>
      <w:r w:rsidRPr="00486BB9">
        <w:t>Extensive maintenance works required</w:t>
      </w:r>
    </w:p>
    <w:p w:rsidRPr="00486BB9" w:rsidR="004F0F40" w:rsidP="004F0F40" w:rsidRDefault="004F0F40" w14:paraId="3C5547F6" w14:textId="77777777">
      <w:pPr>
        <w:pStyle w:val="Bullet1"/>
      </w:pPr>
      <w:r w:rsidRPr="00486BB9">
        <w:t xml:space="preserve">Strategic decisions regarding the property. </w:t>
      </w:r>
    </w:p>
    <w:p w:rsidRPr="00486BB9" w:rsidR="004F0F40" w:rsidP="004F0F40" w:rsidRDefault="004F0F40" w14:paraId="2EB67DC9" w14:textId="77777777">
      <w:pPr>
        <w:pStyle w:val="Bodyafterbullets"/>
      </w:pPr>
      <w:r w:rsidRPr="00486BB9">
        <w:t>Applying reletting restrictions ensures that properties are flagged appropriately. This process:</w:t>
      </w:r>
    </w:p>
    <w:p w:rsidRPr="00486BB9" w:rsidR="004F0F40" w:rsidP="004F0F40" w:rsidRDefault="004F0F40" w14:paraId="2A04648F" w14:textId="77777777">
      <w:pPr>
        <w:pStyle w:val="Bullet1"/>
      </w:pPr>
      <w:r w:rsidRPr="00486BB9">
        <w:t>Facilitates accurate reporting on asset utilisation</w:t>
      </w:r>
    </w:p>
    <w:p w:rsidRPr="00486BB9" w:rsidR="004F0F40" w:rsidP="004F0F40" w:rsidRDefault="004F0F40" w14:paraId="059281F1" w14:textId="77777777">
      <w:pPr>
        <w:pStyle w:val="Bullet1"/>
      </w:pPr>
      <w:r w:rsidRPr="00486BB9">
        <w:t>Provides visibility into the reasons behind extended vacancies</w:t>
      </w:r>
    </w:p>
    <w:p w:rsidRPr="00486BB9" w:rsidR="004F0F40" w:rsidP="004F0F40" w:rsidRDefault="004F0F40" w14:paraId="608FB2AC" w14:textId="77777777">
      <w:pPr>
        <w:pStyle w:val="Bullet1"/>
      </w:pPr>
      <w:r w:rsidRPr="00486BB9">
        <w:t>Helps prioritise property management actions to reduce vacancy periods.</w:t>
      </w:r>
    </w:p>
    <w:p w:rsidRPr="00486BB9" w:rsidR="004F0F40" w:rsidP="004F0F40" w:rsidRDefault="004F0F40" w14:paraId="03C64C33" w14:textId="7495C5A6">
      <w:pPr>
        <w:pStyle w:val="Bodyafterbullets"/>
      </w:pPr>
      <w:r w:rsidRPr="00486BB9">
        <w:t xml:space="preserve">While most reletting restrictions are managed locally, </w:t>
      </w:r>
      <w:r w:rsidR="317776FF">
        <w:t>the</w:t>
      </w:r>
      <w:r w:rsidRPr="00486BB9">
        <w:t xml:space="preserve"> Asset Management </w:t>
      </w:r>
      <w:r w:rsidR="00BB3165">
        <w:t>(central office)</w:t>
      </w:r>
      <w:r w:rsidRPr="00486BB9">
        <w:t xml:space="preserve"> team also apply reletting restrictions to support:</w:t>
      </w:r>
    </w:p>
    <w:p w:rsidRPr="00486BB9" w:rsidR="004F0F40" w:rsidP="004F0F40" w:rsidRDefault="004F0F40" w14:paraId="69660097" w14:textId="77777777">
      <w:pPr>
        <w:pStyle w:val="Bullet1"/>
      </w:pPr>
      <w:r w:rsidRPr="00486BB9">
        <w:t>Capital planning</w:t>
      </w:r>
    </w:p>
    <w:p w:rsidRPr="00486BB9" w:rsidR="004F0F40" w:rsidP="004F0F40" w:rsidRDefault="004F0F40" w14:paraId="09318650" w14:textId="77777777">
      <w:pPr>
        <w:pStyle w:val="Bullet1"/>
      </w:pPr>
      <w:r w:rsidRPr="00486BB9">
        <w:t>Property strategy</w:t>
      </w:r>
    </w:p>
    <w:p w:rsidRPr="00486BB9" w:rsidR="004F0F40" w:rsidP="004F0F40" w:rsidRDefault="004F0F40" w14:paraId="4BFA5C4A" w14:textId="77777777">
      <w:pPr>
        <w:pStyle w:val="Bullet1"/>
      </w:pPr>
      <w:r w:rsidRPr="00486BB9">
        <w:t>Compliance works.</w:t>
      </w:r>
    </w:p>
    <w:p w:rsidRPr="00486BB9" w:rsidR="004F0F40" w:rsidP="004F0F40" w:rsidRDefault="004F0F40" w14:paraId="5EB369AF" w14:textId="720766C0">
      <w:pPr>
        <w:pStyle w:val="Bodyafterbullets"/>
      </w:pPr>
      <w:r w:rsidRPr="00486BB9">
        <w:t>For more information on central office involvement in reletting restriction management, including oversight and approval, refer to</w:t>
      </w:r>
      <w:r w:rsidR="003A559A">
        <w:t xml:space="preserve"> </w:t>
      </w:r>
      <w:hyperlink w:history="1" w:anchor="_Asset_Management_oversight">
        <w:r w:rsidRPr="003A559A" w:rsidR="003A559A">
          <w:rPr>
            <w:rStyle w:val="Hyperlink"/>
          </w:rPr>
          <w:t>Section 5.2 Asset Management oversight and approval.</w:t>
        </w:r>
      </w:hyperlink>
    </w:p>
    <w:p w:rsidRPr="00486BB9" w:rsidR="004F0F40" w:rsidP="004F0F40" w:rsidRDefault="004F0F40" w14:paraId="23EA4082" w14:textId="3201D3F8">
      <w:pPr>
        <w:pStyle w:val="Body"/>
      </w:pPr>
      <w:r w:rsidRPr="00B606E2">
        <w:t xml:space="preserve">For a complete list of reletting restriction types and associated delegates, refer to the Reletting Restriction Matrix available on the Public Housing Resources SharePoint, located on the </w:t>
      </w:r>
      <w:proofErr w:type="spellStart"/>
      <w:r w:rsidRPr="00B606E2" w:rsidR="008A331D">
        <w:t>Vacants</w:t>
      </w:r>
      <w:proofErr w:type="spellEnd"/>
      <w:r w:rsidRPr="00B606E2">
        <w:t xml:space="preserve"> page &lt;</w:t>
      </w:r>
      <w:r w:rsidRPr="00B606E2" w:rsidR="008A331D">
        <w:t>https://dhhsvicgovau.sharepoint.com/sites/Publichousingresources/SitePages/vacants.aspx</w:t>
      </w:r>
      <w:r w:rsidRPr="00B606E2">
        <w:t>&gt;.</w:t>
      </w:r>
    </w:p>
    <w:p w:rsidRPr="00486BB9" w:rsidR="004F0F40" w:rsidP="004F0F40" w:rsidRDefault="005F0913" w14:paraId="6CB97E36" w14:textId="4EED66A4">
      <w:pPr>
        <w:pStyle w:val="Heading2"/>
      </w:pPr>
      <w:bookmarkStart w:name="_Toc200818200" w:id="16"/>
      <w:r>
        <w:t>General manager</w:t>
      </w:r>
      <w:r w:rsidRPr="00486BB9" w:rsidR="004F0F40">
        <w:t xml:space="preserve"> oversight</w:t>
      </w:r>
      <w:bookmarkEnd w:id="16"/>
    </w:p>
    <w:p w:rsidRPr="00486BB9" w:rsidR="004F0F40" w:rsidP="004F0F40" w:rsidRDefault="004F0F40" w14:paraId="232BC64B" w14:textId="77777777">
      <w:pPr>
        <w:pStyle w:val="Body"/>
      </w:pPr>
      <w:r w:rsidRPr="00486BB9">
        <w:t xml:space="preserve">Team Managers, Client Support and Housing Services </w:t>
      </w:r>
      <w:r>
        <w:t xml:space="preserve">(CSHS) </w:t>
      </w:r>
      <w:r w:rsidRPr="00486BB9">
        <w:t>Managers, or their equivalents, are responsible for regularly overseeing the application and use of reletting restrictions to ensure:</w:t>
      </w:r>
    </w:p>
    <w:p w:rsidRPr="00486BB9" w:rsidR="004F0F40" w:rsidP="004F0F40" w:rsidRDefault="004F0F40" w14:paraId="6162FBA4" w14:textId="77777777">
      <w:pPr>
        <w:pStyle w:val="Bullet1"/>
      </w:pPr>
      <w:r w:rsidRPr="00486BB9">
        <w:t>Accountability</w:t>
      </w:r>
    </w:p>
    <w:p w:rsidRPr="00486BB9" w:rsidR="004F0F40" w:rsidP="004F0F40" w:rsidRDefault="004F0F40" w14:paraId="2D5CBEF6" w14:textId="77777777">
      <w:pPr>
        <w:pStyle w:val="Bullet1"/>
      </w:pPr>
      <w:r w:rsidRPr="00486BB9">
        <w:t>Efficiency</w:t>
      </w:r>
    </w:p>
    <w:p w:rsidRPr="00486BB9" w:rsidR="004F0F40" w:rsidP="004F0F40" w:rsidRDefault="004F0F40" w14:paraId="5A16AAEC" w14:textId="77777777">
      <w:pPr>
        <w:pStyle w:val="Bullet1"/>
      </w:pPr>
      <w:r w:rsidRPr="00486BB9">
        <w:t>Achievement of KPI targets.</w:t>
      </w:r>
    </w:p>
    <w:p w:rsidRPr="00486BB9" w:rsidR="004F0F40" w:rsidP="004F0F40" w:rsidRDefault="004F0F40" w14:paraId="32A80B7B" w14:textId="77777777">
      <w:pPr>
        <w:pStyle w:val="Bodyafterbullets"/>
      </w:pPr>
      <w:r w:rsidRPr="00486BB9">
        <w:t>The frequency of oversight should range from daily to weekly, depending on the volume of property vacancies at the local office. Oversight activities include:</w:t>
      </w:r>
    </w:p>
    <w:p w:rsidRPr="00486BB9" w:rsidR="004F0F40" w:rsidP="004F0F40" w:rsidRDefault="004F0F40" w14:paraId="73CD4F2A" w14:textId="77777777">
      <w:pPr>
        <w:pStyle w:val="Bullet1"/>
      </w:pPr>
      <w:r w:rsidRPr="00486BB9">
        <w:t>Tracking approval requests, expiry dates, and extension requests</w:t>
      </w:r>
    </w:p>
    <w:p w:rsidRPr="00486BB9" w:rsidR="004F0F40" w:rsidP="004F0F40" w:rsidRDefault="004F0F40" w14:paraId="2662E42A" w14:textId="77777777">
      <w:pPr>
        <w:pStyle w:val="Bullet1"/>
      </w:pPr>
      <w:r w:rsidRPr="00486BB9">
        <w:t>Reviewing reletting restrictions to ensure they remain appropriate and effectively utilised</w:t>
      </w:r>
    </w:p>
    <w:p w:rsidRPr="00486BB9" w:rsidR="004F0F40" w:rsidP="004F0F40" w:rsidRDefault="004F0F40" w14:paraId="3AD7D3EF" w14:textId="77777777">
      <w:pPr>
        <w:pStyle w:val="Bullet1"/>
      </w:pPr>
      <w:r w:rsidRPr="00486BB9">
        <w:t>Removing reletting restrictions when properties are ready to be re-let.</w:t>
      </w:r>
    </w:p>
    <w:p w:rsidRPr="00486BB9" w:rsidR="004F0F40" w:rsidP="004F0F40" w:rsidRDefault="004F0F40" w14:paraId="04EA45E7" w14:textId="273D7076">
      <w:pPr>
        <w:pStyle w:val="Heading3"/>
      </w:pPr>
      <w:r w:rsidRPr="00486BB9">
        <w:t xml:space="preserve">HiiP </w:t>
      </w:r>
      <w:r w:rsidR="008F46AD">
        <w:t>tenancy task list</w:t>
      </w:r>
    </w:p>
    <w:p w:rsidRPr="00486BB9" w:rsidR="004F0F40" w:rsidP="004F0F40" w:rsidRDefault="004F0F40" w14:paraId="2A886CBC" w14:textId="50530B36">
      <w:pPr>
        <w:pStyle w:val="Body"/>
      </w:pPr>
      <w:proofErr w:type="spellStart"/>
      <w:r w:rsidRPr="00486BB9">
        <w:t>HiiP</w:t>
      </w:r>
      <w:r w:rsidR="005B1619">
        <w:t>s</w:t>
      </w:r>
      <w:proofErr w:type="spellEnd"/>
      <w:r w:rsidRPr="00486BB9">
        <w:t xml:space="preserve"> </w:t>
      </w:r>
      <w:r w:rsidR="005B1619">
        <w:t>tenancy task list</w:t>
      </w:r>
      <w:r w:rsidRPr="00486BB9">
        <w:t xml:space="preserve"> automates and manages housing processes by directing tasks through defined workflows. It streamlines operations like property information handling by integrating data and assigning tasks to staff. This </w:t>
      </w:r>
      <w:r w:rsidR="002C4DFB">
        <w:t>function</w:t>
      </w:r>
      <w:r w:rsidRPr="00486BB9">
        <w:t>:</w:t>
      </w:r>
    </w:p>
    <w:p w:rsidRPr="00486BB9" w:rsidR="004F0F40" w:rsidP="004F0F40" w:rsidRDefault="004F0F40" w14:paraId="3FDE7416" w14:textId="7E20FF33">
      <w:pPr>
        <w:pStyle w:val="Bullet1"/>
      </w:pPr>
      <w:r w:rsidRPr="00486BB9">
        <w:t xml:space="preserve">Supports role-based access, and </w:t>
      </w:r>
    </w:p>
    <w:p w:rsidRPr="00486BB9" w:rsidR="004F0F40" w:rsidP="004F0F40" w:rsidRDefault="00256010" w14:paraId="54184B8E" w14:textId="1D836FAB">
      <w:pPr>
        <w:pStyle w:val="Bullet1"/>
      </w:pPr>
      <w:r w:rsidRPr="00256010">
        <w:t>Facilitates timely notifications and approvals, with escalations appearing in the tenancy task list for staff action.</w:t>
      </w:r>
    </w:p>
    <w:p w:rsidRPr="00D6019F" w:rsidR="004F0F40" w:rsidP="004F0F40" w:rsidRDefault="009E03D5" w14:paraId="43175F14" w14:textId="350F2F73">
      <w:pPr>
        <w:pStyle w:val="Bodyafterbullets"/>
      </w:pPr>
      <w:r>
        <w:t xml:space="preserve">The </w:t>
      </w:r>
      <w:r w:rsidR="00256010">
        <w:t>task list</w:t>
      </w:r>
      <w:r w:rsidRPr="00D6019F" w:rsidR="004F0F40">
        <w:t xml:space="preserve"> support</w:t>
      </w:r>
      <w:r w:rsidR="002C5EF6">
        <w:t>s</w:t>
      </w:r>
      <w:r w:rsidRPr="00D6019F" w:rsidR="004F0F40">
        <w:t xml:space="preserve"> reletting restriction management by automatically sending email notifications to the local office’s general mailbox when a reletting restriction is:</w:t>
      </w:r>
    </w:p>
    <w:p w:rsidRPr="00486BB9" w:rsidR="004F0F40" w:rsidP="004F0F40" w:rsidRDefault="00256010" w14:paraId="72A74998" w14:textId="350B8E91">
      <w:pPr>
        <w:pStyle w:val="Bullet1"/>
      </w:pPr>
      <w:r>
        <w:t>C</w:t>
      </w:r>
      <w:r w:rsidRPr="00486BB9" w:rsidR="004F0F40">
        <w:t xml:space="preserve">losed off in HiiP </w:t>
      </w:r>
    </w:p>
    <w:p w:rsidRPr="00486BB9" w:rsidR="004F0F40" w:rsidP="004F0F40" w:rsidRDefault="004F0F40" w14:paraId="16BF496D" w14:textId="3D8F6BC8">
      <w:pPr>
        <w:pStyle w:val="Bullet2"/>
      </w:pPr>
      <w:r w:rsidRPr="00486BB9">
        <w:t>(End-dating</w:t>
      </w:r>
      <w:r w:rsidR="00256010">
        <w:t xml:space="preserve"> </w:t>
      </w:r>
      <w:r w:rsidRPr="00486BB9">
        <w:t xml:space="preserve">does not </w:t>
      </w:r>
      <w:r w:rsidR="00256010">
        <w:t>close</w:t>
      </w:r>
      <w:r w:rsidRPr="00486BB9">
        <w:t xml:space="preserve"> a reletting restriction)</w:t>
      </w:r>
    </w:p>
    <w:p w:rsidRPr="00486BB9" w:rsidR="004F0F40" w:rsidP="004F0F40" w:rsidRDefault="004F0F40" w14:paraId="4370A227" w14:textId="77777777">
      <w:pPr>
        <w:pStyle w:val="Bullet1"/>
      </w:pPr>
      <w:r w:rsidRPr="00486BB9">
        <w:t>Withdrawn (cancelled)</w:t>
      </w:r>
    </w:p>
    <w:p w:rsidRPr="00486BB9" w:rsidR="004F0F40" w:rsidP="004F0F40" w:rsidRDefault="004F0F40" w14:paraId="53099DEA" w14:textId="77777777">
      <w:pPr>
        <w:pStyle w:val="Bullet1"/>
      </w:pPr>
      <w:r w:rsidRPr="00486BB9">
        <w:t>Rejected by Asset Management</w:t>
      </w:r>
    </w:p>
    <w:p w:rsidRPr="00486BB9" w:rsidR="004F0F40" w:rsidP="004F0F40" w:rsidRDefault="004F0F40" w14:paraId="32FBFB7E" w14:textId="77777777">
      <w:pPr>
        <w:pStyle w:val="Bullet1"/>
      </w:pPr>
      <w:r w:rsidRPr="00486BB9">
        <w:t>Approaching expiry (five days prior).</w:t>
      </w:r>
    </w:p>
    <w:p w:rsidRPr="00486BB9" w:rsidR="004F0F40" w:rsidP="004F0F40" w:rsidRDefault="00B66169" w14:paraId="07EBD051" w14:textId="40ACBD15">
      <w:pPr>
        <w:pStyle w:val="Bodyafterbullets"/>
      </w:pPr>
      <w:r w:rsidRPr="00B66169">
        <w:t>Staff responsible for managing office emails must promptly forward them to authori</w:t>
      </w:r>
      <w:r>
        <w:t>s</w:t>
      </w:r>
      <w:r w:rsidRPr="00B66169">
        <w:t>ed delegates to ensure timely action.</w:t>
      </w:r>
    </w:p>
    <w:p w:rsidRPr="00486BB9" w:rsidR="004F0F40" w:rsidP="004F0F40" w:rsidRDefault="004F0F40" w14:paraId="7CA36819" w14:textId="77777777">
      <w:pPr>
        <w:pStyle w:val="Heading2"/>
      </w:pPr>
      <w:bookmarkStart w:name="_Asset_Management_oversight" w:id="17"/>
      <w:bookmarkStart w:name="_Toc200818201" w:id="18"/>
      <w:bookmarkEnd w:id="17"/>
      <w:r w:rsidRPr="00486BB9">
        <w:t>Asset Management oversight and approval</w:t>
      </w:r>
      <w:bookmarkEnd w:id="18"/>
      <w:r w:rsidRPr="00486BB9">
        <w:t xml:space="preserve"> </w:t>
      </w:r>
    </w:p>
    <w:p w:rsidRPr="00486BB9" w:rsidR="004F0F40" w:rsidP="004F0F40" w:rsidRDefault="004F0F40" w14:paraId="23DD7B86" w14:textId="7755603B">
      <w:pPr>
        <w:pStyle w:val="Body"/>
      </w:pPr>
      <w:r w:rsidRPr="00486BB9">
        <w:t>When a property is referred to Asset Management for action, it may remain vacant for an extended period due to the nature of the works or decisions involved. The typical vacancy durations are:</w:t>
      </w:r>
    </w:p>
    <w:p w:rsidR="00B66169" w:rsidP="004F0F40" w:rsidRDefault="004F0F40" w14:paraId="6072ADD9" w14:textId="77777777">
      <w:pPr>
        <w:pStyle w:val="Bullet1"/>
      </w:pPr>
      <w:r w:rsidRPr="00486BB9">
        <w:rPr>
          <w:b/>
          <w:bCs/>
        </w:rPr>
        <w:t>30 days:</w:t>
      </w:r>
      <w:r w:rsidRPr="00486BB9">
        <w:t xml:space="preserve"> Usually applies to</w:t>
      </w:r>
      <w:r w:rsidR="00B66169">
        <w:t>:</w:t>
      </w:r>
    </w:p>
    <w:p w:rsidR="00B66169" w:rsidP="00B66169" w:rsidRDefault="00B66169" w14:paraId="0B4789A2" w14:textId="77777777">
      <w:pPr>
        <w:pStyle w:val="Bullet2"/>
      </w:pPr>
      <w:r>
        <w:t>N</w:t>
      </w:r>
      <w:r w:rsidRPr="00486BB9" w:rsidR="004F0F40">
        <w:t>ew constructions that have reached approximately 75% completion</w:t>
      </w:r>
    </w:p>
    <w:p w:rsidR="004F0F40" w:rsidP="00B66169" w:rsidRDefault="00B66169" w14:paraId="02D881A6" w14:textId="6FD41E37">
      <w:pPr>
        <w:pStyle w:val="Bullet2"/>
      </w:pPr>
      <w:r>
        <w:t>R</w:t>
      </w:r>
      <w:r w:rsidRPr="00486BB9" w:rsidR="004F0F40">
        <w:t>ecently acquired properties</w:t>
      </w:r>
      <w:r>
        <w:t>, and</w:t>
      </w:r>
    </w:p>
    <w:p w:rsidR="00B66169" w:rsidP="00B66169" w:rsidRDefault="00B66169" w14:paraId="5169123A" w14:textId="6002E234">
      <w:pPr>
        <w:pStyle w:val="Bullet2"/>
      </w:pPr>
      <w:r>
        <w:t xml:space="preserve">Properties </w:t>
      </w:r>
      <w:r w:rsidRPr="00B66169">
        <w:t>under review by Asset Management</w:t>
      </w:r>
    </w:p>
    <w:p w:rsidRPr="00D63602" w:rsidR="00D63602" w:rsidP="00D63602" w:rsidRDefault="00D63602" w14:paraId="3313E94B" w14:textId="39A3335F">
      <w:pPr>
        <w:pStyle w:val="Bullet1"/>
      </w:pPr>
      <w:r w:rsidRPr="00D63602">
        <w:rPr>
          <w:b/>
          <w:bCs/>
        </w:rPr>
        <w:t>60 days:</w:t>
      </w:r>
      <w:r>
        <w:t xml:space="preserve"> </w:t>
      </w:r>
      <w:r w:rsidRPr="00D63602">
        <w:t xml:space="preserve">For relocation projects managed </w:t>
      </w:r>
      <w:r>
        <w:t>centrally</w:t>
      </w:r>
      <w:r w:rsidRPr="00D63602">
        <w:t>.</w:t>
      </w:r>
    </w:p>
    <w:p w:rsidRPr="00B66169" w:rsidR="00B66169" w:rsidP="00B66169" w:rsidRDefault="00B66169" w14:paraId="74FA6775" w14:textId="6017BBA7">
      <w:pPr>
        <w:pStyle w:val="Bullet1"/>
        <w:rPr>
          <w:b/>
          <w:bCs/>
        </w:rPr>
      </w:pPr>
      <w:r w:rsidRPr="00B66169">
        <w:rPr>
          <w:b/>
          <w:bCs/>
        </w:rPr>
        <w:t>90 days:</w:t>
      </w:r>
      <w:r w:rsidR="00D63602">
        <w:rPr>
          <w:b/>
          <w:bCs/>
        </w:rPr>
        <w:t xml:space="preserve"> </w:t>
      </w:r>
      <w:r w:rsidRPr="00D63602" w:rsidR="00D63602">
        <w:t>When handover of new construction properties is delayed due to postponed service connections.</w:t>
      </w:r>
    </w:p>
    <w:p w:rsidRPr="00AD51B0" w:rsidR="00AD51B0" w:rsidP="00B66169" w:rsidRDefault="00B66169" w14:paraId="237B82DD" w14:textId="77777777">
      <w:pPr>
        <w:pStyle w:val="Bullet1"/>
        <w:rPr>
          <w:b/>
          <w:bCs/>
        </w:rPr>
      </w:pPr>
      <w:r w:rsidRPr="00B66169">
        <w:rPr>
          <w:b/>
          <w:bCs/>
        </w:rPr>
        <w:t>185 days:</w:t>
      </w:r>
      <w:r>
        <w:rPr>
          <w:b/>
          <w:bCs/>
        </w:rPr>
        <w:t xml:space="preserve"> </w:t>
      </w:r>
      <w:r w:rsidRPr="00D63602" w:rsidR="00D63602">
        <w:t>For properties</w:t>
      </w:r>
      <w:r w:rsidR="00AD51B0">
        <w:t>:</w:t>
      </w:r>
    </w:p>
    <w:p w:rsidRPr="00AD51B0" w:rsidR="00AD51B0" w:rsidP="00AD51B0" w:rsidRDefault="00AD51B0" w14:paraId="69DBB2AC" w14:textId="77777777">
      <w:pPr>
        <w:pStyle w:val="Bullet2"/>
        <w:rPr>
          <w:b/>
          <w:bCs/>
        </w:rPr>
      </w:pPr>
      <w:r>
        <w:t>R</w:t>
      </w:r>
      <w:r w:rsidRPr="00D63602" w:rsidR="00D63602">
        <w:t>equiring major works</w:t>
      </w:r>
    </w:p>
    <w:p w:rsidRPr="00AD51B0" w:rsidR="00AD51B0" w:rsidP="00AD51B0" w:rsidRDefault="00AD51B0" w14:paraId="795B4859" w14:textId="77777777">
      <w:pPr>
        <w:pStyle w:val="Bullet2"/>
        <w:rPr>
          <w:b/>
          <w:bCs/>
        </w:rPr>
      </w:pPr>
      <w:r>
        <w:t>E</w:t>
      </w:r>
      <w:r w:rsidRPr="00D63602" w:rsidR="00D63602">
        <w:t>armarked for future redevelopment</w:t>
      </w:r>
      <w:r>
        <w:t>,</w:t>
      </w:r>
      <w:r w:rsidRPr="00D63602" w:rsidR="00D63602">
        <w:t xml:space="preserve"> or </w:t>
      </w:r>
    </w:p>
    <w:p w:rsidRPr="00B66169" w:rsidR="00B66169" w:rsidP="00AD51B0" w:rsidRDefault="00AD51B0" w14:paraId="6091A956" w14:textId="3F5BB5C3">
      <w:pPr>
        <w:pStyle w:val="Bullet2"/>
        <w:rPr>
          <w:b/>
          <w:bCs/>
        </w:rPr>
      </w:pPr>
      <w:r>
        <w:t>I</w:t>
      </w:r>
      <w:r w:rsidRPr="00D63602" w:rsidR="00D63602">
        <w:t>nclusion in the sale pipeline.</w:t>
      </w:r>
    </w:p>
    <w:p w:rsidRPr="00B66169" w:rsidR="00B66169" w:rsidP="00B66169" w:rsidRDefault="00B66169" w14:paraId="3F252DC8" w14:textId="326CC678">
      <w:pPr>
        <w:pStyle w:val="Bullet1"/>
        <w:rPr>
          <w:b/>
          <w:bCs/>
        </w:rPr>
      </w:pPr>
      <w:r>
        <w:rPr>
          <w:b/>
          <w:bCs/>
        </w:rPr>
        <w:t xml:space="preserve">365 days: </w:t>
      </w:r>
      <w:r w:rsidRPr="00D63602" w:rsidR="00D63602">
        <w:t>For properties undergoing fire rectification works.</w:t>
      </w:r>
    </w:p>
    <w:p w:rsidR="006C7FF1" w:rsidP="00D63602" w:rsidRDefault="004F0F40" w14:paraId="58E3904E" w14:textId="77777777">
      <w:pPr>
        <w:pStyle w:val="Bullet1"/>
      </w:pPr>
      <w:r w:rsidRPr="00486BB9">
        <w:rPr>
          <w:b/>
          <w:bCs/>
        </w:rPr>
        <w:t>No fixed end date:</w:t>
      </w:r>
      <w:r w:rsidRPr="00486BB9">
        <w:t xml:space="preserve"> </w:t>
      </w:r>
      <w:r w:rsidRPr="00D63602" w:rsidR="00D63602">
        <w:t>For properties</w:t>
      </w:r>
      <w:r w:rsidR="006C7FF1">
        <w:t>:</w:t>
      </w:r>
    </w:p>
    <w:p w:rsidR="006C7FF1" w:rsidP="003E7157" w:rsidRDefault="006C7FF1" w14:paraId="6106E2EE" w14:textId="306F5614">
      <w:pPr>
        <w:pStyle w:val="Bullet2"/>
      </w:pPr>
      <w:r>
        <w:t>A</w:t>
      </w:r>
      <w:r w:rsidRPr="00D63602" w:rsidR="00D63602">
        <w:t>pproved for redevelopment or sale,</w:t>
      </w:r>
      <w:r w:rsidR="003E7157">
        <w:t xml:space="preserve"> or</w:t>
      </w:r>
    </w:p>
    <w:p w:rsidRPr="00D63602" w:rsidR="00D63602" w:rsidP="003E7157" w:rsidRDefault="003E7157" w14:paraId="117BE2F8" w14:textId="3A45F9BC">
      <w:pPr>
        <w:pStyle w:val="Bullet2"/>
      </w:pPr>
      <w:r>
        <w:t>U</w:t>
      </w:r>
      <w:r w:rsidRPr="00D63602" w:rsidR="00D63602">
        <w:t>ndergoing major upgrades such as full restoration after fire damage</w:t>
      </w:r>
    </w:p>
    <w:p w:rsidR="005B7B2A" w:rsidP="005B7B2A" w:rsidRDefault="005B7B2A" w14:paraId="17BB25D4" w14:textId="74BFE3A8">
      <w:pPr>
        <w:pStyle w:val="Bodyafterbullets"/>
      </w:pPr>
      <w:r w:rsidRPr="005B7B2A">
        <w:t>Given Asset Management’s role in overseeing and managing property assets, certain reletting restrictions require their review before implementation. If a referral is accepted by Asset Management, the reletting restriction may be applied</w:t>
      </w:r>
      <w:r>
        <w:t>. However, t</w:t>
      </w:r>
      <w:r w:rsidRPr="005B7B2A">
        <w:t>he local office retains responsibility for vacancy management tasks, including:</w:t>
      </w:r>
    </w:p>
    <w:p w:rsidR="005B7B2A" w:rsidP="005B7B2A" w:rsidRDefault="005B7B2A" w14:paraId="7C526D31" w14:textId="77777777">
      <w:pPr>
        <w:pStyle w:val="Bullet1"/>
      </w:pPr>
      <w:r>
        <w:t>Securing the property in the event of any incidents</w:t>
      </w:r>
    </w:p>
    <w:p w:rsidR="005B7B2A" w:rsidP="005B7B2A" w:rsidRDefault="005B7B2A" w14:paraId="3EA3883E" w14:textId="392766F0">
      <w:pPr>
        <w:pStyle w:val="Bullet1"/>
      </w:pPr>
      <w:r>
        <w:t>Maintaining the grounds, including grass cutting</w:t>
      </w:r>
      <w:r w:rsidR="00D03E74">
        <w:t>, and</w:t>
      </w:r>
    </w:p>
    <w:p w:rsidRPr="00486BB9" w:rsidR="005B7B2A" w:rsidP="005B7B2A" w:rsidRDefault="005B7B2A" w14:paraId="57BC3965" w14:textId="7AF98E6D">
      <w:pPr>
        <w:pStyle w:val="Bullet1"/>
      </w:pPr>
      <w:r>
        <w:t>Taking appropriate action against illegal occupants, if necessary.</w:t>
      </w:r>
    </w:p>
    <w:p w:rsidRPr="00486BB9" w:rsidR="004F0F40" w:rsidP="004F0F40" w:rsidRDefault="004F0F40" w14:paraId="6532C2C5" w14:textId="77777777">
      <w:pPr>
        <w:pStyle w:val="Bodyafterbullets"/>
      </w:pPr>
      <w:r w:rsidRPr="00486BB9">
        <w:t>The table below provides an overview of the categories of local office requests that may be escalated to Asset Management, including relevant examples and the corresponding Our Service referral forms.</w:t>
      </w:r>
    </w:p>
    <w:p w:rsidRPr="00486BB9" w:rsidR="004F0F40" w:rsidP="004F0F40" w:rsidRDefault="004F0F40" w14:paraId="6766EE4F" w14:textId="6EFA2E22">
      <w:pPr>
        <w:pStyle w:val="Tablecaption"/>
      </w:pPr>
      <w:r w:rsidRPr="00486BB9">
        <w:t>Table 1: Reletting restrictions requiring Asset Management oversight and approval</w:t>
      </w:r>
    </w:p>
    <w:tbl>
      <w:tblPr>
        <w:tblStyle w:val="TableGrid"/>
        <w:tblW w:w="0" w:type="auto"/>
        <w:tblLayout w:type="fixed"/>
        <w:tblLook w:val="04A0" w:firstRow="1" w:lastRow="0" w:firstColumn="1" w:lastColumn="0" w:noHBand="0" w:noVBand="1"/>
      </w:tblPr>
      <w:tblGrid>
        <w:gridCol w:w="1696"/>
        <w:gridCol w:w="4678"/>
        <w:gridCol w:w="2914"/>
      </w:tblGrid>
      <w:tr w:rsidRPr="00486BB9" w:rsidR="004F0F40" w:rsidTr="007D09CF" w14:paraId="470F5C8E" w14:textId="77777777">
        <w:tc>
          <w:tcPr>
            <w:tcW w:w="1696" w:type="dxa"/>
          </w:tcPr>
          <w:p w:rsidRPr="00486BB9" w:rsidR="004F0F40" w:rsidP="007D09CF" w:rsidRDefault="004F0F40" w14:paraId="72D1385E" w14:textId="77777777">
            <w:pPr>
              <w:pStyle w:val="Tablecolhead"/>
            </w:pPr>
            <w:r w:rsidRPr="00486BB9">
              <w:t>Referral reason</w:t>
            </w:r>
          </w:p>
        </w:tc>
        <w:tc>
          <w:tcPr>
            <w:tcW w:w="4678" w:type="dxa"/>
          </w:tcPr>
          <w:p w:rsidRPr="00486BB9" w:rsidR="004F0F40" w:rsidP="007D09CF" w:rsidRDefault="004F0F40" w14:paraId="5F6C6F06" w14:textId="77777777">
            <w:pPr>
              <w:pStyle w:val="Tablecolhead"/>
            </w:pPr>
            <w:r w:rsidRPr="00486BB9">
              <w:t>Detail/Example</w:t>
            </w:r>
          </w:p>
        </w:tc>
        <w:tc>
          <w:tcPr>
            <w:tcW w:w="2914" w:type="dxa"/>
          </w:tcPr>
          <w:p w:rsidRPr="00486BB9" w:rsidR="004F0F40" w:rsidP="007D09CF" w:rsidRDefault="004F0F40" w14:paraId="5DEC2334" w14:textId="77777777">
            <w:pPr>
              <w:pStyle w:val="Tablecolhead"/>
            </w:pPr>
            <w:r w:rsidRPr="00486BB9">
              <w:t>Our Service referral form</w:t>
            </w:r>
          </w:p>
        </w:tc>
      </w:tr>
      <w:tr w:rsidRPr="00486BB9" w:rsidR="004F0F40" w:rsidTr="007D09CF" w14:paraId="75B0B6C4" w14:textId="77777777">
        <w:tc>
          <w:tcPr>
            <w:tcW w:w="1696" w:type="dxa"/>
            <w:hideMark/>
          </w:tcPr>
          <w:p w:rsidRPr="00486BB9" w:rsidR="004F0F40" w:rsidP="007D09CF" w:rsidRDefault="004F0F40" w14:paraId="335E852F" w14:textId="77777777">
            <w:pPr>
              <w:pStyle w:val="Tabletext"/>
            </w:pPr>
            <w:r w:rsidRPr="00486BB9">
              <w:rPr>
                <w:rStyle w:val="Strong"/>
                <w:rFonts w:eastAsia="MS Gothic"/>
                <w:b w:val="0"/>
                <w:bCs w:val="0"/>
              </w:rPr>
              <w:t>Disposal (redevelop or divest)</w:t>
            </w:r>
          </w:p>
        </w:tc>
        <w:tc>
          <w:tcPr>
            <w:tcW w:w="4678" w:type="dxa"/>
            <w:hideMark/>
          </w:tcPr>
          <w:p w:rsidRPr="00486BB9" w:rsidR="004F0F40" w:rsidP="007D09CF" w:rsidRDefault="004F0F40" w14:paraId="4C282E7F" w14:textId="77777777">
            <w:pPr>
              <w:pStyle w:val="Tabletext"/>
            </w:pPr>
            <w:r w:rsidRPr="00486BB9">
              <w:t>Redevelop: improve or rebuild; Divest: sell or dispose of:</w:t>
            </w:r>
          </w:p>
          <w:p w:rsidRPr="00486BB9" w:rsidR="004F0F40" w:rsidP="007D09CF" w:rsidRDefault="004F0F40" w14:paraId="3C8C907C" w14:textId="77777777">
            <w:pPr>
              <w:pStyle w:val="Tablebullet1"/>
            </w:pPr>
            <w:r w:rsidRPr="00486BB9">
              <w:t>Low-rise assets</w:t>
            </w:r>
          </w:p>
          <w:p w:rsidRPr="00486BB9" w:rsidR="004F0F40" w:rsidP="007D09CF" w:rsidRDefault="004F0F40" w14:paraId="778FB06C" w14:textId="3399CF87">
            <w:pPr>
              <w:pStyle w:val="Tablebullet1"/>
            </w:pPr>
            <w:r w:rsidRPr="00486BB9">
              <w:t>Specialist accommodation assets (dwellings or accommodation owned and</w:t>
            </w:r>
            <w:r w:rsidR="21B9B7D8">
              <w:t>/or</w:t>
            </w:r>
            <w:r w:rsidRPr="00486BB9">
              <w:t xml:space="preserve"> managed by Homes Victoria, including rooming houses, transitional housing, crisis accommodation)</w:t>
            </w:r>
          </w:p>
          <w:p w:rsidRPr="00486BB9" w:rsidR="004F0F40" w:rsidP="007D09CF" w:rsidRDefault="004F0F40" w14:paraId="5E701518" w14:textId="6B9154C2">
            <w:pPr>
              <w:pStyle w:val="Tablebullet1"/>
            </w:pPr>
            <w:r w:rsidRPr="00486BB9">
              <w:t>High-rise assets</w:t>
            </w:r>
            <w:r w:rsidR="00AC70D0">
              <w:t>.</w:t>
            </w:r>
          </w:p>
        </w:tc>
        <w:tc>
          <w:tcPr>
            <w:tcW w:w="2914" w:type="dxa"/>
            <w:hideMark/>
          </w:tcPr>
          <w:p w:rsidRPr="00486BB9" w:rsidR="004F0F40" w:rsidP="007D09CF" w:rsidRDefault="004F0F40" w14:paraId="0CE62F49" w14:textId="77777777">
            <w:pPr>
              <w:pStyle w:val="Tabletext"/>
            </w:pPr>
            <w:hyperlink w:history="1" r:id="rId25">
              <w:r w:rsidRPr="00486BB9">
                <w:rPr>
                  <w:rStyle w:val="Hyperlink"/>
                  <w:lang w:eastAsia="en-AU"/>
                </w:rPr>
                <w:t>Disposal Referral Request</w:t>
              </w:r>
            </w:hyperlink>
            <w:r w:rsidRPr="00486BB9">
              <w:rPr>
                <w:lang w:eastAsia="en-AU"/>
              </w:rPr>
              <w:t xml:space="preserve"> &lt;</w:t>
            </w:r>
            <w:r w:rsidRPr="00486BB9">
              <w:t>https://ourservice.support.vic.gov.au/ourservice?id=sc_cat_item&amp;sys_id=edc96f261b2e6510af5d98ef0d4bcbf9&amp;sysparm_category=dfeb09fe1bc52110af5d98ef0d4bcb79&gt;</w:t>
            </w:r>
          </w:p>
        </w:tc>
      </w:tr>
      <w:tr w:rsidRPr="00486BB9" w:rsidR="004F0F40" w:rsidTr="007D09CF" w14:paraId="14BAAF93" w14:textId="77777777">
        <w:tc>
          <w:tcPr>
            <w:tcW w:w="1696" w:type="dxa"/>
            <w:hideMark/>
          </w:tcPr>
          <w:p w:rsidRPr="00486BB9" w:rsidR="004F0F40" w:rsidP="007D09CF" w:rsidRDefault="004F0F40" w14:paraId="176086B3" w14:textId="77777777">
            <w:pPr>
              <w:pStyle w:val="Tabletext"/>
            </w:pPr>
            <w:r w:rsidRPr="00486BB9">
              <w:rPr>
                <w:rStyle w:val="Strong"/>
                <w:rFonts w:eastAsia="MS Gothic"/>
                <w:b w:val="0"/>
                <w:bCs w:val="0"/>
              </w:rPr>
              <w:t>Properties requiring major works</w:t>
            </w:r>
          </w:p>
        </w:tc>
        <w:tc>
          <w:tcPr>
            <w:tcW w:w="4678" w:type="dxa"/>
            <w:hideMark/>
          </w:tcPr>
          <w:p w:rsidRPr="00486BB9" w:rsidR="004F0F40" w:rsidP="007D09CF" w:rsidRDefault="004F0F40" w14:paraId="6D1C407D" w14:textId="77777777">
            <w:pPr>
              <w:pStyle w:val="Tablebullet1"/>
              <w:numPr>
                <w:ilvl w:val="0"/>
                <w:numId w:val="0"/>
              </w:numPr>
              <w:ind w:left="227" w:hanging="227"/>
            </w:pPr>
            <w:r w:rsidRPr="00486BB9">
              <w:t xml:space="preserve">Properties requiring major works due to: </w:t>
            </w:r>
          </w:p>
          <w:p w:rsidRPr="00486BB9" w:rsidR="004F0F40" w:rsidP="007D09CF" w:rsidRDefault="004F0F40" w14:paraId="6FE2F5D7" w14:textId="77777777">
            <w:pPr>
              <w:pStyle w:val="Tablebullet1"/>
            </w:pPr>
            <w:r w:rsidRPr="00486BB9">
              <w:t>Fire damage</w:t>
            </w:r>
          </w:p>
          <w:p w:rsidRPr="00486BB9" w:rsidR="004F0F40" w:rsidP="007D09CF" w:rsidRDefault="004F0F40" w14:paraId="70FE31D0" w14:textId="77777777">
            <w:pPr>
              <w:pStyle w:val="Tablebullet1"/>
            </w:pPr>
            <w:r w:rsidRPr="00486BB9">
              <w:t>Renter damage</w:t>
            </w:r>
          </w:p>
          <w:p w:rsidRPr="00486BB9" w:rsidR="004F0F40" w:rsidP="007D09CF" w:rsidRDefault="004F0F40" w14:paraId="62C9EA60" w14:textId="77777777">
            <w:pPr>
              <w:pStyle w:val="Tablebullet1"/>
            </w:pPr>
            <w:r w:rsidRPr="00486BB9">
              <w:t>Flood damage</w:t>
            </w:r>
          </w:p>
          <w:p w:rsidRPr="00486BB9" w:rsidR="004F0F40" w:rsidP="007D09CF" w:rsidRDefault="004F0F40" w14:paraId="773161C7" w14:textId="77777777">
            <w:pPr>
              <w:pStyle w:val="Tablebullet1"/>
            </w:pPr>
            <w:r w:rsidRPr="00486BB9">
              <w:t>Early degradation</w:t>
            </w:r>
          </w:p>
          <w:p w:rsidRPr="00486BB9" w:rsidR="004F0F40" w:rsidP="007D09CF" w:rsidRDefault="004F0F40" w14:paraId="3C8107A1" w14:textId="77777777">
            <w:pPr>
              <w:pStyle w:val="Tablebullet1"/>
            </w:pPr>
            <w:r w:rsidRPr="00486BB9">
              <w:t>Major mobility modifications</w:t>
            </w:r>
          </w:p>
          <w:p w:rsidR="004F0F40" w:rsidP="007D09CF" w:rsidRDefault="004F0F40" w14:paraId="2EEDCA08" w14:textId="77777777">
            <w:pPr>
              <w:pStyle w:val="Tablebullet1"/>
            </w:pPr>
            <w:r w:rsidRPr="00486BB9">
              <w:t>Structural building issues</w:t>
            </w:r>
          </w:p>
          <w:p w:rsidRPr="00486BB9" w:rsidR="004F0F40" w:rsidP="007D09CF" w:rsidRDefault="00A81142" w14:paraId="3D0E7A8A" w14:textId="04642C75">
            <w:pPr>
              <w:pStyle w:val="Tablebullet1"/>
            </w:pPr>
            <w:r>
              <w:t xml:space="preserve">Termite damage </w:t>
            </w:r>
          </w:p>
        </w:tc>
        <w:tc>
          <w:tcPr>
            <w:tcW w:w="2914" w:type="dxa"/>
            <w:hideMark/>
          </w:tcPr>
          <w:p w:rsidRPr="00486BB9" w:rsidR="004F0F40" w:rsidP="007D09CF" w:rsidRDefault="004F0F40" w14:paraId="6F7FCBCF" w14:textId="77777777">
            <w:pPr>
              <w:pStyle w:val="Tabletext"/>
            </w:pPr>
            <w:hyperlink w:history="1" r:id="rId26">
              <w:r w:rsidRPr="00486BB9">
                <w:rPr>
                  <w:rStyle w:val="Hyperlink"/>
                </w:rPr>
                <w:t>Upgrade Referral Request</w:t>
              </w:r>
            </w:hyperlink>
            <w:r w:rsidRPr="00486BB9">
              <w:t xml:space="preserve"> &lt;https://ourservice.support.vic.gov.au/ourservice?id=sc_cat_item&amp;sys_id=5bfb744adb6a2110ddf5bc56f39619b1&amp;sysparm_category=dfeb09fe1bc52110af5d98ef0d4bcb79&gt;</w:t>
            </w:r>
          </w:p>
        </w:tc>
      </w:tr>
      <w:tr w:rsidRPr="00486BB9" w:rsidR="004F0F40" w:rsidTr="007D09CF" w14:paraId="127ABC39" w14:textId="77777777">
        <w:tc>
          <w:tcPr>
            <w:tcW w:w="1696" w:type="dxa"/>
          </w:tcPr>
          <w:p w:rsidRPr="00486BB9" w:rsidR="004F0F40" w:rsidP="007D09CF" w:rsidRDefault="004F0F40" w14:paraId="43159BBD" w14:textId="77777777">
            <w:pPr>
              <w:pStyle w:val="Tabletext"/>
            </w:pPr>
            <w:r w:rsidRPr="00486BB9">
              <w:t>Properties requiring product type change</w:t>
            </w:r>
          </w:p>
        </w:tc>
        <w:tc>
          <w:tcPr>
            <w:tcW w:w="4678" w:type="dxa"/>
          </w:tcPr>
          <w:p w:rsidRPr="00486BB9" w:rsidR="004F0F40" w:rsidP="007D09CF" w:rsidRDefault="004F0F40" w14:paraId="2F047E59" w14:textId="77777777">
            <w:pPr>
              <w:pStyle w:val="Tablebullet1"/>
            </w:pPr>
            <w:r w:rsidRPr="00486BB9">
              <w:t>Properties needing a change in product type.</w:t>
            </w:r>
          </w:p>
        </w:tc>
        <w:tc>
          <w:tcPr>
            <w:tcW w:w="2914" w:type="dxa"/>
          </w:tcPr>
          <w:p w:rsidRPr="00486BB9" w:rsidR="004F0F40" w:rsidP="007D09CF" w:rsidRDefault="009720AB" w14:paraId="5A6FEA42" w14:textId="37E119C4">
            <w:pPr>
              <w:pStyle w:val="Tabletext"/>
            </w:pPr>
            <w:hyperlink w:history="1" r:id="rId27">
              <w:r w:rsidRPr="00486BB9">
                <w:rPr>
                  <w:rStyle w:val="Hyperlink"/>
                </w:rPr>
                <w:t>Change to Asset Request</w:t>
              </w:r>
            </w:hyperlink>
            <w:r w:rsidRPr="00486BB9">
              <w:t xml:space="preserve"> &lt;https://ourservice.support.vic.gov.au/ourservice?id=sc_cat_item&amp;sys_id=53537c77db52e150ddf5bc56f396199f&amp;sysparm_category=dfeb09fe1bc52110af5d98ef0d4bcb79&gt;</w:t>
            </w:r>
          </w:p>
        </w:tc>
      </w:tr>
    </w:tbl>
    <w:p w:rsidRPr="00486BB9" w:rsidR="004F0F40" w:rsidP="004F0F40" w:rsidRDefault="004F0F40" w14:paraId="09938CCF" w14:textId="77777777">
      <w:pPr>
        <w:pStyle w:val="Bodyafterbullets"/>
      </w:pPr>
      <w:r w:rsidRPr="00486BB9">
        <w:t>For more information on these referral reasons and associated reletting restriction types, refer to the Reletting Restriction Matrix available on the Public Housing Resources SharePoint.</w:t>
      </w:r>
    </w:p>
    <w:p w:rsidRPr="00486BB9" w:rsidR="004F0F40" w:rsidP="004F0F40" w:rsidRDefault="004F0F40" w14:paraId="7C8D9A37" w14:textId="77777777">
      <w:pPr>
        <w:pStyle w:val="Heading2"/>
      </w:pPr>
      <w:bookmarkStart w:name="_Raising_a_reletting_1" w:id="19"/>
      <w:bookmarkStart w:name="_Toc200818202" w:id="20"/>
      <w:bookmarkEnd w:id="19"/>
      <w:r w:rsidRPr="00486BB9">
        <w:t>Raising a reletting restriction for review and approval</w:t>
      </w:r>
      <w:bookmarkEnd w:id="20"/>
    </w:p>
    <w:p w:rsidR="004F0F40" w:rsidP="004F0F40" w:rsidRDefault="004F0F40" w14:paraId="5F6238F3" w14:textId="5B5875A9">
      <w:pPr>
        <w:pStyle w:val="Body"/>
      </w:pPr>
      <w:r w:rsidRPr="00486BB9">
        <w:t xml:space="preserve">When properties require substantial interventions beyond the scope of routine maintenance or local office capacity, </w:t>
      </w:r>
      <w:r w:rsidR="009B2BB2">
        <w:t>staff and mangers</w:t>
      </w:r>
      <w:r w:rsidRPr="00DF0481" w:rsidR="00DF0481">
        <w:t xml:space="preserve"> should determine if Asset Management’s involvement is required to ensure appropriate escalation.</w:t>
      </w:r>
    </w:p>
    <w:p w:rsidRPr="00D63602" w:rsidR="00F155E1" w:rsidP="00F155E1" w:rsidRDefault="00D55FF8" w14:paraId="244051D1" w14:textId="3DA8C59F">
      <w:pPr>
        <w:pStyle w:val="Body"/>
      </w:pPr>
      <w:r w:rsidRPr="00D63602">
        <w:t>Before raising and escalating a reletting restriction and an OurService referral</w:t>
      </w:r>
      <w:r w:rsidR="00D63602">
        <w:t>, including product type changes</w:t>
      </w:r>
      <w:r w:rsidRPr="00D63602">
        <w:t>, staff must first initiate the necessary vacant unit works, which include:</w:t>
      </w:r>
    </w:p>
    <w:p w:rsidRPr="00D63602" w:rsidR="00F155E1" w:rsidP="00F155E1" w:rsidRDefault="00F155E1" w14:paraId="682C9CA9" w14:textId="77777777">
      <w:pPr>
        <w:pStyle w:val="Bullet1"/>
      </w:pPr>
      <w:r w:rsidRPr="00D63602">
        <w:t>Changing all locks and securing keys in a key safe at the property</w:t>
      </w:r>
    </w:p>
    <w:p w:rsidRPr="00D63602" w:rsidR="00F155E1" w:rsidP="00F155E1" w:rsidRDefault="00F155E1" w14:paraId="43446868" w14:textId="77777777">
      <w:pPr>
        <w:pStyle w:val="Bullet1"/>
      </w:pPr>
      <w:r w:rsidRPr="00D63602">
        <w:t>Removing all rubbish and personal goods from internal and external areas, including sheds</w:t>
      </w:r>
    </w:p>
    <w:p w:rsidRPr="00D63602" w:rsidR="00F155E1" w:rsidP="00F155E1" w:rsidRDefault="00F155E1" w14:paraId="149655C6" w14:textId="77777777">
      <w:pPr>
        <w:pStyle w:val="Bullet1"/>
      </w:pPr>
      <w:r w:rsidRPr="00D63602">
        <w:t>Raising work orders for a basic clean based on the property’s condition</w:t>
      </w:r>
    </w:p>
    <w:p w:rsidRPr="00D63602" w:rsidR="00F155E1" w:rsidP="00F155E1" w:rsidRDefault="00F155E1" w14:paraId="597DD83F" w14:textId="77777777">
      <w:pPr>
        <w:pStyle w:val="Bullet1"/>
      </w:pPr>
      <w:r w:rsidRPr="00D63602">
        <w:t>Completing a basic clean as required</w:t>
      </w:r>
    </w:p>
    <w:p w:rsidRPr="00D63602" w:rsidR="00F155E1" w:rsidP="007D09CF" w:rsidRDefault="00F155E1" w14:paraId="73E606CF" w14:textId="77777777">
      <w:pPr>
        <w:pStyle w:val="Bullet1"/>
      </w:pPr>
      <w:r w:rsidRPr="00D63602">
        <w:t>If methamphetamine contamination is suspected, providing an Occupational Hygienist report and remediation quotation.</w:t>
      </w:r>
    </w:p>
    <w:p w:rsidRPr="00D63602" w:rsidR="00F155E1" w:rsidP="007D09CF" w:rsidRDefault="00F155E1" w14:paraId="541F9980" w14:textId="5AA02DEE">
      <w:pPr>
        <w:pStyle w:val="Bullet1"/>
      </w:pPr>
      <w:r w:rsidRPr="00D63602">
        <w:t>Providing a cost estimate for the vacant unit works, referencing the Schedule of Rates where applicable.</w:t>
      </w:r>
    </w:p>
    <w:p w:rsidR="00D50D7D" w:rsidP="00D50D7D" w:rsidRDefault="00D50D7D" w14:paraId="10845E8E" w14:textId="77777777">
      <w:pPr>
        <w:pStyle w:val="Bodyafterbullets"/>
      </w:pPr>
      <w:r>
        <w:t>Staff must also compile comprehensive information for a thorough and well-documented referral, including:</w:t>
      </w:r>
    </w:p>
    <w:p w:rsidR="00D50D7D" w:rsidP="00D50D7D" w:rsidRDefault="00D50D7D" w14:paraId="56F9FD98" w14:textId="77777777">
      <w:pPr>
        <w:pStyle w:val="Bullet1"/>
      </w:pPr>
      <w:r>
        <w:t>Detailed notes explaining the reason for the reletting restriction, including assessments or decisions made</w:t>
      </w:r>
    </w:p>
    <w:p w:rsidR="00D50D7D" w:rsidP="00D50D7D" w:rsidRDefault="00D50D7D" w14:paraId="5DD1D4CD" w14:textId="77777777">
      <w:pPr>
        <w:pStyle w:val="Bullet1"/>
      </w:pPr>
      <w:r>
        <w:t>Field Service Officer reports assessing the property’s condition</w:t>
      </w:r>
    </w:p>
    <w:p w:rsidR="00D50D7D" w:rsidP="00D50D7D" w:rsidRDefault="00D50D7D" w14:paraId="33129342" w14:textId="77777777">
      <w:pPr>
        <w:pStyle w:val="Bullet1"/>
      </w:pPr>
      <w:r>
        <w:t>Council Emergency Orders, particularly for fire-damaged properties, if applicable</w:t>
      </w:r>
    </w:p>
    <w:p w:rsidR="00D50D7D" w:rsidP="00D50D7D" w:rsidRDefault="00D50D7D" w14:paraId="4E99631B" w14:textId="77777777">
      <w:pPr>
        <w:pStyle w:val="Bullet1"/>
      </w:pPr>
      <w:r>
        <w:t>Methamphetamine remediation reports and associated cost estimates, where relevant</w:t>
      </w:r>
    </w:p>
    <w:p w:rsidR="00D50D7D" w:rsidP="00D50D7D" w:rsidRDefault="00D50D7D" w14:paraId="46F459A3" w14:textId="77777777">
      <w:pPr>
        <w:pStyle w:val="Bullet1"/>
      </w:pPr>
      <w:r>
        <w:t>Photographs (internal and external) clearly illustrating the issues prompting referral</w:t>
      </w:r>
    </w:p>
    <w:p w:rsidR="00D50D7D" w:rsidP="00D50D7D" w:rsidRDefault="00D50D7D" w14:paraId="019323B2" w14:textId="77777777">
      <w:pPr>
        <w:pStyle w:val="Bullet1"/>
      </w:pPr>
      <w:r>
        <w:t>Any other relevant reports or documentation related to the property’s condition</w:t>
      </w:r>
    </w:p>
    <w:p w:rsidR="00F155E1" w:rsidP="00D50D7D" w:rsidRDefault="00D50D7D" w14:paraId="3F6E9BBE" w14:textId="6FB5071A">
      <w:pPr>
        <w:pStyle w:val="Bullet1"/>
      </w:pPr>
      <w:r>
        <w:t>A completed vacancy checklist confirming the status and condition of the property.</w:t>
      </w:r>
    </w:p>
    <w:p w:rsidRPr="00486BB9" w:rsidR="004F0F40" w:rsidP="004F0F40" w:rsidRDefault="00D50D7D" w14:paraId="65D139E5" w14:textId="772F8C3B">
      <w:pPr>
        <w:pStyle w:val="Bodyafterbullets"/>
      </w:pPr>
      <w:r>
        <w:t xml:space="preserve">Once the above has been completed, </w:t>
      </w:r>
      <w:r w:rsidRPr="00486BB9" w:rsidR="004F0F40">
        <w:t>staff must simultaneously:</w:t>
      </w:r>
    </w:p>
    <w:p w:rsidR="00582C38" w:rsidP="004F0F40" w:rsidRDefault="004F0F40" w14:paraId="5E644CB3" w14:textId="77777777">
      <w:pPr>
        <w:pStyle w:val="Bullet1"/>
      </w:pPr>
      <w:r w:rsidRPr="00486BB9">
        <w:rPr>
          <w:b/>
          <w:bCs/>
        </w:rPr>
        <w:t>Apply and escalate the reletting restriction in HiiP:</w:t>
      </w:r>
      <w:r w:rsidRPr="00486BB9">
        <w:t xml:space="preserve"> Promptly apply and escalate</w:t>
      </w:r>
      <w:r w:rsidR="00582C38">
        <w:t>:</w:t>
      </w:r>
    </w:p>
    <w:p w:rsidR="00582C38" w:rsidP="00582C38" w:rsidRDefault="00582C38" w14:paraId="6A997500" w14:textId="224D205D">
      <w:pPr>
        <w:pStyle w:val="Bullet2"/>
      </w:pPr>
      <w:r>
        <w:t>T</w:t>
      </w:r>
      <w:r w:rsidRPr="00486BB9" w:rsidR="004F0F40">
        <w:t>he relevant reletting restriction within 24 to 48 hours of identifying the need for Asset Management intervention.</w:t>
      </w:r>
      <w:r>
        <w:t xml:space="preserve"> </w:t>
      </w:r>
    </w:p>
    <w:p w:rsidRPr="00486BB9" w:rsidR="004F0F40" w:rsidP="00582C38" w:rsidRDefault="00582C38" w14:paraId="26A6ECC5" w14:textId="03DF4B82">
      <w:pPr>
        <w:pStyle w:val="Bullet2"/>
      </w:pPr>
      <w:r w:rsidRPr="00582C38">
        <w:t>Include the OurService reference number in the comments for accurate tracking and follow-up.</w:t>
      </w:r>
    </w:p>
    <w:p w:rsidRPr="00486BB9" w:rsidR="004F0F40" w:rsidP="004F0F40" w:rsidRDefault="004F0F40" w14:paraId="6CD60E97" w14:textId="1264F285">
      <w:pPr>
        <w:pStyle w:val="Bullet1"/>
      </w:pPr>
      <w:r w:rsidRPr="00486BB9">
        <w:rPr>
          <w:b/>
          <w:bCs/>
        </w:rPr>
        <w:t>Initiate an Our Service referral:</w:t>
      </w:r>
      <w:r w:rsidRPr="00486BB9">
        <w:t xml:space="preserve"> Submit a referral through the OurService Catalog</w:t>
      </w:r>
      <w:r w:rsidR="002C2752">
        <w:t>ue</w:t>
      </w:r>
      <w:r w:rsidRPr="00486BB9">
        <w:t xml:space="preserve"> under Housing Services, selecting the appropriate request type based on the situation.</w:t>
      </w:r>
    </w:p>
    <w:p w:rsidRPr="00486BB9" w:rsidR="004F0F40" w:rsidP="00AE2D21" w:rsidRDefault="004F0F40" w14:paraId="6AFAAC91" w14:textId="77777777">
      <w:pPr>
        <w:pStyle w:val="Bullet1"/>
      </w:pPr>
      <w:r w:rsidRPr="00486BB9">
        <w:rPr>
          <w:b/>
          <w:bCs/>
        </w:rPr>
        <w:t>Submit for review and approval to the CSHS Manager:</w:t>
      </w:r>
      <w:r w:rsidRPr="00486BB9">
        <w:t xml:space="preserve"> Forward the reletting restriction and referral via HiiP and Our Service workflows, to the CSHS Manager for review and approval.</w:t>
      </w:r>
    </w:p>
    <w:p w:rsidRPr="00486BB9" w:rsidR="004F0F40" w:rsidP="004F0F40" w:rsidRDefault="004F0F40" w14:paraId="2DBB1E4E" w14:textId="77777777">
      <w:pPr>
        <w:pStyle w:val="Heading2"/>
      </w:pPr>
      <w:bookmarkStart w:name="_Toc200818203" w:id="21"/>
      <w:r w:rsidRPr="00486BB9">
        <w:t>CSHS Manager oversight and approval of referrals to Asset Management</w:t>
      </w:r>
      <w:bookmarkEnd w:id="21"/>
      <w:r w:rsidRPr="00486BB9">
        <w:t xml:space="preserve"> </w:t>
      </w:r>
    </w:p>
    <w:p w:rsidRPr="00486BB9" w:rsidR="004F0F40" w:rsidP="004F0F40" w:rsidRDefault="004F0F40" w14:paraId="7E8651E7" w14:textId="21B0B588">
      <w:pPr>
        <w:pStyle w:val="Body"/>
      </w:pPr>
      <w:r w:rsidRPr="00486BB9">
        <w:t xml:space="preserve">Before </w:t>
      </w:r>
      <w:r w:rsidR="001A44A9">
        <w:t xml:space="preserve">approving </w:t>
      </w:r>
      <w:r w:rsidRPr="00486BB9">
        <w:t>a referral to Asset Management, CSHS Managers must first determine if works can be completed locally</w:t>
      </w:r>
      <w:r w:rsidR="005C12FE">
        <w:t>.</w:t>
      </w:r>
      <w:r w:rsidRPr="005C12FE" w:rsidR="005C12FE">
        <w:t xml:space="preserve"> This includes confirming that:</w:t>
      </w:r>
    </w:p>
    <w:p w:rsidRPr="00486BB9" w:rsidR="004F0F40" w:rsidP="004F0F40" w:rsidRDefault="004F0F40" w14:paraId="0200F445" w14:textId="77777777">
      <w:pPr>
        <w:pStyle w:val="Bullet1"/>
      </w:pPr>
      <w:r w:rsidRPr="00486BB9">
        <w:t>Repair costs are below $</w:t>
      </w:r>
      <w:r>
        <w:t>30,000</w:t>
      </w:r>
    </w:p>
    <w:p w:rsidRPr="00486BB9" w:rsidR="004F0F40" w:rsidP="004F0F40" w:rsidRDefault="004F0F40" w14:paraId="79A7BD86" w14:textId="77777777">
      <w:pPr>
        <w:pStyle w:val="Bullet1"/>
      </w:pPr>
      <w:r w:rsidRPr="00486BB9">
        <w:t>Repairs are minor and within the cost limit</w:t>
      </w:r>
    </w:p>
    <w:p w:rsidRPr="00486BB9" w:rsidR="004F0F40" w:rsidP="004F0F40" w:rsidRDefault="004F0F40" w14:paraId="331EC24E" w14:textId="77777777">
      <w:pPr>
        <w:pStyle w:val="Bullet1"/>
      </w:pPr>
      <w:r w:rsidRPr="00486BB9">
        <w:t xml:space="preserve">Supporting documentation such as Field Service reports, cost estimates, and risk assessments confirm the work is feasible locally. </w:t>
      </w:r>
    </w:p>
    <w:p w:rsidR="004F0F40" w:rsidP="004F0F40" w:rsidRDefault="004F0F40" w14:paraId="3E110839" w14:textId="77777777">
      <w:pPr>
        <w:pStyle w:val="Bullet1"/>
      </w:pPr>
      <w:r w:rsidRPr="00486BB9">
        <w:t>Local capacity exists, with teams and contractors available who have the resources and expertise to complete the work safely and effectively.</w:t>
      </w:r>
    </w:p>
    <w:p w:rsidRPr="00486BB9" w:rsidR="005C5208" w:rsidP="00033AF2" w:rsidRDefault="00033AF2" w14:paraId="3604B124" w14:textId="6BFE8307">
      <w:pPr>
        <w:pStyle w:val="Bodyafterbullets"/>
      </w:pPr>
      <w:r w:rsidRPr="00033AF2">
        <w:t>If these conditions are met, the referral should not be approved and the work managed locally.</w:t>
      </w:r>
    </w:p>
    <w:p w:rsidRPr="00486BB9" w:rsidR="004F0F40" w:rsidP="000B1668" w:rsidRDefault="000B1668" w14:paraId="2E753D0A" w14:textId="001424F1">
      <w:pPr>
        <w:pStyle w:val="Body"/>
      </w:pPr>
      <w:r w:rsidRPr="000B1668">
        <w:t>When it is determined that local office management is not feasible</w:t>
      </w:r>
      <w:r>
        <w:t>, f</w:t>
      </w:r>
      <w:r w:rsidRPr="000B1668">
        <w:t xml:space="preserve">or example, when costs exceed </w:t>
      </w:r>
      <w:r>
        <w:t xml:space="preserve">$30,000, </w:t>
      </w:r>
      <w:r w:rsidRPr="000B1668">
        <w:t>the CSHS Manager must:</w:t>
      </w:r>
    </w:p>
    <w:p w:rsidRPr="00486BB9" w:rsidR="004F0F40" w:rsidP="004F0F40" w:rsidRDefault="004F0F40" w14:paraId="62B3634D" w14:textId="2CFC2C5C">
      <w:pPr>
        <w:pStyle w:val="Bullet1"/>
      </w:pPr>
      <w:r w:rsidRPr="00486BB9">
        <w:t xml:space="preserve">Confirm </w:t>
      </w:r>
      <w:r w:rsidR="006269B7">
        <w:t xml:space="preserve">the correct </w:t>
      </w:r>
      <w:r w:rsidRPr="00486BB9">
        <w:t>reletting restriction has been applied with appropriate notes.</w:t>
      </w:r>
    </w:p>
    <w:p w:rsidRPr="00033AF2" w:rsidR="00033AF2" w:rsidP="00033AF2" w:rsidRDefault="004F0F40" w14:paraId="485DF98D" w14:textId="22A09DB4">
      <w:pPr>
        <w:pStyle w:val="Bullet1"/>
      </w:pPr>
      <w:r w:rsidRPr="00033AF2">
        <w:t xml:space="preserve">Ensure all relevant information is included in the Our Service </w:t>
      </w:r>
      <w:r w:rsidR="0098027F">
        <w:t>referral</w:t>
      </w:r>
      <w:r w:rsidRPr="00033AF2">
        <w:t>.</w:t>
      </w:r>
    </w:p>
    <w:p w:rsidRPr="00033AF2" w:rsidR="004F0F40" w:rsidP="00033AF2" w:rsidRDefault="004F0F40" w14:paraId="5EF4405C" w14:textId="5603A3B4">
      <w:pPr>
        <w:pStyle w:val="Bullet1"/>
      </w:pPr>
      <w:r w:rsidRPr="00033AF2">
        <w:t>Confirm that all required supporting documents are attached, as specified in</w:t>
      </w:r>
      <w:r w:rsidRPr="00033AF2" w:rsidR="00033AF2">
        <w:t xml:space="preserve"> </w:t>
      </w:r>
      <w:hyperlink w:history="1" w:anchor="_Raising_a_reletting_1">
        <w:r w:rsidRPr="00033AF2" w:rsidR="00033AF2">
          <w:rPr>
            <w:rStyle w:val="Hyperlink"/>
          </w:rPr>
          <w:t>Section 5.3 Raising a reletting restriction for review and approval.</w:t>
        </w:r>
      </w:hyperlink>
    </w:p>
    <w:p w:rsidR="009829FF" w:rsidP="009829FF" w:rsidRDefault="009829FF" w14:paraId="192B3281" w14:textId="77777777">
      <w:pPr>
        <w:pStyle w:val="Heading1"/>
      </w:pPr>
      <w:bookmarkStart w:name="_Toc200818204" w:id="22"/>
      <w:r w:rsidRPr="00E96A7E">
        <w:t xml:space="preserve">Goods </w:t>
      </w:r>
      <w:r>
        <w:t>l</w:t>
      </w:r>
      <w:r w:rsidRPr="00E96A7E">
        <w:t xml:space="preserve">eft </w:t>
      </w:r>
      <w:r>
        <w:t>b</w:t>
      </w:r>
      <w:r w:rsidRPr="00E96A7E">
        <w:t>ehind</w:t>
      </w:r>
      <w:bookmarkEnd w:id="22"/>
    </w:p>
    <w:p w:rsidR="009829FF" w:rsidP="009829FF" w:rsidRDefault="009829FF" w14:paraId="293D5050" w14:textId="79955CAF">
      <w:pPr>
        <w:pStyle w:val="Body"/>
      </w:pPr>
      <w:r w:rsidRPr="00750786">
        <w:t xml:space="preserve">Goods left behind by a previous renter, such as white goods, furniture, personal documents, and dangerous items, may be retained by the local office. Staff should follow the guidelines outlined in the </w:t>
      </w:r>
      <w:r w:rsidRPr="00142DEA">
        <w:t xml:space="preserve">Abandoned </w:t>
      </w:r>
      <w:r>
        <w:t>P</w:t>
      </w:r>
      <w:r w:rsidRPr="00142DEA">
        <w:t xml:space="preserve">roperties and </w:t>
      </w:r>
      <w:r>
        <w:t>G</w:t>
      </w:r>
      <w:r w:rsidRPr="00142DEA">
        <w:t xml:space="preserve">oods </w:t>
      </w:r>
      <w:r>
        <w:t>O</w:t>
      </w:r>
      <w:r w:rsidRPr="00142DEA">
        <w:t xml:space="preserve">perational </w:t>
      </w:r>
      <w:r>
        <w:t>G</w:t>
      </w:r>
      <w:r w:rsidRPr="00142DEA">
        <w:t>uidelines</w:t>
      </w:r>
      <w:r>
        <w:t xml:space="preserve"> </w:t>
      </w:r>
      <w:r w:rsidRPr="00750786">
        <w:t xml:space="preserve">available at </w:t>
      </w:r>
      <w:hyperlink w:history="1" r:id="rId28">
        <w:r w:rsidRPr="001A184C" w:rsidR="0084603E">
          <w:rPr>
            <w:rStyle w:val="Hyperlink"/>
          </w:rPr>
          <w:t>https://providers.dffh.vic.gov.au/</w:t>
        </w:r>
      </w:hyperlink>
      <w:r w:rsidRPr="00750786">
        <w:t xml:space="preserve"> to ensure proper handling and management of these</w:t>
      </w:r>
      <w:r w:rsidRPr="00E96A7E">
        <w:t xml:space="preserve"> items.</w:t>
      </w:r>
    </w:p>
    <w:p w:rsidR="005179D6" w:rsidP="00AF4ECB" w:rsidRDefault="00DE2F9F" w14:paraId="529E6D46" w14:textId="6595E8C1">
      <w:pPr>
        <w:pStyle w:val="Heading1"/>
      </w:pPr>
      <w:bookmarkStart w:name="_Toc200818205" w:id="23"/>
      <w:r>
        <w:t xml:space="preserve">Vacant </w:t>
      </w:r>
      <w:r w:rsidR="00817801">
        <w:t>u</w:t>
      </w:r>
      <w:r>
        <w:t xml:space="preserve">nit </w:t>
      </w:r>
      <w:r w:rsidR="00817801">
        <w:t>w</w:t>
      </w:r>
      <w:r>
        <w:t>ork</w:t>
      </w:r>
      <w:bookmarkEnd w:id="23"/>
    </w:p>
    <w:p w:rsidR="001553CB" w:rsidP="001553CB" w:rsidRDefault="001553CB" w14:paraId="060C590D" w14:textId="7BCAF218">
      <w:pPr>
        <w:pStyle w:val="Heading2"/>
      </w:pPr>
      <w:bookmarkStart w:name="_Toc200818206" w:id="24"/>
      <w:r>
        <w:t xml:space="preserve">Mandatory </w:t>
      </w:r>
      <w:r w:rsidR="00272B4B">
        <w:t>lock changes</w:t>
      </w:r>
      <w:bookmarkEnd w:id="24"/>
    </w:p>
    <w:p w:rsidR="00587349" w:rsidP="000E4719" w:rsidRDefault="00587349" w14:paraId="12267E73" w14:textId="55DF05B9">
      <w:pPr>
        <w:pStyle w:val="Body"/>
        <w:rPr>
          <w:b/>
        </w:rPr>
      </w:pPr>
      <w:r w:rsidRPr="00587349">
        <w:t xml:space="preserve">Changing the locks is a mandatory requirement for every vacant unit to ensure the property's security and safety. This practice is not only a best practice but also a regulatory requirement aimed at protecting </w:t>
      </w:r>
      <w:r>
        <w:rPr>
          <w:b/>
        </w:rPr>
        <w:t>renter</w:t>
      </w:r>
      <w:r w:rsidRPr="00587349">
        <w:t xml:space="preserve"> safety. The following table outlines the SOR codes associated with the mandatory lock change work:</w:t>
      </w:r>
    </w:p>
    <w:p w:rsidRPr="006338D3" w:rsidR="006338D3" w:rsidP="006338D3" w:rsidRDefault="006338D3" w14:paraId="558AA9A2" w14:textId="1D213D4A">
      <w:pPr>
        <w:pStyle w:val="Tablecaption"/>
      </w:pPr>
      <w:r>
        <w:t xml:space="preserve">Table </w:t>
      </w:r>
      <w:r w:rsidR="009F24F9">
        <w:t>2</w:t>
      </w:r>
      <w:r>
        <w:t xml:space="preserve">: Mandatory </w:t>
      </w:r>
      <w:r w:rsidR="00575710">
        <w:t>changing of locks SOR codes</w:t>
      </w:r>
    </w:p>
    <w:tbl>
      <w:tblPr>
        <w:tblStyle w:val="TableGrid"/>
        <w:tblW w:w="0" w:type="auto"/>
        <w:tblLook w:val="04A0" w:firstRow="1" w:lastRow="0" w:firstColumn="1" w:lastColumn="0" w:noHBand="0" w:noVBand="1"/>
      </w:tblPr>
      <w:tblGrid>
        <w:gridCol w:w="1584"/>
        <w:gridCol w:w="1388"/>
        <w:gridCol w:w="6316"/>
      </w:tblGrid>
      <w:tr w:rsidR="006338D3" w:rsidTr="006338D3" w14:paraId="6A7EF910" w14:textId="77777777">
        <w:tc>
          <w:tcPr>
            <w:tcW w:w="1584" w:type="dxa"/>
          </w:tcPr>
          <w:p w:rsidR="006338D3" w:rsidP="00AB400A" w:rsidRDefault="006338D3" w14:paraId="1CE91640" w14:textId="74A55B05">
            <w:pPr>
              <w:pStyle w:val="Tablecolhead"/>
            </w:pPr>
            <w:r>
              <w:t>Location</w:t>
            </w:r>
          </w:p>
        </w:tc>
        <w:tc>
          <w:tcPr>
            <w:tcW w:w="1388" w:type="dxa"/>
          </w:tcPr>
          <w:p w:rsidR="006338D3" w:rsidP="00AB400A" w:rsidRDefault="006338D3" w14:paraId="7BD47CC6" w14:textId="2B920C28">
            <w:pPr>
              <w:pStyle w:val="Tablecolhead"/>
            </w:pPr>
            <w:r>
              <w:t>SOR code</w:t>
            </w:r>
          </w:p>
        </w:tc>
        <w:tc>
          <w:tcPr>
            <w:tcW w:w="6316" w:type="dxa"/>
          </w:tcPr>
          <w:p w:rsidR="006338D3" w:rsidP="00AB400A" w:rsidRDefault="006338D3" w14:paraId="21C3AADF" w14:textId="227CD02D">
            <w:pPr>
              <w:pStyle w:val="Tablecolhead"/>
            </w:pPr>
            <w:r>
              <w:t>Description</w:t>
            </w:r>
          </w:p>
        </w:tc>
      </w:tr>
      <w:tr w:rsidR="006338D3" w:rsidTr="006338D3" w14:paraId="159ED727" w14:textId="77777777">
        <w:tc>
          <w:tcPr>
            <w:tcW w:w="1584" w:type="dxa"/>
          </w:tcPr>
          <w:p w:rsidRPr="006338D3" w:rsidR="006338D3" w:rsidP="006338D3" w:rsidRDefault="006338D3" w14:paraId="49981712" w14:textId="4ED18FCE">
            <w:pPr>
              <w:pStyle w:val="Tabletext"/>
            </w:pPr>
            <w:r w:rsidRPr="006338D3">
              <w:t>Front Door</w:t>
            </w:r>
          </w:p>
        </w:tc>
        <w:tc>
          <w:tcPr>
            <w:tcW w:w="1388" w:type="dxa"/>
            <w:vAlign w:val="center"/>
          </w:tcPr>
          <w:p w:rsidRPr="006338D3" w:rsidR="006338D3" w:rsidP="006338D3" w:rsidRDefault="006338D3" w14:paraId="70CE1B26" w14:textId="081C87F2">
            <w:pPr>
              <w:pStyle w:val="Tabletext"/>
            </w:pPr>
            <w:r w:rsidRPr="006338D3">
              <w:t>GH055</w:t>
            </w:r>
          </w:p>
        </w:tc>
        <w:tc>
          <w:tcPr>
            <w:tcW w:w="6316" w:type="dxa"/>
            <w:vAlign w:val="center"/>
          </w:tcPr>
          <w:p w:rsidRPr="006338D3" w:rsidR="006338D3" w:rsidP="006338D3" w:rsidRDefault="006338D3" w14:paraId="2DF470F9" w14:textId="02C90F72">
            <w:pPr>
              <w:pStyle w:val="Tabletext"/>
            </w:pPr>
            <w:r w:rsidRPr="006338D3">
              <w:t>Re-pin 1 x cylinder &amp; supply 2 keys alike (for all external doors)</w:t>
            </w:r>
          </w:p>
        </w:tc>
      </w:tr>
      <w:tr w:rsidR="006338D3" w:rsidTr="006338D3" w14:paraId="549CE34B" w14:textId="77777777">
        <w:tc>
          <w:tcPr>
            <w:tcW w:w="1584" w:type="dxa"/>
          </w:tcPr>
          <w:p w:rsidRPr="006338D3" w:rsidR="006338D3" w:rsidP="006338D3" w:rsidRDefault="006338D3" w14:paraId="624CB02E" w14:textId="74202799">
            <w:pPr>
              <w:pStyle w:val="Tabletext"/>
            </w:pPr>
            <w:r w:rsidRPr="006338D3">
              <w:t>Other Doors</w:t>
            </w:r>
          </w:p>
        </w:tc>
        <w:tc>
          <w:tcPr>
            <w:tcW w:w="1388" w:type="dxa"/>
            <w:vAlign w:val="center"/>
          </w:tcPr>
          <w:p w:rsidRPr="006338D3" w:rsidR="006338D3" w:rsidP="006338D3" w:rsidRDefault="006338D3" w14:paraId="4EF1B691" w14:textId="3EB5DF84">
            <w:pPr>
              <w:pStyle w:val="Tabletext"/>
            </w:pPr>
            <w:r w:rsidRPr="006338D3">
              <w:t>GH056</w:t>
            </w:r>
          </w:p>
        </w:tc>
        <w:tc>
          <w:tcPr>
            <w:tcW w:w="6316" w:type="dxa"/>
            <w:vAlign w:val="center"/>
          </w:tcPr>
          <w:p w:rsidRPr="006338D3" w:rsidR="006338D3" w:rsidP="006338D3" w:rsidRDefault="006338D3" w14:paraId="29F5C540" w14:textId="32164633">
            <w:pPr>
              <w:pStyle w:val="Tabletext"/>
            </w:pPr>
            <w:r w:rsidRPr="006338D3">
              <w:t>Re-pin cylinders to other doors</w:t>
            </w:r>
          </w:p>
        </w:tc>
      </w:tr>
    </w:tbl>
    <w:p w:rsidRPr="00131CC0" w:rsidR="00131CC0" w:rsidP="00131CC0" w:rsidRDefault="00667F42" w14:paraId="3459F2D6" w14:textId="769AFE6B">
      <w:pPr>
        <w:pStyle w:val="Heading2"/>
      </w:pPr>
      <w:bookmarkStart w:name="_Toc200818207" w:id="25"/>
      <w:r>
        <w:t xml:space="preserve">RTA </w:t>
      </w:r>
      <w:r w:rsidR="005212D2">
        <w:t>Safety checks</w:t>
      </w:r>
      <w:bookmarkEnd w:id="25"/>
    </w:p>
    <w:p w:rsidRPr="00FE2EE3" w:rsidR="00FE2EE3" w:rsidP="00131CC0" w:rsidRDefault="00667F42" w14:paraId="0A906D46" w14:textId="455310EF">
      <w:pPr>
        <w:pStyle w:val="Body"/>
        <w:divId w:val="56633697"/>
        <w:rPr>
          <w:lang w:eastAsia="en-GB"/>
        </w:rPr>
      </w:pPr>
      <w:r>
        <w:rPr>
          <w:lang w:eastAsia="en-GB"/>
        </w:rPr>
        <w:t xml:space="preserve">RTA </w:t>
      </w:r>
      <w:r w:rsidRPr="00FE2EE3" w:rsidR="00FE2EE3">
        <w:rPr>
          <w:lang w:eastAsia="en-GB"/>
        </w:rPr>
        <w:t>Safety checks are not a legislated requirement for vacant unit works. However, as part of the vacant unit inspection, staff must check for:</w:t>
      </w:r>
    </w:p>
    <w:p w:rsidR="006049AA" w:rsidP="0057008A" w:rsidRDefault="00FA5E38" w14:paraId="582531DD" w14:textId="77777777">
      <w:pPr>
        <w:pStyle w:val="Bullet1"/>
        <w:divId w:val="56633697"/>
        <w:rPr>
          <w:lang w:eastAsia="en-GB"/>
        </w:rPr>
      </w:pPr>
      <w:r>
        <w:rPr>
          <w:lang w:eastAsia="en-GB"/>
        </w:rPr>
        <w:t xml:space="preserve">The </w:t>
      </w:r>
      <w:r w:rsidR="003B7714">
        <w:rPr>
          <w:lang w:eastAsia="en-GB"/>
        </w:rPr>
        <w:t xml:space="preserve">operational </w:t>
      </w:r>
      <w:r>
        <w:rPr>
          <w:lang w:eastAsia="en-GB"/>
        </w:rPr>
        <w:t xml:space="preserve">functionality </w:t>
      </w:r>
      <w:r w:rsidR="004A6221">
        <w:rPr>
          <w:lang w:eastAsia="en-GB"/>
        </w:rPr>
        <w:t>for all</w:t>
      </w:r>
      <w:r w:rsidR="006049AA">
        <w:rPr>
          <w:lang w:eastAsia="en-GB"/>
        </w:rPr>
        <w:t>:</w:t>
      </w:r>
    </w:p>
    <w:p w:rsidR="00234FD1" w:rsidP="006049AA" w:rsidRDefault="006049AA" w14:paraId="5388CB42" w14:textId="0E8AC8A6">
      <w:pPr>
        <w:pStyle w:val="Bullet2"/>
        <w:divId w:val="56633697"/>
        <w:rPr>
          <w:lang w:eastAsia="en-GB"/>
        </w:rPr>
      </w:pPr>
      <w:r>
        <w:rPr>
          <w:lang w:eastAsia="en-GB"/>
        </w:rPr>
        <w:t>A</w:t>
      </w:r>
      <w:r w:rsidRPr="00FE2EE3" w:rsidR="00FE2EE3">
        <w:rPr>
          <w:lang w:eastAsia="en-GB"/>
        </w:rPr>
        <w:t>ppliances, safety devices, and energy supply systems</w:t>
      </w:r>
      <w:r>
        <w:rPr>
          <w:lang w:eastAsia="en-GB"/>
        </w:rPr>
        <w:t>, such as:</w:t>
      </w:r>
    </w:p>
    <w:p w:rsidR="006049AA" w:rsidP="00234FD1" w:rsidRDefault="006049AA" w14:paraId="0A5119E0" w14:textId="77777777">
      <w:pPr>
        <w:pStyle w:val="Bullet2"/>
        <w:divId w:val="56633697"/>
        <w:rPr>
          <w:lang w:eastAsia="en-GB"/>
        </w:rPr>
      </w:pPr>
      <w:r>
        <w:rPr>
          <w:lang w:eastAsia="en-GB"/>
        </w:rPr>
        <w:t>S</w:t>
      </w:r>
      <w:r w:rsidRPr="00FE2EE3" w:rsidR="00FE2EE3">
        <w:rPr>
          <w:lang w:eastAsia="en-GB"/>
        </w:rPr>
        <w:t>moke alarms</w:t>
      </w:r>
    </w:p>
    <w:p w:rsidR="006049AA" w:rsidP="00234FD1" w:rsidRDefault="006049AA" w14:paraId="1BBF33F1" w14:textId="77777777">
      <w:pPr>
        <w:pStyle w:val="Bullet2"/>
        <w:divId w:val="56633697"/>
        <w:rPr>
          <w:lang w:eastAsia="en-GB"/>
        </w:rPr>
      </w:pPr>
      <w:r>
        <w:rPr>
          <w:lang w:eastAsia="en-GB"/>
        </w:rPr>
        <w:t>C</w:t>
      </w:r>
      <w:r w:rsidR="00EF2326">
        <w:rPr>
          <w:lang w:eastAsia="en-GB"/>
        </w:rPr>
        <w:t xml:space="preserve">ooking </w:t>
      </w:r>
      <w:r w:rsidR="00FF7896">
        <w:rPr>
          <w:lang w:eastAsia="en-GB"/>
        </w:rPr>
        <w:t>appliances</w:t>
      </w:r>
    </w:p>
    <w:p w:rsidR="006049AA" w:rsidP="00234FD1" w:rsidRDefault="006049AA" w14:paraId="2DE73950" w14:textId="77777777">
      <w:pPr>
        <w:pStyle w:val="Bullet2"/>
        <w:divId w:val="56633697"/>
        <w:rPr>
          <w:lang w:eastAsia="en-GB"/>
        </w:rPr>
      </w:pPr>
      <w:r>
        <w:rPr>
          <w:lang w:eastAsia="en-GB"/>
        </w:rPr>
        <w:t>E</w:t>
      </w:r>
      <w:r w:rsidR="00EF2326">
        <w:rPr>
          <w:lang w:eastAsia="en-GB"/>
        </w:rPr>
        <w:t>xhaust fans</w:t>
      </w:r>
    </w:p>
    <w:p w:rsidR="006049AA" w:rsidP="00234FD1" w:rsidRDefault="006049AA" w14:paraId="06E3B7EB" w14:textId="77777777">
      <w:pPr>
        <w:pStyle w:val="Bullet2"/>
        <w:divId w:val="56633697"/>
        <w:rPr>
          <w:lang w:eastAsia="en-GB"/>
        </w:rPr>
      </w:pPr>
      <w:r>
        <w:rPr>
          <w:lang w:eastAsia="en-GB"/>
        </w:rPr>
        <w:t>L</w:t>
      </w:r>
      <w:r w:rsidR="00F6214A">
        <w:rPr>
          <w:lang w:eastAsia="en-GB"/>
        </w:rPr>
        <w:t>ights</w:t>
      </w:r>
      <w:r>
        <w:rPr>
          <w:lang w:eastAsia="en-GB"/>
        </w:rPr>
        <w:t>/</w:t>
      </w:r>
      <w:r w:rsidR="00F6214A">
        <w:rPr>
          <w:lang w:eastAsia="en-GB"/>
        </w:rPr>
        <w:t>general power outlets</w:t>
      </w:r>
    </w:p>
    <w:p w:rsidRPr="00FE2EE3" w:rsidR="00FE2EE3" w:rsidP="00234FD1" w:rsidRDefault="006049AA" w14:paraId="61BCBF44" w14:textId="2884A404">
      <w:pPr>
        <w:pStyle w:val="Bullet2"/>
        <w:divId w:val="56633697"/>
        <w:rPr>
          <w:lang w:eastAsia="en-GB"/>
        </w:rPr>
      </w:pPr>
      <w:r>
        <w:rPr>
          <w:lang w:eastAsia="en-GB"/>
        </w:rPr>
        <w:t>T</w:t>
      </w:r>
      <w:r w:rsidR="00C11BDE">
        <w:rPr>
          <w:lang w:eastAsia="en-GB"/>
        </w:rPr>
        <w:t>aps</w:t>
      </w:r>
      <w:r w:rsidR="00E86F69">
        <w:rPr>
          <w:lang w:eastAsia="en-GB"/>
        </w:rPr>
        <w:t xml:space="preserve"> </w:t>
      </w:r>
      <w:r w:rsidR="00194CF6">
        <w:rPr>
          <w:lang w:eastAsia="en-GB"/>
        </w:rPr>
        <w:t xml:space="preserve">or </w:t>
      </w:r>
      <w:r w:rsidR="00EF2326">
        <w:rPr>
          <w:lang w:eastAsia="en-GB"/>
        </w:rPr>
        <w:t>hot water service</w:t>
      </w:r>
      <w:r w:rsidR="00C11BDE">
        <w:rPr>
          <w:lang w:eastAsia="en-GB"/>
        </w:rPr>
        <w:t xml:space="preserve"> (</w:t>
      </w:r>
      <w:proofErr w:type="spellStart"/>
      <w:r w:rsidR="00C11BDE">
        <w:rPr>
          <w:lang w:eastAsia="en-GB"/>
        </w:rPr>
        <w:t>eg</w:t>
      </w:r>
      <w:proofErr w:type="spellEnd"/>
      <w:r w:rsidR="00C11BDE">
        <w:rPr>
          <w:lang w:eastAsia="en-GB"/>
        </w:rPr>
        <w:t xml:space="preserve"> for the</w:t>
      </w:r>
      <w:r w:rsidR="00194CF6">
        <w:rPr>
          <w:lang w:eastAsia="en-GB"/>
        </w:rPr>
        <w:t xml:space="preserve"> delivery of hot water)</w:t>
      </w:r>
      <w:r w:rsidRPr="00FE2EE3" w:rsidR="00FE2EE3">
        <w:rPr>
          <w:lang w:eastAsia="en-GB"/>
        </w:rPr>
        <w:t>.</w:t>
      </w:r>
    </w:p>
    <w:p w:rsidRPr="00FE2EE3" w:rsidR="00FE2EE3" w:rsidP="0057008A" w:rsidRDefault="00FE2EE3" w14:paraId="21026D52" w14:textId="3DCFADC1">
      <w:pPr>
        <w:pStyle w:val="Bodyafterbullets"/>
        <w:divId w:val="56633697"/>
        <w:rPr>
          <w:lang w:eastAsia="en-GB"/>
        </w:rPr>
      </w:pPr>
      <w:r w:rsidRPr="00FE2EE3">
        <w:rPr>
          <w:lang w:eastAsia="en-GB"/>
        </w:rPr>
        <w:t>If any damage or tampering is identified during the inspection, staff must arrang</w:t>
      </w:r>
      <w:r w:rsidR="00131CC0">
        <w:rPr>
          <w:lang w:eastAsia="en-GB"/>
        </w:rPr>
        <w:t>e responsive maintenance</w:t>
      </w:r>
      <w:r w:rsidRPr="00FE2EE3">
        <w:rPr>
          <w:lang w:eastAsia="en-GB"/>
        </w:rPr>
        <w:t> to address the specific issue. Responsive maintenance in this context refers to repairs or replacements required to ensure appliances, safety devices, or energy systems are functioning correctly. It does not involve raising full safety checks as part of the vacant unit works, even when damage is identified.</w:t>
      </w:r>
    </w:p>
    <w:p w:rsidRPr="00FE2EE3" w:rsidR="00FE2EE3" w:rsidP="00FE2EE3" w:rsidRDefault="00FE2EE3" w14:paraId="3BA543E1" w14:textId="42EC3A06">
      <w:pPr>
        <w:pStyle w:val="Body"/>
      </w:pPr>
      <w:r w:rsidRPr="00FE2EE3">
        <w:rPr>
          <w:lang w:eastAsia="en-GB"/>
        </w:rPr>
        <w:t xml:space="preserve">Inspection </w:t>
      </w:r>
      <w:r w:rsidR="006049AA">
        <w:rPr>
          <w:lang w:eastAsia="en-GB"/>
        </w:rPr>
        <w:t>and</w:t>
      </w:r>
      <w:r w:rsidR="00090A54">
        <w:rPr>
          <w:lang w:eastAsia="en-GB"/>
        </w:rPr>
        <w:t xml:space="preserve"> </w:t>
      </w:r>
      <w:r w:rsidRPr="00FE2EE3">
        <w:rPr>
          <w:lang w:eastAsia="en-GB"/>
        </w:rPr>
        <w:t>Test Reports (ITRs) for Gas and Electrical Safety Checks are obtained as part of scheduled or legislated safety check programs, separate from vacant unit works. Noting, while safety checks are not required during vacant unit works, staff must retain ITRs to comply with the Residential Tenancy Regulations 2021, as new renters may request a copy of these reports.</w:t>
      </w:r>
    </w:p>
    <w:p w:rsidRPr="001553CB" w:rsidR="001553CB" w:rsidP="001553CB" w:rsidRDefault="001553CB" w14:paraId="019D7F6B" w14:textId="7E419879">
      <w:pPr>
        <w:pStyle w:val="Heading2"/>
      </w:pPr>
      <w:bookmarkStart w:name="_Toc200818208" w:id="26"/>
      <w:r>
        <w:t xml:space="preserve">Standard </w:t>
      </w:r>
      <w:r w:rsidR="00AE01E2">
        <w:t>work</w:t>
      </w:r>
      <w:bookmarkEnd w:id="26"/>
      <w:r w:rsidR="00AE01E2">
        <w:t xml:space="preserve"> </w:t>
      </w:r>
    </w:p>
    <w:p w:rsidR="00FF7384" w:rsidP="00FF7384" w:rsidRDefault="00FF7384" w14:paraId="4B21B738" w14:textId="77777777">
      <w:pPr>
        <w:pStyle w:val="Body"/>
      </w:pPr>
      <w:r>
        <w:t>Standard vacant unit works generally include tasks such as:</w:t>
      </w:r>
    </w:p>
    <w:p w:rsidR="00FF7384" w:rsidP="001B2DC0" w:rsidRDefault="00FF7384" w14:paraId="41D151F8" w14:textId="0C8642ED">
      <w:pPr>
        <w:pStyle w:val="Bullet1"/>
      </w:pPr>
      <w:r>
        <w:t>Cleaning</w:t>
      </w:r>
    </w:p>
    <w:p w:rsidR="00FF7384" w:rsidRDefault="00FF7384" w14:paraId="2CAADBC0" w14:textId="03B4E477">
      <w:pPr>
        <w:pStyle w:val="Bullet1"/>
      </w:pPr>
      <w:r>
        <w:t xml:space="preserve">Adjusting and </w:t>
      </w:r>
      <w:r w:rsidR="001B2DC0">
        <w:t>t</w:t>
      </w:r>
      <w:r>
        <w:t>ightening all screens on doors, cupboards, hinges, and fittings</w:t>
      </w:r>
      <w:r w:rsidR="001B2DC0">
        <w:t xml:space="preserve"> and</w:t>
      </w:r>
    </w:p>
    <w:p w:rsidR="001B2DC0" w:rsidP="001B2DC0" w:rsidRDefault="001B2DC0" w14:paraId="6EA2A3E7" w14:textId="77777777">
      <w:pPr>
        <w:pStyle w:val="Bullet1"/>
      </w:pPr>
      <w:r>
        <w:t>C</w:t>
      </w:r>
      <w:r w:rsidR="00FF7384">
        <w:t xml:space="preserve">leaning spouting and downpipes. </w:t>
      </w:r>
    </w:p>
    <w:p w:rsidR="00FF7384" w:rsidP="001B2DC0" w:rsidRDefault="004D4460" w14:paraId="4832085E" w14:textId="332AF7B4">
      <w:pPr>
        <w:pStyle w:val="Bodyafterbullets"/>
      </w:pPr>
      <w:r w:rsidRPr="004D4460">
        <w:t>However, before staff raise these works, they should assess whether these types of standard works are necessary.</w:t>
      </w:r>
      <w:r>
        <w:t xml:space="preserve"> </w:t>
      </w:r>
      <w:r w:rsidRPr="009A70B1" w:rsidR="009A70B1">
        <w:t>For instance, while cleaning is generally regarded as standard vacant unit work, a visual inspection may reveal that not every room requires cleaning.</w:t>
      </w:r>
    </w:p>
    <w:p w:rsidR="00FF7384" w:rsidP="00FF7384" w:rsidRDefault="00253507" w14:paraId="5BA3D35F" w14:textId="066579CF">
      <w:pPr>
        <w:pStyle w:val="Body"/>
      </w:pPr>
      <w:r>
        <w:t>C</w:t>
      </w:r>
      <w:r w:rsidR="00FF7384">
        <w:t xml:space="preserve">ommon SOR cleaning codes staff may consider raising as part of their standard vacant unit works </w:t>
      </w:r>
      <w:r>
        <w:t>include:</w:t>
      </w:r>
    </w:p>
    <w:p w:rsidRPr="00AF4ECB" w:rsidR="00AF4ECB" w:rsidP="00AF4ECB" w:rsidRDefault="00AF4ECB" w14:paraId="7F3D2188" w14:textId="6BBF49D6">
      <w:pPr>
        <w:pStyle w:val="Tablecaption"/>
      </w:pPr>
      <w:r>
        <w:t xml:space="preserve">Table </w:t>
      </w:r>
      <w:r w:rsidR="009F24F9">
        <w:t>3</w:t>
      </w:r>
      <w:r>
        <w:t xml:space="preserve">: </w:t>
      </w:r>
      <w:r w:rsidR="00FF7384">
        <w:t xml:space="preserve">Common </w:t>
      </w:r>
      <w:r>
        <w:t>SOR codes and descriptions</w:t>
      </w:r>
    </w:p>
    <w:tbl>
      <w:tblPr>
        <w:tblStyle w:val="TableGrid"/>
        <w:tblW w:w="0" w:type="auto"/>
        <w:tblLook w:val="04A0" w:firstRow="1" w:lastRow="0" w:firstColumn="1" w:lastColumn="0" w:noHBand="0" w:noVBand="1"/>
      </w:tblPr>
      <w:tblGrid>
        <w:gridCol w:w="2405"/>
        <w:gridCol w:w="1276"/>
        <w:gridCol w:w="5607"/>
      </w:tblGrid>
      <w:tr w:rsidR="00AE01E2" w:rsidTr="00AE01E2" w14:paraId="513C25DC" w14:textId="77777777">
        <w:tc>
          <w:tcPr>
            <w:tcW w:w="2405" w:type="dxa"/>
            <w:tcBorders>
              <w:bottom w:val="single" w:color="auto" w:sz="4" w:space="0"/>
            </w:tcBorders>
          </w:tcPr>
          <w:p w:rsidR="00791B33" w:rsidP="00041113" w:rsidRDefault="0032488E" w14:paraId="151D2223" w14:textId="74A75E30">
            <w:pPr>
              <w:pStyle w:val="Tablecolhead"/>
            </w:pPr>
            <w:r>
              <w:t xml:space="preserve">Location </w:t>
            </w:r>
            <w:r w:rsidR="00791B33">
              <w:t xml:space="preserve"> </w:t>
            </w:r>
          </w:p>
        </w:tc>
        <w:tc>
          <w:tcPr>
            <w:tcW w:w="1276" w:type="dxa"/>
            <w:tcBorders>
              <w:bottom w:val="single" w:color="auto" w:sz="4" w:space="0"/>
            </w:tcBorders>
          </w:tcPr>
          <w:p w:rsidR="00791B33" w:rsidP="00041113" w:rsidRDefault="00791B33" w14:paraId="19B36691" w14:textId="2B10F8B5">
            <w:pPr>
              <w:pStyle w:val="Tablecolhead"/>
            </w:pPr>
            <w:r>
              <w:t>SOR code</w:t>
            </w:r>
          </w:p>
        </w:tc>
        <w:tc>
          <w:tcPr>
            <w:tcW w:w="5607" w:type="dxa"/>
            <w:tcBorders>
              <w:bottom w:val="single" w:color="auto" w:sz="4" w:space="0"/>
            </w:tcBorders>
          </w:tcPr>
          <w:p w:rsidR="00791B33" w:rsidP="00041113" w:rsidRDefault="00791B33" w14:paraId="127297F4" w14:textId="1399FC3F">
            <w:pPr>
              <w:pStyle w:val="Tablecolhead"/>
            </w:pPr>
            <w:r>
              <w:t xml:space="preserve"> Description</w:t>
            </w:r>
          </w:p>
        </w:tc>
      </w:tr>
      <w:tr w:rsidR="00AE01E2" w:rsidTr="00AE01E2" w14:paraId="7DC988D4" w14:textId="77777777">
        <w:tc>
          <w:tcPr>
            <w:tcW w:w="2405" w:type="dxa"/>
            <w:vMerge w:val="restart"/>
            <w:tcBorders>
              <w:top w:val="single" w:color="auto" w:sz="4" w:space="0"/>
              <w:left w:val="single" w:color="auto" w:sz="4" w:space="0"/>
              <w:right w:val="single" w:color="auto" w:sz="4" w:space="0"/>
            </w:tcBorders>
          </w:tcPr>
          <w:p w:rsidR="00AE01E2" w:rsidP="0032488E" w:rsidRDefault="00AE01E2" w14:paraId="3E611A44" w14:textId="441754B7">
            <w:pPr>
              <w:pStyle w:val="Body"/>
            </w:pPr>
            <w:r>
              <w:t xml:space="preserve">Multiple locations </w:t>
            </w:r>
          </w:p>
        </w:tc>
        <w:tc>
          <w:tcPr>
            <w:tcW w:w="1276" w:type="dxa"/>
            <w:tcBorders>
              <w:top w:val="single" w:color="auto" w:sz="4" w:space="0"/>
              <w:left w:val="single" w:color="auto" w:sz="4" w:space="0"/>
              <w:bottom w:val="single" w:color="auto" w:sz="4" w:space="0"/>
              <w:right w:val="single" w:color="auto" w:sz="4" w:space="0"/>
            </w:tcBorders>
            <w:vAlign w:val="center"/>
          </w:tcPr>
          <w:p w:rsidR="00AE01E2" w:rsidP="0032488E" w:rsidRDefault="00AE01E2" w14:paraId="2E397055" w14:textId="3BA43545">
            <w:pPr>
              <w:pStyle w:val="Body"/>
            </w:pPr>
            <w:r w:rsidRPr="00B17812">
              <w:rPr>
                <w:color w:val="000000"/>
                <w:lang w:eastAsia="en-AU"/>
              </w:rPr>
              <w:t>CR070</w:t>
            </w:r>
          </w:p>
        </w:tc>
        <w:tc>
          <w:tcPr>
            <w:tcW w:w="5607" w:type="dxa"/>
            <w:tcBorders>
              <w:top w:val="single" w:color="auto" w:sz="4" w:space="0"/>
              <w:left w:val="single" w:color="auto" w:sz="4" w:space="0"/>
              <w:bottom w:val="single" w:color="auto" w:sz="4" w:space="0"/>
              <w:right w:val="single" w:color="auto" w:sz="4" w:space="0"/>
            </w:tcBorders>
            <w:vAlign w:val="center"/>
          </w:tcPr>
          <w:p w:rsidR="00AE01E2" w:rsidP="0032488E" w:rsidRDefault="00AE01E2" w14:paraId="6C97273F" w14:textId="259C7A74">
            <w:pPr>
              <w:pStyle w:val="Body"/>
            </w:pPr>
            <w:r w:rsidRPr="00B17812">
              <w:rPr>
                <w:color w:val="000000"/>
                <w:lang w:eastAsia="en-AU"/>
              </w:rPr>
              <w:t>Clean wipe &amp; vacuum all surfaces</w:t>
            </w:r>
          </w:p>
        </w:tc>
      </w:tr>
      <w:tr w:rsidR="00AE01E2" w:rsidTr="00AE01E2" w14:paraId="00F83E46" w14:textId="77777777">
        <w:tc>
          <w:tcPr>
            <w:tcW w:w="2405" w:type="dxa"/>
            <w:vMerge/>
            <w:tcBorders>
              <w:left w:val="single" w:color="auto" w:sz="4" w:space="0"/>
              <w:right w:val="single" w:color="auto" w:sz="4" w:space="0"/>
            </w:tcBorders>
          </w:tcPr>
          <w:p w:rsidR="00AE01E2" w:rsidP="0032488E" w:rsidRDefault="00AE01E2" w14:paraId="7380D2F0"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00AE01E2" w:rsidP="0032488E" w:rsidRDefault="00AE01E2" w14:paraId="30292E49" w14:textId="7F126B36">
            <w:pPr>
              <w:pStyle w:val="Body"/>
            </w:pPr>
            <w:r w:rsidRPr="00B17812">
              <w:rPr>
                <w:color w:val="000000"/>
                <w:lang w:eastAsia="en-AU"/>
              </w:rPr>
              <w:t>CR155</w:t>
            </w:r>
          </w:p>
        </w:tc>
        <w:tc>
          <w:tcPr>
            <w:tcW w:w="5607" w:type="dxa"/>
            <w:tcBorders>
              <w:top w:val="single" w:color="auto" w:sz="4" w:space="0"/>
              <w:left w:val="single" w:color="auto" w:sz="4" w:space="0"/>
              <w:bottom w:val="single" w:color="auto" w:sz="4" w:space="0"/>
              <w:right w:val="single" w:color="auto" w:sz="4" w:space="0"/>
            </w:tcBorders>
            <w:vAlign w:val="center"/>
          </w:tcPr>
          <w:p w:rsidR="00AE01E2" w:rsidP="0032488E" w:rsidRDefault="00AE01E2" w14:paraId="36E16BFB" w14:textId="00A7E3DE">
            <w:pPr>
              <w:pStyle w:val="Body"/>
            </w:pPr>
            <w:r w:rsidRPr="00B17812">
              <w:rPr>
                <w:color w:val="000000"/>
                <w:lang w:eastAsia="en-AU"/>
              </w:rPr>
              <w:t>Clean carpet by vacuuming- Rate per unit</w:t>
            </w:r>
          </w:p>
        </w:tc>
      </w:tr>
      <w:tr w:rsidR="00AE01E2" w:rsidTr="00AE01E2" w14:paraId="3DC5FDF4" w14:textId="77777777">
        <w:tc>
          <w:tcPr>
            <w:tcW w:w="2405" w:type="dxa"/>
            <w:vMerge/>
            <w:tcBorders>
              <w:left w:val="single" w:color="auto" w:sz="4" w:space="0"/>
              <w:right w:val="single" w:color="auto" w:sz="4" w:space="0"/>
            </w:tcBorders>
          </w:tcPr>
          <w:p w:rsidR="00AE01E2" w:rsidP="001553CB" w:rsidRDefault="00AE01E2" w14:paraId="1C104DAF" w14:textId="77777777">
            <w:pPr>
              <w:pStyle w:val="Body"/>
              <w:jc w:val="center"/>
            </w:pPr>
          </w:p>
        </w:tc>
        <w:tc>
          <w:tcPr>
            <w:tcW w:w="1276" w:type="dxa"/>
            <w:tcBorders>
              <w:top w:val="single" w:color="auto" w:sz="4" w:space="0"/>
              <w:left w:val="single" w:color="auto" w:sz="4" w:space="0"/>
              <w:bottom w:val="single" w:color="auto" w:sz="4" w:space="0"/>
              <w:right w:val="single" w:color="auto" w:sz="4" w:space="0"/>
            </w:tcBorders>
            <w:vAlign w:val="center"/>
          </w:tcPr>
          <w:p w:rsidRPr="00B17812" w:rsidR="00AE01E2" w:rsidP="001553CB" w:rsidRDefault="00AE01E2" w14:paraId="3880E0A8" w14:textId="56326C40">
            <w:pPr>
              <w:pStyle w:val="Body"/>
              <w:rPr>
                <w:color w:val="000000"/>
                <w:lang w:eastAsia="en-AU"/>
              </w:rPr>
            </w:pPr>
            <w:r w:rsidRPr="00B17812">
              <w:rPr>
                <w:lang w:eastAsia="en-AU"/>
              </w:rPr>
              <w:t>GA205</w:t>
            </w:r>
          </w:p>
        </w:tc>
        <w:tc>
          <w:tcPr>
            <w:tcW w:w="5607" w:type="dxa"/>
            <w:tcBorders>
              <w:top w:val="single" w:color="auto" w:sz="4" w:space="0"/>
              <w:left w:val="single" w:color="auto" w:sz="4" w:space="0"/>
              <w:bottom w:val="single" w:color="auto" w:sz="4" w:space="0"/>
              <w:right w:val="single" w:color="auto" w:sz="4" w:space="0"/>
            </w:tcBorders>
            <w:vAlign w:val="center"/>
          </w:tcPr>
          <w:p w:rsidRPr="00B17812" w:rsidR="00AE01E2" w:rsidP="001553CB" w:rsidRDefault="00AE01E2" w14:paraId="43375BB5" w14:textId="676FB04F">
            <w:pPr>
              <w:pStyle w:val="Body"/>
              <w:rPr>
                <w:color w:val="000000"/>
                <w:lang w:eastAsia="en-AU"/>
              </w:rPr>
            </w:pPr>
            <w:r w:rsidRPr="00B17812">
              <w:rPr>
                <w:lang w:eastAsia="en-AU"/>
              </w:rPr>
              <w:t>Check adjust and tighten all screws to all doors, cupboard doors, handles and fittings etc</w:t>
            </w:r>
          </w:p>
        </w:tc>
      </w:tr>
      <w:tr w:rsidR="00AE01E2" w:rsidTr="00AE01E2" w14:paraId="23D86098" w14:textId="77777777">
        <w:tc>
          <w:tcPr>
            <w:tcW w:w="2405" w:type="dxa"/>
            <w:vMerge/>
            <w:tcBorders>
              <w:left w:val="single" w:color="auto" w:sz="4" w:space="0"/>
              <w:right w:val="single" w:color="auto" w:sz="4" w:space="0"/>
            </w:tcBorders>
          </w:tcPr>
          <w:p w:rsidR="00AE01E2" w:rsidP="00AE01E2" w:rsidRDefault="00AE01E2" w14:paraId="4B4CB08F" w14:textId="77777777">
            <w:pPr>
              <w:pStyle w:val="Body"/>
              <w:jc w:val="center"/>
            </w:pPr>
          </w:p>
        </w:tc>
        <w:tc>
          <w:tcPr>
            <w:tcW w:w="1276" w:type="dxa"/>
            <w:tcBorders>
              <w:top w:val="single" w:color="auto" w:sz="4" w:space="0"/>
              <w:left w:val="single" w:color="auto" w:sz="4" w:space="0"/>
              <w:bottom w:val="single" w:color="auto" w:sz="4" w:space="0"/>
              <w:right w:val="single" w:color="auto" w:sz="4" w:space="0"/>
            </w:tcBorders>
            <w:vAlign w:val="center"/>
          </w:tcPr>
          <w:p w:rsidRPr="00B17812" w:rsidR="00AE01E2" w:rsidP="00AE01E2" w:rsidRDefault="00AE01E2" w14:paraId="581E2A00" w14:textId="3242E9D3">
            <w:pPr>
              <w:pStyle w:val="Body"/>
              <w:rPr>
                <w:color w:val="000000"/>
                <w:lang w:eastAsia="en-AU"/>
              </w:rPr>
            </w:pPr>
            <w:r w:rsidRPr="00B17812">
              <w:rPr>
                <w:color w:val="000000"/>
                <w:lang w:eastAsia="en-AU"/>
              </w:rPr>
              <w:t>CR202</w:t>
            </w:r>
          </w:p>
        </w:tc>
        <w:tc>
          <w:tcPr>
            <w:tcW w:w="5607" w:type="dxa"/>
            <w:tcBorders>
              <w:top w:val="single" w:color="auto" w:sz="4" w:space="0"/>
              <w:left w:val="single" w:color="auto" w:sz="4" w:space="0"/>
              <w:bottom w:val="single" w:color="auto" w:sz="4" w:space="0"/>
              <w:right w:val="single" w:color="auto" w:sz="4" w:space="0"/>
            </w:tcBorders>
            <w:vAlign w:val="center"/>
          </w:tcPr>
          <w:p w:rsidRPr="00B17812" w:rsidR="00AE01E2" w:rsidP="00AE01E2" w:rsidRDefault="00AE01E2" w14:paraId="183E29DA" w14:textId="4C110477">
            <w:pPr>
              <w:pStyle w:val="Body"/>
              <w:rPr>
                <w:color w:val="000000"/>
                <w:lang w:eastAsia="en-AU"/>
              </w:rPr>
            </w:pPr>
            <w:r w:rsidRPr="00B17812">
              <w:rPr>
                <w:color w:val="000000"/>
                <w:lang w:eastAsia="en-AU"/>
              </w:rPr>
              <w:t>Remove contact from walls and cupboards only if required</w:t>
            </w:r>
          </w:p>
        </w:tc>
      </w:tr>
      <w:tr w:rsidR="00F85833" w14:paraId="183E5DB0" w14:textId="77777777">
        <w:tc>
          <w:tcPr>
            <w:tcW w:w="2405" w:type="dxa"/>
            <w:vMerge/>
            <w:tcBorders>
              <w:left w:val="single" w:color="auto" w:sz="4" w:space="0"/>
              <w:bottom w:val="single" w:color="auto" w:sz="4" w:space="0"/>
              <w:right w:val="single" w:color="auto" w:sz="4" w:space="0"/>
            </w:tcBorders>
          </w:tcPr>
          <w:p w:rsidR="00F85833" w:rsidP="00F85833" w:rsidRDefault="00F85833" w14:paraId="34598E40" w14:textId="77777777">
            <w:pPr>
              <w:pStyle w:val="Body"/>
              <w:jc w:val="center"/>
            </w:pPr>
          </w:p>
        </w:tc>
        <w:tc>
          <w:tcPr>
            <w:tcW w:w="1276" w:type="dxa"/>
            <w:tcBorders>
              <w:top w:val="nil"/>
              <w:left w:val="nil"/>
              <w:bottom w:val="single" w:color="auto" w:sz="4" w:space="0"/>
              <w:right w:val="single" w:color="auto" w:sz="4" w:space="0"/>
            </w:tcBorders>
            <w:vAlign w:val="center"/>
          </w:tcPr>
          <w:p w:rsidRPr="00B17812" w:rsidR="00F85833" w:rsidP="00F85833" w:rsidRDefault="00F85833" w14:paraId="6AB2E9CA" w14:textId="31862CC1">
            <w:pPr>
              <w:pStyle w:val="Body"/>
              <w:rPr>
                <w:color w:val="000000"/>
                <w:lang w:eastAsia="en-AU"/>
              </w:rPr>
            </w:pPr>
            <w:r w:rsidRPr="00B17812">
              <w:rPr>
                <w:lang w:eastAsia="en-AU"/>
              </w:rPr>
              <w:t>GA205</w:t>
            </w:r>
          </w:p>
        </w:tc>
        <w:tc>
          <w:tcPr>
            <w:tcW w:w="5607" w:type="dxa"/>
            <w:tcBorders>
              <w:top w:val="nil"/>
              <w:left w:val="nil"/>
              <w:bottom w:val="single" w:color="auto" w:sz="4" w:space="0"/>
              <w:right w:val="single" w:color="auto" w:sz="4" w:space="0"/>
            </w:tcBorders>
            <w:vAlign w:val="center"/>
          </w:tcPr>
          <w:p w:rsidRPr="00B17812" w:rsidR="00F85833" w:rsidP="00F85833" w:rsidRDefault="00F85833" w14:paraId="6CBFE197" w14:textId="036FA57C">
            <w:pPr>
              <w:pStyle w:val="Body"/>
              <w:rPr>
                <w:color w:val="000000"/>
                <w:lang w:eastAsia="en-AU"/>
              </w:rPr>
            </w:pPr>
            <w:r w:rsidRPr="00B17812">
              <w:rPr>
                <w:lang w:eastAsia="en-AU"/>
              </w:rPr>
              <w:t xml:space="preserve">Check </w:t>
            </w:r>
            <w:r>
              <w:rPr>
                <w:lang w:eastAsia="en-AU"/>
              </w:rPr>
              <w:t>and</w:t>
            </w:r>
            <w:r w:rsidRPr="00B17812">
              <w:rPr>
                <w:lang w:eastAsia="en-AU"/>
              </w:rPr>
              <w:t xml:space="preserve"> tighten all screws to all cupboards</w:t>
            </w:r>
          </w:p>
        </w:tc>
      </w:tr>
      <w:tr w:rsidR="00F85833" w:rsidTr="00AE01E2" w14:paraId="0B9989AD" w14:textId="77777777">
        <w:tc>
          <w:tcPr>
            <w:tcW w:w="2405" w:type="dxa"/>
            <w:vMerge/>
            <w:tcBorders>
              <w:left w:val="single" w:color="auto" w:sz="4" w:space="0"/>
              <w:bottom w:val="single" w:color="auto" w:sz="4" w:space="0"/>
              <w:right w:val="single" w:color="auto" w:sz="4" w:space="0"/>
            </w:tcBorders>
          </w:tcPr>
          <w:p w:rsidR="00F85833" w:rsidP="00F85833" w:rsidRDefault="00F85833" w14:paraId="43E3841C" w14:textId="77777777">
            <w:pPr>
              <w:pStyle w:val="Body"/>
              <w:jc w:val="center"/>
            </w:pPr>
          </w:p>
        </w:tc>
        <w:tc>
          <w:tcPr>
            <w:tcW w:w="1276" w:type="dxa"/>
            <w:tcBorders>
              <w:top w:val="single" w:color="auto" w:sz="4" w:space="0"/>
              <w:left w:val="single" w:color="auto" w:sz="4" w:space="0"/>
              <w:bottom w:val="single" w:color="auto" w:sz="4" w:space="0"/>
              <w:right w:val="single" w:color="auto" w:sz="4" w:space="0"/>
            </w:tcBorders>
            <w:vAlign w:val="center"/>
          </w:tcPr>
          <w:p w:rsidRPr="00B17812" w:rsidR="00F85833" w:rsidP="00F85833" w:rsidRDefault="00F85833" w14:paraId="0A500E1A" w14:textId="241315C3">
            <w:pPr>
              <w:pStyle w:val="Body"/>
              <w:rPr>
                <w:color w:val="000000"/>
                <w:lang w:eastAsia="en-AU"/>
              </w:rPr>
            </w:pPr>
            <w:r w:rsidRPr="00B17812">
              <w:rPr>
                <w:color w:val="000000"/>
                <w:lang w:eastAsia="en-AU"/>
              </w:rPr>
              <w:t>CR158</w:t>
            </w:r>
          </w:p>
        </w:tc>
        <w:tc>
          <w:tcPr>
            <w:tcW w:w="5607" w:type="dxa"/>
            <w:tcBorders>
              <w:top w:val="single" w:color="auto" w:sz="4" w:space="0"/>
              <w:left w:val="single" w:color="auto" w:sz="4" w:space="0"/>
              <w:bottom w:val="single" w:color="auto" w:sz="4" w:space="0"/>
              <w:right w:val="single" w:color="auto" w:sz="4" w:space="0"/>
            </w:tcBorders>
            <w:vAlign w:val="center"/>
          </w:tcPr>
          <w:p w:rsidRPr="00B17812" w:rsidR="00F85833" w:rsidP="00F85833" w:rsidRDefault="00F85833" w14:paraId="3C39AC73" w14:textId="474A0A78">
            <w:pPr>
              <w:pStyle w:val="Body"/>
              <w:rPr>
                <w:color w:val="000000"/>
                <w:lang w:eastAsia="en-AU"/>
              </w:rPr>
            </w:pPr>
            <w:r w:rsidRPr="00B17812">
              <w:rPr>
                <w:color w:val="000000"/>
                <w:lang w:eastAsia="en-AU"/>
              </w:rPr>
              <w:t>Steam clean carpets</w:t>
            </w:r>
            <w:r>
              <w:rPr>
                <w:color w:val="000000"/>
                <w:lang w:eastAsia="en-AU"/>
              </w:rPr>
              <w:t xml:space="preserve"> - </w:t>
            </w:r>
            <w:r w:rsidRPr="00B17812">
              <w:rPr>
                <w:color w:val="000000"/>
                <w:lang w:eastAsia="en-AU"/>
              </w:rPr>
              <w:t>per room (more than 1 room)</w:t>
            </w:r>
          </w:p>
        </w:tc>
      </w:tr>
      <w:tr w:rsidR="00F85833" w:rsidTr="00AE01E2" w14:paraId="3A7DD0A8" w14:textId="77777777">
        <w:tc>
          <w:tcPr>
            <w:tcW w:w="2405" w:type="dxa"/>
            <w:tcBorders>
              <w:top w:val="single" w:color="auto" w:sz="4" w:space="0"/>
              <w:left w:val="single" w:color="auto" w:sz="4" w:space="0"/>
              <w:bottom w:val="single" w:color="auto" w:sz="4" w:space="0"/>
              <w:right w:val="single" w:color="auto" w:sz="4" w:space="0"/>
            </w:tcBorders>
          </w:tcPr>
          <w:p w:rsidR="00F85833" w:rsidP="00F85833" w:rsidRDefault="00F85833" w14:paraId="5C86AF76" w14:textId="280E0079">
            <w:pPr>
              <w:pStyle w:val="Body"/>
            </w:pPr>
            <w:r>
              <w:t>-</w:t>
            </w: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3606333C" w14:textId="43DD68D5">
            <w:pPr>
              <w:pStyle w:val="Body"/>
            </w:pPr>
            <w:r w:rsidRPr="00B17812">
              <w:rPr>
                <w:color w:val="000000"/>
                <w:lang w:eastAsia="en-AU"/>
              </w:rPr>
              <w:t>CR157</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26E857D2" w14:textId="079FFF8F">
            <w:pPr>
              <w:pStyle w:val="Body"/>
            </w:pPr>
            <w:r w:rsidRPr="00B17812">
              <w:rPr>
                <w:color w:val="000000"/>
                <w:lang w:eastAsia="en-AU"/>
              </w:rPr>
              <w:t>Steam clean carpet</w:t>
            </w:r>
            <w:r>
              <w:rPr>
                <w:color w:val="000000"/>
                <w:lang w:eastAsia="en-AU"/>
              </w:rPr>
              <w:t xml:space="preserve"> </w:t>
            </w:r>
            <w:r w:rsidRPr="00B17812">
              <w:rPr>
                <w:color w:val="000000"/>
                <w:lang w:eastAsia="en-AU"/>
              </w:rPr>
              <w:t>- 1 room only</w:t>
            </w:r>
          </w:p>
        </w:tc>
      </w:tr>
      <w:tr w:rsidR="00F85833" w14:paraId="67AD3120" w14:textId="77777777">
        <w:tc>
          <w:tcPr>
            <w:tcW w:w="2405" w:type="dxa"/>
            <w:vMerge w:val="restart"/>
            <w:tcBorders>
              <w:top w:val="single" w:color="auto" w:sz="4" w:space="0"/>
              <w:left w:val="single" w:color="auto" w:sz="4" w:space="0"/>
              <w:right w:val="single" w:color="auto" w:sz="4" w:space="0"/>
            </w:tcBorders>
          </w:tcPr>
          <w:p w:rsidR="00F85833" w:rsidP="00F85833" w:rsidRDefault="00F85833" w14:paraId="54FC2328" w14:textId="60FDDEF8">
            <w:pPr>
              <w:pStyle w:val="Body"/>
            </w:pPr>
            <w:r>
              <w:t xml:space="preserve">Kitchen </w:t>
            </w: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67DD9D4E" w14:textId="4F20862C">
            <w:pPr>
              <w:pStyle w:val="Body"/>
            </w:pPr>
            <w:r w:rsidRPr="00B17812">
              <w:rPr>
                <w:color w:val="000000"/>
                <w:lang w:eastAsia="en-AU"/>
              </w:rPr>
              <w:t>CR175</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3BE8A921" w14:textId="2DC83062">
            <w:pPr>
              <w:pStyle w:val="Body"/>
            </w:pPr>
            <w:r w:rsidRPr="00B17812">
              <w:rPr>
                <w:color w:val="000000"/>
                <w:lang w:eastAsia="en-AU"/>
              </w:rPr>
              <w:t>Clean stove</w:t>
            </w:r>
          </w:p>
        </w:tc>
      </w:tr>
      <w:tr w:rsidR="00F85833" w14:paraId="5E1905BA" w14:textId="77777777">
        <w:tc>
          <w:tcPr>
            <w:tcW w:w="2405" w:type="dxa"/>
            <w:vMerge/>
            <w:tcBorders>
              <w:left w:val="single" w:color="auto" w:sz="4" w:space="0"/>
              <w:right w:val="single" w:color="auto" w:sz="4" w:space="0"/>
            </w:tcBorders>
          </w:tcPr>
          <w:p w:rsidR="00F85833" w:rsidP="00F85833" w:rsidRDefault="00F85833" w14:paraId="7264B51F"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1C854ECA" w14:textId="73F4F6BE">
            <w:pPr>
              <w:pStyle w:val="Body"/>
            </w:pPr>
            <w:r w:rsidRPr="00B17812">
              <w:rPr>
                <w:color w:val="000000"/>
                <w:lang w:eastAsia="en-AU"/>
              </w:rPr>
              <w:t>CR188</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412C5DD8" w14:textId="17AABA62">
            <w:pPr>
              <w:pStyle w:val="Body"/>
            </w:pPr>
            <w:r w:rsidRPr="00B17812">
              <w:rPr>
                <w:color w:val="000000"/>
                <w:lang w:eastAsia="en-AU"/>
              </w:rPr>
              <w:t>Clean kitchen complete - does not include floor</w:t>
            </w:r>
          </w:p>
        </w:tc>
      </w:tr>
      <w:tr w:rsidR="00F85833" w14:paraId="5AD2A737" w14:textId="77777777">
        <w:tc>
          <w:tcPr>
            <w:tcW w:w="2405" w:type="dxa"/>
            <w:vMerge/>
            <w:tcBorders>
              <w:left w:val="single" w:color="auto" w:sz="4" w:space="0"/>
              <w:right w:val="single" w:color="auto" w:sz="4" w:space="0"/>
            </w:tcBorders>
          </w:tcPr>
          <w:p w:rsidR="00F85833" w:rsidP="00F85833" w:rsidRDefault="00F85833" w14:paraId="3CDE1B8F"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Pr="00B17812" w:rsidR="00F85833" w:rsidP="00F85833" w:rsidRDefault="00F85833" w14:paraId="2FD4234D" w14:textId="3FEDE9FF">
            <w:pPr>
              <w:pStyle w:val="Body"/>
              <w:rPr>
                <w:color w:val="000000"/>
                <w:lang w:eastAsia="en-AU"/>
              </w:rPr>
            </w:pPr>
            <w:r w:rsidRPr="00B17812">
              <w:rPr>
                <w:color w:val="000000"/>
                <w:lang w:eastAsia="en-AU"/>
              </w:rPr>
              <w:t>CR250</w:t>
            </w:r>
          </w:p>
        </w:tc>
        <w:tc>
          <w:tcPr>
            <w:tcW w:w="5607" w:type="dxa"/>
            <w:tcBorders>
              <w:top w:val="single" w:color="auto" w:sz="4" w:space="0"/>
              <w:left w:val="single" w:color="auto" w:sz="4" w:space="0"/>
              <w:bottom w:val="single" w:color="auto" w:sz="4" w:space="0"/>
              <w:right w:val="single" w:color="auto" w:sz="4" w:space="0"/>
            </w:tcBorders>
            <w:vAlign w:val="center"/>
          </w:tcPr>
          <w:p w:rsidRPr="00B17812" w:rsidR="00F85833" w:rsidP="00F85833" w:rsidRDefault="00F85833" w14:paraId="785B1F74" w14:textId="2536C536">
            <w:pPr>
              <w:pStyle w:val="Body"/>
              <w:rPr>
                <w:color w:val="000000"/>
                <w:lang w:eastAsia="en-AU"/>
              </w:rPr>
            </w:pPr>
            <w:r w:rsidRPr="00B17812">
              <w:rPr>
                <w:color w:val="000000"/>
                <w:lang w:eastAsia="en-AU"/>
              </w:rPr>
              <w:t>Clean and scrub floors</w:t>
            </w:r>
          </w:p>
        </w:tc>
      </w:tr>
      <w:tr w:rsidR="00B50EDC" w14:paraId="577053FD" w14:textId="77777777">
        <w:tc>
          <w:tcPr>
            <w:tcW w:w="2405" w:type="dxa"/>
            <w:vMerge/>
            <w:tcBorders>
              <w:left w:val="single" w:color="auto" w:sz="4" w:space="0"/>
              <w:right w:val="single" w:color="auto" w:sz="4" w:space="0"/>
            </w:tcBorders>
          </w:tcPr>
          <w:p w:rsidR="00B50EDC" w:rsidP="00B50EDC" w:rsidRDefault="00B50EDC" w14:paraId="2AC6B99D"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Pr="00B17812" w:rsidR="00B50EDC" w:rsidP="00B50EDC" w:rsidRDefault="00B50EDC" w14:paraId="24CB83E5" w14:textId="7D5EBF86">
            <w:pPr>
              <w:pStyle w:val="Body"/>
              <w:rPr>
                <w:color w:val="000000"/>
                <w:lang w:eastAsia="en-AU"/>
              </w:rPr>
            </w:pPr>
            <w:r w:rsidRPr="00B17812">
              <w:rPr>
                <w:color w:val="000000"/>
                <w:lang w:eastAsia="en-AU"/>
              </w:rPr>
              <w:t>CR195</w:t>
            </w:r>
          </w:p>
        </w:tc>
        <w:tc>
          <w:tcPr>
            <w:tcW w:w="5607" w:type="dxa"/>
            <w:tcBorders>
              <w:top w:val="single" w:color="auto" w:sz="4" w:space="0"/>
              <w:left w:val="single" w:color="auto" w:sz="4" w:space="0"/>
              <w:bottom w:val="single" w:color="auto" w:sz="4" w:space="0"/>
              <w:right w:val="single" w:color="auto" w:sz="4" w:space="0"/>
            </w:tcBorders>
            <w:vAlign w:val="center"/>
          </w:tcPr>
          <w:p w:rsidRPr="00B17812" w:rsidR="00B50EDC" w:rsidP="00B50EDC" w:rsidRDefault="00B50EDC" w14:paraId="2E8FA316" w14:textId="36E66D2B">
            <w:pPr>
              <w:pStyle w:val="Body"/>
              <w:rPr>
                <w:color w:val="000000"/>
                <w:lang w:eastAsia="en-AU"/>
              </w:rPr>
            </w:pPr>
            <w:r w:rsidRPr="00B17812">
              <w:rPr>
                <w:color w:val="000000"/>
                <w:lang w:eastAsia="en-AU"/>
              </w:rPr>
              <w:t>Clean exhaust fan only - not to be used w/cleaning</w:t>
            </w:r>
          </w:p>
        </w:tc>
      </w:tr>
      <w:tr w:rsidR="00F85833" w:rsidTr="00AE01E2" w14:paraId="69312044" w14:textId="77777777">
        <w:tc>
          <w:tcPr>
            <w:tcW w:w="2405" w:type="dxa"/>
            <w:vMerge w:val="restart"/>
            <w:tcBorders>
              <w:top w:val="single" w:color="auto" w:sz="4" w:space="0"/>
              <w:left w:val="single" w:color="auto" w:sz="4" w:space="0"/>
              <w:right w:val="single" w:color="auto" w:sz="4" w:space="0"/>
            </w:tcBorders>
          </w:tcPr>
          <w:p w:rsidR="00F85833" w:rsidP="00F85833" w:rsidRDefault="00F85833" w14:paraId="3E2993F1" w14:textId="24F895DB">
            <w:pPr>
              <w:pStyle w:val="Body"/>
            </w:pPr>
            <w:r>
              <w:t>Laundry</w:t>
            </w: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5C1D6761" w14:textId="3BB6A8B8">
            <w:pPr>
              <w:pStyle w:val="Body"/>
            </w:pPr>
            <w:r w:rsidRPr="00B17812">
              <w:rPr>
                <w:color w:val="000000"/>
                <w:lang w:eastAsia="en-AU"/>
              </w:rPr>
              <w:t>CR210</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6F13E47A" w14:textId="6256F0FD">
            <w:pPr>
              <w:pStyle w:val="Body"/>
            </w:pPr>
            <w:r w:rsidRPr="00B17812">
              <w:rPr>
                <w:color w:val="000000"/>
                <w:lang w:eastAsia="en-AU"/>
              </w:rPr>
              <w:t xml:space="preserve">Clean linen laundry landing cupboards </w:t>
            </w:r>
            <w:r>
              <w:rPr>
                <w:color w:val="000000"/>
                <w:lang w:eastAsia="en-AU"/>
              </w:rPr>
              <w:t>and</w:t>
            </w:r>
            <w:r w:rsidRPr="00B17812">
              <w:rPr>
                <w:color w:val="000000"/>
                <w:lang w:eastAsia="en-AU"/>
              </w:rPr>
              <w:t xml:space="preserve"> built in robe</w:t>
            </w:r>
          </w:p>
        </w:tc>
      </w:tr>
      <w:tr w:rsidR="00F85833" w:rsidTr="00AE01E2" w14:paraId="17A87D08" w14:textId="77777777">
        <w:tc>
          <w:tcPr>
            <w:tcW w:w="2405" w:type="dxa"/>
            <w:vMerge/>
            <w:tcBorders>
              <w:left w:val="single" w:color="auto" w:sz="4" w:space="0"/>
              <w:right w:val="single" w:color="auto" w:sz="4" w:space="0"/>
            </w:tcBorders>
          </w:tcPr>
          <w:p w:rsidR="00F85833" w:rsidP="00F85833" w:rsidRDefault="00F85833" w14:paraId="5A8B3A09"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2A3E42F0" w14:textId="0E4A4400">
            <w:pPr>
              <w:pStyle w:val="Body"/>
            </w:pPr>
            <w:r w:rsidRPr="00B17812">
              <w:rPr>
                <w:color w:val="000000"/>
                <w:lang w:eastAsia="en-AU"/>
              </w:rPr>
              <w:t>CR211</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319AB898" w14:textId="521F59C3">
            <w:pPr>
              <w:pStyle w:val="Body"/>
            </w:pPr>
            <w:r w:rsidRPr="00B17812">
              <w:rPr>
                <w:color w:val="000000"/>
                <w:lang w:eastAsia="en-AU"/>
              </w:rPr>
              <w:t>Clean laundry fixtures complete -including exhaust fan</w:t>
            </w:r>
          </w:p>
        </w:tc>
      </w:tr>
      <w:tr w:rsidR="00F85833" w:rsidTr="00AE01E2" w14:paraId="56EA53FE" w14:textId="77777777">
        <w:tc>
          <w:tcPr>
            <w:tcW w:w="2405" w:type="dxa"/>
            <w:vMerge/>
            <w:tcBorders>
              <w:left w:val="single" w:color="auto" w:sz="4" w:space="0"/>
              <w:bottom w:val="single" w:color="auto" w:sz="4" w:space="0"/>
              <w:right w:val="single" w:color="auto" w:sz="4" w:space="0"/>
            </w:tcBorders>
          </w:tcPr>
          <w:p w:rsidR="00F85833" w:rsidP="00F85833" w:rsidRDefault="00F85833" w14:paraId="448C9555" w14:textId="77777777">
            <w:pPr>
              <w:pStyle w:val="Body"/>
            </w:pP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6049C9C6" w14:textId="17C37CA9">
            <w:pPr>
              <w:pStyle w:val="Body"/>
            </w:pPr>
            <w:r w:rsidRPr="00B17812">
              <w:rPr>
                <w:color w:val="000000"/>
                <w:lang w:eastAsia="en-AU"/>
              </w:rPr>
              <w:t>CR212</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09CEA05A" w14:textId="41922BAC">
            <w:pPr>
              <w:pStyle w:val="Body"/>
            </w:pPr>
            <w:r w:rsidRPr="00B17812">
              <w:rPr>
                <w:color w:val="000000"/>
                <w:lang w:eastAsia="en-AU"/>
              </w:rPr>
              <w:t>Wash laundry complete- ceiling/walls etc</w:t>
            </w:r>
          </w:p>
        </w:tc>
      </w:tr>
      <w:tr w:rsidR="00F85833" w:rsidTr="00AE01E2" w14:paraId="40DC8990" w14:textId="77777777">
        <w:tc>
          <w:tcPr>
            <w:tcW w:w="2405" w:type="dxa"/>
            <w:tcBorders>
              <w:top w:val="single" w:color="auto" w:sz="4" w:space="0"/>
              <w:left w:val="single" w:color="auto" w:sz="4" w:space="0"/>
              <w:bottom w:val="single" w:color="auto" w:sz="4" w:space="0"/>
              <w:right w:val="single" w:color="auto" w:sz="4" w:space="0"/>
            </w:tcBorders>
          </w:tcPr>
          <w:p w:rsidR="00F85833" w:rsidP="00F85833" w:rsidRDefault="00F85833" w14:paraId="2A40C381" w14:textId="349F6A72">
            <w:pPr>
              <w:pStyle w:val="Body"/>
            </w:pPr>
            <w:r>
              <w:t xml:space="preserve">Bathroom </w:t>
            </w:r>
          </w:p>
        </w:tc>
        <w:tc>
          <w:tcPr>
            <w:tcW w:w="1276"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1198E5F0" w14:textId="4DD99DF3">
            <w:pPr>
              <w:pStyle w:val="Body"/>
            </w:pPr>
            <w:r w:rsidRPr="00B17812">
              <w:rPr>
                <w:color w:val="000000"/>
                <w:lang w:eastAsia="en-AU"/>
              </w:rPr>
              <w:t>CR220</w:t>
            </w:r>
          </w:p>
        </w:tc>
        <w:tc>
          <w:tcPr>
            <w:tcW w:w="5607" w:type="dxa"/>
            <w:tcBorders>
              <w:top w:val="single" w:color="auto" w:sz="4" w:space="0"/>
              <w:left w:val="single" w:color="auto" w:sz="4" w:space="0"/>
              <w:bottom w:val="single" w:color="auto" w:sz="4" w:space="0"/>
              <w:right w:val="single" w:color="auto" w:sz="4" w:space="0"/>
            </w:tcBorders>
            <w:vAlign w:val="center"/>
          </w:tcPr>
          <w:p w:rsidR="00F85833" w:rsidP="00F85833" w:rsidRDefault="00F85833" w14:paraId="31B9D2E6" w14:textId="308D55CF">
            <w:pPr>
              <w:pStyle w:val="Body"/>
            </w:pPr>
            <w:r w:rsidRPr="00B17812">
              <w:rPr>
                <w:color w:val="000000"/>
                <w:lang w:eastAsia="en-AU"/>
              </w:rPr>
              <w:t>Clean bathroom complete- include floor</w:t>
            </w:r>
          </w:p>
        </w:tc>
      </w:tr>
      <w:tr w:rsidR="00F85833" w:rsidTr="00AE01E2" w14:paraId="6C03361E" w14:textId="77777777">
        <w:tc>
          <w:tcPr>
            <w:tcW w:w="2405" w:type="dxa"/>
            <w:tcBorders>
              <w:top w:val="single" w:color="auto" w:sz="4" w:space="0"/>
            </w:tcBorders>
          </w:tcPr>
          <w:p w:rsidR="00F85833" w:rsidP="00F85833" w:rsidRDefault="00F85833" w14:paraId="798C01ED" w14:textId="754EF889">
            <w:pPr>
              <w:pStyle w:val="Body"/>
            </w:pPr>
            <w:r>
              <w:t>Toilet</w:t>
            </w:r>
          </w:p>
        </w:tc>
        <w:tc>
          <w:tcPr>
            <w:tcW w:w="1276" w:type="dxa"/>
            <w:tcBorders>
              <w:top w:val="single" w:color="auto" w:sz="4" w:space="0"/>
              <w:left w:val="nil"/>
              <w:bottom w:val="single" w:color="auto" w:sz="4" w:space="0"/>
              <w:right w:val="single" w:color="auto" w:sz="4" w:space="0"/>
            </w:tcBorders>
            <w:vAlign w:val="center"/>
          </w:tcPr>
          <w:p w:rsidRPr="00B17812" w:rsidR="00F85833" w:rsidP="00F85833" w:rsidRDefault="00F85833" w14:paraId="0B32E354" w14:textId="51B2C2E5">
            <w:pPr>
              <w:pStyle w:val="Body"/>
              <w:rPr>
                <w:color w:val="000000"/>
                <w:lang w:eastAsia="en-AU"/>
              </w:rPr>
            </w:pPr>
            <w:r w:rsidRPr="00B17812">
              <w:rPr>
                <w:color w:val="000000"/>
                <w:lang w:eastAsia="en-AU"/>
              </w:rPr>
              <w:t>CR230</w:t>
            </w:r>
          </w:p>
        </w:tc>
        <w:tc>
          <w:tcPr>
            <w:tcW w:w="5607" w:type="dxa"/>
            <w:tcBorders>
              <w:top w:val="single" w:color="auto" w:sz="4" w:space="0"/>
              <w:left w:val="nil"/>
              <w:bottom w:val="single" w:color="auto" w:sz="4" w:space="0"/>
              <w:right w:val="single" w:color="auto" w:sz="4" w:space="0"/>
            </w:tcBorders>
            <w:vAlign w:val="center"/>
          </w:tcPr>
          <w:p w:rsidRPr="00B17812" w:rsidR="00F85833" w:rsidP="00F85833" w:rsidRDefault="00F85833" w14:paraId="3A47B54E" w14:textId="032D9B00">
            <w:pPr>
              <w:pStyle w:val="Body"/>
              <w:rPr>
                <w:color w:val="000000"/>
                <w:lang w:eastAsia="en-AU"/>
              </w:rPr>
            </w:pPr>
            <w:r w:rsidRPr="00B17812">
              <w:rPr>
                <w:color w:val="000000"/>
                <w:lang w:eastAsia="en-AU"/>
              </w:rPr>
              <w:t xml:space="preserve">Wash </w:t>
            </w:r>
            <w:r>
              <w:rPr>
                <w:color w:val="000000"/>
                <w:lang w:eastAsia="en-AU"/>
              </w:rPr>
              <w:t xml:space="preserve">and </w:t>
            </w:r>
            <w:r w:rsidRPr="00B17812">
              <w:rPr>
                <w:color w:val="000000"/>
                <w:lang w:eastAsia="en-AU"/>
              </w:rPr>
              <w:t>scrub toilet complete including exhaust fan</w:t>
            </w:r>
            <w:r>
              <w:rPr>
                <w:color w:val="000000"/>
                <w:lang w:eastAsia="en-AU"/>
              </w:rPr>
              <w:t xml:space="preserve"> and</w:t>
            </w:r>
            <w:r w:rsidRPr="00B17812">
              <w:rPr>
                <w:color w:val="000000"/>
                <w:lang w:eastAsia="en-AU"/>
              </w:rPr>
              <w:t xml:space="preserve"> floor</w:t>
            </w:r>
          </w:p>
        </w:tc>
      </w:tr>
      <w:tr w:rsidR="00F85833" w:rsidTr="00AE01E2" w14:paraId="4E2C8FA4" w14:textId="77777777">
        <w:tc>
          <w:tcPr>
            <w:tcW w:w="2405" w:type="dxa"/>
            <w:tcBorders>
              <w:top w:val="single" w:color="auto" w:sz="4" w:space="0"/>
            </w:tcBorders>
          </w:tcPr>
          <w:p w:rsidR="00F85833" w:rsidP="00F85833" w:rsidRDefault="00F85833" w14:paraId="48BD8B12" w14:textId="5ACD7552">
            <w:pPr>
              <w:pStyle w:val="Body"/>
            </w:pPr>
            <w:r>
              <w:t>Hall</w:t>
            </w:r>
          </w:p>
        </w:tc>
        <w:tc>
          <w:tcPr>
            <w:tcW w:w="1276" w:type="dxa"/>
            <w:tcBorders>
              <w:top w:val="single" w:color="auto" w:sz="4" w:space="0"/>
              <w:left w:val="nil"/>
              <w:bottom w:val="single" w:color="auto" w:sz="4" w:space="0"/>
              <w:right w:val="single" w:color="auto" w:sz="4" w:space="0"/>
            </w:tcBorders>
            <w:vAlign w:val="center"/>
          </w:tcPr>
          <w:p w:rsidRPr="00B17812" w:rsidR="00F85833" w:rsidP="00F85833" w:rsidRDefault="00F85833" w14:paraId="2A8D0F21" w14:textId="10E7F40E">
            <w:pPr>
              <w:pStyle w:val="Body"/>
              <w:rPr>
                <w:color w:val="000000"/>
                <w:lang w:eastAsia="en-AU"/>
              </w:rPr>
            </w:pPr>
            <w:r w:rsidRPr="00B17812">
              <w:rPr>
                <w:color w:val="000000"/>
                <w:lang w:eastAsia="en-AU"/>
              </w:rPr>
              <w:t>CR262</w:t>
            </w:r>
          </w:p>
        </w:tc>
        <w:tc>
          <w:tcPr>
            <w:tcW w:w="5607" w:type="dxa"/>
            <w:tcBorders>
              <w:top w:val="single" w:color="auto" w:sz="4" w:space="0"/>
              <w:left w:val="nil"/>
              <w:bottom w:val="single" w:color="auto" w:sz="4" w:space="0"/>
              <w:right w:val="single" w:color="auto" w:sz="4" w:space="0"/>
            </w:tcBorders>
            <w:vAlign w:val="center"/>
          </w:tcPr>
          <w:p w:rsidRPr="00B17812" w:rsidR="00F85833" w:rsidP="00F85833" w:rsidRDefault="00F85833" w14:paraId="008A214F" w14:textId="2D8A6F70">
            <w:pPr>
              <w:pStyle w:val="Body"/>
              <w:rPr>
                <w:color w:val="000000"/>
                <w:lang w:eastAsia="en-AU"/>
              </w:rPr>
            </w:pPr>
            <w:r w:rsidRPr="00B17812">
              <w:rPr>
                <w:color w:val="000000"/>
                <w:lang w:eastAsia="en-AU"/>
              </w:rPr>
              <w:t>Wash hall</w:t>
            </w:r>
          </w:p>
        </w:tc>
      </w:tr>
      <w:tr w:rsidR="00F85833" w:rsidTr="00AE01E2" w14:paraId="500C5231" w14:textId="77777777">
        <w:tc>
          <w:tcPr>
            <w:tcW w:w="2405" w:type="dxa"/>
            <w:tcBorders>
              <w:top w:val="single" w:color="auto" w:sz="4" w:space="0"/>
            </w:tcBorders>
          </w:tcPr>
          <w:p w:rsidR="00F85833" w:rsidP="00F85833" w:rsidRDefault="00F85833" w14:paraId="394731E9" w14:textId="6D54291C">
            <w:pPr>
              <w:pStyle w:val="Body"/>
            </w:pPr>
            <w:r>
              <w:t>Lounge</w:t>
            </w:r>
          </w:p>
        </w:tc>
        <w:tc>
          <w:tcPr>
            <w:tcW w:w="1276" w:type="dxa"/>
            <w:tcBorders>
              <w:top w:val="single" w:color="auto" w:sz="4" w:space="0"/>
              <w:left w:val="nil"/>
              <w:bottom w:val="single" w:color="auto" w:sz="4" w:space="0"/>
              <w:right w:val="single" w:color="auto" w:sz="4" w:space="0"/>
            </w:tcBorders>
            <w:vAlign w:val="center"/>
          </w:tcPr>
          <w:p w:rsidR="00F85833" w:rsidP="00F85833" w:rsidRDefault="00F85833" w14:paraId="7B52832B" w14:textId="6D228B9C">
            <w:pPr>
              <w:pStyle w:val="Body"/>
            </w:pPr>
            <w:r w:rsidRPr="00B17812">
              <w:rPr>
                <w:color w:val="000000"/>
                <w:lang w:eastAsia="en-AU"/>
              </w:rPr>
              <w:t>CR252</w:t>
            </w:r>
          </w:p>
        </w:tc>
        <w:tc>
          <w:tcPr>
            <w:tcW w:w="5607" w:type="dxa"/>
            <w:tcBorders>
              <w:top w:val="single" w:color="auto" w:sz="4" w:space="0"/>
              <w:left w:val="nil"/>
              <w:bottom w:val="single" w:color="auto" w:sz="4" w:space="0"/>
              <w:right w:val="single" w:color="auto" w:sz="4" w:space="0"/>
            </w:tcBorders>
            <w:vAlign w:val="center"/>
          </w:tcPr>
          <w:p w:rsidR="00F85833" w:rsidP="00F85833" w:rsidRDefault="00F85833" w14:paraId="277F0C6C" w14:textId="6152C606">
            <w:pPr>
              <w:pStyle w:val="Body"/>
            </w:pPr>
            <w:r w:rsidRPr="00B17812">
              <w:rPr>
                <w:color w:val="000000"/>
                <w:lang w:eastAsia="en-AU"/>
              </w:rPr>
              <w:t>Wash lounge and family room</w:t>
            </w:r>
          </w:p>
        </w:tc>
      </w:tr>
      <w:tr w:rsidR="00F85833" w:rsidTr="00AE01E2" w14:paraId="6F371C57" w14:textId="77777777">
        <w:tc>
          <w:tcPr>
            <w:tcW w:w="2405" w:type="dxa"/>
          </w:tcPr>
          <w:p w:rsidR="00F85833" w:rsidP="00F85833" w:rsidRDefault="00F85833" w14:paraId="64A97739" w14:textId="4A2CA80B">
            <w:pPr>
              <w:pStyle w:val="Body"/>
            </w:pPr>
            <w:r>
              <w:t>Bedrooms</w:t>
            </w:r>
          </w:p>
        </w:tc>
        <w:tc>
          <w:tcPr>
            <w:tcW w:w="1276" w:type="dxa"/>
            <w:tcBorders>
              <w:top w:val="nil"/>
              <w:left w:val="nil"/>
              <w:bottom w:val="single" w:color="auto" w:sz="4" w:space="0"/>
              <w:right w:val="single" w:color="auto" w:sz="4" w:space="0"/>
            </w:tcBorders>
            <w:vAlign w:val="center"/>
          </w:tcPr>
          <w:p w:rsidR="00F85833" w:rsidP="00F85833" w:rsidRDefault="00F85833" w14:paraId="544F9F2C" w14:textId="3F83B2D1">
            <w:pPr>
              <w:pStyle w:val="Body"/>
            </w:pPr>
            <w:r w:rsidRPr="00B17812">
              <w:rPr>
                <w:color w:val="000000"/>
                <w:lang w:eastAsia="en-AU"/>
              </w:rPr>
              <w:t>CR256</w:t>
            </w:r>
          </w:p>
        </w:tc>
        <w:tc>
          <w:tcPr>
            <w:tcW w:w="5607" w:type="dxa"/>
            <w:tcBorders>
              <w:top w:val="nil"/>
              <w:left w:val="nil"/>
              <w:bottom w:val="single" w:color="auto" w:sz="4" w:space="0"/>
              <w:right w:val="single" w:color="auto" w:sz="4" w:space="0"/>
            </w:tcBorders>
            <w:vAlign w:val="center"/>
          </w:tcPr>
          <w:p w:rsidR="00F85833" w:rsidP="00F85833" w:rsidRDefault="00F85833" w14:paraId="0D9A302E" w14:textId="3A6FBF36">
            <w:pPr>
              <w:pStyle w:val="Body"/>
            </w:pPr>
            <w:r w:rsidRPr="00B17812">
              <w:rPr>
                <w:color w:val="000000"/>
                <w:lang w:eastAsia="en-AU"/>
              </w:rPr>
              <w:t>Wash bedroom</w:t>
            </w:r>
          </w:p>
        </w:tc>
      </w:tr>
      <w:tr w:rsidR="00F85833" w:rsidTr="00AE01E2" w14:paraId="53200A74" w14:textId="77777777">
        <w:tc>
          <w:tcPr>
            <w:tcW w:w="2405" w:type="dxa"/>
            <w:vMerge w:val="restart"/>
          </w:tcPr>
          <w:p w:rsidR="00F85833" w:rsidP="00F85833" w:rsidRDefault="00F85833" w14:paraId="13D6060A" w14:textId="7C90A5C7">
            <w:pPr>
              <w:pStyle w:val="Body"/>
            </w:pPr>
            <w:r>
              <w:t>External</w:t>
            </w:r>
          </w:p>
        </w:tc>
        <w:tc>
          <w:tcPr>
            <w:tcW w:w="1276" w:type="dxa"/>
            <w:tcBorders>
              <w:top w:val="nil"/>
              <w:left w:val="nil"/>
              <w:bottom w:val="single" w:color="auto" w:sz="4" w:space="0"/>
              <w:right w:val="single" w:color="auto" w:sz="4" w:space="0"/>
            </w:tcBorders>
            <w:vAlign w:val="center"/>
          </w:tcPr>
          <w:p w:rsidR="00F85833" w:rsidP="00F85833" w:rsidRDefault="00F85833" w14:paraId="14B2678E" w14:textId="6C0758CD">
            <w:pPr>
              <w:pStyle w:val="Body"/>
            </w:pPr>
            <w:r w:rsidRPr="00B17812">
              <w:rPr>
                <w:color w:val="000000"/>
                <w:lang w:eastAsia="en-AU"/>
              </w:rPr>
              <w:t>RS270</w:t>
            </w:r>
          </w:p>
        </w:tc>
        <w:tc>
          <w:tcPr>
            <w:tcW w:w="5607" w:type="dxa"/>
            <w:tcBorders>
              <w:top w:val="nil"/>
              <w:left w:val="nil"/>
              <w:bottom w:val="single" w:color="auto" w:sz="4" w:space="0"/>
              <w:right w:val="single" w:color="auto" w:sz="4" w:space="0"/>
            </w:tcBorders>
            <w:vAlign w:val="center"/>
          </w:tcPr>
          <w:p w:rsidR="00F85833" w:rsidP="00F85833" w:rsidRDefault="00F85833" w14:paraId="1B3B75B9" w14:textId="70E696AC">
            <w:pPr>
              <w:pStyle w:val="Body"/>
            </w:pPr>
            <w:r w:rsidRPr="00B17812">
              <w:rPr>
                <w:color w:val="000000"/>
                <w:lang w:eastAsia="en-AU"/>
              </w:rPr>
              <w:t>Clean out spouting</w:t>
            </w:r>
          </w:p>
        </w:tc>
      </w:tr>
      <w:tr w:rsidR="00F85833" w:rsidTr="00AE01E2" w14:paraId="6A317A1F" w14:textId="77777777">
        <w:tc>
          <w:tcPr>
            <w:tcW w:w="2405" w:type="dxa"/>
            <w:vMerge/>
          </w:tcPr>
          <w:p w:rsidR="00F85833" w:rsidP="00F85833" w:rsidRDefault="00F85833" w14:paraId="3CA9D144" w14:textId="77777777">
            <w:pPr>
              <w:pStyle w:val="Body"/>
            </w:pPr>
          </w:p>
        </w:tc>
        <w:tc>
          <w:tcPr>
            <w:tcW w:w="1276" w:type="dxa"/>
            <w:tcBorders>
              <w:top w:val="nil"/>
              <w:left w:val="nil"/>
              <w:bottom w:val="single" w:color="auto" w:sz="4" w:space="0"/>
              <w:right w:val="single" w:color="auto" w:sz="4" w:space="0"/>
            </w:tcBorders>
            <w:vAlign w:val="center"/>
          </w:tcPr>
          <w:p w:rsidR="00F85833" w:rsidP="00F85833" w:rsidRDefault="00F85833" w14:paraId="59CDE02A" w14:textId="592F3B65">
            <w:pPr>
              <w:pStyle w:val="Body"/>
            </w:pPr>
            <w:r w:rsidRPr="00B17812">
              <w:rPr>
                <w:color w:val="000000"/>
                <w:lang w:eastAsia="en-AU"/>
              </w:rPr>
              <w:t>RS260</w:t>
            </w:r>
          </w:p>
        </w:tc>
        <w:tc>
          <w:tcPr>
            <w:tcW w:w="5607" w:type="dxa"/>
            <w:tcBorders>
              <w:top w:val="nil"/>
              <w:left w:val="nil"/>
              <w:bottom w:val="single" w:color="auto" w:sz="4" w:space="0"/>
              <w:right w:val="single" w:color="auto" w:sz="4" w:space="0"/>
            </w:tcBorders>
            <w:vAlign w:val="center"/>
          </w:tcPr>
          <w:p w:rsidR="00F85833" w:rsidP="00F85833" w:rsidRDefault="00F85833" w14:paraId="4A1D8984" w14:textId="040675BA">
            <w:pPr>
              <w:pStyle w:val="Body"/>
            </w:pPr>
            <w:r w:rsidRPr="00B17812">
              <w:rPr>
                <w:color w:val="000000"/>
                <w:lang w:eastAsia="en-AU"/>
              </w:rPr>
              <w:t>Clean down pipe</w:t>
            </w:r>
          </w:p>
        </w:tc>
      </w:tr>
    </w:tbl>
    <w:p w:rsidR="009576AC" w:rsidP="00C5542A" w:rsidRDefault="009576AC" w14:paraId="4F9E9691" w14:textId="1EAD64E6">
      <w:pPr>
        <w:pStyle w:val="Heading2"/>
      </w:pPr>
      <w:bookmarkStart w:name="_Toc200818209" w:id="27"/>
      <w:r>
        <w:t>Additional work</w:t>
      </w:r>
      <w:bookmarkEnd w:id="27"/>
    </w:p>
    <w:p w:rsidRPr="009576AC" w:rsidR="009576AC" w:rsidP="009576AC" w:rsidRDefault="009576AC" w14:paraId="2298587E" w14:textId="685F302A">
      <w:pPr>
        <w:rPr>
          <w:rFonts w:eastAsia="Times"/>
        </w:rPr>
      </w:pPr>
      <w:r w:rsidRPr="009576AC">
        <w:rPr>
          <w:rFonts w:eastAsia="Times"/>
        </w:rPr>
        <w:t xml:space="preserve">When addressing additional maintenance needs, </w:t>
      </w:r>
      <w:r>
        <w:rPr>
          <w:rFonts w:eastAsia="Times"/>
        </w:rPr>
        <w:t xml:space="preserve">staff should </w:t>
      </w:r>
      <w:r w:rsidRPr="009576AC">
        <w:rPr>
          <w:rFonts w:eastAsia="Times"/>
        </w:rPr>
        <w:t>consider</w:t>
      </w:r>
      <w:r>
        <w:rPr>
          <w:rFonts w:eastAsia="Times"/>
        </w:rPr>
        <w:t>:</w:t>
      </w:r>
    </w:p>
    <w:p w:rsidRPr="009576AC" w:rsidR="009576AC" w:rsidP="009576AC" w:rsidRDefault="009576AC" w14:paraId="4987A96C" w14:textId="01EA0246">
      <w:pPr>
        <w:pStyle w:val="Bullet1"/>
      </w:pPr>
      <w:r w:rsidRPr="009576AC">
        <w:rPr>
          <w:b/>
          <w:bCs/>
        </w:rPr>
        <w:t xml:space="preserve">Repair </w:t>
      </w:r>
      <w:r w:rsidR="00E55FE0">
        <w:rPr>
          <w:b/>
          <w:bCs/>
        </w:rPr>
        <w:t>o</w:t>
      </w:r>
      <w:r w:rsidRPr="009576AC">
        <w:rPr>
          <w:b/>
          <w:bCs/>
        </w:rPr>
        <w:t xml:space="preserve">ver </w:t>
      </w:r>
      <w:r w:rsidR="00E55FE0">
        <w:rPr>
          <w:b/>
          <w:bCs/>
        </w:rPr>
        <w:t>r</w:t>
      </w:r>
      <w:r w:rsidRPr="009576AC">
        <w:rPr>
          <w:b/>
          <w:bCs/>
        </w:rPr>
        <w:t>eplacement:</w:t>
      </w:r>
      <w:r w:rsidRPr="009576AC">
        <w:t xml:space="preserve"> Prioriti</w:t>
      </w:r>
      <w:r>
        <w:t>s</w:t>
      </w:r>
      <w:r w:rsidRPr="009576AC">
        <w:t>e repairing items whenever feasible, rather than opting for full replacements.</w:t>
      </w:r>
    </w:p>
    <w:p w:rsidRPr="009576AC" w:rsidR="009576AC" w:rsidP="009576AC" w:rsidRDefault="009576AC" w14:paraId="747B714B" w14:textId="7FD24C67">
      <w:pPr>
        <w:pStyle w:val="Bullet1"/>
      </w:pPr>
      <w:r w:rsidRPr="009576AC">
        <w:rPr>
          <w:b/>
          <w:bCs/>
        </w:rPr>
        <w:t xml:space="preserve">Minimal </w:t>
      </w:r>
      <w:r w:rsidR="00E55FE0">
        <w:rPr>
          <w:b/>
          <w:bCs/>
        </w:rPr>
        <w:t>a</w:t>
      </w:r>
      <w:r w:rsidRPr="009576AC">
        <w:rPr>
          <w:b/>
          <w:bCs/>
        </w:rPr>
        <w:t xml:space="preserve">esthetic </w:t>
      </w:r>
      <w:r w:rsidR="00E55FE0">
        <w:rPr>
          <w:b/>
          <w:bCs/>
        </w:rPr>
        <w:t>w</w:t>
      </w:r>
      <w:r w:rsidRPr="009576AC">
        <w:rPr>
          <w:b/>
          <w:bCs/>
        </w:rPr>
        <w:t>ork:</w:t>
      </w:r>
      <w:r w:rsidRPr="009576AC">
        <w:t xml:space="preserve"> Limit maintenance efforts to the absolute minimum necessary for aesthetic improvements. Focus on essential repairs that enhance the property's appearance without excessive expenditure.</w:t>
      </w:r>
    </w:p>
    <w:p w:rsidRPr="009576AC" w:rsidR="009576AC" w:rsidP="009576AC" w:rsidRDefault="009576AC" w14:paraId="3EB63B03" w14:textId="3EA31102">
      <w:pPr>
        <w:pStyle w:val="Bullet1"/>
      </w:pPr>
      <w:r w:rsidRPr="009576AC">
        <w:rPr>
          <w:b/>
          <w:bCs/>
        </w:rPr>
        <w:t xml:space="preserve">Targeted </w:t>
      </w:r>
      <w:r w:rsidR="00E55FE0">
        <w:rPr>
          <w:b/>
          <w:bCs/>
        </w:rPr>
        <w:t>f</w:t>
      </w:r>
      <w:r w:rsidRPr="009576AC">
        <w:rPr>
          <w:b/>
          <w:bCs/>
        </w:rPr>
        <w:t xml:space="preserve">loor </w:t>
      </w:r>
      <w:r w:rsidR="00E55FE0">
        <w:rPr>
          <w:b/>
          <w:bCs/>
        </w:rPr>
        <w:t>c</w:t>
      </w:r>
      <w:r w:rsidRPr="009576AC">
        <w:rPr>
          <w:b/>
          <w:bCs/>
        </w:rPr>
        <w:t xml:space="preserve">overing </w:t>
      </w:r>
      <w:r w:rsidR="00E55FE0">
        <w:rPr>
          <w:b/>
          <w:bCs/>
        </w:rPr>
        <w:t>r</w:t>
      </w:r>
      <w:r w:rsidRPr="009576AC">
        <w:rPr>
          <w:b/>
          <w:bCs/>
        </w:rPr>
        <w:t>eplacement:</w:t>
      </w:r>
      <w:r w:rsidRPr="009576AC">
        <w:t xml:space="preserve"> If the carpet or vinyl flooring in a room is damaged or marked beyond acceptable levels, replace only the affected area rather than the entire room's flooring.</w:t>
      </w:r>
    </w:p>
    <w:p w:rsidRPr="009576AC" w:rsidR="009576AC" w:rsidP="009576AC" w:rsidRDefault="009576AC" w14:paraId="7002CA2A" w14:textId="3298DFB8">
      <w:pPr>
        <w:pStyle w:val="Bullet1"/>
      </w:pPr>
      <w:r w:rsidRPr="009576AC">
        <w:rPr>
          <w:b/>
          <w:bCs/>
        </w:rPr>
        <w:t xml:space="preserve">Selective </w:t>
      </w:r>
      <w:r w:rsidR="00E55FE0">
        <w:rPr>
          <w:b/>
          <w:bCs/>
        </w:rPr>
        <w:t>w</w:t>
      </w:r>
      <w:r w:rsidRPr="009576AC">
        <w:rPr>
          <w:b/>
          <w:bCs/>
        </w:rPr>
        <w:t xml:space="preserve">all </w:t>
      </w:r>
      <w:r w:rsidR="00E55FE0">
        <w:rPr>
          <w:b/>
          <w:bCs/>
        </w:rPr>
        <w:t>r</w:t>
      </w:r>
      <w:r w:rsidRPr="009576AC">
        <w:rPr>
          <w:b/>
          <w:bCs/>
        </w:rPr>
        <w:t>epair:</w:t>
      </w:r>
      <w:r w:rsidRPr="009576AC">
        <w:t xml:space="preserve"> For walls with damage or marks that cannot be cleaned, patch and repaint only the specific wall in need of attention, rather than repainting the entire room.</w:t>
      </w:r>
    </w:p>
    <w:p w:rsidRPr="009576AC" w:rsidR="009576AC" w:rsidP="009576AC" w:rsidRDefault="009576AC" w14:paraId="36129290" w14:textId="7B1C3326">
      <w:pPr>
        <w:pStyle w:val="Bullet1"/>
      </w:pPr>
      <w:r w:rsidRPr="009576AC">
        <w:rPr>
          <w:b/>
          <w:bCs/>
        </w:rPr>
        <w:t xml:space="preserve">Standardised </w:t>
      </w:r>
      <w:r w:rsidR="00E55FE0">
        <w:rPr>
          <w:b/>
          <w:bCs/>
        </w:rPr>
        <w:t>d</w:t>
      </w:r>
      <w:r w:rsidRPr="009576AC">
        <w:rPr>
          <w:b/>
          <w:bCs/>
        </w:rPr>
        <w:t xml:space="preserve">oor </w:t>
      </w:r>
      <w:r w:rsidR="00E55FE0">
        <w:rPr>
          <w:b/>
          <w:bCs/>
        </w:rPr>
        <w:t>h</w:t>
      </w:r>
      <w:r w:rsidRPr="009576AC">
        <w:rPr>
          <w:b/>
          <w:bCs/>
        </w:rPr>
        <w:t>andle</w:t>
      </w:r>
      <w:r w:rsidR="00E55FE0">
        <w:rPr>
          <w:b/>
          <w:bCs/>
        </w:rPr>
        <w:t xml:space="preserve"> i</w:t>
      </w:r>
      <w:r w:rsidRPr="009576AC">
        <w:rPr>
          <w:b/>
          <w:bCs/>
        </w:rPr>
        <w:t>nstallation</w:t>
      </w:r>
      <w:r w:rsidRPr="009576AC">
        <w:t>: If internal door handles do not match the current departmental standard and one door is missing a handle, install a new handle that aligns with the standard on that specific door only.</w:t>
      </w:r>
    </w:p>
    <w:p w:rsidR="009576AC" w:rsidP="009576AC" w:rsidRDefault="009576AC" w14:paraId="4C03E6F8" w14:textId="49AAC8C2">
      <w:pPr>
        <w:pStyle w:val="Bullet1"/>
      </w:pPr>
      <w:r w:rsidRPr="009576AC">
        <w:rPr>
          <w:b/>
          <w:bCs/>
        </w:rPr>
        <w:t xml:space="preserve">Odour </w:t>
      </w:r>
      <w:r w:rsidR="00E55FE0">
        <w:rPr>
          <w:b/>
          <w:bCs/>
        </w:rPr>
        <w:t>m</w:t>
      </w:r>
      <w:r w:rsidRPr="009576AC">
        <w:rPr>
          <w:b/>
          <w:bCs/>
        </w:rPr>
        <w:t xml:space="preserve">anagement in </w:t>
      </w:r>
      <w:r w:rsidR="00E55FE0">
        <w:rPr>
          <w:b/>
          <w:bCs/>
        </w:rPr>
        <w:t>c</w:t>
      </w:r>
      <w:r w:rsidRPr="009576AC">
        <w:rPr>
          <w:b/>
          <w:bCs/>
        </w:rPr>
        <w:t>arpets:</w:t>
      </w:r>
      <w:r w:rsidRPr="009576AC">
        <w:t xml:space="preserve"> If strong and persistent smells remain in the carpet after steam cleaning, isolate the affected rooms and assess which sections of carpet require replacement.</w:t>
      </w:r>
    </w:p>
    <w:p w:rsidR="009829FF" w:rsidP="004F0F40" w:rsidRDefault="009829FF" w14:paraId="2A1330BD" w14:textId="77777777">
      <w:pPr>
        <w:pStyle w:val="Heading1"/>
      </w:pPr>
      <w:bookmarkStart w:name="_Toc200818210" w:id="28"/>
      <w:r w:rsidRPr="00F00A95">
        <w:t>Vacant unit handback inspections</w:t>
      </w:r>
      <w:bookmarkEnd w:id="28"/>
    </w:p>
    <w:p w:rsidR="009829FF" w:rsidP="009829FF" w:rsidRDefault="009829FF" w14:paraId="3D418C8B" w14:textId="77777777">
      <w:pPr>
        <w:pStyle w:val="Body"/>
      </w:pPr>
      <w:r>
        <w:t>As the property nears completion, the contractor will schedule a date and time for a vacant unit inspection. Staff are responsible for conducting a thorough inspection of the vacant unit alongside the contractor, reviewing all raised repair items. This includes cross-checking that all works have been completed to a satisfactory standard before accepting the unit as ready for reletting.</w:t>
      </w:r>
    </w:p>
    <w:p w:rsidR="009829FF" w:rsidP="009829FF" w:rsidRDefault="009829FF" w14:paraId="16B97EB9" w14:textId="77777777">
      <w:pPr>
        <w:pStyle w:val="Body"/>
      </w:pPr>
      <w:r>
        <w:t>Expectations for staff during hand back inspections include:</w:t>
      </w:r>
    </w:p>
    <w:p w:rsidR="009829FF" w:rsidP="009829FF" w:rsidRDefault="009829FF" w14:paraId="653F4AF5" w14:textId="5A4B145E">
      <w:pPr>
        <w:pStyle w:val="Bullet1"/>
      </w:pPr>
      <w:r w:rsidRPr="00F00A95">
        <w:rPr>
          <w:b/>
          <w:bCs/>
        </w:rPr>
        <w:t xml:space="preserve">Thorough </w:t>
      </w:r>
      <w:r w:rsidR="00E55FE0">
        <w:rPr>
          <w:b/>
          <w:bCs/>
        </w:rPr>
        <w:t>r</w:t>
      </w:r>
      <w:r w:rsidRPr="00F00A95">
        <w:rPr>
          <w:b/>
          <w:bCs/>
        </w:rPr>
        <w:t>eview:</w:t>
      </w:r>
      <w:r>
        <w:t xml:space="preserve"> Inspect all areas of the unit to ensure repairs align with what was agreed upon in the scope of works. Pay attention to common issues like:</w:t>
      </w:r>
    </w:p>
    <w:p w:rsidR="009829FF" w:rsidP="009829FF" w:rsidRDefault="00E50FEC" w14:paraId="482B8B58" w14:textId="24EA40F8">
      <w:pPr>
        <w:pStyle w:val="Bullet2"/>
      </w:pPr>
      <w:r>
        <w:t>C</w:t>
      </w:r>
      <w:r w:rsidR="009829FF">
        <w:t>leaning,</w:t>
      </w:r>
    </w:p>
    <w:p w:rsidR="009829FF" w:rsidP="009829FF" w:rsidRDefault="00E50FEC" w14:paraId="498D8FDA" w14:textId="1502C49F">
      <w:pPr>
        <w:pStyle w:val="Bullet2"/>
      </w:pPr>
      <w:r>
        <w:t>S</w:t>
      </w:r>
      <w:r w:rsidR="009829FF">
        <w:t>afety features</w:t>
      </w:r>
    </w:p>
    <w:p w:rsidRPr="009B610C" w:rsidR="009829FF" w:rsidP="009829FF" w:rsidRDefault="00E50FEC" w14:paraId="56D472B7" w14:textId="4AF39416">
      <w:pPr>
        <w:pStyle w:val="Bullet2"/>
      </w:pPr>
      <w:r>
        <w:t>C</w:t>
      </w:r>
      <w:r w:rsidRPr="009B610C" w:rsidR="009829FF">
        <w:t>ompliance with minimum rental standards</w:t>
      </w:r>
    </w:p>
    <w:p w:rsidR="009829FF" w:rsidP="009829FF" w:rsidRDefault="009829FF" w14:paraId="2F41AC20" w14:textId="77777777">
      <w:pPr>
        <w:pStyle w:val="Bullet2"/>
      </w:pPr>
      <w:r>
        <w:t xml:space="preserve">Quality of work. </w:t>
      </w:r>
    </w:p>
    <w:p w:rsidR="009829FF" w:rsidP="009829FF" w:rsidRDefault="009829FF" w14:paraId="057512B5" w14:textId="77777777">
      <w:pPr>
        <w:pStyle w:val="Bodyafterbullets"/>
      </w:pPr>
      <w:r>
        <w:t xml:space="preserve">This includes checking for functionality (e.g., working plumbing, locks, and appliances). </w:t>
      </w:r>
    </w:p>
    <w:p w:rsidR="009829FF" w:rsidP="009829FF" w:rsidRDefault="009829FF" w14:paraId="775B5D60" w14:textId="77777777">
      <w:pPr>
        <w:pStyle w:val="Bodyafterbullets"/>
      </w:pPr>
      <w:r>
        <w:t>Staff must not accept a hand-back of the property if works remain incomplete or do not meet required standards. Clearly document any outstanding or unsatisfactory work and communicate this to the contractor for rectification.</w:t>
      </w:r>
    </w:p>
    <w:p w:rsidR="009829FF" w:rsidP="00D7437F" w:rsidRDefault="009829FF" w14:paraId="071A31DA" w14:textId="77777777">
      <w:pPr>
        <w:pStyle w:val="Heading1"/>
      </w:pPr>
      <w:bookmarkStart w:name="_Toc200818211" w:id="29"/>
      <w:r>
        <w:t>Move in Tenancy Condition Reports</w:t>
      </w:r>
      <w:bookmarkEnd w:id="29"/>
    </w:p>
    <w:p w:rsidR="009829FF" w:rsidP="005179D6" w:rsidRDefault="0052359D" w14:paraId="1940A243" w14:textId="45A96197">
      <w:pPr>
        <w:pStyle w:val="Body"/>
      </w:pPr>
      <w:r w:rsidRPr="0052359D">
        <w:t xml:space="preserve">Move-in Tenancy Condition Reports are a mandatory requirement in the sign-up process, as stipulated by the </w:t>
      </w:r>
      <w:r w:rsidR="00F02746">
        <w:t>RTA</w:t>
      </w:r>
      <w:r w:rsidRPr="0052359D">
        <w:t>. These reports must be completed by staff during the vacant unit handback or prior to reletting</w:t>
      </w:r>
      <w:r w:rsidR="00CA644C">
        <w:t xml:space="preserve"> a property</w:t>
      </w:r>
      <w:r w:rsidRPr="0052359D">
        <w:t>. They ensure accurate documentation of the property's condition and help establish its state at the time of occupancy.</w:t>
      </w:r>
    </w:p>
    <w:p w:rsidR="00F22A90" w:rsidP="005179D6" w:rsidRDefault="002574C4" w14:paraId="12FAD988" w14:textId="7AE2E2DD">
      <w:pPr>
        <w:pStyle w:val="Body"/>
        <w:sectPr w:rsidR="00F22A90" w:rsidSect="00F15144">
          <w:pgSz w:w="11906" w:h="16838" w:orient="portrait" w:code="9"/>
          <w:pgMar w:top="1418" w:right="1304" w:bottom="851" w:left="1304" w:header="680" w:footer="567" w:gutter="0"/>
          <w:cols w:space="340"/>
          <w:docGrid w:linePitch="360"/>
        </w:sectPr>
      </w:pPr>
      <w:r w:rsidRPr="002574C4">
        <w:t xml:space="preserve">For more information, please refer to the Tenancy Condition Reports Operational Guideline available </w:t>
      </w:r>
      <w:r>
        <w:t>at</w:t>
      </w:r>
      <w:r w:rsidR="00A97CF3">
        <w:t xml:space="preserve"> </w:t>
      </w:r>
      <w:hyperlink w:history="1" r:id="rId29">
        <w:r w:rsidRPr="00F301B0" w:rsidR="00A97CF3">
          <w:t>https://providers.dffh.vic.gov.au/tenancy-condition-reports-operational-guidelines-word</w:t>
        </w:r>
      </w:hyperlink>
      <w:r w:rsidRPr="00F301B0" w:rsidR="006A1CE5">
        <w:t>.</w:t>
      </w:r>
    </w:p>
    <w:p w:rsidR="00E636D6" w:rsidP="00F22A90" w:rsidRDefault="00F22A90" w14:paraId="03C723A6" w14:textId="003B7BE1">
      <w:pPr>
        <w:pStyle w:val="Heading1"/>
      </w:pPr>
      <w:bookmarkStart w:name="_Guide_to_Mandatory" w:id="30"/>
      <w:bookmarkStart w:name="_Guide_to_Vacant" w:id="31"/>
      <w:bookmarkStart w:name="_Toc200818212" w:id="32"/>
      <w:bookmarkEnd w:id="30"/>
      <w:bookmarkEnd w:id="31"/>
      <w:r>
        <w:t>Guide to V</w:t>
      </w:r>
      <w:r w:rsidR="00E636D6">
        <w:t xml:space="preserve">acant </w:t>
      </w:r>
      <w:r>
        <w:t>U</w:t>
      </w:r>
      <w:r w:rsidR="00E636D6">
        <w:t xml:space="preserve">nit </w:t>
      </w:r>
      <w:r>
        <w:t>C</w:t>
      </w:r>
      <w:r w:rsidR="00E636D6">
        <w:t>hecks</w:t>
      </w:r>
      <w:bookmarkEnd w:id="32"/>
      <w:r w:rsidR="00E636D6">
        <w:t xml:space="preserve"> </w:t>
      </w:r>
    </w:p>
    <w:p w:rsidR="00522C2F" w:rsidP="00522C2F" w:rsidRDefault="00915A2F" w14:paraId="2823D1B7" w14:textId="5FB12B28">
      <w:pPr>
        <w:pStyle w:val="Body"/>
      </w:pPr>
      <w:r w:rsidRPr="00915A2F">
        <w:t>To uphold the integrity of rental properties and ensure compliance with minimum</w:t>
      </w:r>
      <w:r w:rsidRPr="00915A2F" w:rsidR="00624C20">
        <w:t xml:space="preserve"> </w:t>
      </w:r>
      <w:r w:rsidRPr="00915A2F" w:rsidR="004C103F">
        <w:t>rental</w:t>
      </w:r>
      <w:r w:rsidRPr="00915A2F">
        <w:t xml:space="preserve"> standards, this guide aims to provide actionable guidance for staff undertaking inspections, in alignment with Section 68 of the </w:t>
      </w:r>
      <w:r w:rsidR="00E55FE0">
        <w:t>RTA</w:t>
      </w:r>
      <w:r>
        <w:t>.</w:t>
      </w:r>
      <w:r w:rsidR="00522C2F">
        <w:t xml:space="preserve"> </w:t>
      </w:r>
      <w:r w:rsidRPr="00C3167C" w:rsidR="00C3167C">
        <w:t xml:space="preserve">During vacant unit inspections, staff should conduct </w:t>
      </w:r>
      <w:r w:rsidRPr="00E377E6" w:rsidR="00C3167C">
        <w:rPr>
          <w:b/>
          <w:bCs/>
        </w:rPr>
        <w:t>visual checks</w:t>
      </w:r>
      <w:r w:rsidRPr="00C3167C" w:rsidR="00C3167C">
        <w:t xml:space="preserve"> to confirm that all requirements are met.</w:t>
      </w:r>
      <w:r w:rsidRPr="008032A1" w:rsidR="008032A1">
        <w:t xml:space="preserve"> </w:t>
      </w:r>
      <w:r w:rsidRPr="009A3E6A" w:rsidR="009A3E6A">
        <w:t xml:space="preserve">If staff are unable to visually verify compliance, they should seek further guidance from relevant local office </w:t>
      </w:r>
      <w:r w:rsidR="005964E5">
        <w:t>staff</w:t>
      </w:r>
      <w:r w:rsidRPr="009A3E6A" w:rsidR="009A3E6A">
        <w:t>, such as Field Services Officers.</w:t>
      </w:r>
    </w:p>
    <w:p w:rsidR="00522C2F" w:rsidP="00E636D6" w:rsidRDefault="002878B5" w14:paraId="0513A5E1" w14:textId="7C149613">
      <w:pPr>
        <w:pStyle w:val="Body"/>
      </w:pPr>
      <w:r>
        <w:rPr>
          <w:b/>
          <w:bCs/>
        </w:rPr>
        <w:t>*</w:t>
      </w:r>
      <w:r w:rsidRPr="00522C2F" w:rsidR="00522C2F">
        <w:rPr>
          <w:b/>
          <w:bCs/>
        </w:rPr>
        <w:t>Note:</w:t>
      </w:r>
      <w:r w:rsidR="00522C2F">
        <w:t xml:space="preserve"> </w:t>
      </w:r>
      <w:r w:rsidRPr="00522C2F" w:rsidR="00522C2F">
        <w:t xml:space="preserve">All rental properties must meet 14 categories of minimum </w:t>
      </w:r>
      <w:r w:rsidR="00624C20">
        <w:t xml:space="preserve">rental </w:t>
      </w:r>
      <w:r w:rsidRPr="00522C2F" w:rsidR="00522C2F">
        <w:t>standards, and rental providers are responsible for ensuring compliance with these standards on or before the day a renter moves in.</w:t>
      </w:r>
    </w:p>
    <w:p w:rsidR="003B2E31" w:rsidP="00586947" w:rsidRDefault="00EA2ACF" w14:paraId="46154479" w14:textId="0A4D2B13">
      <w:pPr>
        <w:pStyle w:val="Heading2"/>
      </w:pPr>
      <w:bookmarkStart w:name="_Toc200818213" w:id="33"/>
      <w:r>
        <w:t>M</w:t>
      </w:r>
      <w:r w:rsidR="003B2E31">
        <w:t>inimum</w:t>
      </w:r>
      <w:r>
        <w:t xml:space="preserve"> rental</w:t>
      </w:r>
      <w:r w:rsidR="003B2E31">
        <w:t xml:space="preserve"> </w:t>
      </w:r>
      <w:r w:rsidR="008D4374">
        <w:t>s</w:t>
      </w:r>
      <w:r w:rsidR="003B2E31">
        <w:t>tandards</w:t>
      </w:r>
      <w:bookmarkEnd w:id="33"/>
    </w:p>
    <w:p w:rsidRPr="00D6624D" w:rsidR="00D6624D" w:rsidP="00D6624D" w:rsidRDefault="00D6624D" w14:paraId="47DE5436" w14:textId="6FEA2499">
      <w:pPr>
        <w:pStyle w:val="Tablecaption"/>
      </w:pPr>
      <w:r>
        <w:t xml:space="preserve">Table </w:t>
      </w:r>
      <w:r w:rsidR="009F24F9">
        <w:t>4</w:t>
      </w:r>
      <w:r>
        <w:t xml:space="preserve">: </w:t>
      </w:r>
      <w:r w:rsidR="00EA2ACF">
        <w:t>Minimum rental standard requirements</w:t>
      </w:r>
    </w:p>
    <w:tbl>
      <w:tblPr>
        <w:tblStyle w:val="TableGrid"/>
        <w:tblW w:w="5000" w:type="pct"/>
        <w:tblLook w:val="04A0" w:firstRow="1" w:lastRow="0" w:firstColumn="1" w:lastColumn="0" w:noHBand="0" w:noVBand="1"/>
      </w:tblPr>
      <w:tblGrid>
        <w:gridCol w:w="2405"/>
        <w:gridCol w:w="9845"/>
        <w:gridCol w:w="1156"/>
        <w:gridCol w:w="1153"/>
      </w:tblGrid>
      <w:tr w:rsidR="00E55FE0" w:rsidTr="00E55FE0" w14:paraId="5B75E4D8" w14:textId="77777777">
        <w:tc>
          <w:tcPr>
            <w:tcW w:w="826" w:type="pct"/>
            <w:tcBorders>
              <w:top w:val="single" w:color="auto" w:sz="4" w:space="0"/>
            </w:tcBorders>
          </w:tcPr>
          <w:p w:rsidRPr="00E55FE0" w:rsidR="00E55FE0" w:rsidP="00E55FE0" w:rsidRDefault="00E55FE0" w14:paraId="04D0093A" w14:textId="4CAB2FBC">
            <w:pPr>
              <w:pStyle w:val="Tablecolhead"/>
            </w:pPr>
            <w:bookmarkStart w:name="_Hlk183110483" w:id="34"/>
            <w:r w:rsidRPr="00E55FE0">
              <w:t>Property Address</w:t>
            </w:r>
          </w:p>
        </w:tc>
        <w:tc>
          <w:tcPr>
            <w:tcW w:w="4174" w:type="pct"/>
            <w:gridSpan w:val="3"/>
            <w:tcBorders>
              <w:top w:val="single" w:color="auto" w:sz="4" w:space="0"/>
            </w:tcBorders>
          </w:tcPr>
          <w:p w:rsidR="00E55FE0" w:rsidRDefault="00E55FE0" w14:paraId="669ACB4B" w14:textId="77777777">
            <w:pPr>
              <w:pStyle w:val="Tablecolhead"/>
            </w:pPr>
          </w:p>
        </w:tc>
      </w:tr>
      <w:bookmarkEnd w:id="34"/>
      <w:tr w:rsidR="00BB4465" w:rsidTr="001443A8" w14:paraId="1A1933BD" w14:textId="19DEE722">
        <w:tc>
          <w:tcPr>
            <w:tcW w:w="826" w:type="pct"/>
            <w:tcBorders>
              <w:top w:val="single" w:color="auto" w:sz="4" w:space="0"/>
            </w:tcBorders>
          </w:tcPr>
          <w:p w:rsidR="00BB4465" w:rsidRDefault="00BB4465" w14:paraId="4AB8FA43" w14:textId="77777777">
            <w:pPr>
              <w:pStyle w:val="Tablecolhead"/>
            </w:pPr>
            <w:r>
              <w:t>Category</w:t>
            </w:r>
          </w:p>
        </w:tc>
        <w:tc>
          <w:tcPr>
            <w:tcW w:w="3381" w:type="pct"/>
            <w:tcBorders>
              <w:top w:val="single" w:color="auto" w:sz="4" w:space="0"/>
            </w:tcBorders>
          </w:tcPr>
          <w:p w:rsidR="00BB4465" w:rsidRDefault="00BB4465" w14:paraId="3565B68E" w14:textId="77777777">
            <w:pPr>
              <w:pStyle w:val="Tablecolhead"/>
            </w:pPr>
            <w:r>
              <w:t>Requirement</w:t>
            </w:r>
          </w:p>
        </w:tc>
        <w:tc>
          <w:tcPr>
            <w:tcW w:w="397" w:type="pct"/>
            <w:tcBorders>
              <w:top w:val="single" w:color="auto" w:sz="4" w:space="0"/>
            </w:tcBorders>
          </w:tcPr>
          <w:p w:rsidR="00BB4465" w:rsidRDefault="00BB4465" w14:paraId="67A40751" w14:textId="6D42B44F">
            <w:pPr>
              <w:pStyle w:val="Tablecolhead"/>
            </w:pPr>
            <w:r>
              <w:t>Met</w:t>
            </w:r>
          </w:p>
        </w:tc>
        <w:tc>
          <w:tcPr>
            <w:tcW w:w="396" w:type="pct"/>
            <w:tcBorders>
              <w:top w:val="single" w:color="auto" w:sz="4" w:space="0"/>
            </w:tcBorders>
          </w:tcPr>
          <w:p w:rsidR="00BB4465" w:rsidRDefault="00BB4465" w14:paraId="1755BD46" w14:textId="09CCEFD1">
            <w:pPr>
              <w:pStyle w:val="Tablecolhead"/>
            </w:pPr>
            <w:r>
              <w:t>Not Met</w:t>
            </w:r>
          </w:p>
        </w:tc>
      </w:tr>
      <w:tr w:rsidR="00BB4465" w:rsidTr="001443A8" w14:paraId="728EC118" w14:textId="4F4AE991">
        <w:tc>
          <w:tcPr>
            <w:tcW w:w="826" w:type="pct"/>
          </w:tcPr>
          <w:p w:rsidRPr="003170FB" w:rsidR="00BB4465" w:rsidRDefault="00BB4465" w14:paraId="53E29E72" w14:textId="77777777">
            <w:pPr>
              <w:pStyle w:val="Tabletext"/>
            </w:pPr>
            <w:r w:rsidRPr="003170FB">
              <w:t>Bathrooms</w:t>
            </w:r>
          </w:p>
        </w:tc>
        <w:tc>
          <w:tcPr>
            <w:tcW w:w="3381" w:type="pct"/>
          </w:tcPr>
          <w:p w:rsidR="00BB4465" w:rsidRDefault="00BB4465" w14:paraId="5CD547AB" w14:textId="77777777">
            <w:pPr>
              <w:pStyle w:val="Tabletext"/>
            </w:pPr>
            <w:r w:rsidRPr="003170FB">
              <w:t>The bathroom must have a</w:t>
            </w:r>
            <w:r>
              <w:t>:</w:t>
            </w:r>
          </w:p>
          <w:p w:rsidR="00BB4465" w:rsidP="00BB4465" w:rsidRDefault="00BB4465" w14:paraId="214305D8" w14:textId="3814DF9B">
            <w:pPr>
              <w:pStyle w:val="Tablebullet1"/>
            </w:pPr>
            <w:r>
              <w:t>w</w:t>
            </w:r>
            <w:r w:rsidRPr="003170FB">
              <w:t>ashbasin</w:t>
            </w:r>
          </w:p>
          <w:p w:rsidR="00BB4465" w:rsidP="00BB4465" w:rsidRDefault="00BB4465" w14:paraId="37B320F2" w14:textId="77777777">
            <w:pPr>
              <w:pStyle w:val="Tablebullet1"/>
            </w:pPr>
            <w:r w:rsidRPr="003170FB">
              <w:t>shower or bath, and</w:t>
            </w:r>
          </w:p>
          <w:p w:rsidR="00BB4465" w:rsidP="00BB4465" w:rsidRDefault="002D153D" w14:paraId="543E5F0D" w14:textId="26DB60D3">
            <w:pPr>
              <w:pStyle w:val="Tablebullet1"/>
            </w:pPr>
            <w:r>
              <w:t xml:space="preserve">all must have </w:t>
            </w:r>
            <w:r w:rsidRPr="003170FB" w:rsidR="00BB4465">
              <w:t>a reasonable supply of hot and cold water.</w:t>
            </w:r>
          </w:p>
          <w:p w:rsidRPr="003170FB" w:rsidR="00BB4465" w:rsidRDefault="00BB4465" w14:paraId="37E54B83" w14:textId="77D14AB0">
            <w:pPr>
              <w:pStyle w:val="Tabletext"/>
            </w:pPr>
            <w:r w:rsidRPr="003170FB">
              <w:t>Showers must have a shower head with a 3-star water efficiency rating. If this is not possible due to the property’s age, a 1- or 2-star rating is acceptable.</w:t>
            </w:r>
          </w:p>
        </w:tc>
        <w:sdt>
          <w:sdtPr>
            <w:id w:val="-1780174055"/>
            <w14:checkbox>
              <w14:checked w14:val="0"/>
              <w14:checkedState w14:val="2612" w14:font="MS Gothic"/>
              <w14:uncheckedState w14:val="2610" w14:font="MS Gothic"/>
            </w14:checkbox>
          </w:sdtPr>
          <w:sdtContent>
            <w:tc>
              <w:tcPr>
                <w:tcW w:w="397" w:type="pct"/>
              </w:tcPr>
              <w:p w:rsidRPr="003170FB" w:rsidR="00BB4465" w:rsidP="00746D30" w:rsidRDefault="00806EA6" w14:paraId="5C7F156C" w14:textId="4BC31FA2">
                <w:pPr>
                  <w:pStyle w:val="Tabletext"/>
                  <w:jc w:val="center"/>
                </w:pPr>
                <w:r>
                  <w:rPr>
                    <w:rFonts w:hint="eastAsia" w:ascii="MS Gothic" w:hAnsi="MS Gothic" w:eastAsia="MS Gothic"/>
                  </w:rPr>
                  <w:t>☐</w:t>
                </w:r>
              </w:p>
            </w:tc>
          </w:sdtContent>
        </w:sdt>
        <w:sdt>
          <w:sdtPr>
            <w:id w:val="-1676955546"/>
            <w14:checkbox>
              <w14:checked w14:val="0"/>
              <w14:checkedState w14:val="2612" w14:font="MS Gothic"/>
              <w14:uncheckedState w14:val="2610" w14:font="MS Gothic"/>
            </w14:checkbox>
          </w:sdtPr>
          <w:sdtContent>
            <w:tc>
              <w:tcPr>
                <w:tcW w:w="396" w:type="pct"/>
              </w:tcPr>
              <w:p w:rsidRPr="003170FB" w:rsidR="00BB4465" w:rsidP="00746D30" w:rsidRDefault="00806EA6" w14:paraId="07EF2FED" w14:textId="3069F692">
                <w:pPr>
                  <w:pStyle w:val="Tabletext"/>
                  <w:jc w:val="center"/>
                </w:pPr>
                <w:r>
                  <w:rPr>
                    <w:rFonts w:hint="eastAsia" w:ascii="MS Gothic" w:hAnsi="MS Gothic" w:eastAsia="MS Gothic"/>
                  </w:rPr>
                  <w:t>☐</w:t>
                </w:r>
              </w:p>
            </w:tc>
          </w:sdtContent>
        </w:sdt>
      </w:tr>
      <w:tr w:rsidR="003B2E31" w:rsidTr="001443A8" w14:paraId="0AD191AB" w14:textId="7E0E5F2D">
        <w:tc>
          <w:tcPr>
            <w:tcW w:w="826" w:type="pct"/>
          </w:tcPr>
          <w:p w:rsidRPr="003170FB" w:rsidR="003B2E31" w:rsidRDefault="003B2E31" w14:paraId="6992B41F" w14:textId="34EF62C5">
            <w:pPr>
              <w:pStyle w:val="Tabletext"/>
            </w:pPr>
            <w:r w:rsidRPr="003170FB">
              <w:t xml:space="preserve">Electrical </w:t>
            </w:r>
            <w:r w:rsidR="00E55FE0">
              <w:t>s</w:t>
            </w:r>
            <w:r w:rsidRPr="003170FB">
              <w:t>afety</w:t>
            </w:r>
          </w:p>
        </w:tc>
        <w:tc>
          <w:tcPr>
            <w:tcW w:w="3381" w:type="pct"/>
          </w:tcPr>
          <w:p w:rsidR="003B2E31" w:rsidRDefault="003B2E31" w14:paraId="4CE85EA3" w14:textId="77777777">
            <w:pPr>
              <w:pStyle w:val="Tabletext"/>
            </w:pPr>
            <w:r w:rsidRPr="003170FB">
              <w:t>Rental properties must have</w:t>
            </w:r>
            <w:r>
              <w:t>:</w:t>
            </w:r>
          </w:p>
          <w:p w:rsidR="003B2E31" w:rsidP="00BB4465" w:rsidRDefault="003B2E31" w14:paraId="24261EBD" w14:textId="77777777">
            <w:pPr>
              <w:pStyle w:val="Tablebullet1"/>
            </w:pPr>
            <w:r w:rsidRPr="003170FB">
              <w:t xml:space="preserve">modern switchboards with circuit breakers and </w:t>
            </w:r>
          </w:p>
          <w:p w:rsidR="003B2E31" w:rsidP="00BB4465" w:rsidRDefault="003B2E31" w14:paraId="791BBEEF" w14:textId="77777777">
            <w:pPr>
              <w:pStyle w:val="Tablebullet1"/>
            </w:pPr>
            <w:r w:rsidRPr="003170FB">
              <w:t xml:space="preserve">electrical safety switches, known as Residual Current Devices (RCDs), installed. </w:t>
            </w:r>
          </w:p>
          <w:p w:rsidR="00344044" w:rsidP="00746D30" w:rsidRDefault="00344044" w14:paraId="228E62DE" w14:textId="3E460F46">
            <w:pPr>
              <w:pStyle w:val="Tabletext"/>
            </w:pPr>
            <w:r w:rsidRPr="00344044">
              <w:rPr>
                <w:b/>
                <w:bCs/>
              </w:rPr>
              <w:t>Note:</w:t>
            </w:r>
            <w:r>
              <w:t xml:space="preserve"> </w:t>
            </w:r>
            <w:r w:rsidRPr="00344044">
              <w:t>This requirement is already addressed by the R</w:t>
            </w:r>
            <w:r>
              <w:t>TA</w:t>
            </w:r>
            <w:r w:rsidRPr="00344044">
              <w:t xml:space="preserve"> safety check, which has either been completed or is scheduled for completion soon.</w:t>
            </w:r>
          </w:p>
          <w:p w:rsidRPr="003170FB" w:rsidR="003B2E31" w:rsidP="00BB4465" w:rsidRDefault="0070013A" w14:paraId="3C14F396" w14:textId="43DB5A01">
            <w:pPr>
              <w:pStyle w:val="Tabletext"/>
            </w:pPr>
            <w:r w:rsidRPr="0070013A">
              <w:t>As part of the vacant unit work,</w:t>
            </w:r>
            <w:r w:rsidR="00092899">
              <w:t xml:space="preserve"> staff </w:t>
            </w:r>
            <w:r w:rsidRPr="0070013A">
              <w:t>only need to visually inspect</w:t>
            </w:r>
            <w:r w:rsidR="00142852">
              <w:t xml:space="preserve"> </w:t>
            </w:r>
            <w:r w:rsidR="00B07106">
              <w:t xml:space="preserve">appliances such as </w:t>
            </w:r>
            <w:r w:rsidR="00F823C3">
              <w:t>o</w:t>
            </w:r>
            <w:r w:rsidR="00B07106">
              <w:t>vens</w:t>
            </w:r>
            <w:r w:rsidRPr="0070013A">
              <w:t>,</w:t>
            </w:r>
            <w:r w:rsidR="00F823C3">
              <w:t xml:space="preserve"> stoves</w:t>
            </w:r>
            <w:r w:rsidRPr="0070013A">
              <w:t>,</w:t>
            </w:r>
            <w:r w:rsidR="00F823C3">
              <w:t xml:space="preserve"> hot plates</w:t>
            </w:r>
            <w:r w:rsidR="00B07106">
              <w:t xml:space="preserve">, </w:t>
            </w:r>
            <w:r w:rsidR="007C247A">
              <w:t xml:space="preserve">heating </w:t>
            </w:r>
            <w:r w:rsidRPr="0070013A">
              <w:t>and</w:t>
            </w:r>
            <w:r w:rsidR="007C247A">
              <w:t xml:space="preserve"> cooling</w:t>
            </w:r>
            <w:r w:rsidRPr="0070013A">
              <w:t xml:space="preserve"> systems</w:t>
            </w:r>
            <w:r w:rsidR="007C247A">
              <w:t xml:space="preserve">, </w:t>
            </w:r>
            <w:r w:rsidR="00F823C3">
              <w:t>h</w:t>
            </w:r>
            <w:r w:rsidR="00B07106">
              <w:t xml:space="preserve">ot water </w:t>
            </w:r>
            <w:r w:rsidR="00F823C3">
              <w:t>services, exhaust fans</w:t>
            </w:r>
            <w:r w:rsidRPr="0070013A">
              <w:t>,</w:t>
            </w:r>
            <w:r w:rsidR="00047837">
              <w:t xml:space="preserve"> </w:t>
            </w:r>
            <w:r w:rsidR="00F823C3">
              <w:t>lights</w:t>
            </w:r>
            <w:r w:rsidRPr="0070013A">
              <w:t>,</w:t>
            </w:r>
            <w:r w:rsidR="00F823C3">
              <w:t xml:space="preserve"> and general power outlets </w:t>
            </w:r>
            <w:r w:rsidRPr="0070013A">
              <w:t xml:space="preserve">to confirm they </w:t>
            </w:r>
            <w:r w:rsidR="00142852">
              <w:t xml:space="preserve">are </w:t>
            </w:r>
            <w:r w:rsidRPr="0070013A">
              <w:t>operational</w:t>
            </w:r>
            <w:r w:rsidR="007C247A">
              <w:t xml:space="preserve"> and functional</w:t>
            </w:r>
            <w:r w:rsidRPr="0070013A">
              <w:t>.</w:t>
            </w:r>
          </w:p>
        </w:tc>
        <w:sdt>
          <w:sdtPr>
            <w:id w:val="-1837674376"/>
            <w14:checkbox>
              <w14:checked w14:val="0"/>
              <w14:checkedState w14:val="2612" w14:font="MS Gothic"/>
              <w14:uncheckedState w14:val="2610" w14:font="MS Gothic"/>
            </w14:checkbox>
          </w:sdtPr>
          <w:sdtContent>
            <w:tc>
              <w:tcPr>
                <w:tcW w:w="397" w:type="pct"/>
              </w:tcPr>
              <w:p w:rsidRPr="003170FB" w:rsidR="003B2E31" w:rsidP="00746D30" w:rsidRDefault="00806EA6" w14:paraId="6498C5C6" w14:textId="227B5A07">
                <w:pPr>
                  <w:pStyle w:val="Tabletext"/>
                  <w:jc w:val="center"/>
                </w:pPr>
                <w:r>
                  <w:rPr>
                    <w:rFonts w:hint="eastAsia" w:ascii="MS Gothic" w:hAnsi="MS Gothic" w:eastAsia="MS Gothic"/>
                  </w:rPr>
                  <w:t>☐</w:t>
                </w:r>
              </w:p>
            </w:tc>
          </w:sdtContent>
        </w:sdt>
        <w:sdt>
          <w:sdtPr>
            <w:id w:val="1699049304"/>
            <w14:checkbox>
              <w14:checked w14:val="0"/>
              <w14:checkedState w14:val="2612" w14:font="MS Gothic"/>
              <w14:uncheckedState w14:val="2610" w14:font="MS Gothic"/>
            </w14:checkbox>
          </w:sdtPr>
          <w:sdtContent>
            <w:tc>
              <w:tcPr>
                <w:tcW w:w="396" w:type="pct"/>
              </w:tcPr>
              <w:p w:rsidRPr="003170FB" w:rsidR="003B2E31" w:rsidP="00746D30" w:rsidRDefault="00806EA6" w14:paraId="08663783" w14:textId="36367626">
                <w:pPr>
                  <w:pStyle w:val="Tabletext"/>
                  <w:jc w:val="center"/>
                </w:pPr>
                <w:r>
                  <w:rPr>
                    <w:rFonts w:hint="eastAsia" w:ascii="MS Gothic" w:hAnsi="MS Gothic" w:eastAsia="MS Gothic"/>
                  </w:rPr>
                  <w:t>☐</w:t>
                </w:r>
              </w:p>
            </w:tc>
          </w:sdtContent>
        </w:sdt>
      </w:tr>
      <w:tr w:rsidR="00BB4465" w:rsidTr="001443A8" w14:paraId="273A421B" w14:textId="546C614C">
        <w:tc>
          <w:tcPr>
            <w:tcW w:w="826" w:type="pct"/>
          </w:tcPr>
          <w:p w:rsidRPr="003170FB" w:rsidR="00BB4465" w:rsidRDefault="00BB4465" w14:paraId="24CE0E3C" w14:textId="77777777">
            <w:pPr>
              <w:pStyle w:val="Tabletext"/>
            </w:pPr>
            <w:r w:rsidRPr="003170FB">
              <w:t>Heating</w:t>
            </w:r>
          </w:p>
        </w:tc>
        <w:tc>
          <w:tcPr>
            <w:tcW w:w="3381" w:type="pct"/>
          </w:tcPr>
          <w:p w:rsidR="009E3BDC" w:rsidP="004A408B" w:rsidRDefault="009E3BDC" w14:paraId="1A3965B4" w14:textId="32839B01">
            <w:pPr>
              <w:pStyle w:val="Tabletext"/>
            </w:pPr>
            <w:r w:rsidRPr="009E3BDC">
              <w:t xml:space="preserve">All rental properties are required to have a fixed heater (not portable) in good working order located in the main living area. For rental agreements entered into on or after </w:t>
            </w:r>
            <w:r>
              <w:t xml:space="preserve">29 </w:t>
            </w:r>
            <w:r w:rsidRPr="009E3BDC">
              <w:t>March 2023, this heater must be energy</w:t>
            </w:r>
            <w:r>
              <w:t xml:space="preserve"> </w:t>
            </w:r>
            <w:r w:rsidRPr="009E3BDC">
              <w:t>efficient. If an existing fixed heater is not energy-efficient, the rental provider is responsible for upgrading it.</w:t>
            </w:r>
          </w:p>
          <w:p w:rsidR="004A408B" w:rsidP="004A408B" w:rsidRDefault="004A408B" w14:paraId="338D1C2C" w14:textId="7083C393">
            <w:pPr>
              <w:pStyle w:val="Tabletext"/>
            </w:pPr>
            <w:r>
              <w:t>An energy efficient fixed heater must be one of the following:</w:t>
            </w:r>
          </w:p>
          <w:p w:rsidR="004A408B" w:rsidP="00941649" w:rsidRDefault="004A408B" w14:paraId="5CE17732" w14:textId="77777777">
            <w:pPr>
              <w:pStyle w:val="Tablebullet1"/>
            </w:pPr>
            <w:r>
              <w:t>a non-ducted air conditioner or heat pump with a 2 star or above energy rating</w:t>
            </w:r>
          </w:p>
          <w:p w:rsidR="004A408B" w:rsidP="00941649" w:rsidRDefault="004A408B" w14:paraId="50A6B1CC" w14:textId="77777777">
            <w:pPr>
              <w:pStyle w:val="Tablebullet1"/>
            </w:pPr>
            <w:r>
              <w:t>a gas space heater with a 2 star or above energy rating</w:t>
            </w:r>
          </w:p>
          <w:p w:rsidRPr="003170FB" w:rsidR="00BB4465" w:rsidP="00740FC3" w:rsidRDefault="004A408B" w14:paraId="1004E7B8" w14:textId="601E2B90">
            <w:pPr>
              <w:pStyle w:val="Tablebullet1"/>
            </w:pPr>
            <w:r>
              <w:t>a ducted heating or hydronic heating system with an outlet in the main living area</w:t>
            </w:r>
          </w:p>
        </w:tc>
        <w:sdt>
          <w:sdtPr>
            <w:id w:val="1682318953"/>
            <w14:checkbox>
              <w14:checked w14:val="0"/>
              <w14:checkedState w14:val="2612" w14:font="MS Gothic"/>
              <w14:uncheckedState w14:val="2610" w14:font="MS Gothic"/>
            </w14:checkbox>
          </w:sdtPr>
          <w:sdtContent>
            <w:tc>
              <w:tcPr>
                <w:tcW w:w="397" w:type="pct"/>
              </w:tcPr>
              <w:p w:rsidRPr="003170FB" w:rsidR="00BB4465" w:rsidP="00746D30" w:rsidRDefault="00806EA6" w14:paraId="0E1F62CE" w14:textId="47D19935">
                <w:pPr>
                  <w:pStyle w:val="Tabletext"/>
                  <w:jc w:val="center"/>
                </w:pPr>
                <w:r>
                  <w:rPr>
                    <w:rFonts w:hint="eastAsia" w:ascii="MS Gothic" w:hAnsi="MS Gothic" w:eastAsia="MS Gothic"/>
                  </w:rPr>
                  <w:t>☐</w:t>
                </w:r>
              </w:p>
            </w:tc>
          </w:sdtContent>
        </w:sdt>
        <w:sdt>
          <w:sdtPr>
            <w:id w:val="-595018877"/>
            <w14:checkbox>
              <w14:checked w14:val="0"/>
              <w14:checkedState w14:val="2612" w14:font="MS Gothic"/>
              <w14:uncheckedState w14:val="2610" w14:font="MS Gothic"/>
            </w14:checkbox>
          </w:sdtPr>
          <w:sdtContent>
            <w:tc>
              <w:tcPr>
                <w:tcW w:w="396" w:type="pct"/>
              </w:tcPr>
              <w:p w:rsidRPr="003170FB" w:rsidR="00BB4465" w:rsidP="00746D30" w:rsidRDefault="00806EA6" w14:paraId="5CDD901A" w14:textId="3955F1F9">
                <w:pPr>
                  <w:pStyle w:val="Tabletext"/>
                  <w:jc w:val="center"/>
                </w:pPr>
                <w:r>
                  <w:rPr>
                    <w:rFonts w:hint="eastAsia" w:ascii="MS Gothic" w:hAnsi="MS Gothic" w:eastAsia="MS Gothic"/>
                  </w:rPr>
                  <w:t>☐</w:t>
                </w:r>
              </w:p>
            </w:tc>
          </w:sdtContent>
        </w:sdt>
      </w:tr>
      <w:tr w:rsidR="00BB4465" w:rsidTr="001443A8" w14:paraId="72346F9F" w14:textId="3AEE1A13">
        <w:tc>
          <w:tcPr>
            <w:tcW w:w="826" w:type="pct"/>
          </w:tcPr>
          <w:p w:rsidRPr="003170FB" w:rsidR="00BB4465" w:rsidRDefault="00BB4465" w14:paraId="0106CB7F" w14:textId="77777777">
            <w:pPr>
              <w:pStyle w:val="Tabletext"/>
            </w:pPr>
            <w:r w:rsidRPr="003170FB">
              <w:t>Kitchen</w:t>
            </w:r>
          </w:p>
        </w:tc>
        <w:tc>
          <w:tcPr>
            <w:tcW w:w="3381" w:type="pct"/>
          </w:tcPr>
          <w:p w:rsidR="00740FC3" w:rsidRDefault="00BB4465" w14:paraId="16AAF3B2" w14:textId="77777777">
            <w:pPr>
              <w:pStyle w:val="Tabletext"/>
            </w:pPr>
            <w:r w:rsidRPr="003170FB">
              <w:t>The property must have a</w:t>
            </w:r>
            <w:r w:rsidR="00740FC3">
              <w:t>:</w:t>
            </w:r>
          </w:p>
          <w:p w:rsidR="00740FC3" w:rsidP="00740FC3" w:rsidRDefault="00BB4465" w14:paraId="504B116E" w14:textId="77777777">
            <w:pPr>
              <w:pStyle w:val="Tablebullet1"/>
            </w:pPr>
            <w:r w:rsidRPr="00740FC3">
              <w:rPr>
                <w:b/>
                <w:bCs/>
              </w:rPr>
              <w:t>kitchen</w:t>
            </w:r>
            <w:r w:rsidRPr="003170FB">
              <w:t xml:space="preserve"> with a </w:t>
            </w:r>
            <w:r w:rsidRPr="00740FC3">
              <w:rPr>
                <w:b/>
                <w:bCs/>
              </w:rPr>
              <w:t>dedicated</w:t>
            </w:r>
            <w:r w:rsidRPr="003170FB">
              <w:t xml:space="preserve"> </w:t>
            </w:r>
            <w:r w:rsidRPr="00740FC3">
              <w:rPr>
                <w:b/>
                <w:bCs/>
              </w:rPr>
              <w:t>cooking</w:t>
            </w:r>
            <w:r w:rsidRPr="003170FB">
              <w:t xml:space="preserve"> and </w:t>
            </w:r>
            <w:r w:rsidRPr="00740FC3">
              <w:rPr>
                <w:b/>
                <w:bCs/>
              </w:rPr>
              <w:t>food</w:t>
            </w:r>
            <w:r w:rsidRPr="003170FB">
              <w:t xml:space="preserve"> </w:t>
            </w:r>
            <w:r w:rsidRPr="00740FC3">
              <w:rPr>
                <w:b/>
                <w:bCs/>
              </w:rPr>
              <w:t>preparation</w:t>
            </w:r>
            <w:r w:rsidRPr="003170FB">
              <w:t xml:space="preserve"> </w:t>
            </w:r>
            <w:r w:rsidRPr="00740FC3">
              <w:rPr>
                <w:b/>
                <w:bCs/>
              </w:rPr>
              <w:t>area</w:t>
            </w:r>
          </w:p>
          <w:p w:rsidR="00740FC3" w:rsidP="00740FC3" w:rsidRDefault="00BB4465" w14:paraId="465A3157" w14:textId="77777777">
            <w:pPr>
              <w:pStyle w:val="Tablebullet1"/>
            </w:pPr>
            <w:r w:rsidRPr="00740FC3">
              <w:rPr>
                <w:b/>
                <w:bCs/>
              </w:rPr>
              <w:t>sink</w:t>
            </w:r>
            <w:r w:rsidRPr="003170FB">
              <w:t xml:space="preserve"> connected to </w:t>
            </w:r>
            <w:r w:rsidRPr="00740FC3">
              <w:rPr>
                <w:b/>
                <w:bCs/>
              </w:rPr>
              <w:t>hot</w:t>
            </w:r>
            <w:r w:rsidRPr="003170FB">
              <w:t xml:space="preserve"> and </w:t>
            </w:r>
            <w:r w:rsidRPr="00740FC3">
              <w:rPr>
                <w:b/>
                <w:bCs/>
              </w:rPr>
              <w:t>cold</w:t>
            </w:r>
            <w:r w:rsidRPr="003170FB">
              <w:t xml:space="preserve"> </w:t>
            </w:r>
            <w:r w:rsidRPr="00740FC3">
              <w:rPr>
                <w:b/>
                <w:bCs/>
              </w:rPr>
              <w:t>water</w:t>
            </w:r>
            <w:r w:rsidRPr="003170FB">
              <w:t>, and</w:t>
            </w:r>
          </w:p>
          <w:p w:rsidR="00740FC3" w:rsidP="00740FC3" w:rsidRDefault="00BB4465" w14:paraId="281899FE" w14:textId="77777777">
            <w:pPr>
              <w:pStyle w:val="Tablebullet1"/>
            </w:pPr>
            <w:r w:rsidRPr="00740FC3">
              <w:rPr>
                <w:b/>
                <w:bCs/>
              </w:rPr>
              <w:t>stovetop</w:t>
            </w:r>
            <w:r w:rsidRPr="003170FB">
              <w:t xml:space="preserve"> with two or more burners. </w:t>
            </w:r>
          </w:p>
          <w:p w:rsidR="00806EA6" w:rsidP="00746D30" w:rsidRDefault="00BB4465" w14:paraId="05FE6B05" w14:textId="77777777">
            <w:pPr>
              <w:pStyle w:val="Tablebullet1"/>
              <w:numPr>
                <w:ilvl w:val="0"/>
                <w:numId w:val="0"/>
              </w:numPr>
            </w:pPr>
            <w:r w:rsidRPr="003170FB">
              <w:t xml:space="preserve">If an </w:t>
            </w:r>
            <w:r w:rsidRPr="00740FC3">
              <w:rPr>
                <w:b/>
                <w:bCs/>
              </w:rPr>
              <w:t>oven</w:t>
            </w:r>
            <w:r w:rsidRPr="003170FB">
              <w:t xml:space="preserve"> is present, it must be in good working order.</w:t>
            </w:r>
          </w:p>
          <w:p w:rsidRPr="003170FB" w:rsidR="00BB4465" w:rsidP="00740FC3" w:rsidRDefault="00A05081" w14:paraId="7CB977C3" w14:textId="61C72E6B">
            <w:pPr>
              <w:pStyle w:val="Tablebullet1"/>
              <w:numPr>
                <w:ilvl w:val="0"/>
                <w:numId w:val="0"/>
              </w:numPr>
            </w:pPr>
            <w:r w:rsidRPr="00A05081">
              <w:t xml:space="preserve">These requirements do not apply if the property is listed in the </w:t>
            </w:r>
            <w:hyperlink w:history="1" r:id="rId30">
              <w:r w:rsidRPr="00837440">
                <w:rPr>
                  <w:rStyle w:val="Hyperlink"/>
                </w:rPr>
                <w:t>heritage register at Heritage Council Victoria</w:t>
              </w:r>
            </w:hyperlink>
            <w:r w:rsidRPr="00A05081">
              <w:t xml:space="preserve"> </w:t>
            </w:r>
            <w:r w:rsidR="00E3274D">
              <w:t>&lt;</w:t>
            </w:r>
            <w:r w:rsidRPr="00E3274D" w:rsidR="00E3274D">
              <w:t>https://heritagecouncil.vic.gov.au/protecting-our-heritage/heritage-protection-process/victorian-heritage-register</w:t>
            </w:r>
            <w:r w:rsidR="00E3274D">
              <w:t xml:space="preserve">&gt; </w:t>
            </w:r>
            <w:r w:rsidRPr="00A05081">
              <w:t>and has an approved exemption from the standard.</w:t>
            </w:r>
          </w:p>
        </w:tc>
        <w:sdt>
          <w:sdtPr>
            <w:id w:val="-295458123"/>
            <w14:checkbox>
              <w14:checked w14:val="0"/>
              <w14:checkedState w14:val="2612" w14:font="MS Gothic"/>
              <w14:uncheckedState w14:val="2610" w14:font="MS Gothic"/>
            </w14:checkbox>
          </w:sdtPr>
          <w:sdtContent>
            <w:tc>
              <w:tcPr>
                <w:tcW w:w="397" w:type="pct"/>
              </w:tcPr>
              <w:p w:rsidRPr="003170FB" w:rsidR="00BB4465" w:rsidP="00746D30" w:rsidRDefault="00806EA6" w14:paraId="5220C487" w14:textId="6A7D3D9D">
                <w:pPr>
                  <w:pStyle w:val="Tabletext"/>
                  <w:jc w:val="center"/>
                </w:pPr>
                <w:r>
                  <w:rPr>
                    <w:rFonts w:hint="eastAsia" w:ascii="MS Gothic" w:hAnsi="MS Gothic" w:eastAsia="MS Gothic"/>
                  </w:rPr>
                  <w:t>☐</w:t>
                </w:r>
              </w:p>
            </w:tc>
          </w:sdtContent>
        </w:sdt>
        <w:sdt>
          <w:sdtPr>
            <w:id w:val="1277212027"/>
            <w14:checkbox>
              <w14:checked w14:val="0"/>
              <w14:checkedState w14:val="2612" w14:font="MS Gothic"/>
              <w14:uncheckedState w14:val="2610" w14:font="MS Gothic"/>
            </w14:checkbox>
          </w:sdtPr>
          <w:sdtContent>
            <w:tc>
              <w:tcPr>
                <w:tcW w:w="396" w:type="pct"/>
              </w:tcPr>
              <w:p w:rsidRPr="003170FB" w:rsidR="00BB4465" w:rsidP="00746D30" w:rsidRDefault="00806EA6" w14:paraId="5B6B2291" w14:textId="61B194E3">
                <w:pPr>
                  <w:pStyle w:val="Tabletext"/>
                  <w:jc w:val="center"/>
                </w:pPr>
                <w:r>
                  <w:rPr>
                    <w:rFonts w:hint="eastAsia" w:ascii="MS Gothic" w:hAnsi="MS Gothic" w:eastAsia="MS Gothic"/>
                  </w:rPr>
                  <w:t>☐</w:t>
                </w:r>
              </w:p>
            </w:tc>
          </w:sdtContent>
        </w:sdt>
      </w:tr>
      <w:tr w:rsidR="00BB4465" w:rsidTr="001443A8" w14:paraId="48B52EE2" w14:textId="381A0272">
        <w:tc>
          <w:tcPr>
            <w:tcW w:w="826" w:type="pct"/>
          </w:tcPr>
          <w:p w:rsidRPr="003170FB" w:rsidR="00BB4465" w:rsidRDefault="00BB4465" w14:paraId="60AB0ED6" w14:textId="77777777">
            <w:pPr>
              <w:pStyle w:val="Tabletext"/>
            </w:pPr>
            <w:r w:rsidRPr="003170FB">
              <w:t>Laundry</w:t>
            </w:r>
          </w:p>
        </w:tc>
        <w:tc>
          <w:tcPr>
            <w:tcW w:w="3381" w:type="pct"/>
          </w:tcPr>
          <w:p w:rsidRPr="003170FB" w:rsidR="00BB4465" w:rsidRDefault="00BB4465" w14:paraId="1D650D1F" w14:textId="77777777">
            <w:pPr>
              <w:pStyle w:val="Tabletext"/>
            </w:pPr>
            <w:r w:rsidRPr="003170FB">
              <w:t>If the property has a laundry, it must be connected to a reasonable supply of hot and cold water.</w:t>
            </w:r>
          </w:p>
        </w:tc>
        <w:sdt>
          <w:sdtPr>
            <w:id w:val="-380478683"/>
            <w14:checkbox>
              <w14:checked w14:val="0"/>
              <w14:checkedState w14:val="2612" w14:font="MS Gothic"/>
              <w14:uncheckedState w14:val="2610" w14:font="MS Gothic"/>
            </w14:checkbox>
          </w:sdtPr>
          <w:sdtContent>
            <w:tc>
              <w:tcPr>
                <w:tcW w:w="397" w:type="pct"/>
              </w:tcPr>
              <w:p w:rsidRPr="003170FB" w:rsidR="00BB4465" w:rsidP="00746D30" w:rsidRDefault="00806EA6" w14:paraId="46A1A2E5" w14:textId="7ACDFAC7">
                <w:pPr>
                  <w:pStyle w:val="Tabletext"/>
                  <w:jc w:val="center"/>
                </w:pPr>
                <w:r>
                  <w:rPr>
                    <w:rFonts w:hint="eastAsia" w:ascii="MS Gothic" w:hAnsi="MS Gothic" w:eastAsia="MS Gothic"/>
                  </w:rPr>
                  <w:t>☐</w:t>
                </w:r>
              </w:p>
            </w:tc>
          </w:sdtContent>
        </w:sdt>
        <w:sdt>
          <w:sdtPr>
            <w:id w:val="-1774931486"/>
            <w14:checkbox>
              <w14:checked w14:val="0"/>
              <w14:checkedState w14:val="2612" w14:font="MS Gothic"/>
              <w14:uncheckedState w14:val="2610" w14:font="MS Gothic"/>
            </w14:checkbox>
          </w:sdtPr>
          <w:sdtContent>
            <w:tc>
              <w:tcPr>
                <w:tcW w:w="396" w:type="pct"/>
              </w:tcPr>
              <w:p w:rsidRPr="003170FB" w:rsidR="00BB4465" w:rsidP="00746D30" w:rsidRDefault="00806EA6" w14:paraId="58DCAD39" w14:textId="447F9591">
                <w:pPr>
                  <w:pStyle w:val="Tabletext"/>
                  <w:jc w:val="center"/>
                </w:pPr>
                <w:r>
                  <w:rPr>
                    <w:rFonts w:hint="eastAsia" w:ascii="MS Gothic" w:hAnsi="MS Gothic" w:eastAsia="MS Gothic"/>
                  </w:rPr>
                  <w:t>☐</w:t>
                </w:r>
              </w:p>
            </w:tc>
          </w:sdtContent>
        </w:sdt>
      </w:tr>
      <w:tr w:rsidR="00BB4465" w:rsidTr="001443A8" w14:paraId="354F1B2B" w14:textId="24EE4D6F">
        <w:tc>
          <w:tcPr>
            <w:tcW w:w="826" w:type="pct"/>
          </w:tcPr>
          <w:p w:rsidRPr="003170FB" w:rsidR="00BB4465" w:rsidRDefault="00BB4465" w14:paraId="69D47F06" w14:textId="77777777">
            <w:pPr>
              <w:pStyle w:val="Tabletext"/>
            </w:pPr>
            <w:r w:rsidRPr="003170FB">
              <w:t>Lighting</w:t>
            </w:r>
          </w:p>
        </w:tc>
        <w:tc>
          <w:tcPr>
            <w:tcW w:w="3381" w:type="pct"/>
          </w:tcPr>
          <w:p w:rsidR="00891D95" w:rsidP="00891D95" w:rsidRDefault="00891D95" w14:paraId="4FA5861B" w14:textId="77777777">
            <w:pPr>
              <w:pStyle w:val="Tabletext"/>
            </w:pPr>
            <w:r>
              <w:t>Inside rooms</w:t>
            </w:r>
            <w:r w:rsidRPr="003170FB" w:rsidR="00BB4465">
              <w:t xml:space="preserve">, corridors and hallways must have access to </w:t>
            </w:r>
            <w:r>
              <w:t xml:space="preserve">light to make the areas functional. During the day, </w:t>
            </w:r>
            <w:r w:rsidRPr="003170FB" w:rsidR="00BB4465">
              <w:t xml:space="preserve">natural </w:t>
            </w:r>
            <w:r>
              <w:t>light can include light borrowed from an adjoining room. At night, renters should have access to</w:t>
            </w:r>
            <w:r w:rsidRPr="003170FB" w:rsidR="00BB4465">
              <w:t xml:space="preserve"> artificial light.</w:t>
            </w:r>
          </w:p>
          <w:p w:rsidRPr="003170FB" w:rsidR="00BB4465" w:rsidRDefault="00E3274D" w14:paraId="1819EABD" w14:textId="1B32265F">
            <w:pPr>
              <w:pStyle w:val="Tabletext"/>
            </w:pPr>
            <w:r w:rsidRPr="00A05081">
              <w:t xml:space="preserve">These requirements do not apply if the property is listed in the </w:t>
            </w:r>
            <w:hyperlink w:history="1" r:id="rId31">
              <w:r w:rsidRPr="00837440">
                <w:rPr>
                  <w:rStyle w:val="Hyperlink"/>
                </w:rPr>
                <w:t>heritage register at Heritage Council Victoria</w:t>
              </w:r>
            </w:hyperlink>
            <w:r w:rsidRPr="00A05081">
              <w:t xml:space="preserve"> </w:t>
            </w:r>
            <w:r>
              <w:t>&lt;</w:t>
            </w:r>
            <w:r w:rsidRPr="00E3274D">
              <w:t>https://heritagecouncil.vic.gov.au/protecting-our-heritage/heritage-protection-process/victorian-heritage-register</w:t>
            </w:r>
            <w:r>
              <w:t xml:space="preserve">&gt; </w:t>
            </w:r>
            <w:r w:rsidRPr="00A05081">
              <w:t>and has an approved exemption from the standard.</w:t>
            </w:r>
          </w:p>
        </w:tc>
        <w:sdt>
          <w:sdtPr>
            <w:id w:val="-617448529"/>
            <w14:checkbox>
              <w14:checked w14:val="0"/>
              <w14:checkedState w14:val="2612" w14:font="MS Gothic"/>
              <w14:uncheckedState w14:val="2610" w14:font="MS Gothic"/>
            </w14:checkbox>
          </w:sdtPr>
          <w:sdtContent>
            <w:tc>
              <w:tcPr>
                <w:tcW w:w="397" w:type="pct"/>
              </w:tcPr>
              <w:p w:rsidRPr="003170FB" w:rsidR="00BB4465" w:rsidP="00746D30" w:rsidRDefault="00806EA6" w14:paraId="24624694" w14:textId="24C3BFAD">
                <w:pPr>
                  <w:pStyle w:val="Tabletext"/>
                  <w:jc w:val="center"/>
                </w:pPr>
                <w:r>
                  <w:rPr>
                    <w:rFonts w:hint="eastAsia" w:ascii="MS Gothic" w:hAnsi="MS Gothic" w:eastAsia="MS Gothic"/>
                  </w:rPr>
                  <w:t>☐</w:t>
                </w:r>
              </w:p>
            </w:tc>
          </w:sdtContent>
        </w:sdt>
        <w:sdt>
          <w:sdtPr>
            <w:id w:val="154809290"/>
            <w14:checkbox>
              <w14:checked w14:val="0"/>
              <w14:checkedState w14:val="2612" w14:font="MS Gothic"/>
              <w14:uncheckedState w14:val="2610" w14:font="MS Gothic"/>
            </w14:checkbox>
          </w:sdtPr>
          <w:sdtContent>
            <w:tc>
              <w:tcPr>
                <w:tcW w:w="396" w:type="pct"/>
              </w:tcPr>
              <w:p w:rsidRPr="003170FB" w:rsidR="00BB4465" w:rsidP="00746D30" w:rsidRDefault="00806EA6" w14:paraId="651D5A1D" w14:textId="0DA175CA">
                <w:pPr>
                  <w:pStyle w:val="Tabletext"/>
                  <w:jc w:val="center"/>
                </w:pPr>
                <w:r>
                  <w:rPr>
                    <w:rFonts w:hint="eastAsia" w:ascii="MS Gothic" w:hAnsi="MS Gothic" w:eastAsia="MS Gothic"/>
                  </w:rPr>
                  <w:t>☐</w:t>
                </w:r>
              </w:p>
            </w:tc>
          </w:sdtContent>
        </w:sdt>
      </w:tr>
      <w:tr w:rsidR="00BB4465" w:rsidTr="001443A8" w14:paraId="3DA44FC9" w14:textId="3216EC9E">
        <w:tc>
          <w:tcPr>
            <w:tcW w:w="826" w:type="pct"/>
          </w:tcPr>
          <w:p w:rsidRPr="003170FB" w:rsidR="00BB4465" w:rsidRDefault="00BB4465" w14:paraId="36D2178A" w14:textId="77777777">
            <w:pPr>
              <w:pStyle w:val="Tabletext"/>
            </w:pPr>
            <w:r w:rsidRPr="003170FB">
              <w:t>Locks</w:t>
            </w:r>
          </w:p>
        </w:tc>
        <w:tc>
          <w:tcPr>
            <w:tcW w:w="3381" w:type="pct"/>
          </w:tcPr>
          <w:p w:rsidR="000D3C5B" w:rsidP="000D3C5B" w:rsidRDefault="000D3C5B" w14:paraId="08D755EF" w14:textId="77777777">
            <w:pPr>
              <w:pStyle w:val="Tabletext"/>
            </w:pPr>
            <w:r>
              <w:t>The property’s external</w:t>
            </w:r>
            <w:r w:rsidRPr="003170FB" w:rsidR="00BB4465">
              <w:t xml:space="preserve"> entry doors must have functioning deadlocks </w:t>
            </w:r>
            <w:r>
              <w:t xml:space="preserve">(a ‘deadlock’ is defined as a deadlatch with at least one cylinder) or be fitted with </w:t>
            </w:r>
            <w:r w:rsidRPr="003170FB" w:rsidR="00BB4465">
              <w:t xml:space="preserve">locks that can be unlocked </w:t>
            </w:r>
            <w:r>
              <w:t xml:space="preserve">with a key </w:t>
            </w:r>
            <w:r w:rsidRPr="003170FB" w:rsidR="00BB4465">
              <w:t xml:space="preserve">from the outside </w:t>
            </w:r>
            <w:r>
              <w:t xml:space="preserve">but can be unlocked without one </w:t>
            </w:r>
            <w:r w:rsidRPr="003170FB" w:rsidR="00BB4465">
              <w:t>from the inside</w:t>
            </w:r>
            <w:r>
              <w:t>.</w:t>
            </w:r>
          </w:p>
          <w:p w:rsidR="000D3C5B" w:rsidP="000D3C5B" w:rsidRDefault="000D3C5B" w14:paraId="05B2C62F" w14:textId="77777777">
            <w:pPr>
              <w:pStyle w:val="Tabletext"/>
            </w:pPr>
            <w:r>
              <w:t>The only cases where a deadlock doesn’t have to be fitted to a door are when:</w:t>
            </w:r>
          </w:p>
          <w:p w:rsidR="000D3C5B" w:rsidP="000D3C5B" w:rsidRDefault="000D3C5B" w14:paraId="0CDA083F" w14:textId="77777777">
            <w:pPr>
              <w:pStyle w:val="Tablebullet1"/>
            </w:pPr>
            <w:r>
              <w:t>a door cannot be secured with a deadlock - for example, because of its position</w:t>
            </w:r>
          </w:p>
          <w:p w:rsidR="000D3C5B" w:rsidP="000D3C5B" w:rsidRDefault="000D3C5B" w14:paraId="237B0E03" w14:textId="77777777">
            <w:pPr>
              <w:pStyle w:val="Tablebullet1"/>
            </w:pPr>
            <w:r>
              <w:t>it is a screen door in the same door frame as an external door</w:t>
            </w:r>
          </w:p>
          <w:p w:rsidR="000D3C5B" w:rsidP="000D3C5B" w:rsidRDefault="000D3C5B" w14:paraId="42D55A9D" w14:textId="77777777">
            <w:pPr>
              <w:pStyle w:val="Tablebullet1"/>
            </w:pPr>
            <w:r>
              <w:t>a different type of lock or device is required under another Act or law</w:t>
            </w:r>
          </w:p>
          <w:p w:rsidR="000D3C5B" w:rsidP="000D3C5B" w:rsidRDefault="000D3C5B" w14:paraId="0E02047E" w14:textId="77777777">
            <w:pPr>
              <w:pStyle w:val="Tablebullet1"/>
            </w:pPr>
            <w:r>
              <w:t>the door is not accessible because there is another type of security barrier. For example, a locked door to an apartment building, or a locked gate</w:t>
            </w:r>
          </w:p>
          <w:p w:rsidR="000D3C5B" w:rsidP="000D3C5B" w:rsidRDefault="000D3C5B" w14:paraId="7E7305E0" w14:textId="77777777">
            <w:pPr>
              <w:pStyle w:val="Tablebullet1"/>
            </w:pPr>
            <w:r>
              <w:t>the property is registered under the Heritage Act 2017 and has an approved exemption from the standard.</w:t>
            </w:r>
          </w:p>
          <w:p w:rsidRPr="003170FB" w:rsidR="00BB4465" w:rsidRDefault="000D3C5B" w14:paraId="34DDD795" w14:textId="5987A149">
            <w:pPr>
              <w:pStyle w:val="Tabletext"/>
            </w:pPr>
            <w:r>
              <w:t xml:space="preserve">Read more about </w:t>
            </w:r>
            <w:hyperlink w:history="1" r:id="rId32">
              <w:r w:rsidRPr="00DA0B3D">
                <w:rPr>
                  <w:rStyle w:val="Hyperlink"/>
                </w:rPr>
                <w:t>locks and security</w:t>
              </w:r>
            </w:hyperlink>
            <w:r w:rsidR="00827D21">
              <w:t xml:space="preserve"> on the Consumer Affairs </w:t>
            </w:r>
            <w:r w:rsidR="008169C3">
              <w:t>Victoria</w:t>
            </w:r>
            <w:r w:rsidR="006579EF">
              <w:t xml:space="preserve"> </w:t>
            </w:r>
            <w:r w:rsidR="008169C3">
              <w:t>web</w:t>
            </w:r>
            <w:r w:rsidR="006579EF">
              <w:t xml:space="preserve">site at </w:t>
            </w:r>
            <w:hyperlink w:history="1" r:id="rId33">
              <w:r w:rsidRPr="004C62E9" w:rsidR="008169C3">
                <w:rPr>
                  <w:rStyle w:val="Hyperlink"/>
                </w:rPr>
                <w:t>https://www.consumer.vic.gov.au/housing/renting/repairs-alterations-safety-and-pets/keeping-the-property-safe/locks-and-security</w:t>
              </w:r>
            </w:hyperlink>
            <w:r w:rsidR="008169C3">
              <w:t>.</w:t>
            </w:r>
          </w:p>
        </w:tc>
        <w:sdt>
          <w:sdtPr>
            <w:id w:val="207691813"/>
            <w14:checkbox>
              <w14:checked w14:val="0"/>
              <w14:checkedState w14:val="2612" w14:font="MS Gothic"/>
              <w14:uncheckedState w14:val="2610" w14:font="MS Gothic"/>
            </w14:checkbox>
          </w:sdtPr>
          <w:sdtContent>
            <w:tc>
              <w:tcPr>
                <w:tcW w:w="397" w:type="pct"/>
              </w:tcPr>
              <w:p w:rsidRPr="003170FB" w:rsidR="00BB4465" w:rsidP="00746D30" w:rsidRDefault="00806EA6" w14:paraId="0006EC48" w14:textId="346A163F">
                <w:pPr>
                  <w:pStyle w:val="Tabletext"/>
                  <w:jc w:val="center"/>
                </w:pPr>
                <w:r>
                  <w:rPr>
                    <w:rFonts w:hint="eastAsia" w:ascii="MS Gothic" w:hAnsi="MS Gothic" w:eastAsia="MS Gothic"/>
                  </w:rPr>
                  <w:t>☐</w:t>
                </w:r>
              </w:p>
            </w:tc>
          </w:sdtContent>
        </w:sdt>
        <w:sdt>
          <w:sdtPr>
            <w:id w:val="-909687600"/>
            <w14:checkbox>
              <w14:checked w14:val="0"/>
              <w14:checkedState w14:val="2612" w14:font="MS Gothic"/>
              <w14:uncheckedState w14:val="2610" w14:font="MS Gothic"/>
            </w14:checkbox>
          </w:sdtPr>
          <w:sdtContent>
            <w:tc>
              <w:tcPr>
                <w:tcW w:w="396" w:type="pct"/>
              </w:tcPr>
              <w:p w:rsidRPr="003170FB" w:rsidR="00BB4465" w:rsidP="00746D30" w:rsidRDefault="00806EA6" w14:paraId="34803A52" w14:textId="177FB1FC">
                <w:pPr>
                  <w:pStyle w:val="Tabletext"/>
                  <w:jc w:val="center"/>
                </w:pPr>
                <w:r>
                  <w:rPr>
                    <w:rFonts w:hint="eastAsia" w:ascii="MS Gothic" w:hAnsi="MS Gothic" w:eastAsia="MS Gothic"/>
                  </w:rPr>
                  <w:t>☐</w:t>
                </w:r>
              </w:p>
            </w:tc>
          </w:sdtContent>
        </w:sdt>
      </w:tr>
      <w:tr w:rsidR="00BB4465" w:rsidTr="001443A8" w14:paraId="53ECEAE5" w14:textId="364A3C39">
        <w:tc>
          <w:tcPr>
            <w:tcW w:w="826" w:type="pct"/>
          </w:tcPr>
          <w:p w:rsidRPr="003170FB" w:rsidR="00BB4465" w:rsidRDefault="00BB4465" w14:paraId="6395B7FF" w14:textId="2A64F96C">
            <w:pPr>
              <w:pStyle w:val="Tabletext"/>
            </w:pPr>
            <w:r w:rsidRPr="003170FB">
              <w:t xml:space="preserve">Mould and </w:t>
            </w:r>
            <w:r w:rsidR="00E55FE0">
              <w:t>d</w:t>
            </w:r>
            <w:r w:rsidRPr="003170FB">
              <w:t>amp</w:t>
            </w:r>
          </w:p>
        </w:tc>
        <w:tc>
          <w:tcPr>
            <w:tcW w:w="3381" w:type="pct"/>
          </w:tcPr>
          <w:p w:rsidRPr="003170FB" w:rsidR="00BB4465" w:rsidRDefault="00BB4465" w14:paraId="01C093A6" w14:textId="77777777">
            <w:pPr>
              <w:pStyle w:val="Tabletext"/>
            </w:pPr>
            <w:r w:rsidRPr="003170FB">
              <w:t>All rooms must be free from mould and damp caused by or related to the building structure.</w:t>
            </w:r>
          </w:p>
        </w:tc>
        <w:sdt>
          <w:sdtPr>
            <w:id w:val="834112329"/>
            <w14:checkbox>
              <w14:checked w14:val="0"/>
              <w14:checkedState w14:val="2612" w14:font="MS Gothic"/>
              <w14:uncheckedState w14:val="2610" w14:font="MS Gothic"/>
            </w14:checkbox>
          </w:sdtPr>
          <w:sdtContent>
            <w:tc>
              <w:tcPr>
                <w:tcW w:w="397" w:type="pct"/>
              </w:tcPr>
              <w:p w:rsidRPr="003170FB" w:rsidR="00BB4465" w:rsidP="00746D30" w:rsidRDefault="00806EA6" w14:paraId="24CFCE90" w14:textId="663EBBF0">
                <w:pPr>
                  <w:pStyle w:val="Tabletext"/>
                  <w:jc w:val="center"/>
                </w:pPr>
                <w:r>
                  <w:rPr>
                    <w:rFonts w:hint="eastAsia" w:ascii="MS Gothic" w:hAnsi="MS Gothic" w:eastAsia="MS Gothic"/>
                  </w:rPr>
                  <w:t>☐</w:t>
                </w:r>
              </w:p>
            </w:tc>
          </w:sdtContent>
        </w:sdt>
        <w:sdt>
          <w:sdtPr>
            <w:id w:val="528070751"/>
            <w14:checkbox>
              <w14:checked w14:val="0"/>
              <w14:checkedState w14:val="2612" w14:font="MS Gothic"/>
              <w14:uncheckedState w14:val="2610" w14:font="MS Gothic"/>
            </w14:checkbox>
          </w:sdtPr>
          <w:sdtContent>
            <w:tc>
              <w:tcPr>
                <w:tcW w:w="396" w:type="pct"/>
              </w:tcPr>
              <w:p w:rsidRPr="003170FB" w:rsidR="00BB4465" w:rsidP="00746D30" w:rsidRDefault="00806EA6" w14:paraId="58F527C7" w14:textId="39120A0F">
                <w:pPr>
                  <w:pStyle w:val="Tabletext"/>
                  <w:jc w:val="center"/>
                </w:pPr>
                <w:r>
                  <w:rPr>
                    <w:rFonts w:hint="eastAsia" w:ascii="MS Gothic" w:hAnsi="MS Gothic" w:eastAsia="MS Gothic"/>
                  </w:rPr>
                  <w:t>☐</w:t>
                </w:r>
              </w:p>
            </w:tc>
          </w:sdtContent>
        </w:sdt>
      </w:tr>
      <w:tr w:rsidR="00BB4465" w:rsidTr="001443A8" w14:paraId="78D26ED0" w14:textId="5003EBA9">
        <w:tc>
          <w:tcPr>
            <w:tcW w:w="826" w:type="pct"/>
          </w:tcPr>
          <w:p w:rsidRPr="003170FB" w:rsidR="00BB4465" w:rsidRDefault="00BB4465" w14:paraId="42FC37BF" w14:textId="60592D36">
            <w:pPr>
              <w:pStyle w:val="Tabletext"/>
            </w:pPr>
            <w:r w:rsidRPr="003170FB">
              <w:t xml:space="preserve">Structural </w:t>
            </w:r>
            <w:r w:rsidR="00E55FE0">
              <w:t>s</w:t>
            </w:r>
            <w:r w:rsidRPr="003170FB">
              <w:t>oundness</w:t>
            </w:r>
          </w:p>
        </w:tc>
        <w:tc>
          <w:tcPr>
            <w:tcW w:w="3381" w:type="pct"/>
          </w:tcPr>
          <w:p w:rsidRPr="003170FB" w:rsidR="00BB4465" w:rsidRDefault="00BB4465" w14:paraId="60F38216" w14:textId="77777777">
            <w:pPr>
              <w:pStyle w:val="Tabletext"/>
            </w:pPr>
            <w:r w:rsidRPr="003170FB">
              <w:t>The property must be structurally sound and weatherproof.</w:t>
            </w:r>
          </w:p>
        </w:tc>
        <w:sdt>
          <w:sdtPr>
            <w:id w:val="137464022"/>
            <w14:checkbox>
              <w14:checked w14:val="0"/>
              <w14:checkedState w14:val="2612" w14:font="MS Gothic"/>
              <w14:uncheckedState w14:val="2610" w14:font="MS Gothic"/>
            </w14:checkbox>
          </w:sdtPr>
          <w:sdtContent>
            <w:tc>
              <w:tcPr>
                <w:tcW w:w="397" w:type="pct"/>
              </w:tcPr>
              <w:p w:rsidRPr="003170FB" w:rsidR="00BB4465" w:rsidP="00746D30" w:rsidRDefault="001B26A4" w14:paraId="1292929C" w14:textId="2C9DBF14">
                <w:pPr>
                  <w:pStyle w:val="Tabletext"/>
                  <w:jc w:val="center"/>
                </w:pPr>
                <w:r>
                  <w:rPr>
                    <w:rFonts w:hint="eastAsia" w:ascii="MS Gothic" w:hAnsi="MS Gothic" w:eastAsia="MS Gothic"/>
                  </w:rPr>
                  <w:t>☐</w:t>
                </w:r>
              </w:p>
            </w:tc>
          </w:sdtContent>
        </w:sdt>
        <w:sdt>
          <w:sdtPr>
            <w:id w:val="2096203158"/>
            <w14:checkbox>
              <w14:checked w14:val="0"/>
              <w14:checkedState w14:val="2612" w14:font="MS Gothic"/>
              <w14:uncheckedState w14:val="2610" w14:font="MS Gothic"/>
            </w14:checkbox>
          </w:sdtPr>
          <w:sdtContent>
            <w:tc>
              <w:tcPr>
                <w:tcW w:w="396" w:type="pct"/>
              </w:tcPr>
              <w:p w:rsidRPr="003170FB" w:rsidR="00BB4465" w:rsidP="00746D30" w:rsidRDefault="00806EA6" w14:paraId="4174A197" w14:textId="1CDD47A6">
                <w:pPr>
                  <w:pStyle w:val="Tabletext"/>
                  <w:jc w:val="center"/>
                </w:pPr>
                <w:r>
                  <w:rPr>
                    <w:rFonts w:hint="eastAsia" w:ascii="MS Gothic" w:hAnsi="MS Gothic" w:eastAsia="MS Gothic"/>
                  </w:rPr>
                  <w:t>☐</w:t>
                </w:r>
              </w:p>
            </w:tc>
          </w:sdtContent>
        </w:sdt>
      </w:tr>
      <w:tr w:rsidR="00BB4465" w:rsidTr="001443A8" w14:paraId="195AEB0F" w14:textId="3267E69D">
        <w:tc>
          <w:tcPr>
            <w:tcW w:w="826" w:type="pct"/>
          </w:tcPr>
          <w:p w:rsidRPr="003170FB" w:rsidR="00BB4465" w:rsidRDefault="00BB4465" w14:paraId="3BF22630" w14:textId="77777777">
            <w:pPr>
              <w:pStyle w:val="Tabletext"/>
            </w:pPr>
            <w:r w:rsidRPr="003170FB">
              <w:t>Toilets</w:t>
            </w:r>
          </w:p>
        </w:tc>
        <w:tc>
          <w:tcPr>
            <w:tcW w:w="3381" w:type="pct"/>
          </w:tcPr>
          <w:p w:rsidRPr="003170FB" w:rsidR="00BB4465" w:rsidRDefault="00BB4465" w14:paraId="53AFC665" w14:textId="77777777">
            <w:pPr>
              <w:pStyle w:val="Tabletext"/>
            </w:pPr>
            <w:r w:rsidRPr="003170FB">
              <w:t>The toilet must be in good working order and connected to a sewage system, wastewater treatment system, or approved local council system.</w:t>
            </w:r>
          </w:p>
        </w:tc>
        <w:sdt>
          <w:sdtPr>
            <w:id w:val="-534503452"/>
            <w14:checkbox>
              <w14:checked w14:val="0"/>
              <w14:checkedState w14:val="2612" w14:font="MS Gothic"/>
              <w14:uncheckedState w14:val="2610" w14:font="MS Gothic"/>
            </w14:checkbox>
          </w:sdtPr>
          <w:sdtContent>
            <w:tc>
              <w:tcPr>
                <w:tcW w:w="397" w:type="pct"/>
              </w:tcPr>
              <w:p w:rsidRPr="003170FB" w:rsidR="00BB4465" w:rsidP="00746D30" w:rsidRDefault="00806EA6" w14:paraId="09F635A3" w14:textId="6537AB73">
                <w:pPr>
                  <w:pStyle w:val="Tabletext"/>
                  <w:jc w:val="center"/>
                </w:pPr>
                <w:r>
                  <w:rPr>
                    <w:rFonts w:hint="eastAsia" w:ascii="MS Gothic" w:hAnsi="MS Gothic" w:eastAsia="MS Gothic"/>
                  </w:rPr>
                  <w:t>☐</w:t>
                </w:r>
              </w:p>
            </w:tc>
          </w:sdtContent>
        </w:sdt>
        <w:sdt>
          <w:sdtPr>
            <w:id w:val="1198664154"/>
            <w14:checkbox>
              <w14:checked w14:val="0"/>
              <w14:checkedState w14:val="2612" w14:font="MS Gothic"/>
              <w14:uncheckedState w14:val="2610" w14:font="MS Gothic"/>
            </w14:checkbox>
          </w:sdtPr>
          <w:sdtContent>
            <w:tc>
              <w:tcPr>
                <w:tcW w:w="396" w:type="pct"/>
              </w:tcPr>
              <w:p w:rsidRPr="003170FB" w:rsidR="00BB4465" w:rsidP="00746D30" w:rsidRDefault="00806EA6" w14:paraId="5706D6D2" w14:textId="73B5478B">
                <w:pPr>
                  <w:pStyle w:val="Tabletext"/>
                  <w:jc w:val="center"/>
                </w:pPr>
                <w:r>
                  <w:rPr>
                    <w:rFonts w:hint="eastAsia" w:ascii="MS Gothic" w:hAnsi="MS Gothic" w:eastAsia="MS Gothic"/>
                  </w:rPr>
                  <w:t>☐</w:t>
                </w:r>
              </w:p>
            </w:tc>
          </w:sdtContent>
        </w:sdt>
      </w:tr>
      <w:tr w:rsidR="00BB4465" w:rsidTr="001443A8" w14:paraId="215C41AE" w14:textId="3C6C2290">
        <w:tc>
          <w:tcPr>
            <w:tcW w:w="826" w:type="pct"/>
          </w:tcPr>
          <w:p w:rsidRPr="003170FB" w:rsidR="00BB4465" w:rsidRDefault="00BB4465" w14:paraId="4FF8542C" w14:textId="77777777">
            <w:pPr>
              <w:pStyle w:val="Tabletext"/>
            </w:pPr>
            <w:r w:rsidRPr="003170FB">
              <w:t>Ventilation</w:t>
            </w:r>
          </w:p>
        </w:tc>
        <w:tc>
          <w:tcPr>
            <w:tcW w:w="3381" w:type="pct"/>
          </w:tcPr>
          <w:p w:rsidRPr="003170FB" w:rsidR="00BB4465" w:rsidRDefault="00BB4465" w14:paraId="04C1FEE5" w14:textId="48C03391">
            <w:pPr>
              <w:pStyle w:val="Tabletext"/>
            </w:pPr>
            <w:r w:rsidRPr="003170FB">
              <w:t xml:space="preserve">Rental properties must have adequate ventilation in all habitable rooms, including the bathroom, shower, toilet, and laundry, meeting the requirements of the </w:t>
            </w:r>
            <w:hyperlink w:history="1" r:id="rId34">
              <w:r w:rsidR="00A250D5">
                <w:rPr>
                  <w:rStyle w:val="Hyperlink"/>
                </w:rPr>
                <w:t>Building Code of Australia</w:t>
              </w:r>
            </w:hyperlink>
            <w:r w:rsidR="00DF2421">
              <w:t>&lt;</w:t>
            </w:r>
            <w:r w:rsidRPr="00DF2421" w:rsidR="00DF2421">
              <w:t>https://www.abcb.gov.au/</w:t>
            </w:r>
            <w:r w:rsidDel="00DF2421">
              <w:t>resources</w:t>
            </w:r>
            <w:r w:rsidR="00DF2421">
              <w:t>&gt;</w:t>
            </w:r>
          </w:p>
        </w:tc>
        <w:sdt>
          <w:sdtPr>
            <w:id w:val="420232882"/>
            <w14:checkbox>
              <w14:checked w14:val="0"/>
              <w14:checkedState w14:val="2612" w14:font="MS Gothic"/>
              <w14:uncheckedState w14:val="2610" w14:font="MS Gothic"/>
            </w14:checkbox>
          </w:sdtPr>
          <w:sdtContent>
            <w:tc>
              <w:tcPr>
                <w:tcW w:w="397" w:type="pct"/>
              </w:tcPr>
              <w:p w:rsidRPr="003170FB" w:rsidR="00BB4465" w:rsidP="00746D30" w:rsidRDefault="00806EA6" w14:paraId="1D530F49" w14:textId="4B602146">
                <w:pPr>
                  <w:pStyle w:val="Tabletext"/>
                  <w:jc w:val="center"/>
                </w:pPr>
                <w:r>
                  <w:rPr>
                    <w:rFonts w:hint="eastAsia" w:ascii="MS Gothic" w:hAnsi="MS Gothic" w:eastAsia="MS Gothic"/>
                  </w:rPr>
                  <w:t>☐</w:t>
                </w:r>
              </w:p>
            </w:tc>
          </w:sdtContent>
        </w:sdt>
        <w:sdt>
          <w:sdtPr>
            <w:id w:val="-2083365683"/>
            <w14:checkbox>
              <w14:checked w14:val="0"/>
              <w14:checkedState w14:val="2612" w14:font="MS Gothic"/>
              <w14:uncheckedState w14:val="2610" w14:font="MS Gothic"/>
            </w14:checkbox>
          </w:sdtPr>
          <w:sdtContent>
            <w:tc>
              <w:tcPr>
                <w:tcW w:w="396" w:type="pct"/>
              </w:tcPr>
              <w:p w:rsidRPr="003170FB" w:rsidR="00BB4465" w:rsidP="00746D30" w:rsidRDefault="00806EA6" w14:paraId="1B76B3D9" w14:textId="3F2BBD04">
                <w:pPr>
                  <w:pStyle w:val="Tabletext"/>
                  <w:jc w:val="center"/>
                </w:pPr>
                <w:r>
                  <w:rPr>
                    <w:rFonts w:hint="eastAsia" w:ascii="MS Gothic" w:hAnsi="MS Gothic" w:eastAsia="MS Gothic"/>
                  </w:rPr>
                  <w:t>☐</w:t>
                </w:r>
              </w:p>
            </w:tc>
          </w:sdtContent>
        </w:sdt>
      </w:tr>
      <w:tr w:rsidR="00BB4465" w:rsidTr="001443A8" w14:paraId="1A7BB0B0" w14:textId="33DE54E3">
        <w:tc>
          <w:tcPr>
            <w:tcW w:w="826" w:type="pct"/>
          </w:tcPr>
          <w:p w:rsidRPr="003170FB" w:rsidR="00BB4465" w:rsidRDefault="00BB4465" w14:paraId="6B50634F" w14:textId="2D606C2A">
            <w:pPr>
              <w:pStyle w:val="Tabletext"/>
            </w:pPr>
            <w:r w:rsidRPr="003170FB">
              <w:t>Vermin-</w:t>
            </w:r>
            <w:r w:rsidR="00E55FE0">
              <w:t>p</w:t>
            </w:r>
            <w:r w:rsidRPr="003170FB">
              <w:t xml:space="preserve">roof </w:t>
            </w:r>
            <w:r w:rsidR="00E55FE0">
              <w:t>b</w:t>
            </w:r>
            <w:r w:rsidRPr="003170FB">
              <w:t>ins</w:t>
            </w:r>
          </w:p>
        </w:tc>
        <w:tc>
          <w:tcPr>
            <w:tcW w:w="3381" w:type="pct"/>
          </w:tcPr>
          <w:p w:rsidRPr="003170FB" w:rsidR="00BB4465" w:rsidRDefault="00BB4465" w14:paraId="05FEC943" w14:textId="77777777">
            <w:pPr>
              <w:pStyle w:val="Tabletext"/>
            </w:pPr>
            <w:r w:rsidRPr="003170FB">
              <w:t>Rental providers must supply a rubbish and recycling bin that is vermin-proof and meets council collection standards.</w:t>
            </w:r>
          </w:p>
        </w:tc>
        <w:sdt>
          <w:sdtPr>
            <w:id w:val="-1652520971"/>
            <w14:checkbox>
              <w14:checked w14:val="0"/>
              <w14:checkedState w14:val="2612" w14:font="MS Gothic"/>
              <w14:uncheckedState w14:val="2610" w14:font="MS Gothic"/>
            </w14:checkbox>
          </w:sdtPr>
          <w:sdtContent>
            <w:tc>
              <w:tcPr>
                <w:tcW w:w="397" w:type="pct"/>
              </w:tcPr>
              <w:p w:rsidRPr="003170FB" w:rsidR="00BB4465" w:rsidP="00746D30" w:rsidRDefault="00806EA6" w14:paraId="7FC634FA" w14:textId="416AE5B2">
                <w:pPr>
                  <w:pStyle w:val="Tabletext"/>
                  <w:jc w:val="center"/>
                </w:pPr>
                <w:r>
                  <w:rPr>
                    <w:rFonts w:hint="eastAsia" w:ascii="MS Gothic" w:hAnsi="MS Gothic" w:eastAsia="MS Gothic"/>
                  </w:rPr>
                  <w:t>☐</w:t>
                </w:r>
              </w:p>
            </w:tc>
          </w:sdtContent>
        </w:sdt>
        <w:sdt>
          <w:sdtPr>
            <w:id w:val="600463280"/>
            <w14:checkbox>
              <w14:checked w14:val="0"/>
              <w14:checkedState w14:val="2612" w14:font="MS Gothic"/>
              <w14:uncheckedState w14:val="2610" w14:font="MS Gothic"/>
            </w14:checkbox>
          </w:sdtPr>
          <w:sdtContent>
            <w:tc>
              <w:tcPr>
                <w:tcW w:w="396" w:type="pct"/>
              </w:tcPr>
              <w:p w:rsidRPr="003170FB" w:rsidR="00BB4465" w:rsidP="00746D30" w:rsidRDefault="00806EA6" w14:paraId="736B661F" w14:textId="3CFAAD03">
                <w:pPr>
                  <w:pStyle w:val="Tabletext"/>
                  <w:jc w:val="center"/>
                </w:pPr>
                <w:r>
                  <w:rPr>
                    <w:rFonts w:hint="eastAsia" w:ascii="MS Gothic" w:hAnsi="MS Gothic" w:eastAsia="MS Gothic"/>
                  </w:rPr>
                  <w:t>☐</w:t>
                </w:r>
              </w:p>
            </w:tc>
          </w:sdtContent>
        </w:sdt>
      </w:tr>
      <w:tr w:rsidR="00BB4465" w:rsidTr="001443A8" w14:paraId="4AEA809D" w14:textId="7A39B569">
        <w:tc>
          <w:tcPr>
            <w:tcW w:w="826" w:type="pct"/>
          </w:tcPr>
          <w:p w:rsidRPr="003170FB" w:rsidR="00BB4465" w:rsidRDefault="00BB4465" w14:paraId="1635FCE6" w14:textId="29CEF1F7">
            <w:pPr>
              <w:pStyle w:val="Tabletext"/>
            </w:pPr>
            <w:r w:rsidRPr="003170FB">
              <w:t xml:space="preserve">Window </w:t>
            </w:r>
            <w:r w:rsidR="00E55FE0">
              <w:t>c</w:t>
            </w:r>
            <w:r w:rsidRPr="003170FB">
              <w:t>overings</w:t>
            </w:r>
          </w:p>
        </w:tc>
        <w:tc>
          <w:tcPr>
            <w:tcW w:w="3381" w:type="pct"/>
          </w:tcPr>
          <w:p w:rsidRPr="003170FB" w:rsidR="00BB4465" w:rsidRDefault="00BB4465" w14:paraId="3033B66F" w14:textId="5676C667">
            <w:pPr>
              <w:pStyle w:val="Tabletext"/>
            </w:pPr>
            <w:r w:rsidRPr="003170FB">
              <w:t xml:space="preserve">Windows in </w:t>
            </w:r>
            <w:r w:rsidRPr="00F145A9" w:rsidR="00F145A9">
              <w:t xml:space="preserve">rooms likely to be used as </w:t>
            </w:r>
            <w:r w:rsidRPr="003170FB">
              <w:t xml:space="preserve">bedrooms </w:t>
            </w:r>
            <w:r w:rsidRPr="00F145A9" w:rsidR="00F145A9">
              <w:t>or</w:t>
            </w:r>
            <w:r w:rsidRPr="003170FB">
              <w:t xml:space="preserve"> living areas must </w:t>
            </w:r>
            <w:r w:rsidRPr="00F145A9" w:rsidR="00F145A9">
              <w:t>be fitted with curtains or</w:t>
            </w:r>
            <w:r w:rsidRPr="003170FB">
              <w:t xml:space="preserve"> blinds that can be closed</w:t>
            </w:r>
            <w:r w:rsidRPr="00F145A9" w:rsidR="00F145A9">
              <w:t>,</w:t>
            </w:r>
            <w:r w:rsidRPr="003170FB">
              <w:t xml:space="preserve"> block light and provide privacy</w:t>
            </w:r>
            <w:r w:rsidR="00BE29BD">
              <w:t xml:space="preserve"> and made safer with a </w:t>
            </w:r>
            <w:r w:rsidRPr="00F145A9" w:rsidR="00F145A9">
              <w:t>curtain and blind safety kit.</w:t>
            </w:r>
          </w:p>
        </w:tc>
        <w:sdt>
          <w:sdtPr>
            <w:id w:val="-275259445"/>
            <w14:checkbox>
              <w14:checked w14:val="0"/>
              <w14:checkedState w14:val="2612" w14:font="MS Gothic"/>
              <w14:uncheckedState w14:val="2610" w14:font="MS Gothic"/>
            </w14:checkbox>
          </w:sdtPr>
          <w:sdtContent>
            <w:tc>
              <w:tcPr>
                <w:tcW w:w="397" w:type="pct"/>
              </w:tcPr>
              <w:p w:rsidRPr="003170FB" w:rsidR="00BB4465" w:rsidP="00746D30" w:rsidRDefault="00806EA6" w14:paraId="6AB9E1D3" w14:textId="6406BCCE">
                <w:pPr>
                  <w:pStyle w:val="Tabletext"/>
                  <w:jc w:val="center"/>
                </w:pPr>
                <w:r>
                  <w:rPr>
                    <w:rFonts w:hint="eastAsia" w:ascii="MS Gothic" w:hAnsi="MS Gothic" w:eastAsia="MS Gothic"/>
                  </w:rPr>
                  <w:t>☐</w:t>
                </w:r>
              </w:p>
            </w:tc>
          </w:sdtContent>
        </w:sdt>
        <w:sdt>
          <w:sdtPr>
            <w:id w:val="-485784950"/>
            <w14:checkbox>
              <w14:checked w14:val="0"/>
              <w14:checkedState w14:val="2612" w14:font="MS Gothic"/>
              <w14:uncheckedState w14:val="2610" w14:font="MS Gothic"/>
            </w14:checkbox>
          </w:sdtPr>
          <w:sdtContent>
            <w:tc>
              <w:tcPr>
                <w:tcW w:w="396" w:type="pct"/>
              </w:tcPr>
              <w:p w:rsidRPr="003170FB" w:rsidR="00BB4465" w:rsidP="00746D30" w:rsidRDefault="00806EA6" w14:paraId="12F16A9E" w14:textId="19A66851">
                <w:pPr>
                  <w:pStyle w:val="Tabletext"/>
                  <w:jc w:val="center"/>
                </w:pPr>
                <w:r>
                  <w:rPr>
                    <w:rFonts w:hint="eastAsia" w:ascii="MS Gothic" w:hAnsi="MS Gothic" w:eastAsia="MS Gothic"/>
                  </w:rPr>
                  <w:t>☐</w:t>
                </w:r>
              </w:p>
            </w:tc>
          </w:sdtContent>
        </w:sdt>
      </w:tr>
      <w:tr w:rsidR="00BB4465" w:rsidTr="001443A8" w14:paraId="392A3947" w14:textId="5293F169">
        <w:tc>
          <w:tcPr>
            <w:tcW w:w="826" w:type="pct"/>
          </w:tcPr>
          <w:p w:rsidRPr="003170FB" w:rsidR="00BB4465" w:rsidRDefault="00BB4465" w14:paraId="2154DB08" w14:textId="77777777">
            <w:pPr>
              <w:pStyle w:val="Tabletext"/>
            </w:pPr>
            <w:r w:rsidRPr="003170FB">
              <w:t>Windows</w:t>
            </w:r>
          </w:p>
        </w:tc>
        <w:tc>
          <w:tcPr>
            <w:tcW w:w="3381" w:type="pct"/>
          </w:tcPr>
          <w:p w:rsidRPr="003170FB" w:rsidR="00BB4465" w:rsidRDefault="00BB4465" w14:paraId="4F638D22" w14:textId="77777777">
            <w:pPr>
              <w:pStyle w:val="Tabletext"/>
            </w:pPr>
            <w:r w:rsidRPr="003170FB">
              <w:t>All external windows capable of opening must have a functioning latch to secure the windows and allow them to be left open or closed.</w:t>
            </w:r>
          </w:p>
        </w:tc>
        <w:sdt>
          <w:sdtPr>
            <w:id w:val="1073312574"/>
            <w14:checkbox>
              <w14:checked w14:val="0"/>
              <w14:checkedState w14:val="2612" w14:font="MS Gothic"/>
              <w14:uncheckedState w14:val="2610" w14:font="MS Gothic"/>
            </w14:checkbox>
          </w:sdtPr>
          <w:sdtContent>
            <w:tc>
              <w:tcPr>
                <w:tcW w:w="397" w:type="pct"/>
              </w:tcPr>
              <w:p w:rsidRPr="003170FB" w:rsidR="00BB4465" w:rsidP="00746D30" w:rsidRDefault="00806EA6" w14:paraId="7D1CD24D" w14:textId="3510B72B">
                <w:pPr>
                  <w:pStyle w:val="Tabletext"/>
                  <w:jc w:val="center"/>
                </w:pPr>
                <w:r>
                  <w:rPr>
                    <w:rFonts w:hint="eastAsia" w:ascii="MS Gothic" w:hAnsi="MS Gothic" w:eastAsia="MS Gothic"/>
                  </w:rPr>
                  <w:t>☐</w:t>
                </w:r>
              </w:p>
            </w:tc>
          </w:sdtContent>
        </w:sdt>
        <w:sdt>
          <w:sdtPr>
            <w:id w:val="-1164005471"/>
            <w14:checkbox>
              <w14:checked w14:val="0"/>
              <w14:checkedState w14:val="2612" w14:font="MS Gothic"/>
              <w14:uncheckedState w14:val="2610" w14:font="MS Gothic"/>
            </w14:checkbox>
          </w:sdtPr>
          <w:sdtContent>
            <w:tc>
              <w:tcPr>
                <w:tcW w:w="396" w:type="pct"/>
              </w:tcPr>
              <w:p w:rsidRPr="003170FB" w:rsidR="00BB4465" w:rsidP="00746D30" w:rsidRDefault="00806EA6" w14:paraId="10A123F6" w14:textId="0685AC16">
                <w:pPr>
                  <w:pStyle w:val="Tabletext"/>
                  <w:jc w:val="center"/>
                </w:pPr>
                <w:r>
                  <w:rPr>
                    <w:rFonts w:hint="eastAsia" w:ascii="MS Gothic" w:hAnsi="MS Gothic" w:eastAsia="MS Gothic"/>
                  </w:rPr>
                  <w:t>☐</w:t>
                </w:r>
              </w:p>
            </w:tc>
          </w:sdtContent>
        </w:sdt>
      </w:tr>
    </w:tbl>
    <w:p w:rsidR="001B26A4" w:rsidP="001B26A4" w:rsidRDefault="001B26A4" w14:paraId="6F3FB5F2" w14:textId="77777777">
      <w:pPr>
        <w:pStyle w:val="Body"/>
      </w:pPr>
    </w:p>
    <w:p w:rsidR="001B26A4" w:rsidP="001B26A4" w:rsidRDefault="001B26A4" w14:paraId="36B578AB" w14:textId="77777777">
      <w:pPr>
        <w:ind w:firstLine="720"/>
        <w:rPr>
          <w:rFonts w:eastAsia="Times"/>
        </w:rPr>
      </w:pPr>
    </w:p>
    <w:p w:rsidRPr="001B26A4" w:rsidR="001B26A4" w:rsidP="001B26A4" w:rsidRDefault="001B26A4" w14:paraId="0D80385C" w14:textId="2A3F66F6">
      <w:pPr>
        <w:tabs>
          <w:tab w:val="left" w:pos="841"/>
        </w:tabs>
        <w:sectPr w:rsidRPr="001B26A4" w:rsidR="001B26A4" w:rsidSect="00C66E1D">
          <w:pgSz w:w="16838" w:h="11906" w:orient="landscape" w:code="9"/>
          <w:pgMar w:top="1304" w:right="851" w:bottom="1304" w:left="1418" w:header="680" w:footer="567" w:gutter="0"/>
          <w:cols w:space="340"/>
          <w:docGrid w:linePitch="360"/>
        </w:sectPr>
      </w:pPr>
      <w:r>
        <w:tab/>
      </w:r>
    </w:p>
    <w:p w:rsidR="001B70B0" w:rsidP="00586947" w:rsidRDefault="003B2E31" w14:paraId="6E919BC9" w14:textId="5608ABBE">
      <w:pPr>
        <w:pStyle w:val="Heading2"/>
      </w:pPr>
      <w:bookmarkStart w:name="_Toc200818214" w:id="35"/>
      <w:r>
        <w:t xml:space="preserve">Other </w:t>
      </w:r>
      <w:r w:rsidR="00AD2EB1">
        <w:t>v</w:t>
      </w:r>
      <w:r>
        <w:t xml:space="preserve">acant </w:t>
      </w:r>
      <w:r w:rsidR="00AD2EB1">
        <w:t>u</w:t>
      </w:r>
      <w:r>
        <w:t xml:space="preserve">nit </w:t>
      </w:r>
      <w:r w:rsidR="00AD2EB1">
        <w:t>c</w:t>
      </w:r>
      <w:r w:rsidR="00C62ED4">
        <w:t>hecks</w:t>
      </w:r>
      <w:bookmarkEnd w:id="35"/>
    </w:p>
    <w:p w:rsidRPr="00D6624D" w:rsidR="00D6624D" w:rsidP="00D6624D" w:rsidRDefault="00D6624D" w14:paraId="27095065" w14:textId="621881A0">
      <w:pPr>
        <w:pStyle w:val="Tablecaption"/>
      </w:pPr>
      <w:r>
        <w:t xml:space="preserve">Table </w:t>
      </w:r>
      <w:r w:rsidR="009F24F9">
        <w:t>5</w:t>
      </w:r>
      <w:r>
        <w:t xml:space="preserve">: Other vacant unit </w:t>
      </w:r>
      <w:r w:rsidR="00C62ED4">
        <w:t xml:space="preserve">checks to ensure the property is </w:t>
      </w:r>
      <w:r w:rsidR="009953D3">
        <w:t xml:space="preserve">well </w:t>
      </w:r>
      <w:r w:rsidR="00C62ED4">
        <w:t xml:space="preserve">maintained </w:t>
      </w:r>
      <w:r w:rsidR="009953D3">
        <w:t>and complies with mi</w:t>
      </w:r>
      <w:r w:rsidR="00200A39">
        <w:t>nimum rental standards</w:t>
      </w:r>
    </w:p>
    <w:tbl>
      <w:tblPr>
        <w:tblStyle w:val="TableGrid"/>
        <w:tblW w:w="5000" w:type="pct"/>
        <w:tblLayout w:type="fixed"/>
        <w:tblLook w:val="04A0" w:firstRow="1" w:lastRow="0" w:firstColumn="1" w:lastColumn="0" w:noHBand="0" w:noVBand="1"/>
      </w:tblPr>
      <w:tblGrid>
        <w:gridCol w:w="2406"/>
        <w:gridCol w:w="2693"/>
        <w:gridCol w:w="7087"/>
        <w:gridCol w:w="1278"/>
        <w:gridCol w:w="1095"/>
      </w:tblGrid>
      <w:tr w:rsidR="004E2751" w:rsidTr="006061A9" w14:paraId="61CD8571" w14:textId="49EFEC93">
        <w:tc>
          <w:tcPr>
            <w:tcW w:w="826" w:type="pct"/>
          </w:tcPr>
          <w:p w:rsidR="004E2751" w:rsidP="00F22A90" w:rsidRDefault="004E2751" w14:paraId="67D4D784" w14:textId="0CD6A897">
            <w:pPr>
              <w:pStyle w:val="Tablecolhead"/>
            </w:pPr>
            <w:r>
              <w:t>Category</w:t>
            </w:r>
          </w:p>
        </w:tc>
        <w:tc>
          <w:tcPr>
            <w:tcW w:w="925" w:type="pct"/>
          </w:tcPr>
          <w:p w:rsidR="004E2751" w:rsidP="00F22A90" w:rsidRDefault="005E7289" w14:paraId="66737AD1" w14:textId="224A673A">
            <w:pPr>
              <w:pStyle w:val="Tablecolhead"/>
            </w:pPr>
            <w:r>
              <w:t>Item</w:t>
            </w:r>
          </w:p>
        </w:tc>
        <w:tc>
          <w:tcPr>
            <w:tcW w:w="2434" w:type="pct"/>
          </w:tcPr>
          <w:p w:rsidR="004E2751" w:rsidP="00F22A90" w:rsidRDefault="004E2751" w14:paraId="773B9750" w14:textId="3DF77C7B">
            <w:pPr>
              <w:pStyle w:val="Tablecolhead"/>
            </w:pPr>
            <w:r>
              <w:t>Description</w:t>
            </w:r>
          </w:p>
        </w:tc>
        <w:tc>
          <w:tcPr>
            <w:tcW w:w="439" w:type="pct"/>
          </w:tcPr>
          <w:p w:rsidR="004E2751" w:rsidP="00F22A90" w:rsidRDefault="004E2751" w14:paraId="47891667" w14:textId="1FEFE466">
            <w:pPr>
              <w:pStyle w:val="Tablecolhead"/>
            </w:pPr>
            <w:r>
              <w:t>Met</w:t>
            </w:r>
          </w:p>
        </w:tc>
        <w:tc>
          <w:tcPr>
            <w:tcW w:w="376" w:type="pct"/>
          </w:tcPr>
          <w:p w:rsidR="004E2751" w:rsidP="00F22A90" w:rsidRDefault="004E2751" w14:paraId="14538D49" w14:textId="07BFC07A">
            <w:pPr>
              <w:pStyle w:val="Tablecolhead"/>
            </w:pPr>
            <w:r>
              <w:t>Not Met</w:t>
            </w:r>
          </w:p>
        </w:tc>
      </w:tr>
      <w:tr w:rsidR="004E2751" w:rsidTr="006061A9" w14:paraId="731295EA" w14:textId="645FE0BD">
        <w:tc>
          <w:tcPr>
            <w:tcW w:w="826" w:type="pct"/>
          </w:tcPr>
          <w:p w:rsidR="004E2751" w:rsidP="000D017C" w:rsidRDefault="004E2751" w14:paraId="75885889" w14:textId="4DD7F050">
            <w:pPr>
              <w:pStyle w:val="Tabletext"/>
            </w:pPr>
            <w:r>
              <w:t xml:space="preserve">External </w:t>
            </w:r>
            <w:r w:rsidR="00E55FE0">
              <w:t>d</w:t>
            </w:r>
            <w:r>
              <w:t>oors</w:t>
            </w:r>
          </w:p>
        </w:tc>
        <w:tc>
          <w:tcPr>
            <w:tcW w:w="925" w:type="pct"/>
          </w:tcPr>
          <w:p w:rsidRPr="004E2751" w:rsidR="004E2751" w:rsidP="000D017C" w:rsidRDefault="004E2751" w14:paraId="0AB98991" w14:textId="1E87954B">
            <w:pPr>
              <w:pStyle w:val="Tabletext"/>
            </w:pPr>
            <w:r w:rsidRPr="004E2751">
              <w:t xml:space="preserve">Security </w:t>
            </w:r>
            <w:r w:rsidR="00E55FE0">
              <w:t>s</w:t>
            </w:r>
            <w:r w:rsidRPr="004E2751">
              <w:t xml:space="preserve">creen </w:t>
            </w:r>
            <w:r w:rsidR="00E55FE0">
              <w:t>d</w:t>
            </w:r>
            <w:r w:rsidRPr="004E2751">
              <w:t>oors</w:t>
            </w:r>
          </w:p>
        </w:tc>
        <w:tc>
          <w:tcPr>
            <w:tcW w:w="2434" w:type="pct"/>
          </w:tcPr>
          <w:p w:rsidR="004E2751" w:rsidP="000D017C" w:rsidRDefault="00CF2C97" w14:paraId="0ADF34A7" w14:textId="73D49DFF">
            <w:pPr>
              <w:pStyle w:val="Tabletext"/>
            </w:pPr>
            <w:r>
              <w:t>All</w:t>
            </w:r>
            <w:r w:rsidRPr="007527ED" w:rsidR="004E2751">
              <w:t xml:space="preserve"> external doors</w:t>
            </w:r>
            <w:r>
              <w:t xml:space="preserve"> must</w:t>
            </w:r>
            <w:r w:rsidRPr="007527ED" w:rsidR="004E2751">
              <w:t xml:space="preserve"> have a security screen door</w:t>
            </w:r>
            <w:r w:rsidR="004E2751">
              <w:t>.</w:t>
            </w:r>
          </w:p>
        </w:tc>
        <w:sdt>
          <w:sdtPr>
            <w:id w:val="1718468680"/>
            <w14:checkbox>
              <w14:checked w14:val="0"/>
              <w14:checkedState w14:val="2612" w14:font="MS Gothic"/>
              <w14:uncheckedState w14:val="2610" w14:font="MS Gothic"/>
            </w14:checkbox>
          </w:sdtPr>
          <w:sdtContent>
            <w:tc>
              <w:tcPr>
                <w:tcW w:w="438" w:type="pct"/>
              </w:tcPr>
              <w:p w:rsidRPr="00F22A90" w:rsidR="004E2751" w:rsidP="00746D30" w:rsidRDefault="00806EA6" w14:paraId="6FC32FC7" w14:textId="63D21591">
                <w:pPr>
                  <w:pStyle w:val="Tabletext"/>
                  <w:jc w:val="center"/>
                </w:pPr>
                <w:r>
                  <w:rPr>
                    <w:rFonts w:hint="eastAsia" w:ascii="MS Gothic" w:hAnsi="MS Gothic" w:eastAsia="MS Gothic"/>
                  </w:rPr>
                  <w:t>☐</w:t>
                </w:r>
              </w:p>
            </w:tc>
          </w:sdtContent>
        </w:sdt>
        <w:sdt>
          <w:sdtPr>
            <w:id w:val="-474673402"/>
            <w14:checkbox>
              <w14:checked w14:val="0"/>
              <w14:checkedState w14:val="2612" w14:font="MS Gothic"/>
              <w14:uncheckedState w14:val="2610" w14:font="MS Gothic"/>
            </w14:checkbox>
          </w:sdtPr>
          <w:sdtContent>
            <w:tc>
              <w:tcPr>
                <w:tcW w:w="377" w:type="pct"/>
              </w:tcPr>
              <w:p w:rsidRPr="00F22A90" w:rsidR="004E2751" w:rsidP="00746D30" w:rsidRDefault="00806EA6" w14:paraId="4D3DADD7" w14:textId="0D925177">
                <w:pPr>
                  <w:pStyle w:val="Tabletext"/>
                  <w:jc w:val="center"/>
                </w:pPr>
                <w:r>
                  <w:rPr>
                    <w:rFonts w:hint="eastAsia" w:ascii="MS Gothic" w:hAnsi="MS Gothic" w:eastAsia="MS Gothic"/>
                  </w:rPr>
                  <w:t>☐</w:t>
                </w:r>
              </w:p>
            </w:tc>
          </w:sdtContent>
        </w:sdt>
      </w:tr>
      <w:tr w:rsidR="004E2751" w:rsidTr="006061A9" w14:paraId="71F16ABA" w14:textId="774C6454">
        <w:tc>
          <w:tcPr>
            <w:tcW w:w="826" w:type="pct"/>
            <w:vMerge w:val="restart"/>
          </w:tcPr>
          <w:p w:rsidRPr="00F22A90" w:rsidR="004E2751" w:rsidP="004E2751" w:rsidRDefault="004E2751" w14:paraId="658906F1" w14:textId="1BCBC586">
            <w:pPr>
              <w:pStyle w:val="Tabletext"/>
            </w:pPr>
            <w:r>
              <w:t>General</w:t>
            </w:r>
          </w:p>
        </w:tc>
        <w:tc>
          <w:tcPr>
            <w:tcW w:w="925" w:type="pct"/>
          </w:tcPr>
          <w:p w:rsidR="004E2751" w:rsidP="004E2751" w:rsidRDefault="004E2751" w14:paraId="74C638FB" w14:textId="6B5CE34E">
            <w:pPr>
              <w:pStyle w:val="Tabletext"/>
            </w:pPr>
            <w:r w:rsidRPr="00F22A90">
              <w:t>Lights</w:t>
            </w:r>
          </w:p>
        </w:tc>
        <w:tc>
          <w:tcPr>
            <w:tcW w:w="2434" w:type="pct"/>
          </w:tcPr>
          <w:p w:rsidRPr="007527ED" w:rsidR="004E2751" w:rsidP="004E2751" w:rsidRDefault="00A12243" w14:paraId="7384F648" w14:textId="658C2867">
            <w:pPr>
              <w:pStyle w:val="Tabletext"/>
            </w:pPr>
            <w:r>
              <w:t>All</w:t>
            </w:r>
            <w:r w:rsidRPr="007527ED" w:rsidR="004E2751">
              <w:t xml:space="preserve"> lights </w:t>
            </w:r>
            <w:r>
              <w:t xml:space="preserve">must be </w:t>
            </w:r>
            <w:r w:rsidRPr="007527ED" w:rsidR="004E2751">
              <w:t>functioning properly.</w:t>
            </w:r>
          </w:p>
        </w:tc>
        <w:sdt>
          <w:sdtPr>
            <w:id w:val="-2104018322"/>
            <w14:checkbox>
              <w14:checked w14:val="0"/>
              <w14:checkedState w14:val="2612" w14:font="MS Gothic"/>
              <w14:uncheckedState w14:val="2610" w14:font="MS Gothic"/>
            </w14:checkbox>
          </w:sdtPr>
          <w:sdtContent>
            <w:tc>
              <w:tcPr>
                <w:tcW w:w="438" w:type="pct"/>
              </w:tcPr>
              <w:p w:rsidRPr="00F22A90" w:rsidR="004E2751" w:rsidP="00746D30" w:rsidRDefault="00806EA6" w14:paraId="704D8B25" w14:textId="6DD442CF">
                <w:pPr>
                  <w:pStyle w:val="Tabletext"/>
                  <w:jc w:val="center"/>
                </w:pPr>
                <w:r>
                  <w:rPr>
                    <w:rFonts w:hint="eastAsia" w:ascii="MS Gothic" w:hAnsi="MS Gothic" w:eastAsia="MS Gothic"/>
                  </w:rPr>
                  <w:t>☐</w:t>
                </w:r>
              </w:p>
            </w:tc>
          </w:sdtContent>
        </w:sdt>
        <w:sdt>
          <w:sdtPr>
            <w:id w:val="103242615"/>
            <w14:checkbox>
              <w14:checked w14:val="0"/>
              <w14:checkedState w14:val="2612" w14:font="MS Gothic"/>
              <w14:uncheckedState w14:val="2610" w14:font="MS Gothic"/>
            </w14:checkbox>
          </w:sdtPr>
          <w:sdtContent>
            <w:tc>
              <w:tcPr>
                <w:tcW w:w="377" w:type="pct"/>
              </w:tcPr>
              <w:p w:rsidRPr="00F22A90" w:rsidR="004E2751" w:rsidP="00746D30" w:rsidRDefault="00806EA6" w14:paraId="48B1E27A" w14:textId="1D657BC1">
                <w:pPr>
                  <w:pStyle w:val="Tabletext"/>
                  <w:jc w:val="center"/>
                </w:pPr>
                <w:r>
                  <w:rPr>
                    <w:rFonts w:hint="eastAsia" w:ascii="MS Gothic" w:hAnsi="MS Gothic" w:eastAsia="MS Gothic"/>
                  </w:rPr>
                  <w:t>☐</w:t>
                </w:r>
              </w:p>
            </w:tc>
          </w:sdtContent>
        </w:sdt>
      </w:tr>
      <w:tr w:rsidR="004E2751" w:rsidTr="006061A9" w14:paraId="1736F931" w14:textId="6B4A34D0">
        <w:tc>
          <w:tcPr>
            <w:tcW w:w="826" w:type="pct"/>
            <w:vMerge/>
          </w:tcPr>
          <w:p w:rsidR="004E2751" w:rsidP="004E2751" w:rsidRDefault="004E2751" w14:paraId="21058BCA" w14:textId="16CC5C8D">
            <w:pPr>
              <w:pStyle w:val="Tabletext"/>
            </w:pPr>
          </w:p>
        </w:tc>
        <w:tc>
          <w:tcPr>
            <w:tcW w:w="925" w:type="pct"/>
          </w:tcPr>
          <w:p w:rsidRPr="00F22A90" w:rsidR="004E2751" w:rsidP="004E2751" w:rsidRDefault="004E2751" w14:paraId="3B4401E7" w14:textId="54DC430F">
            <w:pPr>
              <w:pStyle w:val="Tabletext"/>
            </w:pPr>
            <w:r>
              <w:t xml:space="preserve">Exposed wiring </w:t>
            </w:r>
          </w:p>
        </w:tc>
        <w:tc>
          <w:tcPr>
            <w:tcW w:w="2434" w:type="pct"/>
          </w:tcPr>
          <w:p w:rsidRPr="007527ED" w:rsidR="004E2751" w:rsidP="004E2751" w:rsidRDefault="00A12243" w14:paraId="3B09C3D3" w14:textId="588C95BD">
            <w:pPr>
              <w:pStyle w:val="Tabletext"/>
            </w:pPr>
            <w:r>
              <w:t xml:space="preserve">There must not be any </w:t>
            </w:r>
            <w:r w:rsidRPr="003B2E31" w:rsidR="004E2751">
              <w:t>exposed wiring</w:t>
            </w:r>
            <w:r w:rsidR="004E2751">
              <w:t>.</w:t>
            </w:r>
          </w:p>
        </w:tc>
        <w:sdt>
          <w:sdtPr>
            <w:id w:val="-1299063891"/>
            <w14:checkbox>
              <w14:checked w14:val="0"/>
              <w14:checkedState w14:val="2612" w14:font="MS Gothic"/>
              <w14:uncheckedState w14:val="2610" w14:font="MS Gothic"/>
            </w14:checkbox>
          </w:sdtPr>
          <w:sdtContent>
            <w:tc>
              <w:tcPr>
                <w:tcW w:w="438" w:type="pct"/>
              </w:tcPr>
              <w:p w:rsidRPr="00F22A90" w:rsidR="004E2751" w:rsidP="00746D30" w:rsidRDefault="00806EA6" w14:paraId="4F81763E" w14:textId="6FA6BFE3">
                <w:pPr>
                  <w:pStyle w:val="Tabletext"/>
                  <w:jc w:val="center"/>
                </w:pPr>
                <w:r>
                  <w:rPr>
                    <w:rFonts w:hint="eastAsia" w:ascii="MS Gothic" w:hAnsi="MS Gothic" w:eastAsia="MS Gothic"/>
                  </w:rPr>
                  <w:t>☐</w:t>
                </w:r>
              </w:p>
            </w:tc>
          </w:sdtContent>
        </w:sdt>
        <w:sdt>
          <w:sdtPr>
            <w:id w:val="-701007997"/>
            <w14:checkbox>
              <w14:checked w14:val="0"/>
              <w14:checkedState w14:val="2612" w14:font="MS Gothic"/>
              <w14:uncheckedState w14:val="2610" w14:font="MS Gothic"/>
            </w14:checkbox>
          </w:sdtPr>
          <w:sdtContent>
            <w:tc>
              <w:tcPr>
                <w:tcW w:w="377" w:type="pct"/>
              </w:tcPr>
              <w:p w:rsidRPr="00F22A90" w:rsidR="004E2751" w:rsidP="00746D30" w:rsidRDefault="00806EA6" w14:paraId="18D90F3E" w14:textId="17431115">
                <w:pPr>
                  <w:pStyle w:val="Tabletext"/>
                  <w:jc w:val="center"/>
                </w:pPr>
                <w:r>
                  <w:rPr>
                    <w:rFonts w:hint="eastAsia" w:ascii="MS Gothic" w:hAnsi="MS Gothic" w:eastAsia="MS Gothic"/>
                  </w:rPr>
                  <w:t>☐</w:t>
                </w:r>
              </w:p>
            </w:tc>
          </w:sdtContent>
        </w:sdt>
      </w:tr>
      <w:tr w:rsidR="004E2751" w:rsidTr="006061A9" w14:paraId="1480F73F" w14:textId="5A2A84C7">
        <w:tc>
          <w:tcPr>
            <w:tcW w:w="826" w:type="pct"/>
            <w:vMerge/>
          </w:tcPr>
          <w:p w:rsidRPr="007527ED" w:rsidR="004E2751" w:rsidP="004E2751" w:rsidRDefault="004E2751" w14:paraId="172826DA" w14:textId="39075B26">
            <w:pPr>
              <w:pStyle w:val="Tabletext"/>
            </w:pPr>
          </w:p>
        </w:tc>
        <w:tc>
          <w:tcPr>
            <w:tcW w:w="925" w:type="pct"/>
          </w:tcPr>
          <w:p w:rsidRPr="00F22A90" w:rsidR="004E2751" w:rsidP="004E2751" w:rsidRDefault="004E2751" w14:paraId="3F9F7A2E" w14:textId="6CD08917">
            <w:pPr>
              <w:pStyle w:val="Tabletext"/>
            </w:pPr>
            <w:r w:rsidRPr="007527ED">
              <w:t xml:space="preserve">Appliances </w:t>
            </w:r>
          </w:p>
        </w:tc>
        <w:tc>
          <w:tcPr>
            <w:tcW w:w="2434" w:type="pct"/>
          </w:tcPr>
          <w:p w:rsidRPr="007527ED" w:rsidR="004E2751" w:rsidP="004E2751" w:rsidRDefault="00A12243" w14:paraId="641F1F75" w14:textId="060AA4CE">
            <w:pPr>
              <w:pStyle w:val="Tabletext"/>
            </w:pPr>
            <w:r>
              <w:t xml:space="preserve">All </w:t>
            </w:r>
            <w:r w:rsidRPr="007527ED" w:rsidR="004E2751">
              <w:t>appliances</w:t>
            </w:r>
            <w:r>
              <w:t xml:space="preserve"> must</w:t>
            </w:r>
            <w:r w:rsidRPr="007527ED" w:rsidR="004E2751">
              <w:t xml:space="preserve"> power on and function correctly without issues. Check for unusual noises or odours and inspect for visible damage to appliance exteriors.</w:t>
            </w:r>
          </w:p>
        </w:tc>
        <w:sdt>
          <w:sdtPr>
            <w:id w:val="98994522"/>
            <w14:checkbox>
              <w14:checked w14:val="0"/>
              <w14:checkedState w14:val="2612" w14:font="MS Gothic"/>
              <w14:uncheckedState w14:val="2610" w14:font="MS Gothic"/>
            </w14:checkbox>
          </w:sdtPr>
          <w:sdtContent>
            <w:tc>
              <w:tcPr>
                <w:tcW w:w="438" w:type="pct"/>
              </w:tcPr>
              <w:p w:rsidRPr="00F22A90" w:rsidR="004E2751" w:rsidP="00746D30" w:rsidRDefault="00806EA6" w14:paraId="461C1D23" w14:textId="4DF0A9E3">
                <w:pPr>
                  <w:pStyle w:val="Tabletext"/>
                  <w:jc w:val="center"/>
                </w:pPr>
                <w:r>
                  <w:rPr>
                    <w:rFonts w:hint="eastAsia" w:ascii="MS Gothic" w:hAnsi="MS Gothic" w:eastAsia="MS Gothic"/>
                  </w:rPr>
                  <w:t>☐</w:t>
                </w:r>
              </w:p>
            </w:tc>
          </w:sdtContent>
        </w:sdt>
        <w:sdt>
          <w:sdtPr>
            <w:id w:val="1231342943"/>
            <w14:checkbox>
              <w14:checked w14:val="0"/>
              <w14:checkedState w14:val="2612" w14:font="MS Gothic"/>
              <w14:uncheckedState w14:val="2610" w14:font="MS Gothic"/>
            </w14:checkbox>
          </w:sdtPr>
          <w:sdtContent>
            <w:tc>
              <w:tcPr>
                <w:tcW w:w="377" w:type="pct"/>
              </w:tcPr>
              <w:p w:rsidRPr="00F22A90" w:rsidR="004E2751" w:rsidP="00746D30" w:rsidRDefault="00806EA6" w14:paraId="2C34BC88" w14:textId="0668A87B">
                <w:pPr>
                  <w:pStyle w:val="Tabletext"/>
                  <w:jc w:val="center"/>
                </w:pPr>
                <w:r>
                  <w:rPr>
                    <w:rFonts w:hint="eastAsia" w:ascii="MS Gothic" w:hAnsi="MS Gothic" w:eastAsia="MS Gothic"/>
                  </w:rPr>
                  <w:t>☐</w:t>
                </w:r>
              </w:p>
            </w:tc>
          </w:sdtContent>
        </w:sdt>
      </w:tr>
      <w:tr w:rsidR="004E2751" w:rsidTr="006061A9" w14:paraId="1D271432" w14:textId="7E317901">
        <w:tc>
          <w:tcPr>
            <w:tcW w:w="826" w:type="pct"/>
            <w:vMerge/>
          </w:tcPr>
          <w:p w:rsidR="004E2751" w:rsidP="004E2751" w:rsidRDefault="004E2751" w14:paraId="649C150F" w14:textId="6A40970B">
            <w:pPr>
              <w:pStyle w:val="Tabletext"/>
            </w:pPr>
          </w:p>
        </w:tc>
        <w:tc>
          <w:tcPr>
            <w:tcW w:w="925" w:type="pct"/>
          </w:tcPr>
          <w:p w:rsidRPr="007527ED" w:rsidR="004E2751" w:rsidP="004E2751" w:rsidRDefault="004E2751" w14:paraId="52E0D02B" w14:textId="17E9E875">
            <w:pPr>
              <w:pStyle w:val="Tabletext"/>
            </w:pPr>
            <w:r>
              <w:t xml:space="preserve">Hot </w:t>
            </w:r>
            <w:r w:rsidR="00E55FE0">
              <w:t>w</w:t>
            </w:r>
            <w:r>
              <w:t xml:space="preserve">ater </w:t>
            </w:r>
            <w:r w:rsidR="00E55FE0">
              <w:t>s</w:t>
            </w:r>
            <w:r>
              <w:t>ystem</w:t>
            </w:r>
          </w:p>
        </w:tc>
        <w:tc>
          <w:tcPr>
            <w:tcW w:w="2434" w:type="pct"/>
          </w:tcPr>
          <w:p w:rsidRPr="007527ED" w:rsidR="004E2751" w:rsidP="004E2751" w:rsidRDefault="00074105" w14:paraId="159ED4CB" w14:textId="4550750E">
            <w:pPr>
              <w:pStyle w:val="Tabletext"/>
            </w:pPr>
            <w:r>
              <w:t xml:space="preserve">There must not be any </w:t>
            </w:r>
            <w:r w:rsidRPr="007527ED" w:rsidR="004E2751">
              <w:t>leaks from the water heater</w:t>
            </w:r>
            <w:r>
              <w:t>. Check</w:t>
            </w:r>
            <w:r w:rsidRPr="007527ED" w:rsidR="004E2751">
              <w:t xml:space="preserve"> for pooling or dripping. Confirm hot water is available at all taps and that it maintains consistent temperature.</w:t>
            </w:r>
          </w:p>
        </w:tc>
        <w:sdt>
          <w:sdtPr>
            <w:id w:val="-265849177"/>
            <w14:checkbox>
              <w14:checked w14:val="0"/>
              <w14:checkedState w14:val="2612" w14:font="MS Gothic"/>
              <w14:uncheckedState w14:val="2610" w14:font="MS Gothic"/>
            </w14:checkbox>
          </w:sdtPr>
          <w:sdtContent>
            <w:tc>
              <w:tcPr>
                <w:tcW w:w="438" w:type="pct"/>
              </w:tcPr>
              <w:p w:rsidRPr="00F22A90" w:rsidR="004E2751" w:rsidP="00746D30" w:rsidRDefault="00806EA6" w14:paraId="12F6DCC9" w14:textId="246431FA">
                <w:pPr>
                  <w:pStyle w:val="Tabletext"/>
                  <w:jc w:val="center"/>
                </w:pPr>
                <w:r>
                  <w:rPr>
                    <w:rFonts w:hint="eastAsia" w:ascii="MS Gothic" w:hAnsi="MS Gothic" w:eastAsia="MS Gothic"/>
                  </w:rPr>
                  <w:t>☐</w:t>
                </w:r>
              </w:p>
            </w:tc>
          </w:sdtContent>
        </w:sdt>
        <w:sdt>
          <w:sdtPr>
            <w:id w:val="1706759535"/>
            <w14:checkbox>
              <w14:checked w14:val="0"/>
              <w14:checkedState w14:val="2612" w14:font="MS Gothic"/>
              <w14:uncheckedState w14:val="2610" w14:font="MS Gothic"/>
            </w14:checkbox>
          </w:sdtPr>
          <w:sdtContent>
            <w:tc>
              <w:tcPr>
                <w:tcW w:w="377" w:type="pct"/>
              </w:tcPr>
              <w:p w:rsidRPr="00F22A90" w:rsidR="004E2751" w:rsidP="00746D30" w:rsidRDefault="00806EA6" w14:paraId="4AFC2621" w14:textId="4E5272EA">
                <w:pPr>
                  <w:pStyle w:val="Tabletext"/>
                  <w:jc w:val="center"/>
                </w:pPr>
                <w:r>
                  <w:rPr>
                    <w:rFonts w:hint="eastAsia" w:ascii="MS Gothic" w:hAnsi="MS Gothic" w:eastAsia="MS Gothic"/>
                  </w:rPr>
                  <w:t>☐</w:t>
                </w:r>
              </w:p>
            </w:tc>
          </w:sdtContent>
        </w:sdt>
      </w:tr>
      <w:tr w:rsidR="004E2751" w:rsidTr="006061A9" w14:paraId="10AB585B" w14:textId="5AE3AFEC">
        <w:tc>
          <w:tcPr>
            <w:tcW w:w="826" w:type="pct"/>
            <w:vMerge/>
          </w:tcPr>
          <w:p w:rsidR="004E2751" w:rsidP="004E2751" w:rsidRDefault="004E2751" w14:paraId="685171EE" w14:textId="7D45D9F5">
            <w:pPr>
              <w:pStyle w:val="Tabletext"/>
            </w:pPr>
          </w:p>
        </w:tc>
        <w:tc>
          <w:tcPr>
            <w:tcW w:w="925" w:type="pct"/>
          </w:tcPr>
          <w:p w:rsidRPr="003B2E31" w:rsidR="004E2751" w:rsidP="004E2751" w:rsidRDefault="004E2751" w14:paraId="178CB618" w14:textId="018B7E1A">
            <w:pPr>
              <w:pStyle w:val="Tabletext"/>
            </w:pPr>
            <w:r w:rsidRPr="003B2E31">
              <w:t xml:space="preserve">Smoke </w:t>
            </w:r>
            <w:r w:rsidR="00E55FE0">
              <w:t>a</w:t>
            </w:r>
            <w:r w:rsidRPr="003B2E31">
              <w:t>larms</w:t>
            </w:r>
          </w:p>
        </w:tc>
        <w:tc>
          <w:tcPr>
            <w:tcW w:w="2434" w:type="pct"/>
          </w:tcPr>
          <w:p w:rsidRPr="003B2E31" w:rsidR="004E2751" w:rsidP="004E2751" w:rsidRDefault="005B1A0D" w14:paraId="0C326926" w14:textId="4D3A0C21">
            <w:pPr>
              <w:pStyle w:val="Tabletext"/>
            </w:pPr>
            <w:r>
              <w:t>S</w:t>
            </w:r>
            <w:r w:rsidRPr="003B2E31" w:rsidR="004E2751">
              <w:t xml:space="preserve">moke alarms </w:t>
            </w:r>
            <w:r w:rsidR="00FB2039">
              <w:t>must be</w:t>
            </w:r>
            <w:r w:rsidRPr="003B2E31" w:rsidR="004E2751">
              <w:t xml:space="preserve"> fitted and operational</w:t>
            </w:r>
            <w:r w:rsidR="00B30C3D">
              <w:t>.</w:t>
            </w:r>
          </w:p>
        </w:tc>
        <w:sdt>
          <w:sdtPr>
            <w:id w:val="118501888"/>
            <w14:checkbox>
              <w14:checked w14:val="0"/>
              <w14:checkedState w14:val="2612" w14:font="MS Gothic"/>
              <w14:uncheckedState w14:val="2610" w14:font="MS Gothic"/>
            </w14:checkbox>
          </w:sdtPr>
          <w:sdtContent>
            <w:tc>
              <w:tcPr>
                <w:tcW w:w="438" w:type="pct"/>
              </w:tcPr>
              <w:p w:rsidRPr="00F22A90" w:rsidR="004E2751" w:rsidP="00746D30" w:rsidRDefault="00806EA6" w14:paraId="5536520E" w14:textId="1F59DF7E">
                <w:pPr>
                  <w:pStyle w:val="Tabletext"/>
                  <w:jc w:val="center"/>
                </w:pPr>
                <w:r>
                  <w:rPr>
                    <w:rFonts w:hint="eastAsia" w:ascii="MS Gothic" w:hAnsi="MS Gothic" w:eastAsia="MS Gothic"/>
                  </w:rPr>
                  <w:t>☐</w:t>
                </w:r>
              </w:p>
            </w:tc>
          </w:sdtContent>
        </w:sdt>
        <w:sdt>
          <w:sdtPr>
            <w:id w:val="1903091345"/>
            <w14:checkbox>
              <w14:checked w14:val="0"/>
              <w14:checkedState w14:val="2612" w14:font="MS Gothic"/>
              <w14:uncheckedState w14:val="2610" w14:font="MS Gothic"/>
            </w14:checkbox>
          </w:sdtPr>
          <w:sdtContent>
            <w:tc>
              <w:tcPr>
                <w:tcW w:w="377" w:type="pct"/>
              </w:tcPr>
              <w:p w:rsidRPr="00F22A90" w:rsidR="004E2751" w:rsidP="00746D30" w:rsidRDefault="00806EA6" w14:paraId="6BE0C913" w14:textId="55DF9FF8">
                <w:pPr>
                  <w:pStyle w:val="Tabletext"/>
                  <w:jc w:val="center"/>
                </w:pPr>
                <w:r>
                  <w:rPr>
                    <w:rFonts w:hint="eastAsia" w:ascii="MS Gothic" w:hAnsi="MS Gothic" w:eastAsia="MS Gothic"/>
                  </w:rPr>
                  <w:t>☐</w:t>
                </w:r>
              </w:p>
            </w:tc>
          </w:sdtContent>
        </w:sdt>
      </w:tr>
      <w:tr w:rsidR="004E2751" w:rsidTr="006061A9" w14:paraId="08A8D037" w14:textId="298EBDAA">
        <w:tc>
          <w:tcPr>
            <w:tcW w:w="826" w:type="pct"/>
            <w:vMerge/>
          </w:tcPr>
          <w:p w:rsidR="004E2751" w:rsidP="004E2751" w:rsidRDefault="004E2751" w14:paraId="1869549B" w14:textId="7BC78E9A">
            <w:pPr>
              <w:pStyle w:val="Tabletext"/>
            </w:pPr>
          </w:p>
        </w:tc>
        <w:tc>
          <w:tcPr>
            <w:tcW w:w="925" w:type="pct"/>
          </w:tcPr>
          <w:p w:rsidRPr="003B2E31" w:rsidR="004E2751" w:rsidP="004E2751" w:rsidRDefault="004E2751" w14:paraId="1BDF84F8" w14:textId="1006F2FB">
            <w:pPr>
              <w:pStyle w:val="Tabletext"/>
            </w:pPr>
            <w:r w:rsidRPr="003B2E31">
              <w:t xml:space="preserve">Carbon </w:t>
            </w:r>
            <w:r w:rsidR="00E55FE0">
              <w:t>m</w:t>
            </w:r>
            <w:r w:rsidRPr="003B2E31">
              <w:t xml:space="preserve">onoxide </w:t>
            </w:r>
            <w:r w:rsidR="00E55FE0">
              <w:t>a</w:t>
            </w:r>
            <w:r w:rsidRPr="003B2E31">
              <w:t>larms</w:t>
            </w:r>
          </w:p>
        </w:tc>
        <w:tc>
          <w:tcPr>
            <w:tcW w:w="2434" w:type="pct"/>
          </w:tcPr>
          <w:p w:rsidRPr="003B2E31" w:rsidR="004E2751" w:rsidP="004E2751" w:rsidRDefault="004E2751" w14:paraId="68FCDC95" w14:textId="3C00944B">
            <w:pPr>
              <w:pStyle w:val="Tabletext"/>
            </w:pPr>
            <w:r w:rsidRPr="003B2E31">
              <w:t>Verify carbon monoxide alarms are fitted (if applicable) and operational.</w:t>
            </w:r>
          </w:p>
        </w:tc>
        <w:sdt>
          <w:sdtPr>
            <w:id w:val="-32498014"/>
            <w14:checkbox>
              <w14:checked w14:val="0"/>
              <w14:checkedState w14:val="2612" w14:font="MS Gothic"/>
              <w14:uncheckedState w14:val="2610" w14:font="MS Gothic"/>
            </w14:checkbox>
          </w:sdtPr>
          <w:sdtContent>
            <w:tc>
              <w:tcPr>
                <w:tcW w:w="438" w:type="pct"/>
              </w:tcPr>
              <w:p w:rsidRPr="00F22A90" w:rsidR="004E2751" w:rsidP="00746D30" w:rsidRDefault="00806EA6" w14:paraId="58E2B473" w14:textId="4162763E">
                <w:pPr>
                  <w:pStyle w:val="Tabletext"/>
                  <w:jc w:val="center"/>
                </w:pPr>
                <w:r>
                  <w:rPr>
                    <w:rFonts w:hint="eastAsia" w:ascii="MS Gothic" w:hAnsi="MS Gothic" w:eastAsia="MS Gothic"/>
                  </w:rPr>
                  <w:t>☐</w:t>
                </w:r>
              </w:p>
            </w:tc>
          </w:sdtContent>
        </w:sdt>
        <w:sdt>
          <w:sdtPr>
            <w:id w:val="-222454288"/>
            <w14:checkbox>
              <w14:checked w14:val="0"/>
              <w14:checkedState w14:val="2612" w14:font="MS Gothic"/>
              <w14:uncheckedState w14:val="2610" w14:font="MS Gothic"/>
            </w14:checkbox>
          </w:sdtPr>
          <w:sdtContent>
            <w:tc>
              <w:tcPr>
                <w:tcW w:w="377" w:type="pct"/>
              </w:tcPr>
              <w:p w:rsidRPr="00F22A90" w:rsidR="004E2751" w:rsidP="00746D30" w:rsidRDefault="00806EA6" w14:paraId="640EDBA0" w14:textId="2EE4C2F6">
                <w:pPr>
                  <w:pStyle w:val="Tabletext"/>
                  <w:jc w:val="center"/>
                </w:pPr>
                <w:r>
                  <w:rPr>
                    <w:rFonts w:hint="eastAsia" w:ascii="MS Gothic" w:hAnsi="MS Gothic" w:eastAsia="MS Gothic"/>
                  </w:rPr>
                  <w:t>☐</w:t>
                </w:r>
              </w:p>
            </w:tc>
          </w:sdtContent>
        </w:sdt>
      </w:tr>
      <w:tr w:rsidR="004E2751" w:rsidTr="006061A9" w14:paraId="4AC0177C" w14:textId="290C8429">
        <w:tc>
          <w:tcPr>
            <w:tcW w:w="826" w:type="pct"/>
            <w:vMerge/>
          </w:tcPr>
          <w:p w:rsidR="004E2751" w:rsidP="004E2751" w:rsidRDefault="004E2751" w14:paraId="3A2A5A88" w14:textId="77777777">
            <w:pPr>
              <w:pStyle w:val="Tabletext"/>
            </w:pPr>
          </w:p>
        </w:tc>
        <w:tc>
          <w:tcPr>
            <w:tcW w:w="925" w:type="pct"/>
          </w:tcPr>
          <w:p w:rsidRPr="002B1FFD" w:rsidR="004E2751" w:rsidP="004E2751" w:rsidRDefault="004E2751" w14:paraId="05DFF2A5" w14:textId="15549751">
            <w:pPr>
              <w:pStyle w:val="Tabletext"/>
              <w:rPr>
                <w:highlight w:val="yellow"/>
              </w:rPr>
            </w:pPr>
            <w:r w:rsidRPr="000D017C">
              <w:t xml:space="preserve">Telephone </w:t>
            </w:r>
            <w:r w:rsidR="00E55FE0">
              <w:t>l</w:t>
            </w:r>
            <w:r w:rsidRPr="000D017C">
              <w:t xml:space="preserve">ine </w:t>
            </w:r>
            <w:r>
              <w:t>and</w:t>
            </w:r>
            <w:r w:rsidRPr="000D017C">
              <w:t xml:space="preserve"> NBN </w:t>
            </w:r>
            <w:r w:rsidR="00E55FE0">
              <w:t>c</w:t>
            </w:r>
            <w:r w:rsidRPr="000D017C">
              <w:t>onnection</w:t>
            </w:r>
          </w:p>
        </w:tc>
        <w:tc>
          <w:tcPr>
            <w:tcW w:w="2434" w:type="pct"/>
          </w:tcPr>
          <w:p w:rsidRPr="002B1FFD" w:rsidR="004E2751" w:rsidP="004E2751" w:rsidRDefault="004E2751" w14:paraId="7B6C523E" w14:textId="59F002AD">
            <w:pPr>
              <w:pStyle w:val="Tabletext"/>
              <w:tabs>
                <w:tab w:val="left" w:pos="1127"/>
              </w:tabs>
              <w:rPr>
                <w:highlight w:val="yellow"/>
              </w:rPr>
            </w:pPr>
            <w:r w:rsidRPr="000D017C">
              <w:t xml:space="preserve">Verify that </w:t>
            </w:r>
            <w:r w:rsidR="00BF275E">
              <w:t>a</w:t>
            </w:r>
            <w:r w:rsidRPr="000D017C">
              <w:t xml:space="preserve"> telephone line is connected</w:t>
            </w:r>
            <w:r w:rsidR="00BF275E">
              <w:t xml:space="preserve"> (</w:t>
            </w:r>
            <w:r w:rsidRPr="000D017C" w:rsidR="00BF275E">
              <w:t>if applicable</w:t>
            </w:r>
            <w:r w:rsidR="00710EC8">
              <w:t>). E</w:t>
            </w:r>
            <w:r w:rsidRPr="000D017C" w:rsidR="00806EA6">
              <w:t>nsure</w:t>
            </w:r>
            <w:r w:rsidRPr="000D017C">
              <w:t xml:space="preserve"> National Broadband Network (NBN) is connected where required.</w:t>
            </w:r>
          </w:p>
        </w:tc>
        <w:sdt>
          <w:sdtPr>
            <w:id w:val="842046577"/>
            <w14:checkbox>
              <w14:checked w14:val="0"/>
              <w14:checkedState w14:val="2612" w14:font="MS Gothic"/>
              <w14:uncheckedState w14:val="2610" w14:font="MS Gothic"/>
            </w14:checkbox>
          </w:sdtPr>
          <w:sdtContent>
            <w:tc>
              <w:tcPr>
                <w:tcW w:w="438" w:type="pct"/>
              </w:tcPr>
              <w:p w:rsidRPr="00F22A90" w:rsidR="004E2751" w:rsidP="00746D30" w:rsidRDefault="00806EA6" w14:paraId="60A3591D" w14:textId="7CA9952E">
                <w:pPr>
                  <w:pStyle w:val="Tabletext"/>
                  <w:jc w:val="center"/>
                </w:pPr>
                <w:r>
                  <w:rPr>
                    <w:rFonts w:hint="eastAsia" w:ascii="MS Gothic" w:hAnsi="MS Gothic" w:eastAsia="MS Gothic"/>
                  </w:rPr>
                  <w:t>☐</w:t>
                </w:r>
              </w:p>
            </w:tc>
          </w:sdtContent>
        </w:sdt>
        <w:sdt>
          <w:sdtPr>
            <w:id w:val="563693857"/>
            <w14:checkbox>
              <w14:checked w14:val="0"/>
              <w14:checkedState w14:val="2612" w14:font="MS Gothic"/>
              <w14:uncheckedState w14:val="2610" w14:font="MS Gothic"/>
            </w14:checkbox>
          </w:sdtPr>
          <w:sdtContent>
            <w:tc>
              <w:tcPr>
                <w:tcW w:w="377" w:type="pct"/>
              </w:tcPr>
              <w:p w:rsidRPr="00F22A90" w:rsidR="004E2751" w:rsidP="00746D30" w:rsidRDefault="00806EA6" w14:paraId="6036D61C" w14:textId="679E9DF0">
                <w:pPr>
                  <w:pStyle w:val="Tabletext"/>
                  <w:jc w:val="center"/>
                </w:pPr>
                <w:r>
                  <w:rPr>
                    <w:rFonts w:hint="eastAsia" w:ascii="MS Gothic" w:hAnsi="MS Gothic" w:eastAsia="MS Gothic"/>
                  </w:rPr>
                  <w:t>☐</w:t>
                </w:r>
              </w:p>
            </w:tc>
          </w:sdtContent>
        </w:sdt>
      </w:tr>
      <w:tr w:rsidR="004E2751" w:rsidTr="006061A9" w14:paraId="4C8F7AC4" w14:textId="32C0D95F">
        <w:tc>
          <w:tcPr>
            <w:tcW w:w="826" w:type="pct"/>
            <w:vMerge/>
          </w:tcPr>
          <w:p w:rsidR="004E2751" w:rsidP="004E2751" w:rsidRDefault="004E2751" w14:paraId="350FD042" w14:textId="77777777">
            <w:pPr>
              <w:pStyle w:val="Tabletext"/>
            </w:pPr>
          </w:p>
        </w:tc>
        <w:tc>
          <w:tcPr>
            <w:tcW w:w="925" w:type="pct"/>
          </w:tcPr>
          <w:p w:rsidRPr="002B1FFD" w:rsidR="004E2751" w:rsidP="004E2751" w:rsidRDefault="004E2751" w14:paraId="3AB54E79" w14:textId="7B4EF2DD">
            <w:pPr>
              <w:pStyle w:val="Tabletext"/>
              <w:rPr>
                <w:highlight w:val="yellow"/>
              </w:rPr>
            </w:pPr>
            <w:r w:rsidRPr="000D017C">
              <w:t xml:space="preserve">Signs of </w:t>
            </w:r>
            <w:r w:rsidR="00E55FE0">
              <w:t>m</w:t>
            </w:r>
            <w:r w:rsidRPr="000D017C">
              <w:t>ould/</w:t>
            </w:r>
            <w:r w:rsidR="00E55FE0">
              <w:t>d</w:t>
            </w:r>
            <w:r w:rsidRPr="000D017C">
              <w:t>ampness</w:t>
            </w:r>
          </w:p>
        </w:tc>
        <w:tc>
          <w:tcPr>
            <w:tcW w:w="2434" w:type="pct"/>
          </w:tcPr>
          <w:p w:rsidRPr="002B1FFD" w:rsidR="004E2751" w:rsidP="004E2751" w:rsidRDefault="004E2751" w14:paraId="5890437C" w14:textId="5F12E6BF">
            <w:pPr>
              <w:pStyle w:val="Tabletext"/>
              <w:rPr>
                <w:highlight w:val="yellow"/>
              </w:rPr>
            </w:pPr>
            <w:r w:rsidRPr="000D017C">
              <w:t>Check for visible signs of mould or damp caused by structural issues</w:t>
            </w:r>
            <w:r w:rsidR="00BF275E">
              <w:t>. L</w:t>
            </w:r>
            <w:r w:rsidRPr="000D017C" w:rsidR="00806EA6">
              <w:t>ook</w:t>
            </w:r>
            <w:r w:rsidRPr="000D017C">
              <w:t xml:space="preserve"> for water penetration signs in ceilings, walls, floors, coverings, and cupboards.</w:t>
            </w:r>
          </w:p>
        </w:tc>
        <w:sdt>
          <w:sdtPr>
            <w:id w:val="-1774473506"/>
            <w14:checkbox>
              <w14:checked w14:val="0"/>
              <w14:checkedState w14:val="2612" w14:font="MS Gothic"/>
              <w14:uncheckedState w14:val="2610" w14:font="MS Gothic"/>
            </w14:checkbox>
          </w:sdtPr>
          <w:sdtContent>
            <w:tc>
              <w:tcPr>
                <w:tcW w:w="438" w:type="pct"/>
              </w:tcPr>
              <w:p w:rsidRPr="00F22A90" w:rsidR="004E2751" w:rsidP="00746D30" w:rsidRDefault="00806EA6" w14:paraId="5EC1D3C7" w14:textId="66C6C6B2">
                <w:pPr>
                  <w:pStyle w:val="Tabletext"/>
                  <w:jc w:val="center"/>
                </w:pPr>
                <w:r>
                  <w:rPr>
                    <w:rFonts w:hint="eastAsia" w:ascii="MS Gothic" w:hAnsi="MS Gothic" w:eastAsia="MS Gothic"/>
                  </w:rPr>
                  <w:t>☐</w:t>
                </w:r>
              </w:p>
            </w:tc>
          </w:sdtContent>
        </w:sdt>
        <w:sdt>
          <w:sdtPr>
            <w:id w:val="-444462838"/>
            <w14:checkbox>
              <w14:checked w14:val="0"/>
              <w14:checkedState w14:val="2612" w14:font="MS Gothic"/>
              <w14:uncheckedState w14:val="2610" w14:font="MS Gothic"/>
            </w14:checkbox>
          </w:sdtPr>
          <w:sdtContent>
            <w:tc>
              <w:tcPr>
                <w:tcW w:w="377" w:type="pct"/>
              </w:tcPr>
              <w:p w:rsidRPr="00F22A90" w:rsidR="004E2751" w:rsidP="00746D30" w:rsidRDefault="00806EA6" w14:paraId="2B5FEC40" w14:textId="00772AC3">
                <w:pPr>
                  <w:pStyle w:val="Tabletext"/>
                  <w:jc w:val="center"/>
                </w:pPr>
                <w:r>
                  <w:rPr>
                    <w:rFonts w:hint="eastAsia" w:ascii="MS Gothic" w:hAnsi="MS Gothic" w:eastAsia="MS Gothic"/>
                  </w:rPr>
                  <w:t>☐</w:t>
                </w:r>
              </w:p>
            </w:tc>
          </w:sdtContent>
        </w:sdt>
      </w:tr>
      <w:tr w:rsidR="004E2751" w:rsidTr="006061A9" w14:paraId="706C1B70" w14:textId="19F72BD1">
        <w:tc>
          <w:tcPr>
            <w:tcW w:w="826" w:type="pct"/>
            <w:vMerge/>
          </w:tcPr>
          <w:p w:rsidR="004E2751" w:rsidP="004E2751" w:rsidRDefault="004E2751" w14:paraId="21B35867" w14:textId="77777777">
            <w:pPr>
              <w:pStyle w:val="Tabletext"/>
            </w:pPr>
          </w:p>
        </w:tc>
        <w:tc>
          <w:tcPr>
            <w:tcW w:w="925" w:type="pct"/>
          </w:tcPr>
          <w:p w:rsidRPr="002B1FFD" w:rsidR="004E2751" w:rsidP="004E2751" w:rsidRDefault="004E2751" w14:paraId="7853247B" w14:textId="619D4858">
            <w:pPr>
              <w:pStyle w:val="Tabletext"/>
              <w:rPr>
                <w:highlight w:val="yellow"/>
              </w:rPr>
            </w:pPr>
            <w:r w:rsidRPr="000D017C">
              <w:t>Non-</w:t>
            </w:r>
            <w:r w:rsidR="00E55FE0">
              <w:t>s</w:t>
            </w:r>
            <w:r w:rsidRPr="000D017C">
              <w:t xml:space="preserve">tandard </w:t>
            </w:r>
            <w:r w:rsidR="00E55FE0">
              <w:t>m</w:t>
            </w:r>
            <w:r w:rsidRPr="000D017C">
              <w:t xml:space="preserve">odifications </w:t>
            </w:r>
            <w:r w:rsidR="00E55FE0">
              <w:t>s</w:t>
            </w:r>
            <w:r w:rsidRPr="000D017C">
              <w:t>afety</w:t>
            </w:r>
          </w:p>
        </w:tc>
        <w:tc>
          <w:tcPr>
            <w:tcW w:w="2434" w:type="pct"/>
          </w:tcPr>
          <w:p w:rsidRPr="002B1FFD" w:rsidR="004E2751" w:rsidP="004E2751" w:rsidRDefault="00806EA6" w14:paraId="28AB8450" w14:textId="6BDCF294">
            <w:pPr>
              <w:pStyle w:val="Tabletext"/>
              <w:rPr>
                <w:highlight w:val="yellow"/>
              </w:rPr>
            </w:pPr>
            <w:r>
              <w:t>Check for</w:t>
            </w:r>
            <w:r w:rsidRPr="000D017C" w:rsidR="004E2751">
              <w:t xml:space="preserve"> any non-standard modifications or fixtures for safety/legal compliance</w:t>
            </w:r>
            <w:r>
              <w:t xml:space="preserve">. </w:t>
            </w:r>
          </w:p>
        </w:tc>
        <w:sdt>
          <w:sdtPr>
            <w:id w:val="-312493455"/>
            <w14:checkbox>
              <w14:checked w14:val="0"/>
              <w14:checkedState w14:val="2612" w14:font="MS Gothic"/>
              <w14:uncheckedState w14:val="2610" w14:font="MS Gothic"/>
            </w14:checkbox>
          </w:sdtPr>
          <w:sdtContent>
            <w:tc>
              <w:tcPr>
                <w:tcW w:w="438" w:type="pct"/>
              </w:tcPr>
              <w:p w:rsidRPr="00F22A90" w:rsidR="004E2751" w:rsidP="00746D30" w:rsidRDefault="00806EA6" w14:paraId="3C4C42CC" w14:textId="6B80136F">
                <w:pPr>
                  <w:pStyle w:val="Tabletext"/>
                  <w:jc w:val="center"/>
                </w:pPr>
                <w:r>
                  <w:rPr>
                    <w:rFonts w:hint="eastAsia" w:ascii="MS Gothic" w:hAnsi="MS Gothic" w:eastAsia="MS Gothic"/>
                  </w:rPr>
                  <w:t>☐</w:t>
                </w:r>
              </w:p>
            </w:tc>
          </w:sdtContent>
        </w:sdt>
        <w:sdt>
          <w:sdtPr>
            <w:id w:val="1458369863"/>
            <w14:checkbox>
              <w14:checked w14:val="0"/>
              <w14:checkedState w14:val="2612" w14:font="MS Gothic"/>
              <w14:uncheckedState w14:val="2610" w14:font="MS Gothic"/>
            </w14:checkbox>
          </w:sdtPr>
          <w:sdtContent>
            <w:tc>
              <w:tcPr>
                <w:tcW w:w="377" w:type="pct"/>
              </w:tcPr>
              <w:p w:rsidRPr="00F22A90" w:rsidR="004E2751" w:rsidP="00746D30" w:rsidRDefault="00806EA6" w14:paraId="3A58BF3A" w14:textId="037DA4B7">
                <w:pPr>
                  <w:pStyle w:val="Tabletext"/>
                  <w:jc w:val="center"/>
                </w:pPr>
                <w:r>
                  <w:rPr>
                    <w:rFonts w:hint="eastAsia" w:ascii="MS Gothic" w:hAnsi="MS Gothic" w:eastAsia="MS Gothic"/>
                  </w:rPr>
                  <w:t>☐</w:t>
                </w:r>
              </w:p>
            </w:tc>
          </w:sdtContent>
        </w:sdt>
      </w:tr>
      <w:tr w:rsidR="004E2751" w:rsidTr="006061A9" w14:paraId="6616ADA1" w14:textId="79ACE6CA">
        <w:tc>
          <w:tcPr>
            <w:tcW w:w="826" w:type="pct"/>
            <w:vMerge/>
          </w:tcPr>
          <w:p w:rsidR="004E2751" w:rsidP="004E2751" w:rsidRDefault="004E2751" w14:paraId="2D656BF6" w14:textId="77777777">
            <w:pPr>
              <w:pStyle w:val="Tabletext"/>
            </w:pPr>
          </w:p>
        </w:tc>
        <w:tc>
          <w:tcPr>
            <w:tcW w:w="925" w:type="pct"/>
          </w:tcPr>
          <w:p w:rsidRPr="000D017C" w:rsidR="004E2751" w:rsidP="004E2751" w:rsidRDefault="004E2751" w14:paraId="26EB88F2" w14:textId="4C06FF16">
            <w:pPr>
              <w:pStyle w:val="Tabletext"/>
            </w:pPr>
            <w:r w:rsidRPr="000D017C">
              <w:t xml:space="preserve">Asbestos </w:t>
            </w:r>
            <w:r w:rsidR="00E55FE0">
              <w:t>i</w:t>
            </w:r>
            <w:r w:rsidRPr="000D017C">
              <w:t>nspection</w:t>
            </w:r>
          </w:p>
        </w:tc>
        <w:tc>
          <w:tcPr>
            <w:tcW w:w="2434" w:type="pct"/>
          </w:tcPr>
          <w:p w:rsidRPr="002B1FFD" w:rsidR="004E2751" w:rsidP="004E2751" w:rsidRDefault="00806EA6" w14:paraId="34F177D1" w14:textId="37A5323A">
            <w:pPr>
              <w:pStyle w:val="Tabletext"/>
              <w:rPr>
                <w:highlight w:val="yellow"/>
              </w:rPr>
            </w:pPr>
            <w:r>
              <w:t>Inspect</w:t>
            </w:r>
            <w:r w:rsidRPr="000D017C" w:rsidR="004E2751">
              <w:t xml:space="preserve"> for obvious cracked/damaged asbestos materials</w:t>
            </w:r>
            <w:r w:rsidRPr="00C262C5">
              <w:t xml:space="preserve">. </w:t>
            </w:r>
            <w:r w:rsidRPr="00635AF1">
              <w:t>Ensure</w:t>
            </w:r>
            <w:r w:rsidRPr="00635AF1" w:rsidR="004E2751">
              <w:t xml:space="preserve"> safety protocols are followed if found.</w:t>
            </w:r>
          </w:p>
        </w:tc>
        <w:sdt>
          <w:sdtPr>
            <w:id w:val="206148075"/>
            <w14:checkbox>
              <w14:checked w14:val="0"/>
              <w14:checkedState w14:val="2612" w14:font="MS Gothic"/>
              <w14:uncheckedState w14:val="2610" w14:font="MS Gothic"/>
            </w14:checkbox>
          </w:sdtPr>
          <w:sdtContent>
            <w:tc>
              <w:tcPr>
                <w:tcW w:w="438" w:type="pct"/>
              </w:tcPr>
              <w:p w:rsidRPr="00F22A90" w:rsidR="004E2751" w:rsidP="00746D30" w:rsidRDefault="00806EA6" w14:paraId="4F6FE191" w14:textId="22FFC28D">
                <w:pPr>
                  <w:pStyle w:val="Tabletext"/>
                  <w:jc w:val="center"/>
                </w:pPr>
                <w:r>
                  <w:rPr>
                    <w:rFonts w:hint="eastAsia" w:ascii="MS Gothic" w:hAnsi="MS Gothic" w:eastAsia="MS Gothic"/>
                  </w:rPr>
                  <w:t>☐</w:t>
                </w:r>
              </w:p>
            </w:tc>
          </w:sdtContent>
        </w:sdt>
        <w:sdt>
          <w:sdtPr>
            <w:id w:val="-1850862447"/>
            <w14:checkbox>
              <w14:checked w14:val="0"/>
              <w14:checkedState w14:val="2612" w14:font="MS Gothic"/>
              <w14:uncheckedState w14:val="2610" w14:font="MS Gothic"/>
            </w14:checkbox>
          </w:sdtPr>
          <w:sdtContent>
            <w:tc>
              <w:tcPr>
                <w:tcW w:w="377" w:type="pct"/>
              </w:tcPr>
              <w:p w:rsidRPr="00F22A90" w:rsidR="004E2751" w:rsidP="00746D30" w:rsidRDefault="00806EA6" w14:paraId="791EC199" w14:textId="223957F2">
                <w:pPr>
                  <w:pStyle w:val="Tabletext"/>
                  <w:jc w:val="center"/>
                </w:pPr>
                <w:r>
                  <w:rPr>
                    <w:rFonts w:hint="eastAsia" w:ascii="MS Gothic" w:hAnsi="MS Gothic" w:eastAsia="MS Gothic"/>
                  </w:rPr>
                  <w:t>☐</w:t>
                </w:r>
              </w:p>
            </w:tc>
          </w:sdtContent>
        </w:sdt>
      </w:tr>
      <w:tr w:rsidR="004E2751" w:rsidTr="006061A9" w14:paraId="7576BCB2" w14:textId="2BF61247">
        <w:tc>
          <w:tcPr>
            <w:tcW w:w="826" w:type="pct"/>
            <w:vMerge/>
          </w:tcPr>
          <w:p w:rsidR="004E2751" w:rsidP="004E2751" w:rsidRDefault="004E2751" w14:paraId="668BE6AA" w14:textId="77777777">
            <w:pPr>
              <w:pStyle w:val="Tabletext"/>
            </w:pPr>
          </w:p>
        </w:tc>
        <w:tc>
          <w:tcPr>
            <w:tcW w:w="925" w:type="pct"/>
          </w:tcPr>
          <w:p w:rsidRPr="000D017C" w:rsidR="004E2751" w:rsidP="004E2751" w:rsidRDefault="004E2751" w14:paraId="201CEF3C" w14:textId="725D8425">
            <w:pPr>
              <w:pStyle w:val="Tabletext"/>
            </w:pPr>
            <w:r w:rsidRPr="000D017C">
              <w:t xml:space="preserve">Structural </w:t>
            </w:r>
            <w:r w:rsidR="00E55FE0">
              <w:t>i</w:t>
            </w:r>
            <w:r w:rsidRPr="000D017C">
              <w:t>ntegrity</w:t>
            </w:r>
          </w:p>
        </w:tc>
        <w:tc>
          <w:tcPr>
            <w:tcW w:w="2434" w:type="pct"/>
          </w:tcPr>
          <w:p w:rsidRPr="002B1FFD" w:rsidR="004E2751" w:rsidP="004E2751" w:rsidRDefault="00806EA6" w14:paraId="1112A4B8" w14:textId="2973F897">
            <w:pPr>
              <w:pStyle w:val="Tabletext"/>
              <w:rPr>
                <w:highlight w:val="yellow"/>
              </w:rPr>
            </w:pPr>
            <w:r>
              <w:t>Inspect</w:t>
            </w:r>
            <w:r w:rsidRPr="000D017C" w:rsidR="004E2751">
              <w:t xml:space="preserve"> walls/floors for noticeable slope or cracks/gaps greater than 10mm wide</w:t>
            </w:r>
            <w:r>
              <w:t>. E</w:t>
            </w:r>
            <w:r w:rsidRPr="000D017C">
              <w:t>nsure</w:t>
            </w:r>
            <w:r w:rsidRPr="000D017C" w:rsidR="004E2751">
              <w:t xml:space="preserve"> overall structural integrity is sound.</w:t>
            </w:r>
          </w:p>
        </w:tc>
        <w:sdt>
          <w:sdtPr>
            <w:id w:val="434094718"/>
            <w14:checkbox>
              <w14:checked w14:val="0"/>
              <w14:checkedState w14:val="2612" w14:font="MS Gothic"/>
              <w14:uncheckedState w14:val="2610" w14:font="MS Gothic"/>
            </w14:checkbox>
          </w:sdtPr>
          <w:sdtContent>
            <w:tc>
              <w:tcPr>
                <w:tcW w:w="438" w:type="pct"/>
              </w:tcPr>
              <w:p w:rsidRPr="00F22A90" w:rsidR="004E2751" w:rsidP="00746D30" w:rsidRDefault="00806EA6" w14:paraId="72B0A330" w14:textId="59C8E3EE">
                <w:pPr>
                  <w:pStyle w:val="Tabletext"/>
                  <w:jc w:val="center"/>
                </w:pPr>
                <w:r>
                  <w:rPr>
                    <w:rFonts w:hint="eastAsia" w:ascii="MS Gothic" w:hAnsi="MS Gothic" w:eastAsia="MS Gothic"/>
                  </w:rPr>
                  <w:t>☐</w:t>
                </w:r>
              </w:p>
            </w:tc>
          </w:sdtContent>
        </w:sdt>
        <w:sdt>
          <w:sdtPr>
            <w:id w:val="364559652"/>
            <w14:checkbox>
              <w14:checked w14:val="0"/>
              <w14:checkedState w14:val="2612" w14:font="MS Gothic"/>
              <w14:uncheckedState w14:val="2610" w14:font="MS Gothic"/>
            </w14:checkbox>
          </w:sdtPr>
          <w:sdtContent>
            <w:tc>
              <w:tcPr>
                <w:tcW w:w="377" w:type="pct"/>
              </w:tcPr>
              <w:p w:rsidRPr="00F22A90" w:rsidR="004E2751" w:rsidP="00746D30" w:rsidRDefault="00806EA6" w14:paraId="1A2805D6" w14:textId="34DBE4F4">
                <w:pPr>
                  <w:pStyle w:val="Tabletext"/>
                  <w:jc w:val="center"/>
                </w:pPr>
                <w:r>
                  <w:rPr>
                    <w:rFonts w:hint="eastAsia" w:ascii="MS Gothic" w:hAnsi="MS Gothic" w:eastAsia="MS Gothic"/>
                  </w:rPr>
                  <w:t>☐</w:t>
                </w:r>
              </w:p>
            </w:tc>
          </w:sdtContent>
        </w:sdt>
      </w:tr>
      <w:tr w:rsidR="004E2751" w:rsidTr="006061A9" w14:paraId="57316399" w14:textId="0C74A6A1">
        <w:tc>
          <w:tcPr>
            <w:tcW w:w="826" w:type="pct"/>
            <w:vMerge/>
          </w:tcPr>
          <w:p w:rsidR="004E2751" w:rsidP="004E2751" w:rsidRDefault="004E2751" w14:paraId="2FD25A36" w14:textId="77777777">
            <w:pPr>
              <w:pStyle w:val="Tabletext"/>
            </w:pPr>
          </w:p>
        </w:tc>
        <w:tc>
          <w:tcPr>
            <w:tcW w:w="925" w:type="pct"/>
          </w:tcPr>
          <w:p w:rsidRPr="000D017C" w:rsidR="004E2751" w:rsidP="004E2751" w:rsidRDefault="004E2751" w14:paraId="33DB90E0" w14:textId="7F00C12D">
            <w:pPr>
              <w:pStyle w:val="Tabletext"/>
            </w:pPr>
            <w:r w:rsidRPr="00F93FC4">
              <w:t xml:space="preserve">Pest </w:t>
            </w:r>
            <w:r w:rsidR="00E55FE0">
              <w:t>i</w:t>
            </w:r>
            <w:r w:rsidRPr="00F93FC4">
              <w:t>nfestation</w:t>
            </w:r>
          </w:p>
        </w:tc>
        <w:tc>
          <w:tcPr>
            <w:tcW w:w="2434" w:type="pct"/>
          </w:tcPr>
          <w:p w:rsidRPr="000D017C" w:rsidR="004E2751" w:rsidP="004E2751" w:rsidRDefault="004E2751" w14:paraId="0951B141" w14:textId="2231ABAF">
            <w:pPr>
              <w:pStyle w:val="Tabletext"/>
            </w:pPr>
            <w:r w:rsidRPr="00F93FC4">
              <w:t>Inspect for visible signs of pest infestation or biological hazards</w:t>
            </w:r>
            <w:r w:rsidR="00806EA6">
              <w:t>. T</w:t>
            </w:r>
            <w:r w:rsidRPr="00F93FC4" w:rsidR="00806EA6">
              <w:t>ake</w:t>
            </w:r>
            <w:r w:rsidRPr="00F93FC4">
              <w:t xml:space="preserve"> necessary pest control measures if needed</w:t>
            </w:r>
            <w:r w:rsidR="00806EA6">
              <w:t>. L</w:t>
            </w:r>
            <w:r w:rsidRPr="00F93FC4" w:rsidR="00806EA6">
              <w:t>ook</w:t>
            </w:r>
            <w:r w:rsidRPr="00F93FC4">
              <w:t xml:space="preserve"> for termite damage or significant rot/decay in building timbers.</w:t>
            </w:r>
          </w:p>
        </w:tc>
        <w:sdt>
          <w:sdtPr>
            <w:id w:val="-438989568"/>
            <w14:checkbox>
              <w14:checked w14:val="0"/>
              <w14:checkedState w14:val="2612" w14:font="MS Gothic"/>
              <w14:uncheckedState w14:val="2610" w14:font="MS Gothic"/>
            </w14:checkbox>
          </w:sdtPr>
          <w:sdtContent>
            <w:tc>
              <w:tcPr>
                <w:tcW w:w="438" w:type="pct"/>
              </w:tcPr>
              <w:p w:rsidRPr="00F22A90" w:rsidR="004E2751" w:rsidP="00746D30" w:rsidRDefault="00806EA6" w14:paraId="0038CAD1" w14:textId="5408E399">
                <w:pPr>
                  <w:pStyle w:val="Tabletext"/>
                  <w:jc w:val="center"/>
                </w:pPr>
                <w:r>
                  <w:rPr>
                    <w:rFonts w:hint="eastAsia" w:ascii="MS Gothic" w:hAnsi="MS Gothic" w:eastAsia="MS Gothic"/>
                  </w:rPr>
                  <w:t>☐</w:t>
                </w:r>
              </w:p>
            </w:tc>
          </w:sdtContent>
        </w:sdt>
        <w:sdt>
          <w:sdtPr>
            <w:id w:val="-400595888"/>
            <w14:checkbox>
              <w14:checked w14:val="0"/>
              <w14:checkedState w14:val="2612" w14:font="MS Gothic"/>
              <w14:uncheckedState w14:val="2610" w14:font="MS Gothic"/>
            </w14:checkbox>
          </w:sdtPr>
          <w:sdtContent>
            <w:tc>
              <w:tcPr>
                <w:tcW w:w="377" w:type="pct"/>
              </w:tcPr>
              <w:p w:rsidRPr="00F22A90" w:rsidR="004E2751" w:rsidP="00746D30" w:rsidRDefault="00806EA6" w14:paraId="722937B1" w14:textId="55CA7B5E">
                <w:pPr>
                  <w:pStyle w:val="Tabletext"/>
                  <w:jc w:val="center"/>
                </w:pPr>
                <w:r>
                  <w:rPr>
                    <w:rFonts w:hint="eastAsia" w:ascii="MS Gothic" w:hAnsi="MS Gothic" w:eastAsia="MS Gothic"/>
                  </w:rPr>
                  <w:t>☐</w:t>
                </w:r>
              </w:p>
            </w:tc>
          </w:sdtContent>
        </w:sdt>
      </w:tr>
      <w:tr w:rsidR="004E2751" w:rsidTr="006061A9" w14:paraId="679C7DAB" w14:textId="324A6CE6">
        <w:tc>
          <w:tcPr>
            <w:tcW w:w="826" w:type="pct"/>
          </w:tcPr>
          <w:p w:rsidRPr="000D017C" w:rsidR="004E2751" w:rsidP="004E2751" w:rsidRDefault="004E2751" w14:paraId="0FDE02D3" w14:textId="5DF8F01F">
            <w:pPr>
              <w:pStyle w:val="Tabletext"/>
            </w:pPr>
            <w:r>
              <w:t>Floors/</w:t>
            </w:r>
            <w:r w:rsidR="00E55FE0">
              <w:t>w</w:t>
            </w:r>
            <w:r>
              <w:t>alkways</w:t>
            </w:r>
          </w:p>
        </w:tc>
        <w:tc>
          <w:tcPr>
            <w:tcW w:w="925" w:type="pct"/>
          </w:tcPr>
          <w:p w:rsidRPr="000D017C" w:rsidR="004E2751" w:rsidP="004E2751" w:rsidRDefault="004E2751" w14:paraId="531F1A5D" w14:textId="330C43D8">
            <w:pPr>
              <w:pStyle w:val="Tabletext"/>
            </w:pPr>
            <w:r w:rsidRPr="000D017C">
              <w:t xml:space="preserve">Floor </w:t>
            </w:r>
            <w:r w:rsidR="00E55FE0">
              <w:t>c</w:t>
            </w:r>
            <w:r w:rsidRPr="000D017C">
              <w:t xml:space="preserve">overings </w:t>
            </w:r>
            <w:r w:rsidR="00E55FE0">
              <w:t>s</w:t>
            </w:r>
            <w:r w:rsidRPr="000D017C">
              <w:t>afety</w:t>
            </w:r>
          </w:p>
        </w:tc>
        <w:tc>
          <w:tcPr>
            <w:tcW w:w="2434" w:type="pct"/>
          </w:tcPr>
          <w:p w:rsidR="004E2751" w:rsidP="004E2751" w:rsidRDefault="00B27B2F" w14:paraId="6B434716" w14:textId="6B66BD32">
            <w:pPr>
              <w:pStyle w:val="Tabletext"/>
            </w:pPr>
            <w:r>
              <w:t>All</w:t>
            </w:r>
            <w:r w:rsidRPr="000D017C" w:rsidR="004E2751">
              <w:t xml:space="preserve"> floor coverings </w:t>
            </w:r>
            <w:r w:rsidR="005D51A6">
              <w:t>must be</w:t>
            </w:r>
            <w:r w:rsidRPr="000D017C" w:rsidR="004E2751">
              <w:t xml:space="preserve"> free from trip hazards.</w:t>
            </w:r>
          </w:p>
        </w:tc>
        <w:sdt>
          <w:sdtPr>
            <w:id w:val="-1479137788"/>
            <w14:checkbox>
              <w14:checked w14:val="0"/>
              <w14:checkedState w14:val="2612" w14:font="MS Gothic"/>
              <w14:uncheckedState w14:val="2610" w14:font="MS Gothic"/>
            </w14:checkbox>
          </w:sdtPr>
          <w:sdtContent>
            <w:tc>
              <w:tcPr>
                <w:tcW w:w="438" w:type="pct"/>
              </w:tcPr>
              <w:p w:rsidRPr="00F22A90" w:rsidR="004E2751" w:rsidP="00746D30" w:rsidRDefault="00806EA6" w14:paraId="50A24256" w14:textId="5F271B5A">
                <w:pPr>
                  <w:pStyle w:val="Tabletext"/>
                  <w:jc w:val="center"/>
                </w:pPr>
                <w:r>
                  <w:rPr>
                    <w:rFonts w:hint="eastAsia" w:ascii="MS Gothic" w:hAnsi="MS Gothic" w:eastAsia="MS Gothic"/>
                  </w:rPr>
                  <w:t>☐</w:t>
                </w:r>
              </w:p>
            </w:tc>
          </w:sdtContent>
        </w:sdt>
        <w:sdt>
          <w:sdtPr>
            <w:id w:val="-190763303"/>
            <w14:checkbox>
              <w14:checked w14:val="0"/>
              <w14:checkedState w14:val="2612" w14:font="MS Gothic"/>
              <w14:uncheckedState w14:val="2610" w14:font="MS Gothic"/>
            </w14:checkbox>
          </w:sdtPr>
          <w:sdtContent>
            <w:tc>
              <w:tcPr>
                <w:tcW w:w="377" w:type="pct"/>
              </w:tcPr>
              <w:p w:rsidRPr="00F22A90" w:rsidR="004E2751" w:rsidP="00746D30" w:rsidRDefault="00806EA6" w14:paraId="6C408719" w14:textId="4AECF98A">
                <w:pPr>
                  <w:pStyle w:val="Tabletext"/>
                  <w:jc w:val="center"/>
                </w:pPr>
                <w:r>
                  <w:rPr>
                    <w:rFonts w:hint="eastAsia" w:ascii="MS Gothic" w:hAnsi="MS Gothic" w:eastAsia="MS Gothic"/>
                  </w:rPr>
                  <w:t>☐</w:t>
                </w:r>
              </w:p>
            </w:tc>
          </w:sdtContent>
        </w:sdt>
      </w:tr>
      <w:tr w:rsidR="004E2751" w:rsidTr="006061A9" w14:paraId="724D42E3" w14:textId="028BB83B">
        <w:tc>
          <w:tcPr>
            <w:tcW w:w="826" w:type="pct"/>
          </w:tcPr>
          <w:p w:rsidR="004E2751" w:rsidP="004E2751" w:rsidRDefault="004E2751" w14:paraId="4CCEAC68" w14:textId="7A251128">
            <w:pPr>
              <w:pStyle w:val="Tabletext"/>
            </w:pPr>
            <w:r w:rsidRPr="000D017C">
              <w:t>Kitchen/</w:t>
            </w:r>
            <w:r w:rsidR="00E55FE0">
              <w:t>b</w:t>
            </w:r>
            <w:r w:rsidRPr="000D017C">
              <w:t>athroom/</w:t>
            </w:r>
            <w:r w:rsidR="00E55FE0">
              <w:t>u</w:t>
            </w:r>
            <w:r w:rsidRPr="000D017C">
              <w:t xml:space="preserve">tility </w:t>
            </w:r>
            <w:r w:rsidR="00E55FE0">
              <w:t>a</w:t>
            </w:r>
            <w:r w:rsidRPr="000D017C">
              <w:t>rea</w:t>
            </w:r>
          </w:p>
        </w:tc>
        <w:tc>
          <w:tcPr>
            <w:tcW w:w="925" w:type="pct"/>
          </w:tcPr>
          <w:p w:rsidRPr="000D017C" w:rsidR="004E2751" w:rsidP="004E2751" w:rsidRDefault="004E2751" w14:paraId="2FB90180" w14:textId="4C784334">
            <w:pPr>
              <w:pStyle w:val="Tabletext"/>
            </w:pPr>
            <w:r w:rsidRPr="000D017C">
              <w:t xml:space="preserve">Taps </w:t>
            </w:r>
            <w:r w:rsidR="00E55FE0">
              <w:t>f</w:t>
            </w:r>
            <w:r w:rsidRPr="000D017C">
              <w:t>unctionality</w:t>
            </w:r>
          </w:p>
        </w:tc>
        <w:tc>
          <w:tcPr>
            <w:tcW w:w="2434" w:type="pct"/>
          </w:tcPr>
          <w:p w:rsidRPr="000D017C" w:rsidR="004E2751" w:rsidP="004E2751" w:rsidRDefault="004E2751" w14:paraId="677B5EAB" w14:textId="3633CB87">
            <w:pPr>
              <w:pStyle w:val="Tabletext"/>
            </w:pPr>
            <w:r>
              <w:t>Check</w:t>
            </w:r>
            <w:r w:rsidRPr="000D017C">
              <w:t xml:space="preserve"> all taps operate smoothly without dripping</w:t>
            </w:r>
            <w:r w:rsidR="00806EA6">
              <w:t>. C</w:t>
            </w:r>
            <w:r w:rsidRPr="000D017C" w:rsidR="00806EA6">
              <w:t>heck</w:t>
            </w:r>
            <w:r w:rsidRPr="000D017C">
              <w:t xml:space="preserve"> for consistent water pressure from all fixtures.</w:t>
            </w:r>
          </w:p>
        </w:tc>
        <w:sdt>
          <w:sdtPr>
            <w:id w:val="6028513"/>
            <w14:checkbox>
              <w14:checked w14:val="0"/>
              <w14:checkedState w14:val="2612" w14:font="MS Gothic"/>
              <w14:uncheckedState w14:val="2610" w14:font="MS Gothic"/>
            </w14:checkbox>
          </w:sdtPr>
          <w:sdtContent>
            <w:tc>
              <w:tcPr>
                <w:tcW w:w="438" w:type="pct"/>
              </w:tcPr>
              <w:p w:rsidRPr="00F22A90" w:rsidR="004E2751" w:rsidP="00746D30" w:rsidRDefault="00806EA6" w14:paraId="1CABBCE8" w14:textId="5D4D27CC">
                <w:pPr>
                  <w:pStyle w:val="Tabletext"/>
                  <w:jc w:val="center"/>
                </w:pPr>
                <w:r>
                  <w:rPr>
                    <w:rFonts w:hint="eastAsia" w:ascii="MS Gothic" w:hAnsi="MS Gothic" w:eastAsia="MS Gothic"/>
                  </w:rPr>
                  <w:t>☐</w:t>
                </w:r>
              </w:p>
            </w:tc>
          </w:sdtContent>
        </w:sdt>
        <w:sdt>
          <w:sdtPr>
            <w:id w:val="-403145699"/>
            <w14:checkbox>
              <w14:checked w14:val="0"/>
              <w14:checkedState w14:val="2612" w14:font="MS Gothic"/>
              <w14:uncheckedState w14:val="2610" w14:font="MS Gothic"/>
            </w14:checkbox>
          </w:sdtPr>
          <w:sdtContent>
            <w:tc>
              <w:tcPr>
                <w:tcW w:w="377" w:type="pct"/>
              </w:tcPr>
              <w:p w:rsidRPr="00F22A90" w:rsidR="004E2751" w:rsidP="00746D30" w:rsidRDefault="00806EA6" w14:paraId="45276382" w14:textId="66014EE2">
                <w:pPr>
                  <w:pStyle w:val="Tabletext"/>
                  <w:jc w:val="center"/>
                </w:pPr>
                <w:r>
                  <w:rPr>
                    <w:rFonts w:hint="eastAsia" w:ascii="MS Gothic" w:hAnsi="MS Gothic" w:eastAsia="MS Gothic"/>
                  </w:rPr>
                  <w:t>☐</w:t>
                </w:r>
              </w:p>
            </w:tc>
          </w:sdtContent>
        </w:sdt>
      </w:tr>
      <w:tr w:rsidR="004E2751" w:rsidTr="006061A9" w14:paraId="13BF7099" w14:textId="05182C13">
        <w:tc>
          <w:tcPr>
            <w:tcW w:w="826" w:type="pct"/>
          </w:tcPr>
          <w:p w:rsidR="004E2751" w:rsidP="004E2751" w:rsidRDefault="00517B7C" w14:paraId="2420B690" w14:textId="6D133728">
            <w:pPr>
              <w:pStyle w:val="Tabletext"/>
            </w:pPr>
            <w:r>
              <w:t>Kitchen</w:t>
            </w:r>
          </w:p>
        </w:tc>
        <w:tc>
          <w:tcPr>
            <w:tcW w:w="925" w:type="pct"/>
          </w:tcPr>
          <w:p w:rsidR="004E2751" w:rsidP="004E2751" w:rsidRDefault="004E2751" w14:paraId="16088629" w14:textId="57B4C962">
            <w:pPr>
              <w:pStyle w:val="Tabletext"/>
            </w:pPr>
            <w:r w:rsidRPr="000D017C">
              <w:t xml:space="preserve">Kitchen </w:t>
            </w:r>
            <w:r w:rsidR="00E55FE0">
              <w:t>c</w:t>
            </w:r>
            <w:r w:rsidRPr="000D017C">
              <w:t>upboards/</w:t>
            </w:r>
            <w:r w:rsidR="00E55FE0">
              <w:t>d</w:t>
            </w:r>
            <w:r w:rsidRPr="000D017C">
              <w:t xml:space="preserve">rawers </w:t>
            </w:r>
            <w:r w:rsidR="00E55FE0">
              <w:t>f</w:t>
            </w:r>
            <w:r w:rsidRPr="000D017C">
              <w:t>unctionality</w:t>
            </w:r>
          </w:p>
        </w:tc>
        <w:tc>
          <w:tcPr>
            <w:tcW w:w="2434" w:type="pct"/>
          </w:tcPr>
          <w:p w:rsidRPr="007527ED" w:rsidR="004E2751" w:rsidP="004E2751" w:rsidRDefault="004E2751" w14:paraId="600F902F" w14:textId="43061FC7">
            <w:pPr>
              <w:pStyle w:val="Tabletext"/>
            </w:pPr>
            <w:r w:rsidRPr="000D017C">
              <w:t>Check that all kitchen cupboards and drawers open/close easily and have handles.</w:t>
            </w:r>
          </w:p>
        </w:tc>
        <w:sdt>
          <w:sdtPr>
            <w:id w:val="-2103864263"/>
            <w14:checkbox>
              <w14:checked w14:val="0"/>
              <w14:checkedState w14:val="2612" w14:font="MS Gothic"/>
              <w14:uncheckedState w14:val="2610" w14:font="MS Gothic"/>
            </w14:checkbox>
          </w:sdtPr>
          <w:sdtContent>
            <w:tc>
              <w:tcPr>
                <w:tcW w:w="438" w:type="pct"/>
              </w:tcPr>
              <w:p w:rsidRPr="00F22A90" w:rsidR="004E2751" w:rsidP="00746D30" w:rsidRDefault="00806EA6" w14:paraId="0308711F" w14:textId="4ECBE1D0">
                <w:pPr>
                  <w:pStyle w:val="Tabletext"/>
                  <w:jc w:val="center"/>
                </w:pPr>
                <w:r>
                  <w:rPr>
                    <w:rFonts w:hint="eastAsia" w:ascii="MS Gothic" w:hAnsi="MS Gothic" w:eastAsia="MS Gothic"/>
                  </w:rPr>
                  <w:t>☐</w:t>
                </w:r>
              </w:p>
            </w:tc>
          </w:sdtContent>
        </w:sdt>
        <w:sdt>
          <w:sdtPr>
            <w:id w:val="-45840603"/>
            <w14:checkbox>
              <w14:checked w14:val="0"/>
              <w14:checkedState w14:val="2612" w14:font="MS Gothic"/>
              <w14:uncheckedState w14:val="2610" w14:font="MS Gothic"/>
            </w14:checkbox>
          </w:sdtPr>
          <w:sdtContent>
            <w:tc>
              <w:tcPr>
                <w:tcW w:w="377" w:type="pct"/>
              </w:tcPr>
              <w:p w:rsidRPr="00F22A90" w:rsidR="004E2751" w:rsidP="00746D30" w:rsidRDefault="00806EA6" w14:paraId="0B5F8550" w14:textId="7B3C74F5">
                <w:pPr>
                  <w:pStyle w:val="Tabletext"/>
                  <w:jc w:val="center"/>
                </w:pPr>
                <w:r>
                  <w:rPr>
                    <w:rFonts w:hint="eastAsia" w:ascii="MS Gothic" w:hAnsi="MS Gothic" w:eastAsia="MS Gothic"/>
                  </w:rPr>
                  <w:t>☐</w:t>
                </w:r>
              </w:p>
            </w:tc>
          </w:sdtContent>
        </w:sdt>
      </w:tr>
      <w:tr w:rsidR="004E2751" w:rsidTr="006061A9" w14:paraId="64F1F766" w14:textId="3348203D">
        <w:tc>
          <w:tcPr>
            <w:tcW w:w="826" w:type="pct"/>
            <w:vMerge w:val="restart"/>
          </w:tcPr>
          <w:p w:rsidRPr="00F22A90" w:rsidR="004E2751" w:rsidP="004E2751" w:rsidRDefault="004E2751" w14:paraId="21D2085C" w14:textId="5935A42F">
            <w:pPr>
              <w:pStyle w:val="Tabletext"/>
            </w:pPr>
            <w:r w:rsidRPr="007527ED">
              <w:t>Rooms</w:t>
            </w:r>
          </w:p>
        </w:tc>
        <w:tc>
          <w:tcPr>
            <w:tcW w:w="925" w:type="pct"/>
          </w:tcPr>
          <w:p w:rsidRPr="00F22A90" w:rsidR="004E2751" w:rsidP="004E2751" w:rsidRDefault="004E2751" w14:paraId="11976487" w14:textId="538F3A00">
            <w:pPr>
              <w:pStyle w:val="Tabletext"/>
            </w:pPr>
            <w:r w:rsidRPr="007527ED">
              <w:t xml:space="preserve">Internal </w:t>
            </w:r>
            <w:r w:rsidR="00E55FE0">
              <w:t>d</w:t>
            </w:r>
            <w:r w:rsidRPr="007527ED">
              <w:t xml:space="preserve">oors with </w:t>
            </w:r>
            <w:r w:rsidR="00E55FE0">
              <w:t>h</w:t>
            </w:r>
            <w:r w:rsidRPr="007527ED">
              <w:t>ardware</w:t>
            </w:r>
          </w:p>
        </w:tc>
        <w:tc>
          <w:tcPr>
            <w:tcW w:w="2434" w:type="pct"/>
          </w:tcPr>
          <w:p w:rsidRPr="00F22A90" w:rsidR="004E2751" w:rsidP="004E2751" w:rsidRDefault="004E2751" w14:paraId="77F83DDF" w14:textId="14132143">
            <w:pPr>
              <w:pStyle w:val="Tabletext"/>
            </w:pPr>
            <w:r>
              <w:t>Check</w:t>
            </w:r>
            <w:r w:rsidRPr="007527ED">
              <w:t xml:space="preserve"> all rooms have doors equipped with door hardware, but internal doors should not have locks or latches.</w:t>
            </w:r>
          </w:p>
        </w:tc>
        <w:sdt>
          <w:sdtPr>
            <w:id w:val="-1296133059"/>
            <w14:checkbox>
              <w14:checked w14:val="0"/>
              <w14:checkedState w14:val="2612" w14:font="MS Gothic"/>
              <w14:uncheckedState w14:val="2610" w14:font="MS Gothic"/>
            </w14:checkbox>
          </w:sdtPr>
          <w:sdtContent>
            <w:tc>
              <w:tcPr>
                <w:tcW w:w="438" w:type="pct"/>
              </w:tcPr>
              <w:p w:rsidRPr="00F22A90" w:rsidR="004E2751" w:rsidP="00746D30" w:rsidRDefault="00806EA6" w14:paraId="7C315462" w14:textId="25E75844">
                <w:pPr>
                  <w:pStyle w:val="Tabletext"/>
                  <w:jc w:val="center"/>
                </w:pPr>
                <w:r>
                  <w:rPr>
                    <w:rFonts w:hint="eastAsia" w:ascii="MS Gothic" w:hAnsi="MS Gothic" w:eastAsia="MS Gothic"/>
                  </w:rPr>
                  <w:t>☐</w:t>
                </w:r>
              </w:p>
            </w:tc>
          </w:sdtContent>
        </w:sdt>
        <w:sdt>
          <w:sdtPr>
            <w:id w:val="1851991253"/>
            <w14:checkbox>
              <w14:checked w14:val="0"/>
              <w14:checkedState w14:val="2612" w14:font="MS Gothic"/>
              <w14:uncheckedState w14:val="2610" w14:font="MS Gothic"/>
            </w14:checkbox>
          </w:sdtPr>
          <w:sdtContent>
            <w:tc>
              <w:tcPr>
                <w:tcW w:w="377" w:type="pct"/>
              </w:tcPr>
              <w:p w:rsidRPr="00F22A90" w:rsidR="004E2751" w:rsidP="00746D30" w:rsidRDefault="00806EA6" w14:paraId="7109A557" w14:textId="2351EC39">
                <w:pPr>
                  <w:pStyle w:val="Tabletext"/>
                  <w:jc w:val="center"/>
                </w:pPr>
                <w:r>
                  <w:rPr>
                    <w:rFonts w:hint="eastAsia" w:ascii="MS Gothic" w:hAnsi="MS Gothic" w:eastAsia="MS Gothic"/>
                  </w:rPr>
                  <w:t>☐</w:t>
                </w:r>
              </w:p>
            </w:tc>
          </w:sdtContent>
        </w:sdt>
      </w:tr>
      <w:tr w:rsidR="004E2751" w:rsidTr="006061A9" w14:paraId="0F07410A" w14:textId="2E70D7D6">
        <w:tc>
          <w:tcPr>
            <w:tcW w:w="826" w:type="pct"/>
            <w:vMerge/>
          </w:tcPr>
          <w:p w:rsidRPr="00F22A90" w:rsidR="004E2751" w:rsidP="004E2751" w:rsidRDefault="004E2751" w14:paraId="49DFB567" w14:textId="22D9346A">
            <w:pPr>
              <w:pStyle w:val="Tabletext"/>
            </w:pPr>
          </w:p>
        </w:tc>
        <w:tc>
          <w:tcPr>
            <w:tcW w:w="925" w:type="pct"/>
          </w:tcPr>
          <w:p w:rsidRPr="00F22A90" w:rsidR="004E2751" w:rsidP="004E2751" w:rsidRDefault="004E2751" w14:paraId="263EFA4D" w14:textId="778ADACF">
            <w:pPr>
              <w:pStyle w:val="Tabletext"/>
            </w:pPr>
            <w:r w:rsidRPr="007527ED">
              <w:t xml:space="preserve">Flywire </w:t>
            </w:r>
            <w:r w:rsidR="00E55FE0">
              <w:t>s</w:t>
            </w:r>
            <w:r w:rsidRPr="007527ED">
              <w:t>creens</w:t>
            </w:r>
          </w:p>
        </w:tc>
        <w:tc>
          <w:tcPr>
            <w:tcW w:w="2434" w:type="pct"/>
          </w:tcPr>
          <w:p w:rsidRPr="00F22A90" w:rsidR="004E2751" w:rsidP="004E2751" w:rsidRDefault="004E2751" w14:paraId="59151332" w14:textId="3B92533F">
            <w:pPr>
              <w:pStyle w:val="Tabletext"/>
              <w:tabs>
                <w:tab w:val="left" w:pos="1165"/>
              </w:tabs>
            </w:pPr>
            <w:r>
              <w:t>Check</w:t>
            </w:r>
            <w:r w:rsidRPr="007527ED">
              <w:t xml:space="preserve"> at least one window in each room has flywire fitted and in good repair.</w:t>
            </w:r>
          </w:p>
        </w:tc>
        <w:sdt>
          <w:sdtPr>
            <w:id w:val="-6910080"/>
            <w14:checkbox>
              <w14:checked w14:val="0"/>
              <w14:checkedState w14:val="2612" w14:font="MS Gothic"/>
              <w14:uncheckedState w14:val="2610" w14:font="MS Gothic"/>
            </w14:checkbox>
          </w:sdtPr>
          <w:sdtContent>
            <w:tc>
              <w:tcPr>
                <w:tcW w:w="438" w:type="pct"/>
              </w:tcPr>
              <w:p w:rsidRPr="00F22A90" w:rsidR="004E2751" w:rsidP="00746D30" w:rsidRDefault="00806EA6" w14:paraId="1A175248" w14:textId="41C4114E">
                <w:pPr>
                  <w:pStyle w:val="Tabletext"/>
                  <w:jc w:val="center"/>
                </w:pPr>
                <w:r>
                  <w:rPr>
                    <w:rFonts w:hint="eastAsia" w:ascii="MS Gothic" w:hAnsi="MS Gothic" w:eastAsia="MS Gothic"/>
                  </w:rPr>
                  <w:t>☐</w:t>
                </w:r>
              </w:p>
            </w:tc>
          </w:sdtContent>
        </w:sdt>
        <w:sdt>
          <w:sdtPr>
            <w:id w:val="867259553"/>
            <w14:checkbox>
              <w14:checked w14:val="0"/>
              <w14:checkedState w14:val="2612" w14:font="MS Gothic"/>
              <w14:uncheckedState w14:val="2610" w14:font="MS Gothic"/>
            </w14:checkbox>
          </w:sdtPr>
          <w:sdtContent>
            <w:tc>
              <w:tcPr>
                <w:tcW w:w="377" w:type="pct"/>
              </w:tcPr>
              <w:p w:rsidRPr="00F22A90" w:rsidR="004E2751" w:rsidP="00746D30" w:rsidRDefault="00806EA6" w14:paraId="3A150562" w14:textId="06526AD2">
                <w:pPr>
                  <w:pStyle w:val="Tabletext"/>
                  <w:jc w:val="center"/>
                </w:pPr>
                <w:r>
                  <w:rPr>
                    <w:rFonts w:hint="eastAsia" w:ascii="MS Gothic" w:hAnsi="MS Gothic" w:eastAsia="MS Gothic"/>
                  </w:rPr>
                  <w:t>☐</w:t>
                </w:r>
              </w:p>
            </w:tc>
          </w:sdtContent>
        </w:sdt>
      </w:tr>
      <w:tr w:rsidR="004E2751" w:rsidTr="006061A9" w14:paraId="28C6DD52" w14:textId="2DB53BD3">
        <w:tc>
          <w:tcPr>
            <w:tcW w:w="826" w:type="pct"/>
          </w:tcPr>
          <w:p w:rsidRPr="000D017C" w:rsidR="004E2751" w:rsidP="004E2751" w:rsidRDefault="004E2751" w14:paraId="317881A1" w14:textId="050C49A5">
            <w:pPr>
              <w:pStyle w:val="Tabletext"/>
            </w:pPr>
            <w:r>
              <w:t>Bathroom</w:t>
            </w:r>
          </w:p>
        </w:tc>
        <w:tc>
          <w:tcPr>
            <w:tcW w:w="925" w:type="pct"/>
          </w:tcPr>
          <w:p w:rsidRPr="000D017C" w:rsidR="004E2751" w:rsidP="004E2751" w:rsidRDefault="004E2751" w14:paraId="7711BCA6" w14:textId="24FB89FB">
            <w:pPr>
              <w:pStyle w:val="Tabletext"/>
            </w:pPr>
            <w:r w:rsidRPr="000D017C">
              <w:t xml:space="preserve">Bathroom </w:t>
            </w:r>
            <w:r w:rsidR="00E55FE0">
              <w:t>c</w:t>
            </w:r>
            <w:r w:rsidRPr="000D017C">
              <w:t>upboards/</w:t>
            </w:r>
            <w:r w:rsidR="00E55FE0">
              <w:t>d</w:t>
            </w:r>
            <w:r w:rsidRPr="000D017C">
              <w:t xml:space="preserve">rawers </w:t>
            </w:r>
            <w:r w:rsidR="00E55FE0">
              <w:t>f</w:t>
            </w:r>
            <w:r w:rsidRPr="000D017C">
              <w:t>unctionality</w:t>
            </w:r>
          </w:p>
        </w:tc>
        <w:tc>
          <w:tcPr>
            <w:tcW w:w="2434" w:type="pct"/>
          </w:tcPr>
          <w:p w:rsidR="004E2751" w:rsidP="004E2751" w:rsidRDefault="004E2751" w14:paraId="7E7F3139" w14:textId="7FEED80E">
            <w:pPr>
              <w:pStyle w:val="Tabletext"/>
              <w:tabs>
                <w:tab w:val="left" w:pos="1165"/>
              </w:tabs>
            </w:pPr>
            <w:r>
              <w:t>Check</w:t>
            </w:r>
            <w:r w:rsidRPr="000D017C">
              <w:t xml:space="preserve"> bathroom cupboards and drawers</w:t>
            </w:r>
            <w:r>
              <w:t xml:space="preserve"> </w:t>
            </w:r>
            <w:r w:rsidRPr="000D017C">
              <w:t>open/close without difficulty and have handles.</w:t>
            </w:r>
          </w:p>
        </w:tc>
        <w:sdt>
          <w:sdtPr>
            <w:id w:val="320009484"/>
            <w14:checkbox>
              <w14:checked w14:val="0"/>
              <w14:checkedState w14:val="2612" w14:font="MS Gothic"/>
              <w14:uncheckedState w14:val="2610" w14:font="MS Gothic"/>
            </w14:checkbox>
          </w:sdtPr>
          <w:sdtContent>
            <w:tc>
              <w:tcPr>
                <w:tcW w:w="438" w:type="pct"/>
              </w:tcPr>
              <w:p w:rsidRPr="00F22A90" w:rsidR="004E2751" w:rsidP="00746D30" w:rsidRDefault="00806EA6" w14:paraId="4DA6BD41" w14:textId="23820715">
                <w:pPr>
                  <w:pStyle w:val="Tabletext"/>
                  <w:jc w:val="center"/>
                </w:pPr>
                <w:r>
                  <w:rPr>
                    <w:rFonts w:hint="eastAsia" w:ascii="MS Gothic" w:hAnsi="MS Gothic" w:eastAsia="MS Gothic"/>
                  </w:rPr>
                  <w:t>☐</w:t>
                </w:r>
              </w:p>
            </w:tc>
          </w:sdtContent>
        </w:sdt>
        <w:sdt>
          <w:sdtPr>
            <w:id w:val="-1666396248"/>
            <w14:checkbox>
              <w14:checked w14:val="0"/>
              <w14:checkedState w14:val="2612" w14:font="MS Gothic"/>
              <w14:uncheckedState w14:val="2610" w14:font="MS Gothic"/>
            </w14:checkbox>
          </w:sdtPr>
          <w:sdtContent>
            <w:tc>
              <w:tcPr>
                <w:tcW w:w="377" w:type="pct"/>
              </w:tcPr>
              <w:p w:rsidRPr="00F22A90" w:rsidR="004E2751" w:rsidP="00746D30" w:rsidRDefault="00806EA6" w14:paraId="1CC4DCDB" w14:textId="5DD530E6">
                <w:pPr>
                  <w:pStyle w:val="Tabletext"/>
                  <w:jc w:val="center"/>
                </w:pPr>
                <w:r>
                  <w:rPr>
                    <w:rFonts w:hint="eastAsia" w:ascii="MS Gothic" w:hAnsi="MS Gothic" w:eastAsia="MS Gothic"/>
                  </w:rPr>
                  <w:t>☐</w:t>
                </w:r>
              </w:p>
            </w:tc>
          </w:sdtContent>
        </w:sdt>
      </w:tr>
      <w:tr w:rsidR="004E2751" w:rsidTr="006061A9" w14:paraId="24119F56" w14:textId="475987D0">
        <w:tc>
          <w:tcPr>
            <w:tcW w:w="826" w:type="pct"/>
            <w:vMerge w:val="restart"/>
          </w:tcPr>
          <w:p w:rsidRPr="000D017C" w:rsidR="004E2751" w:rsidP="004E2751" w:rsidRDefault="004E2751" w14:paraId="4F2FA76D" w14:textId="301BD1DA">
            <w:pPr>
              <w:pStyle w:val="Tabletext"/>
            </w:pPr>
            <w:r w:rsidRPr="00F93FC4">
              <w:t>Yard/</w:t>
            </w:r>
            <w:r w:rsidR="00E55FE0">
              <w:t>e</w:t>
            </w:r>
            <w:r w:rsidRPr="00F93FC4">
              <w:t>xterior</w:t>
            </w:r>
          </w:p>
        </w:tc>
        <w:tc>
          <w:tcPr>
            <w:tcW w:w="925" w:type="pct"/>
          </w:tcPr>
          <w:p w:rsidRPr="000D017C" w:rsidR="004E2751" w:rsidP="004E2751" w:rsidRDefault="004E2751" w14:paraId="7236CE12" w14:textId="5D42D29E">
            <w:pPr>
              <w:pStyle w:val="Tabletext"/>
            </w:pPr>
            <w:r w:rsidRPr="00F93FC4">
              <w:t xml:space="preserve">Functional </w:t>
            </w:r>
            <w:r w:rsidR="00E55FE0">
              <w:t>l</w:t>
            </w:r>
            <w:r w:rsidRPr="00F93FC4">
              <w:t xml:space="preserve">etterbox </w:t>
            </w:r>
            <w:r>
              <w:t>and</w:t>
            </w:r>
            <w:r w:rsidRPr="00F93FC4">
              <w:t xml:space="preserve"> </w:t>
            </w:r>
            <w:r w:rsidR="00E55FE0">
              <w:t>c</w:t>
            </w:r>
            <w:r w:rsidRPr="00F93FC4">
              <w:t>lothesline/</w:t>
            </w:r>
            <w:r w:rsidR="00E55FE0">
              <w:t>s</w:t>
            </w:r>
            <w:r w:rsidRPr="00F93FC4">
              <w:t>hed</w:t>
            </w:r>
          </w:p>
        </w:tc>
        <w:tc>
          <w:tcPr>
            <w:tcW w:w="2434" w:type="pct"/>
          </w:tcPr>
          <w:p w:rsidR="004E2751" w:rsidP="004E2751" w:rsidRDefault="004E2751" w14:paraId="3B8C81B3" w14:textId="35D13B7B">
            <w:pPr>
              <w:pStyle w:val="Tabletext"/>
              <w:tabs>
                <w:tab w:val="left" w:pos="1165"/>
              </w:tabs>
            </w:pPr>
            <w:r w:rsidRPr="00F93FC4">
              <w:t>Confirm property has a functional letterbox, clothesline, and garden shed/storage locker if applicable.</w:t>
            </w:r>
          </w:p>
        </w:tc>
        <w:sdt>
          <w:sdtPr>
            <w:id w:val="-854416180"/>
            <w14:checkbox>
              <w14:checked w14:val="0"/>
              <w14:checkedState w14:val="2612" w14:font="MS Gothic"/>
              <w14:uncheckedState w14:val="2610" w14:font="MS Gothic"/>
            </w14:checkbox>
          </w:sdtPr>
          <w:sdtContent>
            <w:tc>
              <w:tcPr>
                <w:tcW w:w="438" w:type="pct"/>
              </w:tcPr>
              <w:p w:rsidRPr="00F22A90" w:rsidR="004E2751" w:rsidP="00746D30" w:rsidRDefault="00806EA6" w14:paraId="5FA0E5CA" w14:textId="10093DA2">
                <w:pPr>
                  <w:pStyle w:val="Tabletext"/>
                  <w:jc w:val="center"/>
                </w:pPr>
                <w:r>
                  <w:rPr>
                    <w:rFonts w:hint="eastAsia" w:ascii="MS Gothic" w:hAnsi="MS Gothic" w:eastAsia="MS Gothic"/>
                  </w:rPr>
                  <w:t>☐</w:t>
                </w:r>
              </w:p>
            </w:tc>
          </w:sdtContent>
        </w:sdt>
        <w:sdt>
          <w:sdtPr>
            <w:id w:val="-1782259833"/>
            <w14:checkbox>
              <w14:checked w14:val="0"/>
              <w14:checkedState w14:val="2612" w14:font="MS Gothic"/>
              <w14:uncheckedState w14:val="2610" w14:font="MS Gothic"/>
            </w14:checkbox>
          </w:sdtPr>
          <w:sdtContent>
            <w:tc>
              <w:tcPr>
                <w:tcW w:w="377" w:type="pct"/>
              </w:tcPr>
              <w:p w:rsidRPr="00F22A90" w:rsidR="004E2751" w:rsidP="00746D30" w:rsidRDefault="00806EA6" w14:paraId="50BC10A0" w14:textId="4D8E207B">
                <w:pPr>
                  <w:pStyle w:val="Tabletext"/>
                  <w:jc w:val="center"/>
                </w:pPr>
                <w:r>
                  <w:rPr>
                    <w:rFonts w:hint="eastAsia" w:ascii="MS Gothic" w:hAnsi="MS Gothic" w:eastAsia="MS Gothic"/>
                  </w:rPr>
                  <w:t>☐</w:t>
                </w:r>
              </w:p>
            </w:tc>
          </w:sdtContent>
        </w:sdt>
      </w:tr>
      <w:tr w:rsidR="004E2751" w:rsidTr="006061A9" w14:paraId="34B46BF8" w14:textId="3973F639">
        <w:tc>
          <w:tcPr>
            <w:tcW w:w="826" w:type="pct"/>
            <w:vMerge/>
          </w:tcPr>
          <w:p w:rsidRPr="000D017C" w:rsidR="004E2751" w:rsidP="004E2751" w:rsidRDefault="004E2751" w14:paraId="520D0196" w14:textId="77777777">
            <w:pPr>
              <w:pStyle w:val="Tabletext"/>
            </w:pPr>
          </w:p>
        </w:tc>
        <w:tc>
          <w:tcPr>
            <w:tcW w:w="925" w:type="pct"/>
          </w:tcPr>
          <w:p w:rsidRPr="000D017C" w:rsidR="004E2751" w:rsidP="004E2751" w:rsidRDefault="004E2751" w14:paraId="5802C5EF" w14:textId="5A459A0A">
            <w:pPr>
              <w:pStyle w:val="Tabletext"/>
            </w:pPr>
            <w:r w:rsidRPr="00F93FC4">
              <w:t xml:space="preserve">Tree </w:t>
            </w:r>
            <w:r w:rsidR="00E55FE0">
              <w:t>p</w:t>
            </w:r>
            <w:r w:rsidRPr="00F93FC4" w:rsidR="00E55FE0">
              <w:t>roximity</w:t>
            </w:r>
            <w:r w:rsidRPr="00F93FC4">
              <w:t xml:space="preserve"> to </w:t>
            </w:r>
            <w:r w:rsidR="00E55FE0">
              <w:t>e</w:t>
            </w:r>
            <w:r w:rsidRPr="00F93FC4">
              <w:t xml:space="preserve">xternal </w:t>
            </w:r>
            <w:r w:rsidR="00E55FE0">
              <w:t>w</w:t>
            </w:r>
            <w:r w:rsidRPr="00F93FC4">
              <w:t>alls</w:t>
            </w:r>
          </w:p>
        </w:tc>
        <w:tc>
          <w:tcPr>
            <w:tcW w:w="2434" w:type="pct"/>
          </w:tcPr>
          <w:p w:rsidR="004E2751" w:rsidP="004E2751" w:rsidRDefault="004E2751" w14:paraId="7D7057FC" w14:textId="12B8E83B">
            <w:pPr>
              <w:pStyle w:val="Tabletext"/>
              <w:tabs>
                <w:tab w:val="left" w:pos="1165"/>
              </w:tabs>
            </w:pPr>
            <w:r w:rsidRPr="00F93FC4">
              <w:t>Ensure no trees are within 1 meter of external brick walls; check for trees/shrubs impeding access or impacting structures.</w:t>
            </w:r>
          </w:p>
        </w:tc>
        <w:sdt>
          <w:sdtPr>
            <w:id w:val="-1056860298"/>
            <w14:checkbox>
              <w14:checked w14:val="0"/>
              <w14:checkedState w14:val="2612" w14:font="MS Gothic"/>
              <w14:uncheckedState w14:val="2610" w14:font="MS Gothic"/>
            </w14:checkbox>
          </w:sdtPr>
          <w:sdtContent>
            <w:tc>
              <w:tcPr>
                <w:tcW w:w="438" w:type="pct"/>
              </w:tcPr>
              <w:p w:rsidRPr="00F22A90" w:rsidR="004E2751" w:rsidP="00746D30" w:rsidRDefault="00806EA6" w14:paraId="5DA97C66" w14:textId="7675A488">
                <w:pPr>
                  <w:pStyle w:val="Tabletext"/>
                  <w:jc w:val="center"/>
                </w:pPr>
                <w:r>
                  <w:rPr>
                    <w:rFonts w:hint="eastAsia" w:ascii="MS Gothic" w:hAnsi="MS Gothic" w:eastAsia="MS Gothic"/>
                  </w:rPr>
                  <w:t>☐</w:t>
                </w:r>
              </w:p>
            </w:tc>
          </w:sdtContent>
        </w:sdt>
        <w:sdt>
          <w:sdtPr>
            <w:id w:val="879445916"/>
            <w14:checkbox>
              <w14:checked w14:val="0"/>
              <w14:checkedState w14:val="2612" w14:font="MS Gothic"/>
              <w14:uncheckedState w14:val="2610" w14:font="MS Gothic"/>
            </w14:checkbox>
          </w:sdtPr>
          <w:sdtContent>
            <w:tc>
              <w:tcPr>
                <w:tcW w:w="377" w:type="pct"/>
              </w:tcPr>
              <w:p w:rsidRPr="00F22A90" w:rsidR="004E2751" w:rsidP="00746D30" w:rsidRDefault="00806EA6" w14:paraId="30B9A9E5" w14:textId="40FB1573">
                <w:pPr>
                  <w:pStyle w:val="Tabletext"/>
                  <w:jc w:val="center"/>
                </w:pPr>
                <w:r>
                  <w:rPr>
                    <w:rFonts w:hint="eastAsia" w:ascii="MS Gothic" w:hAnsi="MS Gothic" w:eastAsia="MS Gothic"/>
                  </w:rPr>
                  <w:t>☐</w:t>
                </w:r>
              </w:p>
            </w:tc>
          </w:sdtContent>
        </w:sdt>
      </w:tr>
      <w:tr w:rsidR="004E2751" w:rsidTr="006061A9" w14:paraId="34AAE092" w14:textId="5DB79114">
        <w:tc>
          <w:tcPr>
            <w:tcW w:w="826" w:type="pct"/>
            <w:vMerge/>
          </w:tcPr>
          <w:p w:rsidRPr="000D017C" w:rsidR="004E2751" w:rsidP="004E2751" w:rsidRDefault="004E2751" w14:paraId="43D7C301" w14:textId="77777777">
            <w:pPr>
              <w:pStyle w:val="Tabletext"/>
            </w:pPr>
          </w:p>
        </w:tc>
        <w:tc>
          <w:tcPr>
            <w:tcW w:w="925" w:type="pct"/>
          </w:tcPr>
          <w:p w:rsidRPr="000D017C" w:rsidR="004E2751" w:rsidP="004E2751" w:rsidRDefault="004E2751" w14:paraId="4760CD50" w14:textId="4F7F09FD">
            <w:pPr>
              <w:pStyle w:val="Tabletext"/>
            </w:pPr>
            <w:r>
              <w:t xml:space="preserve">Swimming </w:t>
            </w:r>
            <w:r w:rsidR="00E55FE0">
              <w:t>p</w:t>
            </w:r>
            <w:r w:rsidRPr="00F93FC4">
              <w:t>ool</w:t>
            </w:r>
            <w:r>
              <w:t>s</w:t>
            </w:r>
          </w:p>
        </w:tc>
        <w:tc>
          <w:tcPr>
            <w:tcW w:w="2434" w:type="pct"/>
          </w:tcPr>
          <w:p w:rsidR="004E2751" w:rsidP="004E2751" w:rsidRDefault="004E2751" w14:paraId="67B148A2" w14:textId="73975677">
            <w:pPr>
              <w:pStyle w:val="Tabletext"/>
              <w:tabs>
                <w:tab w:val="left" w:pos="1227"/>
              </w:tabs>
            </w:pPr>
            <w:r w:rsidRPr="00F93FC4">
              <w:t>Confirm no swimming pools or external spas are present</w:t>
            </w:r>
            <w:r>
              <w:t>.</w:t>
            </w:r>
          </w:p>
        </w:tc>
        <w:sdt>
          <w:sdtPr>
            <w:id w:val="-152766489"/>
            <w14:checkbox>
              <w14:checked w14:val="0"/>
              <w14:checkedState w14:val="2612" w14:font="MS Gothic"/>
              <w14:uncheckedState w14:val="2610" w14:font="MS Gothic"/>
            </w14:checkbox>
          </w:sdtPr>
          <w:sdtContent>
            <w:tc>
              <w:tcPr>
                <w:tcW w:w="438" w:type="pct"/>
              </w:tcPr>
              <w:p w:rsidRPr="00F22A90" w:rsidR="004E2751" w:rsidP="00746D30" w:rsidRDefault="00806EA6" w14:paraId="52595E9C" w14:textId="30392D8B">
                <w:pPr>
                  <w:pStyle w:val="Tabletext"/>
                  <w:jc w:val="center"/>
                </w:pPr>
                <w:r>
                  <w:rPr>
                    <w:rFonts w:hint="eastAsia" w:ascii="MS Gothic" w:hAnsi="MS Gothic" w:eastAsia="MS Gothic"/>
                  </w:rPr>
                  <w:t>☐</w:t>
                </w:r>
              </w:p>
            </w:tc>
          </w:sdtContent>
        </w:sdt>
        <w:sdt>
          <w:sdtPr>
            <w:id w:val="675999024"/>
            <w14:checkbox>
              <w14:checked w14:val="0"/>
              <w14:checkedState w14:val="2612" w14:font="MS Gothic"/>
              <w14:uncheckedState w14:val="2610" w14:font="MS Gothic"/>
            </w14:checkbox>
          </w:sdtPr>
          <w:sdtContent>
            <w:tc>
              <w:tcPr>
                <w:tcW w:w="377" w:type="pct"/>
              </w:tcPr>
              <w:p w:rsidRPr="00F22A90" w:rsidR="004E2751" w:rsidP="00746D30" w:rsidRDefault="00806EA6" w14:paraId="664592C4" w14:textId="5EE03A37">
                <w:pPr>
                  <w:pStyle w:val="Tabletext"/>
                  <w:jc w:val="center"/>
                </w:pPr>
                <w:r>
                  <w:rPr>
                    <w:rFonts w:hint="eastAsia" w:ascii="MS Gothic" w:hAnsi="MS Gothic" w:eastAsia="MS Gothic"/>
                  </w:rPr>
                  <w:t>☐</w:t>
                </w:r>
              </w:p>
            </w:tc>
          </w:sdtContent>
        </w:sdt>
      </w:tr>
    </w:tbl>
    <w:p w:rsidRPr="00F93FC4" w:rsidR="00F93FC4" w:rsidP="001B26A4" w:rsidRDefault="00F93FC4" w14:paraId="127C9664" w14:textId="77777777">
      <w:pPr>
        <w:pStyle w:val="Body"/>
      </w:pPr>
    </w:p>
    <w:sectPr w:rsidRPr="00F93FC4" w:rsidR="00F93FC4" w:rsidSect="00C66E1D">
      <w:pgSz w:w="16838" w:h="11906" w:orient="landscape" w:code="9"/>
      <w:pgMar w:top="1304" w:right="851" w:bottom="1304" w:left="1418"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6003" w:rsidRDefault="00A56003" w14:paraId="0D1AFB16" w14:textId="77777777">
      <w:r>
        <w:separator/>
      </w:r>
    </w:p>
    <w:p w:rsidR="00A56003" w:rsidRDefault="00A56003" w14:paraId="5F1F44DF" w14:textId="77777777"/>
  </w:endnote>
  <w:endnote w:type="continuationSeparator" w:id="0">
    <w:p w:rsidR="00A56003" w:rsidRDefault="00A56003" w14:paraId="5A644E66" w14:textId="77777777">
      <w:r>
        <w:continuationSeparator/>
      </w:r>
    </w:p>
    <w:p w:rsidR="00A56003" w:rsidRDefault="00A56003" w14:paraId="55209092" w14:textId="77777777"/>
  </w:endnote>
  <w:endnote w:type="continuationNotice" w:id="1">
    <w:p w:rsidR="00A56003" w:rsidRDefault="00A56003" w14:paraId="705A3F1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21E06AB0" w14:textId="3FA2AEC0">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5F389B9" w14:textId="31CAAB1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3473071C">
            <v:shapetype id="_x0000_t202" coordsize="21600,21600" o:spt="202" path="m,l,21600r21600,l21600,xe" w14:anchorId="5F16E52C">
              <v:stroke joinstyle="miter"/>
              <v:path gradientshapeok="t" o:connecttype="rect"/>
            </v:shapetype>
            <v:shape id="MSIPCM9dd54572b391b968e538fedc"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v:textbox inset=",0,,0">
                <w:txbxContent>
                  <w:p w:rsidRPr="00EB4BC7" w:rsidR="00EB4BC7" w:rsidP="00EB4BC7" w:rsidRDefault="00EB4BC7" w14:paraId="2CCFEE10" w14:textId="31CAAB1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RDefault="00EB4BC7" w14:paraId="795C27F3" w14:textId="735E2BCF">
    <w:pPr>
      <w:pStyle w:val="Footer"/>
    </w:pPr>
    <w:r>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2C5B7C" w:rsidRDefault="00EB4BC7" w14:paraId="6C8B923F" w14:textId="188DBC95">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1697259D">
            <v:shapetype id="_x0000_t202" coordsize="21600,21600" o:spt="202" path="m,l,21600r21600,l21600,xe" w14:anchorId="47C005B9">
              <v:stroke joinstyle="miter"/>
              <v:path gradientshapeok="t" o:connecttype="rect"/>
            </v:shapetype>
            <v:shape id="MSIPCM36724fdbb2a52fcfc05f86a5"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EB4BC7" w:rsidR="00EB4BC7" w:rsidP="002C5B7C" w:rsidRDefault="00EB4BC7" w14:paraId="17D1F485" w14:textId="188DBC95">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EB4BC7" w:rsidRDefault="00EB4BC7" w14:paraId="4ED4B1DC" w14:textId="660D8273">
    <w:pPr>
      <w:pStyle w:val="Footer"/>
    </w:pPr>
    <w:r>
      <w:rPr>
        <w:noProof/>
      </w:rPr>
      <mc:AlternateContent>
        <mc:Choice Requires="wps">
          <w:drawing>
            <wp:anchor distT="0" distB="0" distL="114300" distR="114300" simplePos="0" relativeHeight="251658241"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4086DCEE" w14:textId="7687AF4A">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F048864">
            <v:shapetype id="_x0000_t202" coordsize="21600,21600" o:spt="202" path="m,l,21600r21600,l21600,xe" w14:anchorId="70BA23E7">
              <v:stroke joinstyle="miter"/>
              <v:path gradientshapeok="t" o:connecttype="rect"/>
            </v:shapetype>
            <v:shape id="MSIPCMf6504bf684e4519137a7274a"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v:textbox inset=",0,,0">
                <w:txbxContent>
                  <w:p w:rsidRPr="00EB4BC7" w:rsidR="00EB4BC7" w:rsidP="00EB4BC7" w:rsidRDefault="00EB4BC7" w14:paraId="08CE8BEA" w14:textId="7687AF4A">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D63636" w:rsidRDefault="002C5B7C" w14:paraId="6A5A0490" w14:textId="1557D831">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2C5B7C" w:rsidR="002C5B7C" w:rsidP="002C5B7C" w:rsidRDefault="002C5B7C" w14:paraId="187CC088" w14:textId="35729B6B">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7E05C058">
            <v:shapetype id="_x0000_t202" coordsize="21600,21600" o:spt="202" path="m,l,21600r21600,l21600,xe" w14:anchorId="3B772BC9">
              <v:stroke joinstyle="miter"/>
              <v:path gradientshapeok="t" o:connecttype="rect"/>
            </v:shapetype>
            <v:shape id="MSIPCMd3f54469bd0204c6fb2f3fa8"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OddAndEven&quot;,&quot;Section&quot;:3,&quot;Top&quot;:0.0,&quot;Left&quot;:0.0}" o:spid="_x0000_s1029"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v:textbox inset=",0,,0">
                <w:txbxContent>
                  <w:p w:rsidRPr="002C5B7C" w:rsidR="002C5B7C" w:rsidP="002C5B7C" w:rsidRDefault="002C5B7C" w14:paraId="171AAEBA" w14:textId="35729B6B">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00431A70" w:rsidP="00DC00C1" w:rsidRDefault="001C7128" w14:paraId="042FA8D0" w14:textId="7E347BBB">
    <w:pPr>
      <w:pStyle w:val="Footer"/>
      <w:tabs>
        <w:tab w:val="left" w:pos="3667"/>
      </w:tabs>
    </w:pPr>
    <w:r>
      <w:rPr>
        <w:noProof/>
        <w:lang w:eastAsia="en-AU"/>
      </w:rPr>
      <mc:AlternateContent>
        <mc:Choice Requires="wps">
          <w:drawing>
            <wp:anchor distT="0" distB="0" distL="114300" distR="114300" simplePos="0" relativeHeight="251658245"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1C7128" w:rsidR="001C7128" w:rsidP="001C7128" w:rsidRDefault="001C7128" w14:paraId="08EC5D7E" w14:textId="292E2C3E">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0847F056">
            <v:shapetype id="_x0000_t202" coordsize="21600,21600" o:spt="202" path="m,l,21600r21600,l21600,xe" w14:anchorId="6EBCE929">
              <v:stroke joinstyle="miter"/>
              <v:path gradientshapeok="t" o:connecttype="rect"/>
            </v:shapetype>
            <v:shape id="MSIPCMcda5461fada7660fda7e169a"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2,&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v:textbox inset=",0,,0">
                <w:txbxContent>
                  <w:p w:rsidRPr="001C7128" w:rsidR="001C7128" w:rsidP="001C7128" w:rsidRDefault="001C7128" w14:paraId="09E77742" w14:textId="292E2C3E">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3"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EB4BC7" w:rsidR="00EB4BC7" w:rsidP="00EB4BC7" w:rsidRDefault="00EB4BC7" w14:paraId="54918659" w14:textId="5CB96CC1">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w14:anchorId="42565CCC">
            <v:shape id="MSIPCM82764d688816a9dc96a1b608" style="position:absolute;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3,&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w14:anchorId="1BA32EAB">
              <v:textbox inset=",0,,0">
                <w:txbxContent>
                  <w:p w:rsidRPr="00EB4BC7" w:rsidR="00EB4BC7" w:rsidP="00EB4BC7" w:rsidRDefault="00EB4BC7" w14:paraId="75F360E3" w14:textId="5CB96CC1">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6003" w:rsidP="00207717" w:rsidRDefault="00A56003" w14:paraId="1C0B23D2" w14:textId="77777777">
      <w:pPr>
        <w:spacing w:before="120"/>
      </w:pPr>
      <w:r>
        <w:separator/>
      </w:r>
    </w:p>
  </w:footnote>
  <w:footnote w:type="continuationSeparator" w:id="0">
    <w:p w:rsidR="00A56003" w:rsidRDefault="00A56003" w14:paraId="67605A81" w14:textId="77777777">
      <w:r>
        <w:continuationSeparator/>
      </w:r>
    </w:p>
    <w:p w:rsidR="00A56003" w:rsidRDefault="00A56003" w14:paraId="767CFFDF" w14:textId="77777777"/>
  </w:footnote>
  <w:footnote w:type="continuationNotice" w:id="1">
    <w:p w:rsidR="00A56003" w:rsidRDefault="00A56003" w14:paraId="6C7DF0D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71" w:rsidRDefault="00A31871" w14:paraId="299D0E8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71" w:rsidRDefault="00A31871" w14:paraId="6CBD80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1871" w:rsidRDefault="00A31871" w14:paraId="410DE88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1A70" w:rsidRDefault="00C60411" w14:paraId="1B8F185F" w14:textId="3B103123">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alignment="right" w:relativeTo="margin" w:leader="none"/>
    </w:r>
    <w:r>
      <w:t>Document title</w:t>
    </w:r>
    <w:r>
      <w:rPr>
        <w:noProof/>
      </w:rPr>
      <w:t xml:space="preserve"> </w:t>
    </w:r>
    <w:r w:rsidRPr="009C245E" w:rsid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7128" w:rsidR="00562811" w:rsidP="001C7128" w:rsidRDefault="00EE1BBA" w14:paraId="082BA3E9" w14:textId="235646E8">
    <w:pPr>
      <w:pStyle w:val="Header"/>
    </w:pPr>
    <w:r>
      <w:t>Vacant Unit Maintenance Operational Guidelines</w:t>
    </w:r>
    <w:r w:rsidR="001C7128">
      <w:ptab w:alignment="right" w:relativeTo="margin" w:leader="none"/>
    </w:r>
    <w:r w:rsidRPr="00DE6C85" w:rsidR="001C7128">
      <w:rPr>
        <w:b w:val="0"/>
        <w:bCs/>
      </w:rPr>
      <w:fldChar w:fldCharType="begin"/>
    </w:r>
    <w:r w:rsidRPr="00DE6C85" w:rsidR="001C7128">
      <w:rPr>
        <w:bCs/>
      </w:rPr>
      <w:instrText xml:space="preserve"> PAGE </w:instrText>
    </w:r>
    <w:r w:rsidRPr="00DE6C85" w:rsidR="001C7128">
      <w:rPr>
        <w:b w:val="0"/>
        <w:bCs/>
      </w:rPr>
      <w:fldChar w:fldCharType="separate"/>
    </w:r>
    <w:r w:rsidR="001C7128">
      <w:rPr>
        <w:bCs/>
      </w:rPr>
      <w:t>7</w:t>
    </w:r>
    <w:r w:rsidRPr="00DE6C85" w:rsidR="001C7128">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1ADA"/>
    <w:multiLevelType w:val="hybridMultilevel"/>
    <w:tmpl w:val="BA4A1D9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286D25B1"/>
    <w:multiLevelType w:val="multilevel"/>
    <w:tmpl w:val="FFFFFFFF"/>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A152229"/>
    <w:multiLevelType w:val="multilevel"/>
    <w:tmpl w:val="6016C7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hint="default" w:ascii="Calibri" w:hAnsi="Calibri"/>
        <w:color w:val="auto"/>
      </w:rPr>
    </w:lvl>
    <w:lvl w:ilvl="3">
      <w:start w:val="1"/>
      <w:numFmt w:val="bullet"/>
      <w:lvlRestart w:val="0"/>
      <w:pStyle w:val="Bulletafternumbers2"/>
      <w:lvlText w:val="–"/>
      <w:lvlJc w:val="left"/>
      <w:pPr>
        <w:ind w:left="1191" w:hanging="397"/>
      </w:pPr>
      <w:rPr>
        <w:rFonts w:hint="default" w:ascii="Calibri" w:hAnsi="Calibri"/>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1A800BA"/>
    <w:multiLevelType w:val="multilevel"/>
    <w:tmpl w:val="2D104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B66429B"/>
    <w:multiLevelType w:val="multilevel"/>
    <w:tmpl w:val="FEAED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hint="default" w:ascii="Calibri" w:hAnsi="Calibri"/>
      </w:rPr>
    </w:lvl>
    <w:lvl w:ilvl="1">
      <w:start w:val="1"/>
      <w:numFmt w:val="bullet"/>
      <w:lvlRestart w:val="0"/>
      <w:pStyle w:val="Tablebullet2"/>
      <w:lvlText w:val="–"/>
      <w:lvlJc w:val="left"/>
      <w:pPr>
        <w:tabs>
          <w:tab w:val="num" w:pos="227"/>
        </w:tabs>
        <w:ind w:left="454" w:hanging="227"/>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F05C78C0"/>
    <w:styleLink w:val="ZZBullets"/>
    <w:lvl w:ilvl="0">
      <w:start w:val="1"/>
      <w:numFmt w:val="bullet"/>
      <w:pStyle w:val="Bullet1"/>
      <w:lvlText w:val="•"/>
      <w:lvlJc w:val="left"/>
      <w:pPr>
        <w:ind w:left="284" w:hanging="284"/>
      </w:pPr>
      <w:rPr>
        <w:rFonts w:hint="default" w:ascii="Calibri" w:hAnsi="Calibri"/>
      </w:rPr>
    </w:lvl>
    <w:lvl w:ilvl="1">
      <w:start w:val="1"/>
      <w:numFmt w:val="bullet"/>
      <w:lvlRestart w:val="0"/>
      <w:pStyle w:val="Bullet2"/>
      <w:lvlText w:val="–"/>
      <w:lvlJc w:val="left"/>
      <w:pPr>
        <w:ind w:left="567" w:hanging="283"/>
      </w:pPr>
      <w:rPr>
        <w:rFonts w:hint="default" w:ascii="Calibri" w:hAnsi="Calibri"/>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55795470"/>
    <w:multiLevelType w:val="hybridMultilevel"/>
    <w:tmpl w:val="458A16DA"/>
    <w:lvl w:ilvl="0" w:tplc="1818B6F0">
      <w:start w:val="1"/>
      <w:numFmt w:val="bullet"/>
      <w:lvlText w:val=""/>
      <w:lvlJc w:val="left"/>
      <w:pPr>
        <w:ind w:left="1080" w:hanging="360"/>
      </w:pPr>
      <w:rPr>
        <w:rFonts w:ascii="Symbol" w:hAnsi="Symbol"/>
      </w:rPr>
    </w:lvl>
    <w:lvl w:ilvl="1" w:tplc="B82E2CF8">
      <w:start w:val="1"/>
      <w:numFmt w:val="bullet"/>
      <w:lvlText w:val=""/>
      <w:lvlJc w:val="left"/>
      <w:pPr>
        <w:ind w:left="1080" w:hanging="360"/>
      </w:pPr>
      <w:rPr>
        <w:rFonts w:ascii="Symbol" w:hAnsi="Symbol"/>
      </w:rPr>
    </w:lvl>
    <w:lvl w:ilvl="2" w:tplc="A96E7C0A">
      <w:start w:val="1"/>
      <w:numFmt w:val="bullet"/>
      <w:lvlText w:val=""/>
      <w:lvlJc w:val="left"/>
      <w:pPr>
        <w:ind w:left="1080" w:hanging="360"/>
      </w:pPr>
      <w:rPr>
        <w:rFonts w:ascii="Symbol" w:hAnsi="Symbol"/>
      </w:rPr>
    </w:lvl>
    <w:lvl w:ilvl="3" w:tplc="EA208744">
      <w:start w:val="1"/>
      <w:numFmt w:val="bullet"/>
      <w:lvlText w:val=""/>
      <w:lvlJc w:val="left"/>
      <w:pPr>
        <w:ind w:left="1080" w:hanging="360"/>
      </w:pPr>
      <w:rPr>
        <w:rFonts w:ascii="Symbol" w:hAnsi="Symbol"/>
      </w:rPr>
    </w:lvl>
    <w:lvl w:ilvl="4" w:tplc="DBE68130">
      <w:start w:val="1"/>
      <w:numFmt w:val="bullet"/>
      <w:lvlText w:val=""/>
      <w:lvlJc w:val="left"/>
      <w:pPr>
        <w:ind w:left="1080" w:hanging="360"/>
      </w:pPr>
      <w:rPr>
        <w:rFonts w:ascii="Symbol" w:hAnsi="Symbol"/>
      </w:rPr>
    </w:lvl>
    <w:lvl w:ilvl="5" w:tplc="82464726">
      <w:start w:val="1"/>
      <w:numFmt w:val="bullet"/>
      <w:lvlText w:val=""/>
      <w:lvlJc w:val="left"/>
      <w:pPr>
        <w:ind w:left="1080" w:hanging="360"/>
      </w:pPr>
      <w:rPr>
        <w:rFonts w:ascii="Symbol" w:hAnsi="Symbol"/>
      </w:rPr>
    </w:lvl>
    <w:lvl w:ilvl="6" w:tplc="C8865B0E">
      <w:start w:val="1"/>
      <w:numFmt w:val="bullet"/>
      <w:lvlText w:val=""/>
      <w:lvlJc w:val="left"/>
      <w:pPr>
        <w:ind w:left="1080" w:hanging="360"/>
      </w:pPr>
      <w:rPr>
        <w:rFonts w:ascii="Symbol" w:hAnsi="Symbol"/>
      </w:rPr>
    </w:lvl>
    <w:lvl w:ilvl="7" w:tplc="92F8D8BC">
      <w:start w:val="1"/>
      <w:numFmt w:val="bullet"/>
      <w:lvlText w:val=""/>
      <w:lvlJc w:val="left"/>
      <w:pPr>
        <w:ind w:left="1080" w:hanging="360"/>
      </w:pPr>
      <w:rPr>
        <w:rFonts w:ascii="Symbol" w:hAnsi="Symbol"/>
      </w:rPr>
    </w:lvl>
    <w:lvl w:ilvl="8" w:tplc="3E443096">
      <w:start w:val="1"/>
      <w:numFmt w:val="bullet"/>
      <w:lvlText w:val=""/>
      <w:lvlJc w:val="left"/>
      <w:pPr>
        <w:ind w:left="1080" w:hanging="360"/>
      </w:pPr>
      <w:rPr>
        <w:rFonts w:ascii="Symbol" w:hAnsi="Symbol"/>
      </w:rPr>
    </w:lvl>
  </w:abstractNum>
  <w:abstractNum w:abstractNumId="12" w15:restartNumberingAfterBreak="0">
    <w:nsid w:val="5FBF67F0"/>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hint="default" w:ascii="Calibri" w:hAnsi="Calibri"/>
        <w:color w:val="auto"/>
      </w:rPr>
    </w:lvl>
    <w:lvl w:ilvl="1">
      <w:start w:val="1"/>
      <w:numFmt w:val="bullet"/>
      <w:lvlRestart w:val="0"/>
      <w:pStyle w:val="Quotebullet2"/>
      <w:lvlText w:val="–"/>
      <w:lvlJc w:val="left"/>
      <w:pPr>
        <w:ind w:left="964" w:hanging="284"/>
      </w:pPr>
      <w:rPr>
        <w:rFonts w:hint="default" w:ascii="Calibri" w:hAnsi="Calibri"/>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6AB02F3D"/>
    <w:multiLevelType w:val="multilevel"/>
    <w:tmpl w:val="D55CE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7D610E0"/>
    <w:multiLevelType w:val="hybridMultilevel"/>
    <w:tmpl w:val="204C8148"/>
    <w:lvl w:ilvl="0" w:tplc="4CAE2974">
      <w:start w:val="1"/>
      <w:numFmt w:val="bullet"/>
      <w:lvlText w:val=""/>
      <w:lvlJc w:val="left"/>
      <w:pPr>
        <w:ind w:left="1080" w:hanging="360"/>
      </w:pPr>
      <w:rPr>
        <w:rFonts w:ascii="Symbol" w:hAnsi="Symbol"/>
      </w:rPr>
    </w:lvl>
    <w:lvl w:ilvl="1" w:tplc="B1C462CE">
      <w:start w:val="1"/>
      <w:numFmt w:val="bullet"/>
      <w:lvlText w:val=""/>
      <w:lvlJc w:val="left"/>
      <w:pPr>
        <w:ind w:left="1080" w:hanging="360"/>
      </w:pPr>
      <w:rPr>
        <w:rFonts w:ascii="Symbol" w:hAnsi="Symbol"/>
      </w:rPr>
    </w:lvl>
    <w:lvl w:ilvl="2" w:tplc="16F03CBA">
      <w:start w:val="1"/>
      <w:numFmt w:val="bullet"/>
      <w:lvlText w:val=""/>
      <w:lvlJc w:val="left"/>
      <w:pPr>
        <w:ind w:left="1080" w:hanging="360"/>
      </w:pPr>
      <w:rPr>
        <w:rFonts w:ascii="Symbol" w:hAnsi="Symbol"/>
      </w:rPr>
    </w:lvl>
    <w:lvl w:ilvl="3" w:tplc="2FFE70BA">
      <w:start w:val="1"/>
      <w:numFmt w:val="bullet"/>
      <w:lvlText w:val=""/>
      <w:lvlJc w:val="left"/>
      <w:pPr>
        <w:ind w:left="1080" w:hanging="360"/>
      </w:pPr>
      <w:rPr>
        <w:rFonts w:ascii="Symbol" w:hAnsi="Symbol"/>
      </w:rPr>
    </w:lvl>
    <w:lvl w:ilvl="4" w:tplc="11320A9C">
      <w:start w:val="1"/>
      <w:numFmt w:val="bullet"/>
      <w:lvlText w:val=""/>
      <w:lvlJc w:val="left"/>
      <w:pPr>
        <w:ind w:left="1080" w:hanging="360"/>
      </w:pPr>
      <w:rPr>
        <w:rFonts w:ascii="Symbol" w:hAnsi="Symbol"/>
      </w:rPr>
    </w:lvl>
    <w:lvl w:ilvl="5" w:tplc="4AE22540">
      <w:start w:val="1"/>
      <w:numFmt w:val="bullet"/>
      <w:lvlText w:val=""/>
      <w:lvlJc w:val="left"/>
      <w:pPr>
        <w:ind w:left="1080" w:hanging="360"/>
      </w:pPr>
      <w:rPr>
        <w:rFonts w:ascii="Symbol" w:hAnsi="Symbol"/>
      </w:rPr>
    </w:lvl>
    <w:lvl w:ilvl="6" w:tplc="4D7E33A8">
      <w:start w:val="1"/>
      <w:numFmt w:val="bullet"/>
      <w:lvlText w:val=""/>
      <w:lvlJc w:val="left"/>
      <w:pPr>
        <w:ind w:left="1080" w:hanging="360"/>
      </w:pPr>
      <w:rPr>
        <w:rFonts w:ascii="Symbol" w:hAnsi="Symbol"/>
      </w:rPr>
    </w:lvl>
    <w:lvl w:ilvl="7" w:tplc="3EA225EC">
      <w:start w:val="1"/>
      <w:numFmt w:val="bullet"/>
      <w:lvlText w:val=""/>
      <w:lvlJc w:val="left"/>
      <w:pPr>
        <w:ind w:left="1080" w:hanging="360"/>
      </w:pPr>
      <w:rPr>
        <w:rFonts w:ascii="Symbol" w:hAnsi="Symbol"/>
      </w:rPr>
    </w:lvl>
    <w:lvl w:ilvl="8" w:tplc="283033A0">
      <w:start w:val="1"/>
      <w:numFmt w:val="bullet"/>
      <w:lvlText w:val=""/>
      <w:lvlJc w:val="left"/>
      <w:pPr>
        <w:ind w:left="1080" w:hanging="360"/>
      </w:pPr>
      <w:rPr>
        <w:rFonts w:ascii="Symbol" w:hAnsi="Symbol"/>
      </w:rPr>
    </w:lvl>
  </w:abstractNum>
  <w:abstractNum w:abstractNumId="16" w15:restartNumberingAfterBreak="0">
    <w:nsid w:val="7FF36E56"/>
    <w:multiLevelType w:val="multilevel"/>
    <w:tmpl w:val="49F0E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242296183">
    <w:abstractNumId w:val="5"/>
  </w:num>
  <w:num w:numId="2" w16cid:durableId="805197647">
    <w:abstractNumId w:val="10"/>
  </w:num>
  <w:num w:numId="3" w16cid:durableId="550965074">
    <w:abstractNumId w:val="9"/>
  </w:num>
  <w:num w:numId="4" w16cid:durableId="1994794103">
    <w:abstractNumId w:val="13"/>
  </w:num>
  <w:num w:numId="5" w16cid:durableId="106892274">
    <w:abstractNumId w:val="6"/>
  </w:num>
  <w:num w:numId="6" w16cid:durableId="809711174">
    <w:abstractNumId w:val="1"/>
  </w:num>
  <w:num w:numId="7" w16cid:durableId="361982231">
    <w:abstractNumId w:val="12"/>
  </w:num>
  <w:num w:numId="8" w16cid:durableId="426780108">
    <w:abstractNumId w:val="4"/>
  </w:num>
  <w:num w:numId="9" w16cid:durableId="718168151">
    <w:abstractNumId w:val="3"/>
  </w:num>
  <w:num w:numId="10" w16cid:durableId="973633523">
    <w:abstractNumId w:val="2"/>
  </w:num>
  <w:num w:numId="11" w16cid:durableId="556740922">
    <w:abstractNumId w:val="11"/>
  </w:num>
  <w:num w:numId="12" w16cid:durableId="1988975744">
    <w:abstractNumId w:val="15"/>
  </w:num>
  <w:num w:numId="13" w16cid:durableId="1014575502">
    <w:abstractNumId w:val="8"/>
  </w:num>
  <w:num w:numId="14" w16cid:durableId="1230774806">
    <w:abstractNumId w:val="7"/>
  </w:num>
  <w:num w:numId="15" w16cid:durableId="1864705140">
    <w:abstractNumId w:val="14"/>
  </w:num>
  <w:num w:numId="16" w16cid:durableId="520700342">
    <w:abstractNumId w:val="16"/>
  </w:num>
  <w:num w:numId="17" w16cid:durableId="1465805447">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127"/>
    <w:rsid w:val="00000719"/>
    <w:rsid w:val="000027C5"/>
    <w:rsid w:val="00002D68"/>
    <w:rsid w:val="00003009"/>
    <w:rsid w:val="000033F7"/>
    <w:rsid w:val="00003403"/>
    <w:rsid w:val="00004937"/>
    <w:rsid w:val="000049DE"/>
    <w:rsid w:val="00005347"/>
    <w:rsid w:val="00006425"/>
    <w:rsid w:val="000072B6"/>
    <w:rsid w:val="00007623"/>
    <w:rsid w:val="0001021B"/>
    <w:rsid w:val="000111C7"/>
    <w:rsid w:val="000112DF"/>
    <w:rsid w:val="00011641"/>
    <w:rsid w:val="00011D89"/>
    <w:rsid w:val="00012016"/>
    <w:rsid w:val="00013CA6"/>
    <w:rsid w:val="00013EA0"/>
    <w:rsid w:val="0001470A"/>
    <w:rsid w:val="000154FD"/>
    <w:rsid w:val="00015C45"/>
    <w:rsid w:val="00015F6D"/>
    <w:rsid w:val="00016009"/>
    <w:rsid w:val="000161EB"/>
    <w:rsid w:val="00016B80"/>
    <w:rsid w:val="000173BE"/>
    <w:rsid w:val="00020678"/>
    <w:rsid w:val="00020797"/>
    <w:rsid w:val="000220DB"/>
    <w:rsid w:val="00022271"/>
    <w:rsid w:val="00023201"/>
    <w:rsid w:val="000235E8"/>
    <w:rsid w:val="0002487F"/>
    <w:rsid w:val="00024D89"/>
    <w:rsid w:val="000250B6"/>
    <w:rsid w:val="00027076"/>
    <w:rsid w:val="000275FF"/>
    <w:rsid w:val="00027FD2"/>
    <w:rsid w:val="00030492"/>
    <w:rsid w:val="00030CB0"/>
    <w:rsid w:val="00031DBB"/>
    <w:rsid w:val="00033AF2"/>
    <w:rsid w:val="00033C49"/>
    <w:rsid w:val="00033D81"/>
    <w:rsid w:val="00033DC9"/>
    <w:rsid w:val="00033E57"/>
    <w:rsid w:val="00034E4B"/>
    <w:rsid w:val="00034EDB"/>
    <w:rsid w:val="00035401"/>
    <w:rsid w:val="000359CC"/>
    <w:rsid w:val="000372F4"/>
    <w:rsid w:val="0003735A"/>
    <w:rsid w:val="00037366"/>
    <w:rsid w:val="00041113"/>
    <w:rsid w:val="00041BF0"/>
    <w:rsid w:val="0004227E"/>
    <w:rsid w:val="00042C8A"/>
    <w:rsid w:val="00044F37"/>
    <w:rsid w:val="0004536B"/>
    <w:rsid w:val="00046B68"/>
    <w:rsid w:val="00047837"/>
    <w:rsid w:val="000527DD"/>
    <w:rsid w:val="00055E7C"/>
    <w:rsid w:val="00056EC4"/>
    <w:rsid w:val="000578B2"/>
    <w:rsid w:val="00057FD8"/>
    <w:rsid w:val="00060959"/>
    <w:rsid w:val="00060C8F"/>
    <w:rsid w:val="00060DE3"/>
    <w:rsid w:val="0006273B"/>
    <w:rsid w:val="0006298A"/>
    <w:rsid w:val="0006360A"/>
    <w:rsid w:val="00064011"/>
    <w:rsid w:val="00064952"/>
    <w:rsid w:val="00065125"/>
    <w:rsid w:val="00065E4F"/>
    <w:rsid w:val="000663CD"/>
    <w:rsid w:val="00066ACD"/>
    <w:rsid w:val="00067B13"/>
    <w:rsid w:val="00067D57"/>
    <w:rsid w:val="00070880"/>
    <w:rsid w:val="00070DE9"/>
    <w:rsid w:val="0007155D"/>
    <w:rsid w:val="00072D13"/>
    <w:rsid w:val="000733FE"/>
    <w:rsid w:val="00074105"/>
    <w:rsid w:val="00074219"/>
    <w:rsid w:val="0007448E"/>
    <w:rsid w:val="00074ED5"/>
    <w:rsid w:val="00075058"/>
    <w:rsid w:val="00075E8A"/>
    <w:rsid w:val="00076928"/>
    <w:rsid w:val="0008170F"/>
    <w:rsid w:val="0008204A"/>
    <w:rsid w:val="00082673"/>
    <w:rsid w:val="00082D52"/>
    <w:rsid w:val="00083AC9"/>
    <w:rsid w:val="00084692"/>
    <w:rsid w:val="0008508E"/>
    <w:rsid w:val="000852E0"/>
    <w:rsid w:val="0008710E"/>
    <w:rsid w:val="0008724F"/>
    <w:rsid w:val="00087951"/>
    <w:rsid w:val="000905B5"/>
    <w:rsid w:val="00090A54"/>
    <w:rsid w:val="0009113B"/>
    <w:rsid w:val="00092899"/>
    <w:rsid w:val="00093402"/>
    <w:rsid w:val="000939ED"/>
    <w:rsid w:val="00093B7C"/>
    <w:rsid w:val="000940B0"/>
    <w:rsid w:val="00094DA3"/>
    <w:rsid w:val="000959F8"/>
    <w:rsid w:val="00096565"/>
    <w:rsid w:val="00096CD1"/>
    <w:rsid w:val="00096F71"/>
    <w:rsid w:val="00097DC2"/>
    <w:rsid w:val="000A012C"/>
    <w:rsid w:val="000A0887"/>
    <w:rsid w:val="000A0EB9"/>
    <w:rsid w:val="000A11B7"/>
    <w:rsid w:val="000A186C"/>
    <w:rsid w:val="000A1CE1"/>
    <w:rsid w:val="000A1EA4"/>
    <w:rsid w:val="000A2069"/>
    <w:rsid w:val="000A2323"/>
    <w:rsid w:val="000A2476"/>
    <w:rsid w:val="000A2A59"/>
    <w:rsid w:val="000A60DC"/>
    <w:rsid w:val="000A641A"/>
    <w:rsid w:val="000B032A"/>
    <w:rsid w:val="000B0B6C"/>
    <w:rsid w:val="000B1668"/>
    <w:rsid w:val="000B1A9D"/>
    <w:rsid w:val="000B270C"/>
    <w:rsid w:val="000B3EDB"/>
    <w:rsid w:val="000B543D"/>
    <w:rsid w:val="000B55F9"/>
    <w:rsid w:val="000B5928"/>
    <w:rsid w:val="000B5BF7"/>
    <w:rsid w:val="000B6285"/>
    <w:rsid w:val="000B6A93"/>
    <w:rsid w:val="000B6BC8"/>
    <w:rsid w:val="000C0303"/>
    <w:rsid w:val="000C0B68"/>
    <w:rsid w:val="000C0C62"/>
    <w:rsid w:val="000C12E0"/>
    <w:rsid w:val="000C1CC8"/>
    <w:rsid w:val="000C25C1"/>
    <w:rsid w:val="000C3FAC"/>
    <w:rsid w:val="000C4267"/>
    <w:rsid w:val="000C42EA"/>
    <w:rsid w:val="000C4546"/>
    <w:rsid w:val="000C5E55"/>
    <w:rsid w:val="000D0033"/>
    <w:rsid w:val="000D017C"/>
    <w:rsid w:val="000D02EC"/>
    <w:rsid w:val="000D08FA"/>
    <w:rsid w:val="000D09FF"/>
    <w:rsid w:val="000D1242"/>
    <w:rsid w:val="000D2ABA"/>
    <w:rsid w:val="000D3145"/>
    <w:rsid w:val="000D3C5B"/>
    <w:rsid w:val="000D4491"/>
    <w:rsid w:val="000D6248"/>
    <w:rsid w:val="000E0970"/>
    <w:rsid w:val="000E3CC7"/>
    <w:rsid w:val="000E3FBC"/>
    <w:rsid w:val="000E456C"/>
    <w:rsid w:val="000E4719"/>
    <w:rsid w:val="000E6BD4"/>
    <w:rsid w:val="000E6D6D"/>
    <w:rsid w:val="000E6E6D"/>
    <w:rsid w:val="000E735C"/>
    <w:rsid w:val="000F089D"/>
    <w:rsid w:val="000F0DF8"/>
    <w:rsid w:val="000F1F1E"/>
    <w:rsid w:val="000F2259"/>
    <w:rsid w:val="000F2DDA"/>
    <w:rsid w:val="000F2EA0"/>
    <w:rsid w:val="000F43CE"/>
    <w:rsid w:val="000F5213"/>
    <w:rsid w:val="000F61FB"/>
    <w:rsid w:val="000F673C"/>
    <w:rsid w:val="000F7F5D"/>
    <w:rsid w:val="000F7FCA"/>
    <w:rsid w:val="001007CD"/>
    <w:rsid w:val="00101001"/>
    <w:rsid w:val="00102510"/>
    <w:rsid w:val="00103276"/>
    <w:rsid w:val="0010392D"/>
    <w:rsid w:val="0010447F"/>
    <w:rsid w:val="00104FE3"/>
    <w:rsid w:val="0010714F"/>
    <w:rsid w:val="001120C5"/>
    <w:rsid w:val="00115275"/>
    <w:rsid w:val="00116D8C"/>
    <w:rsid w:val="00117739"/>
    <w:rsid w:val="00120BD3"/>
    <w:rsid w:val="00122FEA"/>
    <w:rsid w:val="001232BD"/>
    <w:rsid w:val="00124ED5"/>
    <w:rsid w:val="0012582F"/>
    <w:rsid w:val="00126338"/>
    <w:rsid w:val="00127269"/>
    <w:rsid w:val="001276FA"/>
    <w:rsid w:val="00131CC0"/>
    <w:rsid w:val="00135207"/>
    <w:rsid w:val="0013567A"/>
    <w:rsid w:val="00135E32"/>
    <w:rsid w:val="001369E1"/>
    <w:rsid w:val="001405F4"/>
    <w:rsid w:val="001415D4"/>
    <w:rsid w:val="00142238"/>
    <w:rsid w:val="00142852"/>
    <w:rsid w:val="00142DEA"/>
    <w:rsid w:val="001443A8"/>
    <w:rsid w:val="001447B3"/>
    <w:rsid w:val="00146BB6"/>
    <w:rsid w:val="0015033A"/>
    <w:rsid w:val="00151395"/>
    <w:rsid w:val="00152073"/>
    <w:rsid w:val="0015212F"/>
    <w:rsid w:val="00152329"/>
    <w:rsid w:val="0015254D"/>
    <w:rsid w:val="001526C3"/>
    <w:rsid w:val="00153ECD"/>
    <w:rsid w:val="00154305"/>
    <w:rsid w:val="00154379"/>
    <w:rsid w:val="001553CB"/>
    <w:rsid w:val="00156598"/>
    <w:rsid w:val="00156754"/>
    <w:rsid w:val="001576A3"/>
    <w:rsid w:val="001602D6"/>
    <w:rsid w:val="001603B6"/>
    <w:rsid w:val="00161939"/>
    <w:rsid w:val="00161AA0"/>
    <w:rsid w:val="00161D2E"/>
    <w:rsid w:val="00161E57"/>
    <w:rsid w:val="00161F3E"/>
    <w:rsid w:val="00162093"/>
    <w:rsid w:val="0016255F"/>
    <w:rsid w:val="00162CA9"/>
    <w:rsid w:val="001652B4"/>
    <w:rsid w:val="00165459"/>
    <w:rsid w:val="00165A57"/>
    <w:rsid w:val="001708A9"/>
    <w:rsid w:val="00171019"/>
    <w:rsid w:val="001712C2"/>
    <w:rsid w:val="00172BAF"/>
    <w:rsid w:val="00172ED0"/>
    <w:rsid w:val="0017674D"/>
    <w:rsid w:val="001771DD"/>
    <w:rsid w:val="00177809"/>
    <w:rsid w:val="00177995"/>
    <w:rsid w:val="00177A8C"/>
    <w:rsid w:val="0018244E"/>
    <w:rsid w:val="00183356"/>
    <w:rsid w:val="00186144"/>
    <w:rsid w:val="00186B33"/>
    <w:rsid w:val="00190090"/>
    <w:rsid w:val="001902E0"/>
    <w:rsid w:val="00192F9D"/>
    <w:rsid w:val="00193DE5"/>
    <w:rsid w:val="00194CF6"/>
    <w:rsid w:val="00195F20"/>
    <w:rsid w:val="00195FE3"/>
    <w:rsid w:val="00196EB8"/>
    <w:rsid w:val="00196EFB"/>
    <w:rsid w:val="001979FF"/>
    <w:rsid w:val="00197B17"/>
    <w:rsid w:val="001A00B3"/>
    <w:rsid w:val="001A0A3F"/>
    <w:rsid w:val="001A1950"/>
    <w:rsid w:val="001A1C54"/>
    <w:rsid w:val="001A3ACE"/>
    <w:rsid w:val="001A402A"/>
    <w:rsid w:val="001A44A9"/>
    <w:rsid w:val="001A58A4"/>
    <w:rsid w:val="001A6272"/>
    <w:rsid w:val="001A680B"/>
    <w:rsid w:val="001B0202"/>
    <w:rsid w:val="001B058F"/>
    <w:rsid w:val="001B163C"/>
    <w:rsid w:val="001B26A4"/>
    <w:rsid w:val="001B2DC0"/>
    <w:rsid w:val="001B3469"/>
    <w:rsid w:val="001B4B22"/>
    <w:rsid w:val="001B6B96"/>
    <w:rsid w:val="001B70B0"/>
    <w:rsid w:val="001B738B"/>
    <w:rsid w:val="001B7A99"/>
    <w:rsid w:val="001C09DB"/>
    <w:rsid w:val="001C1866"/>
    <w:rsid w:val="001C277E"/>
    <w:rsid w:val="001C2992"/>
    <w:rsid w:val="001C2A72"/>
    <w:rsid w:val="001C31B7"/>
    <w:rsid w:val="001C4404"/>
    <w:rsid w:val="001C5127"/>
    <w:rsid w:val="001C5AA6"/>
    <w:rsid w:val="001C5F82"/>
    <w:rsid w:val="001C657F"/>
    <w:rsid w:val="001C7128"/>
    <w:rsid w:val="001D0B75"/>
    <w:rsid w:val="001D12C0"/>
    <w:rsid w:val="001D39A5"/>
    <w:rsid w:val="001D3C09"/>
    <w:rsid w:val="001D44E8"/>
    <w:rsid w:val="001D5B14"/>
    <w:rsid w:val="001D60EC"/>
    <w:rsid w:val="001D622E"/>
    <w:rsid w:val="001D6CFD"/>
    <w:rsid w:val="001D6F59"/>
    <w:rsid w:val="001D76B1"/>
    <w:rsid w:val="001E1B0F"/>
    <w:rsid w:val="001E210A"/>
    <w:rsid w:val="001E2111"/>
    <w:rsid w:val="001E23CE"/>
    <w:rsid w:val="001E2ABB"/>
    <w:rsid w:val="001E331D"/>
    <w:rsid w:val="001E44DF"/>
    <w:rsid w:val="001E4994"/>
    <w:rsid w:val="001E5280"/>
    <w:rsid w:val="001E5822"/>
    <w:rsid w:val="001E68A5"/>
    <w:rsid w:val="001E6BB0"/>
    <w:rsid w:val="001E7282"/>
    <w:rsid w:val="001E74D7"/>
    <w:rsid w:val="001E7CE9"/>
    <w:rsid w:val="001F148F"/>
    <w:rsid w:val="001F1598"/>
    <w:rsid w:val="001F2688"/>
    <w:rsid w:val="001F2A2D"/>
    <w:rsid w:val="001F3826"/>
    <w:rsid w:val="001F3EFA"/>
    <w:rsid w:val="001F6054"/>
    <w:rsid w:val="001F6E46"/>
    <w:rsid w:val="001F7C91"/>
    <w:rsid w:val="002000EA"/>
    <w:rsid w:val="00200A39"/>
    <w:rsid w:val="00200E16"/>
    <w:rsid w:val="00201400"/>
    <w:rsid w:val="0020291A"/>
    <w:rsid w:val="00202C64"/>
    <w:rsid w:val="002033B7"/>
    <w:rsid w:val="0020441C"/>
    <w:rsid w:val="00204810"/>
    <w:rsid w:val="00205114"/>
    <w:rsid w:val="00205E35"/>
    <w:rsid w:val="00206463"/>
    <w:rsid w:val="00206F2F"/>
    <w:rsid w:val="00207717"/>
    <w:rsid w:val="002102D6"/>
    <w:rsid w:val="0021053D"/>
    <w:rsid w:val="00210A92"/>
    <w:rsid w:val="00212236"/>
    <w:rsid w:val="00212911"/>
    <w:rsid w:val="00212B95"/>
    <w:rsid w:val="00213A35"/>
    <w:rsid w:val="00215CC8"/>
    <w:rsid w:val="00216415"/>
    <w:rsid w:val="00216AA2"/>
    <w:rsid w:val="00216C03"/>
    <w:rsid w:val="00220A1A"/>
    <w:rsid w:val="00220C04"/>
    <w:rsid w:val="0022278D"/>
    <w:rsid w:val="0022340B"/>
    <w:rsid w:val="00223B34"/>
    <w:rsid w:val="00226376"/>
    <w:rsid w:val="00226B7C"/>
    <w:rsid w:val="0022701F"/>
    <w:rsid w:val="00227608"/>
    <w:rsid w:val="00227C68"/>
    <w:rsid w:val="0023057F"/>
    <w:rsid w:val="002319D1"/>
    <w:rsid w:val="002333F5"/>
    <w:rsid w:val="00233724"/>
    <w:rsid w:val="00234FD1"/>
    <w:rsid w:val="002365B4"/>
    <w:rsid w:val="00236CD8"/>
    <w:rsid w:val="002400B0"/>
    <w:rsid w:val="0024169E"/>
    <w:rsid w:val="002432E1"/>
    <w:rsid w:val="002459D1"/>
    <w:rsid w:val="00246207"/>
    <w:rsid w:val="00246965"/>
    <w:rsid w:val="00246C5E"/>
    <w:rsid w:val="00250960"/>
    <w:rsid w:val="00251029"/>
    <w:rsid w:val="00251343"/>
    <w:rsid w:val="00253507"/>
    <w:rsid w:val="002536A4"/>
    <w:rsid w:val="00253A3E"/>
    <w:rsid w:val="002547CF"/>
    <w:rsid w:val="00254ADF"/>
    <w:rsid w:val="00254F58"/>
    <w:rsid w:val="00255CD4"/>
    <w:rsid w:val="00256010"/>
    <w:rsid w:val="002562E8"/>
    <w:rsid w:val="00256B38"/>
    <w:rsid w:val="002574C4"/>
    <w:rsid w:val="002577B3"/>
    <w:rsid w:val="002600BD"/>
    <w:rsid w:val="002620BC"/>
    <w:rsid w:val="00262802"/>
    <w:rsid w:val="00262F24"/>
    <w:rsid w:val="00263A90"/>
    <w:rsid w:val="00263BDC"/>
    <w:rsid w:val="0026408B"/>
    <w:rsid w:val="00264BEB"/>
    <w:rsid w:val="00266637"/>
    <w:rsid w:val="00267B28"/>
    <w:rsid w:val="00267C3E"/>
    <w:rsid w:val="002709BB"/>
    <w:rsid w:val="00270EBF"/>
    <w:rsid w:val="0027131C"/>
    <w:rsid w:val="00272B4B"/>
    <w:rsid w:val="00273BAC"/>
    <w:rsid w:val="00274A9A"/>
    <w:rsid w:val="00274F9C"/>
    <w:rsid w:val="002763B3"/>
    <w:rsid w:val="00277F95"/>
    <w:rsid w:val="002802E3"/>
    <w:rsid w:val="0028213D"/>
    <w:rsid w:val="0028296F"/>
    <w:rsid w:val="00282A7F"/>
    <w:rsid w:val="00282A8A"/>
    <w:rsid w:val="002834B5"/>
    <w:rsid w:val="00285A84"/>
    <w:rsid w:val="002862F1"/>
    <w:rsid w:val="00286506"/>
    <w:rsid w:val="00286D55"/>
    <w:rsid w:val="0028718C"/>
    <w:rsid w:val="002878B5"/>
    <w:rsid w:val="002906A4"/>
    <w:rsid w:val="00290BFD"/>
    <w:rsid w:val="00291373"/>
    <w:rsid w:val="00291E14"/>
    <w:rsid w:val="00294EBC"/>
    <w:rsid w:val="0029597D"/>
    <w:rsid w:val="002962C3"/>
    <w:rsid w:val="00297273"/>
    <w:rsid w:val="0029752B"/>
    <w:rsid w:val="00297B00"/>
    <w:rsid w:val="002A02D1"/>
    <w:rsid w:val="002A0A9C"/>
    <w:rsid w:val="002A140C"/>
    <w:rsid w:val="002A3251"/>
    <w:rsid w:val="002A40E3"/>
    <w:rsid w:val="002A483C"/>
    <w:rsid w:val="002A5540"/>
    <w:rsid w:val="002B0C7C"/>
    <w:rsid w:val="002B15ED"/>
    <w:rsid w:val="002B1729"/>
    <w:rsid w:val="002B1FFD"/>
    <w:rsid w:val="002B36C7"/>
    <w:rsid w:val="002B373B"/>
    <w:rsid w:val="002B4DD4"/>
    <w:rsid w:val="002B4DD9"/>
    <w:rsid w:val="002B4E55"/>
    <w:rsid w:val="002B521D"/>
    <w:rsid w:val="002B5277"/>
    <w:rsid w:val="002B5375"/>
    <w:rsid w:val="002B552F"/>
    <w:rsid w:val="002B66FE"/>
    <w:rsid w:val="002B6C72"/>
    <w:rsid w:val="002B6CCB"/>
    <w:rsid w:val="002B6CD1"/>
    <w:rsid w:val="002B77C1"/>
    <w:rsid w:val="002C0753"/>
    <w:rsid w:val="002C0ED7"/>
    <w:rsid w:val="002C0F1F"/>
    <w:rsid w:val="002C17CF"/>
    <w:rsid w:val="002C209A"/>
    <w:rsid w:val="002C2728"/>
    <w:rsid w:val="002C2752"/>
    <w:rsid w:val="002C49F9"/>
    <w:rsid w:val="002C4DC6"/>
    <w:rsid w:val="002C4DFB"/>
    <w:rsid w:val="002C50A2"/>
    <w:rsid w:val="002C5B7C"/>
    <w:rsid w:val="002C5EF6"/>
    <w:rsid w:val="002C71E8"/>
    <w:rsid w:val="002D0CBD"/>
    <w:rsid w:val="002D1307"/>
    <w:rsid w:val="002D153D"/>
    <w:rsid w:val="002D1E0D"/>
    <w:rsid w:val="002D3E57"/>
    <w:rsid w:val="002D5006"/>
    <w:rsid w:val="002D58BC"/>
    <w:rsid w:val="002D7C61"/>
    <w:rsid w:val="002D7C8A"/>
    <w:rsid w:val="002E01D0"/>
    <w:rsid w:val="002E161D"/>
    <w:rsid w:val="002E213C"/>
    <w:rsid w:val="002E28A2"/>
    <w:rsid w:val="002E3100"/>
    <w:rsid w:val="002E5C74"/>
    <w:rsid w:val="002E699C"/>
    <w:rsid w:val="002E6C95"/>
    <w:rsid w:val="002E7C36"/>
    <w:rsid w:val="002E7C3D"/>
    <w:rsid w:val="002F017D"/>
    <w:rsid w:val="002F21D3"/>
    <w:rsid w:val="002F3D32"/>
    <w:rsid w:val="002F5340"/>
    <w:rsid w:val="002F57E8"/>
    <w:rsid w:val="002F5F31"/>
    <w:rsid w:val="002F5F46"/>
    <w:rsid w:val="002F6FC3"/>
    <w:rsid w:val="00301E46"/>
    <w:rsid w:val="00302216"/>
    <w:rsid w:val="003026B5"/>
    <w:rsid w:val="00303B42"/>
    <w:rsid w:val="00303E53"/>
    <w:rsid w:val="00304EBB"/>
    <w:rsid w:val="00305CC1"/>
    <w:rsid w:val="0030671D"/>
    <w:rsid w:val="00306E5F"/>
    <w:rsid w:val="00307AE1"/>
    <w:rsid w:val="00307E14"/>
    <w:rsid w:val="00312694"/>
    <w:rsid w:val="00312CD5"/>
    <w:rsid w:val="00314054"/>
    <w:rsid w:val="003155C3"/>
    <w:rsid w:val="00316F27"/>
    <w:rsid w:val="00316F2A"/>
    <w:rsid w:val="003170FB"/>
    <w:rsid w:val="003214F1"/>
    <w:rsid w:val="0032185A"/>
    <w:rsid w:val="003226DF"/>
    <w:rsid w:val="00322E4B"/>
    <w:rsid w:val="00324329"/>
    <w:rsid w:val="0032488E"/>
    <w:rsid w:val="00327870"/>
    <w:rsid w:val="00327D13"/>
    <w:rsid w:val="0033212B"/>
    <w:rsid w:val="0033259D"/>
    <w:rsid w:val="00333329"/>
    <w:rsid w:val="003333D2"/>
    <w:rsid w:val="00333D4F"/>
    <w:rsid w:val="00334686"/>
    <w:rsid w:val="00335727"/>
    <w:rsid w:val="00337339"/>
    <w:rsid w:val="00337EAF"/>
    <w:rsid w:val="00340345"/>
    <w:rsid w:val="003406C6"/>
    <w:rsid w:val="003409B0"/>
    <w:rsid w:val="003418CC"/>
    <w:rsid w:val="003422AE"/>
    <w:rsid w:val="003426AA"/>
    <w:rsid w:val="00342FB6"/>
    <w:rsid w:val="003434EE"/>
    <w:rsid w:val="00344044"/>
    <w:rsid w:val="003459BD"/>
    <w:rsid w:val="00345B9E"/>
    <w:rsid w:val="00346ECB"/>
    <w:rsid w:val="00350D38"/>
    <w:rsid w:val="003514CD"/>
    <w:rsid w:val="00351B36"/>
    <w:rsid w:val="00352A4F"/>
    <w:rsid w:val="00352BD3"/>
    <w:rsid w:val="00352C22"/>
    <w:rsid w:val="00353560"/>
    <w:rsid w:val="0035369D"/>
    <w:rsid w:val="003540AC"/>
    <w:rsid w:val="003556D2"/>
    <w:rsid w:val="00356171"/>
    <w:rsid w:val="0035632A"/>
    <w:rsid w:val="00357B4E"/>
    <w:rsid w:val="00361545"/>
    <w:rsid w:val="00361869"/>
    <w:rsid w:val="00366276"/>
    <w:rsid w:val="00367666"/>
    <w:rsid w:val="00367A5C"/>
    <w:rsid w:val="003705DE"/>
    <w:rsid w:val="003716FD"/>
    <w:rsid w:val="00371D98"/>
    <w:rsid w:val="0037204B"/>
    <w:rsid w:val="003738CB"/>
    <w:rsid w:val="003744CF"/>
    <w:rsid w:val="00374717"/>
    <w:rsid w:val="003747B7"/>
    <w:rsid w:val="003752A2"/>
    <w:rsid w:val="00375469"/>
    <w:rsid w:val="003763B9"/>
    <w:rsid w:val="0037676C"/>
    <w:rsid w:val="00376C91"/>
    <w:rsid w:val="00381043"/>
    <w:rsid w:val="003829E5"/>
    <w:rsid w:val="00382B94"/>
    <w:rsid w:val="00384428"/>
    <w:rsid w:val="003860E8"/>
    <w:rsid w:val="00386109"/>
    <w:rsid w:val="00386944"/>
    <w:rsid w:val="00387FB1"/>
    <w:rsid w:val="0039052E"/>
    <w:rsid w:val="0039205E"/>
    <w:rsid w:val="00392A45"/>
    <w:rsid w:val="0039506F"/>
    <w:rsid w:val="003952F4"/>
    <w:rsid w:val="003956CC"/>
    <w:rsid w:val="00395C9A"/>
    <w:rsid w:val="003965BA"/>
    <w:rsid w:val="003A0853"/>
    <w:rsid w:val="003A11E3"/>
    <w:rsid w:val="003A43EA"/>
    <w:rsid w:val="003A458F"/>
    <w:rsid w:val="003A559A"/>
    <w:rsid w:val="003A6A97"/>
    <w:rsid w:val="003A6B67"/>
    <w:rsid w:val="003A79AD"/>
    <w:rsid w:val="003B13B6"/>
    <w:rsid w:val="003B13D7"/>
    <w:rsid w:val="003B14C3"/>
    <w:rsid w:val="003B15E6"/>
    <w:rsid w:val="003B22EF"/>
    <w:rsid w:val="003B2E31"/>
    <w:rsid w:val="003B3861"/>
    <w:rsid w:val="003B408A"/>
    <w:rsid w:val="003B4DA7"/>
    <w:rsid w:val="003B5E87"/>
    <w:rsid w:val="003B73BB"/>
    <w:rsid w:val="003B7714"/>
    <w:rsid w:val="003C08A2"/>
    <w:rsid w:val="003C0BA0"/>
    <w:rsid w:val="003C2045"/>
    <w:rsid w:val="003C2887"/>
    <w:rsid w:val="003C3A16"/>
    <w:rsid w:val="003C3C04"/>
    <w:rsid w:val="003C43A1"/>
    <w:rsid w:val="003C4FC0"/>
    <w:rsid w:val="003C55F4"/>
    <w:rsid w:val="003C6092"/>
    <w:rsid w:val="003C6E87"/>
    <w:rsid w:val="003C7897"/>
    <w:rsid w:val="003C7A3F"/>
    <w:rsid w:val="003D0080"/>
    <w:rsid w:val="003D2766"/>
    <w:rsid w:val="003D2A74"/>
    <w:rsid w:val="003D3819"/>
    <w:rsid w:val="003D39B7"/>
    <w:rsid w:val="003D3D88"/>
    <w:rsid w:val="003D3E8F"/>
    <w:rsid w:val="003D44AB"/>
    <w:rsid w:val="003D5501"/>
    <w:rsid w:val="003D56C5"/>
    <w:rsid w:val="003D6475"/>
    <w:rsid w:val="003D65EC"/>
    <w:rsid w:val="003D676D"/>
    <w:rsid w:val="003D6EE6"/>
    <w:rsid w:val="003D74C2"/>
    <w:rsid w:val="003E1208"/>
    <w:rsid w:val="003E375C"/>
    <w:rsid w:val="003E3EFC"/>
    <w:rsid w:val="003E4086"/>
    <w:rsid w:val="003E4A4E"/>
    <w:rsid w:val="003E639E"/>
    <w:rsid w:val="003E7157"/>
    <w:rsid w:val="003E71E5"/>
    <w:rsid w:val="003E763C"/>
    <w:rsid w:val="003E7A7B"/>
    <w:rsid w:val="003F0445"/>
    <w:rsid w:val="003F0B1E"/>
    <w:rsid w:val="003F0CF0"/>
    <w:rsid w:val="003F14B1"/>
    <w:rsid w:val="003F2B20"/>
    <w:rsid w:val="003F3289"/>
    <w:rsid w:val="003F3292"/>
    <w:rsid w:val="003F3C62"/>
    <w:rsid w:val="003F49F9"/>
    <w:rsid w:val="003F5CB9"/>
    <w:rsid w:val="00400594"/>
    <w:rsid w:val="004013C7"/>
    <w:rsid w:val="004016F1"/>
    <w:rsid w:val="00401FCF"/>
    <w:rsid w:val="004024D1"/>
    <w:rsid w:val="004030B6"/>
    <w:rsid w:val="00403C12"/>
    <w:rsid w:val="00406285"/>
    <w:rsid w:val="0041015C"/>
    <w:rsid w:val="00410287"/>
    <w:rsid w:val="004115A2"/>
    <w:rsid w:val="004133E9"/>
    <w:rsid w:val="00413714"/>
    <w:rsid w:val="00413B10"/>
    <w:rsid w:val="004148F9"/>
    <w:rsid w:val="004163D4"/>
    <w:rsid w:val="004172C9"/>
    <w:rsid w:val="004179C6"/>
    <w:rsid w:val="00417BF4"/>
    <w:rsid w:val="0042084E"/>
    <w:rsid w:val="00421C07"/>
    <w:rsid w:val="00421EC0"/>
    <w:rsid w:val="00421EEF"/>
    <w:rsid w:val="00422689"/>
    <w:rsid w:val="00424D65"/>
    <w:rsid w:val="00424E04"/>
    <w:rsid w:val="0042526D"/>
    <w:rsid w:val="004258AC"/>
    <w:rsid w:val="004261B7"/>
    <w:rsid w:val="004267E4"/>
    <w:rsid w:val="00430393"/>
    <w:rsid w:val="00431806"/>
    <w:rsid w:val="00431A70"/>
    <w:rsid w:val="00431BF4"/>
    <w:rsid w:val="00431F42"/>
    <w:rsid w:val="00432FF4"/>
    <w:rsid w:val="00433A98"/>
    <w:rsid w:val="00434C5E"/>
    <w:rsid w:val="004357F4"/>
    <w:rsid w:val="00436E83"/>
    <w:rsid w:val="00436ED7"/>
    <w:rsid w:val="004406BB"/>
    <w:rsid w:val="00440B15"/>
    <w:rsid w:val="00442798"/>
    <w:rsid w:val="00442C6C"/>
    <w:rsid w:val="00443CBE"/>
    <w:rsid w:val="00443E8A"/>
    <w:rsid w:val="004441BC"/>
    <w:rsid w:val="00444E56"/>
    <w:rsid w:val="00445020"/>
    <w:rsid w:val="00445B51"/>
    <w:rsid w:val="004468B4"/>
    <w:rsid w:val="00446D86"/>
    <w:rsid w:val="0044749A"/>
    <w:rsid w:val="00450704"/>
    <w:rsid w:val="00451288"/>
    <w:rsid w:val="0045160A"/>
    <w:rsid w:val="0045230A"/>
    <w:rsid w:val="00452F8A"/>
    <w:rsid w:val="00453D45"/>
    <w:rsid w:val="00454715"/>
    <w:rsid w:val="00454AD0"/>
    <w:rsid w:val="00454C3B"/>
    <w:rsid w:val="0045589E"/>
    <w:rsid w:val="00455B21"/>
    <w:rsid w:val="00456FC5"/>
    <w:rsid w:val="00457337"/>
    <w:rsid w:val="0045753B"/>
    <w:rsid w:val="00462E3D"/>
    <w:rsid w:val="00462F9F"/>
    <w:rsid w:val="00463BF8"/>
    <w:rsid w:val="004642BE"/>
    <w:rsid w:val="00466E79"/>
    <w:rsid w:val="00470D7D"/>
    <w:rsid w:val="00471D33"/>
    <w:rsid w:val="00472175"/>
    <w:rsid w:val="0047372D"/>
    <w:rsid w:val="00473BA3"/>
    <w:rsid w:val="00473C7A"/>
    <w:rsid w:val="004743DD"/>
    <w:rsid w:val="00474A62"/>
    <w:rsid w:val="00474CEA"/>
    <w:rsid w:val="00480D81"/>
    <w:rsid w:val="00480FE2"/>
    <w:rsid w:val="00481890"/>
    <w:rsid w:val="0048358E"/>
    <w:rsid w:val="00483968"/>
    <w:rsid w:val="004841BE"/>
    <w:rsid w:val="004842AA"/>
    <w:rsid w:val="00484F86"/>
    <w:rsid w:val="004850A7"/>
    <w:rsid w:val="0048534F"/>
    <w:rsid w:val="00485D17"/>
    <w:rsid w:val="004860AA"/>
    <w:rsid w:val="004904C0"/>
    <w:rsid w:val="00490746"/>
    <w:rsid w:val="00490852"/>
    <w:rsid w:val="00490F63"/>
    <w:rsid w:val="004910BD"/>
    <w:rsid w:val="004917AA"/>
    <w:rsid w:val="00491C9C"/>
    <w:rsid w:val="00492566"/>
    <w:rsid w:val="00492890"/>
    <w:rsid w:val="00492AF7"/>
    <w:rsid w:val="00492F30"/>
    <w:rsid w:val="004946F4"/>
    <w:rsid w:val="0049487E"/>
    <w:rsid w:val="00496581"/>
    <w:rsid w:val="004966A1"/>
    <w:rsid w:val="00497020"/>
    <w:rsid w:val="004A160D"/>
    <w:rsid w:val="004A3671"/>
    <w:rsid w:val="004A3B3F"/>
    <w:rsid w:val="004A3E81"/>
    <w:rsid w:val="004A408B"/>
    <w:rsid w:val="004A4195"/>
    <w:rsid w:val="004A5801"/>
    <w:rsid w:val="004A5C62"/>
    <w:rsid w:val="004A5CE5"/>
    <w:rsid w:val="004A6221"/>
    <w:rsid w:val="004A6C31"/>
    <w:rsid w:val="004A707D"/>
    <w:rsid w:val="004B0242"/>
    <w:rsid w:val="004B0974"/>
    <w:rsid w:val="004B1070"/>
    <w:rsid w:val="004B4185"/>
    <w:rsid w:val="004B5678"/>
    <w:rsid w:val="004B796C"/>
    <w:rsid w:val="004C0071"/>
    <w:rsid w:val="004C014B"/>
    <w:rsid w:val="004C0CDD"/>
    <w:rsid w:val="004C103F"/>
    <w:rsid w:val="004C1878"/>
    <w:rsid w:val="004C473E"/>
    <w:rsid w:val="004C5541"/>
    <w:rsid w:val="004C574A"/>
    <w:rsid w:val="004C6445"/>
    <w:rsid w:val="004C6D71"/>
    <w:rsid w:val="004C6EEE"/>
    <w:rsid w:val="004C702B"/>
    <w:rsid w:val="004C79F0"/>
    <w:rsid w:val="004D0033"/>
    <w:rsid w:val="004D016B"/>
    <w:rsid w:val="004D0BA2"/>
    <w:rsid w:val="004D1B22"/>
    <w:rsid w:val="004D1D16"/>
    <w:rsid w:val="004D1E49"/>
    <w:rsid w:val="004D214A"/>
    <w:rsid w:val="004D23CC"/>
    <w:rsid w:val="004D3283"/>
    <w:rsid w:val="004D36F2"/>
    <w:rsid w:val="004D4460"/>
    <w:rsid w:val="004D46D6"/>
    <w:rsid w:val="004D5108"/>
    <w:rsid w:val="004E1106"/>
    <w:rsid w:val="004E138F"/>
    <w:rsid w:val="004E235A"/>
    <w:rsid w:val="004E2751"/>
    <w:rsid w:val="004E373A"/>
    <w:rsid w:val="004E4649"/>
    <w:rsid w:val="004E5028"/>
    <w:rsid w:val="004E5C2B"/>
    <w:rsid w:val="004F00DD"/>
    <w:rsid w:val="004F0769"/>
    <w:rsid w:val="004F0AE7"/>
    <w:rsid w:val="004F0F40"/>
    <w:rsid w:val="004F19CA"/>
    <w:rsid w:val="004F1EC0"/>
    <w:rsid w:val="004F2133"/>
    <w:rsid w:val="004F2C43"/>
    <w:rsid w:val="004F49A6"/>
    <w:rsid w:val="004F5398"/>
    <w:rsid w:val="004F55F1"/>
    <w:rsid w:val="004F5DDA"/>
    <w:rsid w:val="004F6936"/>
    <w:rsid w:val="004F78FD"/>
    <w:rsid w:val="0050020A"/>
    <w:rsid w:val="00500EFE"/>
    <w:rsid w:val="00501B65"/>
    <w:rsid w:val="00501CC7"/>
    <w:rsid w:val="0050291D"/>
    <w:rsid w:val="00502D26"/>
    <w:rsid w:val="00503DC6"/>
    <w:rsid w:val="00504CAD"/>
    <w:rsid w:val="0050624D"/>
    <w:rsid w:val="00506DFD"/>
    <w:rsid w:val="00506F5D"/>
    <w:rsid w:val="00510C37"/>
    <w:rsid w:val="005116AE"/>
    <w:rsid w:val="005126D0"/>
    <w:rsid w:val="00513A81"/>
    <w:rsid w:val="00514667"/>
    <w:rsid w:val="0051568D"/>
    <w:rsid w:val="00516C75"/>
    <w:rsid w:val="005179D6"/>
    <w:rsid w:val="00517B7C"/>
    <w:rsid w:val="00517F1F"/>
    <w:rsid w:val="005212D2"/>
    <w:rsid w:val="00522C2F"/>
    <w:rsid w:val="0052359D"/>
    <w:rsid w:val="00523C12"/>
    <w:rsid w:val="005242D0"/>
    <w:rsid w:val="00526AC7"/>
    <w:rsid w:val="00526C15"/>
    <w:rsid w:val="00536499"/>
    <w:rsid w:val="00542A03"/>
    <w:rsid w:val="0054325B"/>
    <w:rsid w:val="00543903"/>
    <w:rsid w:val="00543BCC"/>
    <w:rsid w:val="00543F11"/>
    <w:rsid w:val="00544221"/>
    <w:rsid w:val="00545ED2"/>
    <w:rsid w:val="00546305"/>
    <w:rsid w:val="00546745"/>
    <w:rsid w:val="00546C0A"/>
    <w:rsid w:val="00547A95"/>
    <w:rsid w:val="00547F70"/>
    <w:rsid w:val="00550A67"/>
    <w:rsid w:val="0055119B"/>
    <w:rsid w:val="005514C9"/>
    <w:rsid w:val="005556CD"/>
    <w:rsid w:val="00557464"/>
    <w:rsid w:val="00557883"/>
    <w:rsid w:val="00561202"/>
    <w:rsid w:val="00562507"/>
    <w:rsid w:val="00562811"/>
    <w:rsid w:val="00562D14"/>
    <w:rsid w:val="00565E50"/>
    <w:rsid w:val="0057008A"/>
    <w:rsid w:val="00570B8D"/>
    <w:rsid w:val="00571B5F"/>
    <w:rsid w:val="00571D90"/>
    <w:rsid w:val="00572031"/>
    <w:rsid w:val="00572282"/>
    <w:rsid w:val="00572E49"/>
    <w:rsid w:val="00573BD3"/>
    <w:rsid w:val="00573CE3"/>
    <w:rsid w:val="00575710"/>
    <w:rsid w:val="00576E84"/>
    <w:rsid w:val="00577370"/>
    <w:rsid w:val="00580394"/>
    <w:rsid w:val="005809CD"/>
    <w:rsid w:val="00581A2B"/>
    <w:rsid w:val="00582217"/>
    <w:rsid w:val="00582B8C"/>
    <w:rsid w:val="00582C38"/>
    <w:rsid w:val="00584737"/>
    <w:rsid w:val="00586947"/>
    <w:rsid w:val="00587349"/>
    <w:rsid w:val="0058757E"/>
    <w:rsid w:val="00590DC6"/>
    <w:rsid w:val="00593FB7"/>
    <w:rsid w:val="00595AA3"/>
    <w:rsid w:val="00595B55"/>
    <w:rsid w:val="005964E5"/>
    <w:rsid w:val="00596A4B"/>
    <w:rsid w:val="00597507"/>
    <w:rsid w:val="005A009B"/>
    <w:rsid w:val="005A102F"/>
    <w:rsid w:val="005A22CF"/>
    <w:rsid w:val="005A479D"/>
    <w:rsid w:val="005B1619"/>
    <w:rsid w:val="005B1A0D"/>
    <w:rsid w:val="005B1C6D"/>
    <w:rsid w:val="005B21B6"/>
    <w:rsid w:val="005B3A08"/>
    <w:rsid w:val="005B3FCB"/>
    <w:rsid w:val="005B473F"/>
    <w:rsid w:val="005B5363"/>
    <w:rsid w:val="005B6139"/>
    <w:rsid w:val="005B6AB9"/>
    <w:rsid w:val="005B7A63"/>
    <w:rsid w:val="005B7B2A"/>
    <w:rsid w:val="005C0955"/>
    <w:rsid w:val="005C0A6A"/>
    <w:rsid w:val="005C12FE"/>
    <w:rsid w:val="005C2E0E"/>
    <w:rsid w:val="005C49DA"/>
    <w:rsid w:val="005C50F3"/>
    <w:rsid w:val="005C5208"/>
    <w:rsid w:val="005C54B5"/>
    <w:rsid w:val="005C5D80"/>
    <w:rsid w:val="005C5D91"/>
    <w:rsid w:val="005C7626"/>
    <w:rsid w:val="005D0302"/>
    <w:rsid w:val="005D07B8"/>
    <w:rsid w:val="005D09AA"/>
    <w:rsid w:val="005D0FBF"/>
    <w:rsid w:val="005D134D"/>
    <w:rsid w:val="005D171A"/>
    <w:rsid w:val="005D4431"/>
    <w:rsid w:val="005D51A6"/>
    <w:rsid w:val="005D6597"/>
    <w:rsid w:val="005E0011"/>
    <w:rsid w:val="005E14E7"/>
    <w:rsid w:val="005E26A1"/>
    <w:rsid w:val="005E26A3"/>
    <w:rsid w:val="005E2ECB"/>
    <w:rsid w:val="005E35DD"/>
    <w:rsid w:val="005E447E"/>
    <w:rsid w:val="005E4FD1"/>
    <w:rsid w:val="005E5119"/>
    <w:rsid w:val="005E623A"/>
    <w:rsid w:val="005E7289"/>
    <w:rsid w:val="005F0775"/>
    <w:rsid w:val="005F0913"/>
    <w:rsid w:val="005F0CF5"/>
    <w:rsid w:val="005F21EB"/>
    <w:rsid w:val="005F2AFF"/>
    <w:rsid w:val="005F521E"/>
    <w:rsid w:val="005F5523"/>
    <w:rsid w:val="005F64CF"/>
    <w:rsid w:val="005F767B"/>
    <w:rsid w:val="005F7842"/>
    <w:rsid w:val="005F7DE7"/>
    <w:rsid w:val="006007A6"/>
    <w:rsid w:val="0060233C"/>
    <w:rsid w:val="00602622"/>
    <w:rsid w:val="006041AD"/>
    <w:rsid w:val="0060420B"/>
    <w:rsid w:val="006049AA"/>
    <w:rsid w:val="00605908"/>
    <w:rsid w:val="00605F41"/>
    <w:rsid w:val="006061A9"/>
    <w:rsid w:val="0060678A"/>
    <w:rsid w:val="006069CD"/>
    <w:rsid w:val="006070F0"/>
    <w:rsid w:val="006073AB"/>
    <w:rsid w:val="00607583"/>
    <w:rsid w:val="00607850"/>
    <w:rsid w:val="00607EF7"/>
    <w:rsid w:val="00610032"/>
    <w:rsid w:val="006109AB"/>
    <w:rsid w:val="00610D7C"/>
    <w:rsid w:val="0061176B"/>
    <w:rsid w:val="00613414"/>
    <w:rsid w:val="00613F0D"/>
    <w:rsid w:val="00614A8B"/>
    <w:rsid w:val="00620154"/>
    <w:rsid w:val="00620C17"/>
    <w:rsid w:val="00620F4E"/>
    <w:rsid w:val="00621BE9"/>
    <w:rsid w:val="00623464"/>
    <w:rsid w:val="0062408D"/>
    <w:rsid w:val="006240CC"/>
    <w:rsid w:val="006243B4"/>
    <w:rsid w:val="00624940"/>
    <w:rsid w:val="00624C20"/>
    <w:rsid w:val="006254F8"/>
    <w:rsid w:val="006269B7"/>
    <w:rsid w:val="00626DAC"/>
    <w:rsid w:val="006273F8"/>
    <w:rsid w:val="00627DA7"/>
    <w:rsid w:val="00630417"/>
    <w:rsid w:val="00630DA4"/>
    <w:rsid w:val="00631CD4"/>
    <w:rsid w:val="00632597"/>
    <w:rsid w:val="0063326F"/>
    <w:rsid w:val="006338D3"/>
    <w:rsid w:val="00634D13"/>
    <w:rsid w:val="006358B4"/>
    <w:rsid w:val="00635AF1"/>
    <w:rsid w:val="00635DB8"/>
    <w:rsid w:val="006367F6"/>
    <w:rsid w:val="00640009"/>
    <w:rsid w:val="0064045B"/>
    <w:rsid w:val="00641724"/>
    <w:rsid w:val="006419AA"/>
    <w:rsid w:val="0064379D"/>
    <w:rsid w:val="0064420E"/>
    <w:rsid w:val="00644B1F"/>
    <w:rsid w:val="00644B7E"/>
    <w:rsid w:val="006454E6"/>
    <w:rsid w:val="00646235"/>
    <w:rsid w:val="0064687A"/>
    <w:rsid w:val="00646A68"/>
    <w:rsid w:val="00646C23"/>
    <w:rsid w:val="00646CD9"/>
    <w:rsid w:val="006476DA"/>
    <w:rsid w:val="00647736"/>
    <w:rsid w:val="00647AEE"/>
    <w:rsid w:val="00650110"/>
    <w:rsid w:val="006505BD"/>
    <w:rsid w:val="006508EA"/>
    <w:rsid w:val="0065092E"/>
    <w:rsid w:val="00650B75"/>
    <w:rsid w:val="0065128D"/>
    <w:rsid w:val="0065424E"/>
    <w:rsid w:val="0065425F"/>
    <w:rsid w:val="006551AB"/>
    <w:rsid w:val="006557A7"/>
    <w:rsid w:val="00656254"/>
    <w:rsid w:val="00656290"/>
    <w:rsid w:val="006579EF"/>
    <w:rsid w:val="006601C9"/>
    <w:rsid w:val="006608D8"/>
    <w:rsid w:val="006621D7"/>
    <w:rsid w:val="0066302A"/>
    <w:rsid w:val="00663257"/>
    <w:rsid w:val="00664D6A"/>
    <w:rsid w:val="00664EE4"/>
    <w:rsid w:val="00666BC2"/>
    <w:rsid w:val="00667770"/>
    <w:rsid w:val="00667F42"/>
    <w:rsid w:val="00670597"/>
    <w:rsid w:val="006706D0"/>
    <w:rsid w:val="006710F4"/>
    <w:rsid w:val="0067297D"/>
    <w:rsid w:val="00675709"/>
    <w:rsid w:val="00675ACD"/>
    <w:rsid w:val="00676776"/>
    <w:rsid w:val="00677574"/>
    <w:rsid w:val="006812ED"/>
    <w:rsid w:val="00681E05"/>
    <w:rsid w:val="00682F6F"/>
    <w:rsid w:val="00683878"/>
    <w:rsid w:val="00684380"/>
    <w:rsid w:val="0068454C"/>
    <w:rsid w:val="0068553C"/>
    <w:rsid w:val="00686D8D"/>
    <w:rsid w:val="00690C85"/>
    <w:rsid w:val="00691B62"/>
    <w:rsid w:val="006933B5"/>
    <w:rsid w:val="00693546"/>
    <w:rsid w:val="006936F3"/>
    <w:rsid w:val="006938F5"/>
    <w:rsid w:val="00693D14"/>
    <w:rsid w:val="0069555E"/>
    <w:rsid w:val="00695BD3"/>
    <w:rsid w:val="00696F27"/>
    <w:rsid w:val="0069744B"/>
    <w:rsid w:val="006A1256"/>
    <w:rsid w:val="006A1760"/>
    <w:rsid w:val="006A18C2"/>
    <w:rsid w:val="006A1CE5"/>
    <w:rsid w:val="006A2717"/>
    <w:rsid w:val="006A3383"/>
    <w:rsid w:val="006A386D"/>
    <w:rsid w:val="006A5F5D"/>
    <w:rsid w:val="006A78D3"/>
    <w:rsid w:val="006B077C"/>
    <w:rsid w:val="006B0C81"/>
    <w:rsid w:val="006B1D0B"/>
    <w:rsid w:val="006B2DD3"/>
    <w:rsid w:val="006B4549"/>
    <w:rsid w:val="006B457E"/>
    <w:rsid w:val="006B4ABD"/>
    <w:rsid w:val="006B6803"/>
    <w:rsid w:val="006B6CBE"/>
    <w:rsid w:val="006B72E5"/>
    <w:rsid w:val="006B7A8A"/>
    <w:rsid w:val="006C24E5"/>
    <w:rsid w:val="006C2E40"/>
    <w:rsid w:val="006C49B4"/>
    <w:rsid w:val="006C5780"/>
    <w:rsid w:val="006C7FF1"/>
    <w:rsid w:val="006C7FFC"/>
    <w:rsid w:val="006D0021"/>
    <w:rsid w:val="006D0E1F"/>
    <w:rsid w:val="006D0F16"/>
    <w:rsid w:val="006D2619"/>
    <w:rsid w:val="006D2A3F"/>
    <w:rsid w:val="006D2FBC"/>
    <w:rsid w:val="006D3AF8"/>
    <w:rsid w:val="006D3EF9"/>
    <w:rsid w:val="006D6E34"/>
    <w:rsid w:val="006D6F7F"/>
    <w:rsid w:val="006D7B9A"/>
    <w:rsid w:val="006E114D"/>
    <w:rsid w:val="006E138B"/>
    <w:rsid w:val="006E1867"/>
    <w:rsid w:val="006E1A24"/>
    <w:rsid w:val="006E20D9"/>
    <w:rsid w:val="006E6310"/>
    <w:rsid w:val="006E78F2"/>
    <w:rsid w:val="006F0330"/>
    <w:rsid w:val="006F1FDC"/>
    <w:rsid w:val="006F4C3B"/>
    <w:rsid w:val="006F5B45"/>
    <w:rsid w:val="006F69F2"/>
    <w:rsid w:val="006F6B76"/>
    <w:rsid w:val="006F6B8C"/>
    <w:rsid w:val="006F71A7"/>
    <w:rsid w:val="006F7E33"/>
    <w:rsid w:val="0070013A"/>
    <w:rsid w:val="00700FD9"/>
    <w:rsid w:val="007013EF"/>
    <w:rsid w:val="00701BFC"/>
    <w:rsid w:val="00702564"/>
    <w:rsid w:val="007027DF"/>
    <w:rsid w:val="00704460"/>
    <w:rsid w:val="00704CF3"/>
    <w:rsid w:val="00704D72"/>
    <w:rsid w:val="00705253"/>
    <w:rsid w:val="007055BD"/>
    <w:rsid w:val="007062D3"/>
    <w:rsid w:val="0071036A"/>
    <w:rsid w:val="00710EC8"/>
    <w:rsid w:val="007128A1"/>
    <w:rsid w:val="00716AD0"/>
    <w:rsid w:val="007173CA"/>
    <w:rsid w:val="007216AA"/>
    <w:rsid w:val="00721977"/>
    <w:rsid w:val="00721AB5"/>
    <w:rsid w:val="00721CFB"/>
    <w:rsid w:val="00721DEF"/>
    <w:rsid w:val="00722C9A"/>
    <w:rsid w:val="00722DA5"/>
    <w:rsid w:val="00724A43"/>
    <w:rsid w:val="00724F1E"/>
    <w:rsid w:val="00724FDE"/>
    <w:rsid w:val="0072556E"/>
    <w:rsid w:val="0072640E"/>
    <w:rsid w:val="007273AC"/>
    <w:rsid w:val="00731101"/>
    <w:rsid w:val="00731AD4"/>
    <w:rsid w:val="00731E26"/>
    <w:rsid w:val="00731E70"/>
    <w:rsid w:val="0073428F"/>
    <w:rsid w:val="007346E4"/>
    <w:rsid w:val="00735564"/>
    <w:rsid w:val="007370D9"/>
    <w:rsid w:val="0073721B"/>
    <w:rsid w:val="00740A98"/>
    <w:rsid w:val="00740BB0"/>
    <w:rsid w:val="00740F22"/>
    <w:rsid w:val="00740FC3"/>
    <w:rsid w:val="00741049"/>
    <w:rsid w:val="007419AA"/>
    <w:rsid w:val="00741CF0"/>
    <w:rsid w:val="00741F1A"/>
    <w:rsid w:val="0074236F"/>
    <w:rsid w:val="007430F8"/>
    <w:rsid w:val="007431EE"/>
    <w:rsid w:val="007447DA"/>
    <w:rsid w:val="007450F8"/>
    <w:rsid w:val="00746084"/>
    <w:rsid w:val="0074696E"/>
    <w:rsid w:val="00746D30"/>
    <w:rsid w:val="00750135"/>
    <w:rsid w:val="00750786"/>
    <w:rsid w:val="00750EC2"/>
    <w:rsid w:val="007517B1"/>
    <w:rsid w:val="00751C7E"/>
    <w:rsid w:val="00752321"/>
    <w:rsid w:val="007527ED"/>
    <w:rsid w:val="00752B28"/>
    <w:rsid w:val="007536BC"/>
    <w:rsid w:val="007538AE"/>
    <w:rsid w:val="007541A9"/>
    <w:rsid w:val="00754E36"/>
    <w:rsid w:val="007557F2"/>
    <w:rsid w:val="00755C53"/>
    <w:rsid w:val="00757A28"/>
    <w:rsid w:val="00763139"/>
    <w:rsid w:val="00763A9F"/>
    <w:rsid w:val="00764C37"/>
    <w:rsid w:val="007653AA"/>
    <w:rsid w:val="007663DA"/>
    <w:rsid w:val="00770092"/>
    <w:rsid w:val="00770F37"/>
    <w:rsid w:val="007711A0"/>
    <w:rsid w:val="00772229"/>
    <w:rsid w:val="00772C5B"/>
    <w:rsid w:val="00772D5E"/>
    <w:rsid w:val="0077463E"/>
    <w:rsid w:val="00776928"/>
    <w:rsid w:val="00776D56"/>
    <w:rsid w:val="00776E0F"/>
    <w:rsid w:val="007774B1"/>
    <w:rsid w:val="00777BE1"/>
    <w:rsid w:val="00777F62"/>
    <w:rsid w:val="00780295"/>
    <w:rsid w:val="00781262"/>
    <w:rsid w:val="00781B11"/>
    <w:rsid w:val="00781B93"/>
    <w:rsid w:val="00782222"/>
    <w:rsid w:val="007833D8"/>
    <w:rsid w:val="00783891"/>
    <w:rsid w:val="00784F4B"/>
    <w:rsid w:val="00785677"/>
    <w:rsid w:val="00786658"/>
    <w:rsid w:val="00786F16"/>
    <w:rsid w:val="0078719C"/>
    <w:rsid w:val="007873C6"/>
    <w:rsid w:val="007909B8"/>
    <w:rsid w:val="00791B33"/>
    <w:rsid w:val="00791BD7"/>
    <w:rsid w:val="00792733"/>
    <w:rsid w:val="007933F7"/>
    <w:rsid w:val="00793680"/>
    <w:rsid w:val="00796E20"/>
    <w:rsid w:val="00797C32"/>
    <w:rsid w:val="00797DE5"/>
    <w:rsid w:val="007A087F"/>
    <w:rsid w:val="007A11E8"/>
    <w:rsid w:val="007A1DF5"/>
    <w:rsid w:val="007A23E3"/>
    <w:rsid w:val="007A240B"/>
    <w:rsid w:val="007A3705"/>
    <w:rsid w:val="007A623D"/>
    <w:rsid w:val="007B0914"/>
    <w:rsid w:val="007B1374"/>
    <w:rsid w:val="007B17E1"/>
    <w:rsid w:val="007B2F85"/>
    <w:rsid w:val="007B32E5"/>
    <w:rsid w:val="007B3DB9"/>
    <w:rsid w:val="007B56BB"/>
    <w:rsid w:val="007B589F"/>
    <w:rsid w:val="007B6186"/>
    <w:rsid w:val="007B73BC"/>
    <w:rsid w:val="007C1838"/>
    <w:rsid w:val="007C20B9"/>
    <w:rsid w:val="007C247A"/>
    <w:rsid w:val="007C3CBA"/>
    <w:rsid w:val="007C4855"/>
    <w:rsid w:val="007C57AB"/>
    <w:rsid w:val="007C7301"/>
    <w:rsid w:val="007C745D"/>
    <w:rsid w:val="007C7859"/>
    <w:rsid w:val="007C7F28"/>
    <w:rsid w:val="007D09CF"/>
    <w:rsid w:val="007D1466"/>
    <w:rsid w:val="007D14DD"/>
    <w:rsid w:val="007D1FCA"/>
    <w:rsid w:val="007D2BDE"/>
    <w:rsid w:val="007D2FB6"/>
    <w:rsid w:val="007D308D"/>
    <w:rsid w:val="007D49EB"/>
    <w:rsid w:val="007D4BA1"/>
    <w:rsid w:val="007D54F9"/>
    <w:rsid w:val="007D5E1C"/>
    <w:rsid w:val="007D7DB0"/>
    <w:rsid w:val="007E0DE2"/>
    <w:rsid w:val="007E2622"/>
    <w:rsid w:val="007E265B"/>
    <w:rsid w:val="007E3526"/>
    <w:rsid w:val="007E3667"/>
    <w:rsid w:val="007E3B98"/>
    <w:rsid w:val="007E417A"/>
    <w:rsid w:val="007E6E39"/>
    <w:rsid w:val="007E7556"/>
    <w:rsid w:val="007F1692"/>
    <w:rsid w:val="007F1D44"/>
    <w:rsid w:val="007F23E3"/>
    <w:rsid w:val="007F31B6"/>
    <w:rsid w:val="007F34B9"/>
    <w:rsid w:val="007F546C"/>
    <w:rsid w:val="007F6150"/>
    <w:rsid w:val="007F625F"/>
    <w:rsid w:val="007F665E"/>
    <w:rsid w:val="007F68CB"/>
    <w:rsid w:val="007F706E"/>
    <w:rsid w:val="007F74CA"/>
    <w:rsid w:val="007F7E7A"/>
    <w:rsid w:val="00800412"/>
    <w:rsid w:val="008032A1"/>
    <w:rsid w:val="00803407"/>
    <w:rsid w:val="00803461"/>
    <w:rsid w:val="0080587B"/>
    <w:rsid w:val="008062F2"/>
    <w:rsid w:val="00806468"/>
    <w:rsid w:val="008068CC"/>
    <w:rsid w:val="00806EA6"/>
    <w:rsid w:val="00807141"/>
    <w:rsid w:val="008076C1"/>
    <w:rsid w:val="00811120"/>
    <w:rsid w:val="008115B4"/>
    <w:rsid w:val="008119CA"/>
    <w:rsid w:val="008130C4"/>
    <w:rsid w:val="008148B4"/>
    <w:rsid w:val="008155F0"/>
    <w:rsid w:val="008162E8"/>
    <w:rsid w:val="00816735"/>
    <w:rsid w:val="00816760"/>
    <w:rsid w:val="008169C3"/>
    <w:rsid w:val="00817368"/>
    <w:rsid w:val="008176C8"/>
    <w:rsid w:val="00817801"/>
    <w:rsid w:val="00820141"/>
    <w:rsid w:val="008203B0"/>
    <w:rsid w:val="00820E0C"/>
    <w:rsid w:val="00823275"/>
    <w:rsid w:val="0082366F"/>
    <w:rsid w:val="00823DEC"/>
    <w:rsid w:val="00824BFE"/>
    <w:rsid w:val="00824CBE"/>
    <w:rsid w:val="0082778C"/>
    <w:rsid w:val="00827D21"/>
    <w:rsid w:val="00831B47"/>
    <w:rsid w:val="008338A2"/>
    <w:rsid w:val="00835583"/>
    <w:rsid w:val="00836889"/>
    <w:rsid w:val="00837440"/>
    <w:rsid w:val="008412DA"/>
    <w:rsid w:val="00841AA9"/>
    <w:rsid w:val="00844912"/>
    <w:rsid w:val="0084533C"/>
    <w:rsid w:val="0084603E"/>
    <w:rsid w:val="00847161"/>
    <w:rsid w:val="008474FE"/>
    <w:rsid w:val="00847FCA"/>
    <w:rsid w:val="00852363"/>
    <w:rsid w:val="0085246F"/>
    <w:rsid w:val="008530C7"/>
    <w:rsid w:val="00853EE4"/>
    <w:rsid w:val="008548ED"/>
    <w:rsid w:val="00854F45"/>
    <w:rsid w:val="00855535"/>
    <w:rsid w:val="008560D1"/>
    <w:rsid w:val="00856140"/>
    <w:rsid w:val="008561EB"/>
    <w:rsid w:val="00856BA9"/>
    <w:rsid w:val="00857C5A"/>
    <w:rsid w:val="00860A33"/>
    <w:rsid w:val="0086255E"/>
    <w:rsid w:val="008633F0"/>
    <w:rsid w:val="00863B7C"/>
    <w:rsid w:val="008644CD"/>
    <w:rsid w:val="00867D9D"/>
    <w:rsid w:val="00870807"/>
    <w:rsid w:val="00872E0A"/>
    <w:rsid w:val="00873594"/>
    <w:rsid w:val="0087384D"/>
    <w:rsid w:val="00875285"/>
    <w:rsid w:val="00876306"/>
    <w:rsid w:val="00876974"/>
    <w:rsid w:val="0087729B"/>
    <w:rsid w:val="00877420"/>
    <w:rsid w:val="00877635"/>
    <w:rsid w:val="00880C64"/>
    <w:rsid w:val="0088133B"/>
    <w:rsid w:val="00882E76"/>
    <w:rsid w:val="00884B62"/>
    <w:rsid w:val="00885154"/>
    <w:rsid w:val="0088529C"/>
    <w:rsid w:val="00887903"/>
    <w:rsid w:val="008902AB"/>
    <w:rsid w:val="00891356"/>
    <w:rsid w:val="00891D95"/>
    <w:rsid w:val="00891E5E"/>
    <w:rsid w:val="0089270A"/>
    <w:rsid w:val="008930B3"/>
    <w:rsid w:val="00893AF6"/>
    <w:rsid w:val="00894BC4"/>
    <w:rsid w:val="008959D3"/>
    <w:rsid w:val="00896890"/>
    <w:rsid w:val="00896EF3"/>
    <w:rsid w:val="00896F17"/>
    <w:rsid w:val="008A0880"/>
    <w:rsid w:val="008A1DCF"/>
    <w:rsid w:val="008A28A8"/>
    <w:rsid w:val="008A331D"/>
    <w:rsid w:val="008A4BBD"/>
    <w:rsid w:val="008A4F09"/>
    <w:rsid w:val="008A5275"/>
    <w:rsid w:val="008A5B32"/>
    <w:rsid w:val="008A709F"/>
    <w:rsid w:val="008B00A0"/>
    <w:rsid w:val="008B00DA"/>
    <w:rsid w:val="008B0935"/>
    <w:rsid w:val="008B2029"/>
    <w:rsid w:val="008B2704"/>
    <w:rsid w:val="008B2EE4"/>
    <w:rsid w:val="008B3821"/>
    <w:rsid w:val="008B3FFD"/>
    <w:rsid w:val="008B4D3D"/>
    <w:rsid w:val="008B5749"/>
    <w:rsid w:val="008B57C7"/>
    <w:rsid w:val="008C0402"/>
    <w:rsid w:val="008C0F23"/>
    <w:rsid w:val="008C2F92"/>
    <w:rsid w:val="008C304F"/>
    <w:rsid w:val="008C3546"/>
    <w:rsid w:val="008C449B"/>
    <w:rsid w:val="008C589D"/>
    <w:rsid w:val="008C5BF5"/>
    <w:rsid w:val="008C6D51"/>
    <w:rsid w:val="008C74FB"/>
    <w:rsid w:val="008D0CCF"/>
    <w:rsid w:val="008D1375"/>
    <w:rsid w:val="008D2846"/>
    <w:rsid w:val="008D2EFB"/>
    <w:rsid w:val="008D4236"/>
    <w:rsid w:val="008D4374"/>
    <w:rsid w:val="008D462F"/>
    <w:rsid w:val="008D4A44"/>
    <w:rsid w:val="008D570F"/>
    <w:rsid w:val="008D6DCF"/>
    <w:rsid w:val="008E008E"/>
    <w:rsid w:val="008E297B"/>
    <w:rsid w:val="008E3447"/>
    <w:rsid w:val="008E4376"/>
    <w:rsid w:val="008E4B4E"/>
    <w:rsid w:val="008E4D0A"/>
    <w:rsid w:val="008E53BE"/>
    <w:rsid w:val="008E68C5"/>
    <w:rsid w:val="008E7807"/>
    <w:rsid w:val="008E7A0A"/>
    <w:rsid w:val="008E7B49"/>
    <w:rsid w:val="008F239A"/>
    <w:rsid w:val="008F2F8F"/>
    <w:rsid w:val="008F3C95"/>
    <w:rsid w:val="008F46AD"/>
    <w:rsid w:val="008F480B"/>
    <w:rsid w:val="008F4D67"/>
    <w:rsid w:val="008F59F6"/>
    <w:rsid w:val="008F6401"/>
    <w:rsid w:val="008F6CC3"/>
    <w:rsid w:val="008F7D56"/>
    <w:rsid w:val="009002EC"/>
    <w:rsid w:val="00900719"/>
    <w:rsid w:val="009017AC"/>
    <w:rsid w:val="00902A9A"/>
    <w:rsid w:val="00902BF6"/>
    <w:rsid w:val="0090489A"/>
    <w:rsid w:val="00904A1C"/>
    <w:rsid w:val="00905030"/>
    <w:rsid w:val="00906490"/>
    <w:rsid w:val="00906814"/>
    <w:rsid w:val="00906BB5"/>
    <w:rsid w:val="009074AF"/>
    <w:rsid w:val="009079EA"/>
    <w:rsid w:val="00910C39"/>
    <w:rsid w:val="009111B2"/>
    <w:rsid w:val="00912219"/>
    <w:rsid w:val="0091254F"/>
    <w:rsid w:val="009125C8"/>
    <w:rsid w:val="0091321D"/>
    <w:rsid w:val="009136C2"/>
    <w:rsid w:val="00913A8F"/>
    <w:rsid w:val="00913F00"/>
    <w:rsid w:val="009151F5"/>
    <w:rsid w:val="00915A2F"/>
    <w:rsid w:val="00915AAB"/>
    <w:rsid w:val="00915E59"/>
    <w:rsid w:val="00916CBB"/>
    <w:rsid w:val="0092042D"/>
    <w:rsid w:val="009212A0"/>
    <w:rsid w:val="00924AE1"/>
    <w:rsid w:val="00924B57"/>
    <w:rsid w:val="009269B1"/>
    <w:rsid w:val="0092724D"/>
    <w:rsid w:val="009272B3"/>
    <w:rsid w:val="009315BE"/>
    <w:rsid w:val="009326DD"/>
    <w:rsid w:val="0093338F"/>
    <w:rsid w:val="00933408"/>
    <w:rsid w:val="00934D94"/>
    <w:rsid w:val="00935C64"/>
    <w:rsid w:val="00937B63"/>
    <w:rsid w:val="00937BD9"/>
    <w:rsid w:val="00940CC1"/>
    <w:rsid w:val="00940F77"/>
    <w:rsid w:val="00941649"/>
    <w:rsid w:val="009416E0"/>
    <w:rsid w:val="00944701"/>
    <w:rsid w:val="0094476F"/>
    <w:rsid w:val="00950E2C"/>
    <w:rsid w:val="00951D50"/>
    <w:rsid w:val="009525EB"/>
    <w:rsid w:val="00952812"/>
    <w:rsid w:val="0095470B"/>
    <w:rsid w:val="00954874"/>
    <w:rsid w:val="00954D15"/>
    <w:rsid w:val="0095615A"/>
    <w:rsid w:val="009576AC"/>
    <w:rsid w:val="00961400"/>
    <w:rsid w:val="00963646"/>
    <w:rsid w:val="0096364D"/>
    <w:rsid w:val="009647E6"/>
    <w:rsid w:val="0096506F"/>
    <w:rsid w:val="00965D98"/>
    <w:rsid w:val="0096632D"/>
    <w:rsid w:val="0096636C"/>
    <w:rsid w:val="00967124"/>
    <w:rsid w:val="00970E8D"/>
    <w:rsid w:val="0097118C"/>
    <w:rsid w:val="00971410"/>
    <w:rsid w:val="0097166C"/>
    <w:rsid w:val="009718C7"/>
    <w:rsid w:val="009720AB"/>
    <w:rsid w:val="009723C6"/>
    <w:rsid w:val="00973DFB"/>
    <w:rsid w:val="0097559F"/>
    <w:rsid w:val="009761EA"/>
    <w:rsid w:val="00976E88"/>
    <w:rsid w:val="0097761E"/>
    <w:rsid w:val="0097794B"/>
    <w:rsid w:val="0098027F"/>
    <w:rsid w:val="00980FAB"/>
    <w:rsid w:val="00981A62"/>
    <w:rsid w:val="00982454"/>
    <w:rsid w:val="009829FF"/>
    <w:rsid w:val="00982AAC"/>
    <w:rsid w:val="00982CD3"/>
    <w:rsid w:val="00982CF0"/>
    <w:rsid w:val="009835F7"/>
    <w:rsid w:val="009840EC"/>
    <w:rsid w:val="00985252"/>
    <w:rsid w:val="009853E1"/>
    <w:rsid w:val="00985574"/>
    <w:rsid w:val="00986E6B"/>
    <w:rsid w:val="00986FA9"/>
    <w:rsid w:val="00987977"/>
    <w:rsid w:val="00990032"/>
    <w:rsid w:val="009900F8"/>
    <w:rsid w:val="009906FE"/>
    <w:rsid w:val="00990B19"/>
    <w:rsid w:val="00990FE1"/>
    <w:rsid w:val="00991210"/>
    <w:rsid w:val="0099153B"/>
    <w:rsid w:val="00991710"/>
    <w:rsid w:val="00991769"/>
    <w:rsid w:val="0099232C"/>
    <w:rsid w:val="009926B6"/>
    <w:rsid w:val="00994386"/>
    <w:rsid w:val="009953D3"/>
    <w:rsid w:val="0099587A"/>
    <w:rsid w:val="009969EF"/>
    <w:rsid w:val="00996BF6"/>
    <w:rsid w:val="00997847"/>
    <w:rsid w:val="009A120F"/>
    <w:rsid w:val="009A13D8"/>
    <w:rsid w:val="009A1B89"/>
    <w:rsid w:val="009A2175"/>
    <w:rsid w:val="009A21E0"/>
    <w:rsid w:val="009A279E"/>
    <w:rsid w:val="009A3015"/>
    <w:rsid w:val="009A3490"/>
    <w:rsid w:val="009A3E6A"/>
    <w:rsid w:val="009A40D3"/>
    <w:rsid w:val="009A5D26"/>
    <w:rsid w:val="009A70B1"/>
    <w:rsid w:val="009B05FD"/>
    <w:rsid w:val="009B0A6F"/>
    <w:rsid w:val="009B0A94"/>
    <w:rsid w:val="009B0C62"/>
    <w:rsid w:val="009B1677"/>
    <w:rsid w:val="009B2488"/>
    <w:rsid w:val="009B25BD"/>
    <w:rsid w:val="009B294C"/>
    <w:rsid w:val="009B2AE8"/>
    <w:rsid w:val="009B2BB2"/>
    <w:rsid w:val="009B35B1"/>
    <w:rsid w:val="009B382D"/>
    <w:rsid w:val="009B449F"/>
    <w:rsid w:val="009B5622"/>
    <w:rsid w:val="009B59E9"/>
    <w:rsid w:val="009B610C"/>
    <w:rsid w:val="009B6C1A"/>
    <w:rsid w:val="009B70AA"/>
    <w:rsid w:val="009B7D1D"/>
    <w:rsid w:val="009C0099"/>
    <w:rsid w:val="009C245E"/>
    <w:rsid w:val="009C30F7"/>
    <w:rsid w:val="009C3CF1"/>
    <w:rsid w:val="009C41DD"/>
    <w:rsid w:val="009C4994"/>
    <w:rsid w:val="009C4CD8"/>
    <w:rsid w:val="009C5A60"/>
    <w:rsid w:val="009C5D29"/>
    <w:rsid w:val="009C5E77"/>
    <w:rsid w:val="009C68F3"/>
    <w:rsid w:val="009C6C91"/>
    <w:rsid w:val="009C7A7E"/>
    <w:rsid w:val="009D02E8"/>
    <w:rsid w:val="009D0E97"/>
    <w:rsid w:val="009D152C"/>
    <w:rsid w:val="009D303F"/>
    <w:rsid w:val="009D328F"/>
    <w:rsid w:val="009D3D6E"/>
    <w:rsid w:val="009D488B"/>
    <w:rsid w:val="009D51D0"/>
    <w:rsid w:val="009D592E"/>
    <w:rsid w:val="009D70A4"/>
    <w:rsid w:val="009D7587"/>
    <w:rsid w:val="009D762A"/>
    <w:rsid w:val="009D7B14"/>
    <w:rsid w:val="009E00B8"/>
    <w:rsid w:val="009E03D5"/>
    <w:rsid w:val="009E054A"/>
    <w:rsid w:val="009E0673"/>
    <w:rsid w:val="009E08D1"/>
    <w:rsid w:val="009E0D96"/>
    <w:rsid w:val="009E1286"/>
    <w:rsid w:val="009E1B95"/>
    <w:rsid w:val="009E208B"/>
    <w:rsid w:val="009E38D7"/>
    <w:rsid w:val="009E3BDC"/>
    <w:rsid w:val="009E4579"/>
    <w:rsid w:val="009E496F"/>
    <w:rsid w:val="009E4B0D"/>
    <w:rsid w:val="009E5250"/>
    <w:rsid w:val="009E5758"/>
    <w:rsid w:val="009E5D9F"/>
    <w:rsid w:val="009E7A69"/>
    <w:rsid w:val="009E7F92"/>
    <w:rsid w:val="009F02A3"/>
    <w:rsid w:val="009F2182"/>
    <w:rsid w:val="009F24F9"/>
    <w:rsid w:val="009F2F27"/>
    <w:rsid w:val="009F34AA"/>
    <w:rsid w:val="009F4305"/>
    <w:rsid w:val="009F52A3"/>
    <w:rsid w:val="009F5B3F"/>
    <w:rsid w:val="009F5BB8"/>
    <w:rsid w:val="009F6BCB"/>
    <w:rsid w:val="009F6DFB"/>
    <w:rsid w:val="009F709E"/>
    <w:rsid w:val="009F74DF"/>
    <w:rsid w:val="009F7B78"/>
    <w:rsid w:val="00A0057A"/>
    <w:rsid w:val="00A01FB1"/>
    <w:rsid w:val="00A0295F"/>
    <w:rsid w:val="00A02FA1"/>
    <w:rsid w:val="00A04CCE"/>
    <w:rsid w:val="00A05081"/>
    <w:rsid w:val="00A062F0"/>
    <w:rsid w:val="00A07421"/>
    <w:rsid w:val="00A0776B"/>
    <w:rsid w:val="00A10FB9"/>
    <w:rsid w:val="00A11421"/>
    <w:rsid w:val="00A11ACC"/>
    <w:rsid w:val="00A12243"/>
    <w:rsid w:val="00A1389F"/>
    <w:rsid w:val="00A13FB4"/>
    <w:rsid w:val="00A151D0"/>
    <w:rsid w:val="00A157B1"/>
    <w:rsid w:val="00A20ED1"/>
    <w:rsid w:val="00A213E9"/>
    <w:rsid w:val="00A21C9A"/>
    <w:rsid w:val="00A22229"/>
    <w:rsid w:val="00A226E4"/>
    <w:rsid w:val="00A22D69"/>
    <w:rsid w:val="00A24442"/>
    <w:rsid w:val="00A24ADA"/>
    <w:rsid w:val="00A24CB5"/>
    <w:rsid w:val="00A250D5"/>
    <w:rsid w:val="00A2792D"/>
    <w:rsid w:val="00A2793F"/>
    <w:rsid w:val="00A3048C"/>
    <w:rsid w:val="00A30534"/>
    <w:rsid w:val="00A31871"/>
    <w:rsid w:val="00A3215F"/>
    <w:rsid w:val="00A32577"/>
    <w:rsid w:val="00A330BB"/>
    <w:rsid w:val="00A35B53"/>
    <w:rsid w:val="00A35DA1"/>
    <w:rsid w:val="00A3603C"/>
    <w:rsid w:val="00A36694"/>
    <w:rsid w:val="00A36BD1"/>
    <w:rsid w:val="00A373E8"/>
    <w:rsid w:val="00A374DB"/>
    <w:rsid w:val="00A4170D"/>
    <w:rsid w:val="00A42635"/>
    <w:rsid w:val="00A446F5"/>
    <w:rsid w:val="00A44882"/>
    <w:rsid w:val="00A45125"/>
    <w:rsid w:val="00A46E8E"/>
    <w:rsid w:val="00A53058"/>
    <w:rsid w:val="00A54715"/>
    <w:rsid w:val="00A56003"/>
    <w:rsid w:val="00A6061C"/>
    <w:rsid w:val="00A60BAB"/>
    <w:rsid w:val="00A60D7B"/>
    <w:rsid w:val="00A60DAC"/>
    <w:rsid w:val="00A60DDD"/>
    <w:rsid w:val="00A61B45"/>
    <w:rsid w:val="00A62D44"/>
    <w:rsid w:val="00A66FC9"/>
    <w:rsid w:val="00A67263"/>
    <w:rsid w:val="00A7161C"/>
    <w:rsid w:val="00A71CE4"/>
    <w:rsid w:val="00A73A71"/>
    <w:rsid w:val="00A73B4B"/>
    <w:rsid w:val="00A73D61"/>
    <w:rsid w:val="00A74859"/>
    <w:rsid w:val="00A74C80"/>
    <w:rsid w:val="00A75ACE"/>
    <w:rsid w:val="00A75D2A"/>
    <w:rsid w:val="00A77197"/>
    <w:rsid w:val="00A77AA3"/>
    <w:rsid w:val="00A80380"/>
    <w:rsid w:val="00A81142"/>
    <w:rsid w:val="00A8236D"/>
    <w:rsid w:val="00A8272B"/>
    <w:rsid w:val="00A83CA5"/>
    <w:rsid w:val="00A841DE"/>
    <w:rsid w:val="00A849FC"/>
    <w:rsid w:val="00A854EB"/>
    <w:rsid w:val="00A8643B"/>
    <w:rsid w:val="00A872E5"/>
    <w:rsid w:val="00A902F1"/>
    <w:rsid w:val="00A90C68"/>
    <w:rsid w:val="00A90D44"/>
    <w:rsid w:val="00A90DD5"/>
    <w:rsid w:val="00A91102"/>
    <w:rsid w:val="00A91406"/>
    <w:rsid w:val="00A9308A"/>
    <w:rsid w:val="00A9373A"/>
    <w:rsid w:val="00A93E49"/>
    <w:rsid w:val="00A952E2"/>
    <w:rsid w:val="00A9593F"/>
    <w:rsid w:val="00A96B57"/>
    <w:rsid w:val="00A96E65"/>
    <w:rsid w:val="00A96ECE"/>
    <w:rsid w:val="00A96F65"/>
    <w:rsid w:val="00A97C72"/>
    <w:rsid w:val="00A97CF3"/>
    <w:rsid w:val="00AA2E8E"/>
    <w:rsid w:val="00AA310B"/>
    <w:rsid w:val="00AA3E96"/>
    <w:rsid w:val="00AA4994"/>
    <w:rsid w:val="00AA51AF"/>
    <w:rsid w:val="00AA63D4"/>
    <w:rsid w:val="00AA695C"/>
    <w:rsid w:val="00AA72AA"/>
    <w:rsid w:val="00AA7D88"/>
    <w:rsid w:val="00AB06E8"/>
    <w:rsid w:val="00AB0B96"/>
    <w:rsid w:val="00AB1CD3"/>
    <w:rsid w:val="00AB21B1"/>
    <w:rsid w:val="00AB352F"/>
    <w:rsid w:val="00AB3B4A"/>
    <w:rsid w:val="00AB400A"/>
    <w:rsid w:val="00AB44AC"/>
    <w:rsid w:val="00AB61FF"/>
    <w:rsid w:val="00AB6F16"/>
    <w:rsid w:val="00AC0A26"/>
    <w:rsid w:val="00AC11F7"/>
    <w:rsid w:val="00AC274B"/>
    <w:rsid w:val="00AC427F"/>
    <w:rsid w:val="00AC4764"/>
    <w:rsid w:val="00AC4C6B"/>
    <w:rsid w:val="00AC6D36"/>
    <w:rsid w:val="00AC70D0"/>
    <w:rsid w:val="00AD08B3"/>
    <w:rsid w:val="00AD0CBA"/>
    <w:rsid w:val="00AD14D3"/>
    <w:rsid w:val="00AD26E2"/>
    <w:rsid w:val="00AD2EB1"/>
    <w:rsid w:val="00AD3A29"/>
    <w:rsid w:val="00AD51B0"/>
    <w:rsid w:val="00AD5E27"/>
    <w:rsid w:val="00AD6F9E"/>
    <w:rsid w:val="00AD784C"/>
    <w:rsid w:val="00AE01E2"/>
    <w:rsid w:val="00AE126A"/>
    <w:rsid w:val="00AE1BAE"/>
    <w:rsid w:val="00AE2AD5"/>
    <w:rsid w:val="00AE2D21"/>
    <w:rsid w:val="00AE3005"/>
    <w:rsid w:val="00AE3BD5"/>
    <w:rsid w:val="00AE59A0"/>
    <w:rsid w:val="00AF0C57"/>
    <w:rsid w:val="00AF26F3"/>
    <w:rsid w:val="00AF4B9D"/>
    <w:rsid w:val="00AF4ECB"/>
    <w:rsid w:val="00AF55AB"/>
    <w:rsid w:val="00AF5F04"/>
    <w:rsid w:val="00AF7105"/>
    <w:rsid w:val="00AF7118"/>
    <w:rsid w:val="00B00672"/>
    <w:rsid w:val="00B00CD0"/>
    <w:rsid w:val="00B00F55"/>
    <w:rsid w:val="00B01B4D"/>
    <w:rsid w:val="00B02267"/>
    <w:rsid w:val="00B02892"/>
    <w:rsid w:val="00B03111"/>
    <w:rsid w:val="00B0380F"/>
    <w:rsid w:val="00B04015"/>
    <w:rsid w:val="00B04489"/>
    <w:rsid w:val="00B04D3F"/>
    <w:rsid w:val="00B06346"/>
    <w:rsid w:val="00B06571"/>
    <w:rsid w:val="00B068BA"/>
    <w:rsid w:val="00B070B6"/>
    <w:rsid w:val="00B07106"/>
    <w:rsid w:val="00B07217"/>
    <w:rsid w:val="00B07898"/>
    <w:rsid w:val="00B13851"/>
    <w:rsid w:val="00B13B1C"/>
    <w:rsid w:val="00B14B5F"/>
    <w:rsid w:val="00B15D3E"/>
    <w:rsid w:val="00B17F87"/>
    <w:rsid w:val="00B21F90"/>
    <w:rsid w:val="00B22288"/>
    <w:rsid w:val="00B22291"/>
    <w:rsid w:val="00B22AE2"/>
    <w:rsid w:val="00B23F9A"/>
    <w:rsid w:val="00B2417B"/>
    <w:rsid w:val="00B247D3"/>
    <w:rsid w:val="00B24E6F"/>
    <w:rsid w:val="00B252B9"/>
    <w:rsid w:val="00B26CB5"/>
    <w:rsid w:val="00B2752E"/>
    <w:rsid w:val="00B27B2F"/>
    <w:rsid w:val="00B306F4"/>
    <w:rsid w:val="00B307CC"/>
    <w:rsid w:val="00B30C3D"/>
    <w:rsid w:val="00B31AB8"/>
    <w:rsid w:val="00B31DA5"/>
    <w:rsid w:val="00B326B7"/>
    <w:rsid w:val="00B3588E"/>
    <w:rsid w:val="00B36F9C"/>
    <w:rsid w:val="00B418DD"/>
    <w:rsid w:val="00B4198F"/>
    <w:rsid w:val="00B41F3D"/>
    <w:rsid w:val="00B431E8"/>
    <w:rsid w:val="00B44B14"/>
    <w:rsid w:val="00B45141"/>
    <w:rsid w:val="00B454A8"/>
    <w:rsid w:val="00B50481"/>
    <w:rsid w:val="00B50EDC"/>
    <w:rsid w:val="00B51369"/>
    <w:rsid w:val="00B519CD"/>
    <w:rsid w:val="00B5273A"/>
    <w:rsid w:val="00B52F76"/>
    <w:rsid w:val="00B53479"/>
    <w:rsid w:val="00B53840"/>
    <w:rsid w:val="00B550BB"/>
    <w:rsid w:val="00B5555B"/>
    <w:rsid w:val="00B57329"/>
    <w:rsid w:val="00B606E2"/>
    <w:rsid w:val="00B60E61"/>
    <w:rsid w:val="00B62B50"/>
    <w:rsid w:val="00B62E34"/>
    <w:rsid w:val="00B63325"/>
    <w:rsid w:val="00B635B7"/>
    <w:rsid w:val="00B63AE8"/>
    <w:rsid w:val="00B65950"/>
    <w:rsid w:val="00B66169"/>
    <w:rsid w:val="00B66D83"/>
    <w:rsid w:val="00B672C0"/>
    <w:rsid w:val="00B676FD"/>
    <w:rsid w:val="00B678B6"/>
    <w:rsid w:val="00B7025F"/>
    <w:rsid w:val="00B702D5"/>
    <w:rsid w:val="00B70D4D"/>
    <w:rsid w:val="00B717BB"/>
    <w:rsid w:val="00B718AE"/>
    <w:rsid w:val="00B71CE0"/>
    <w:rsid w:val="00B7274B"/>
    <w:rsid w:val="00B72872"/>
    <w:rsid w:val="00B75646"/>
    <w:rsid w:val="00B75956"/>
    <w:rsid w:val="00B7629E"/>
    <w:rsid w:val="00B80E8B"/>
    <w:rsid w:val="00B810FD"/>
    <w:rsid w:val="00B811B8"/>
    <w:rsid w:val="00B8382E"/>
    <w:rsid w:val="00B90729"/>
    <w:rsid w:val="00B907DA"/>
    <w:rsid w:val="00B94C5E"/>
    <w:rsid w:val="00B950BC"/>
    <w:rsid w:val="00B95D55"/>
    <w:rsid w:val="00B9714C"/>
    <w:rsid w:val="00B97629"/>
    <w:rsid w:val="00BA0AE2"/>
    <w:rsid w:val="00BA1003"/>
    <w:rsid w:val="00BA144D"/>
    <w:rsid w:val="00BA1BD2"/>
    <w:rsid w:val="00BA29AD"/>
    <w:rsid w:val="00BA33CF"/>
    <w:rsid w:val="00BA3B5E"/>
    <w:rsid w:val="00BA3D80"/>
    <w:rsid w:val="00BA3F8D"/>
    <w:rsid w:val="00BA5E86"/>
    <w:rsid w:val="00BB1AC2"/>
    <w:rsid w:val="00BB2E81"/>
    <w:rsid w:val="00BB3165"/>
    <w:rsid w:val="00BB393E"/>
    <w:rsid w:val="00BB4465"/>
    <w:rsid w:val="00BB6A99"/>
    <w:rsid w:val="00BB78C5"/>
    <w:rsid w:val="00BB7A10"/>
    <w:rsid w:val="00BC02C6"/>
    <w:rsid w:val="00BC13CF"/>
    <w:rsid w:val="00BC14D1"/>
    <w:rsid w:val="00BC26AA"/>
    <w:rsid w:val="00BC293F"/>
    <w:rsid w:val="00BC583D"/>
    <w:rsid w:val="00BC60BE"/>
    <w:rsid w:val="00BC6599"/>
    <w:rsid w:val="00BC715B"/>
    <w:rsid w:val="00BC7468"/>
    <w:rsid w:val="00BC7D4F"/>
    <w:rsid w:val="00BC7ED7"/>
    <w:rsid w:val="00BD0E7E"/>
    <w:rsid w:val="00BD2850"/>
    <w:rsid w:val="00BD47BB"/>
    <w:rsid w:val="00BD5116"/>
    <w:rsid w:val="00BD5A49"/>
    <w:rsid w:val="00BE0DAC"/>
    <w:rsid w:val="00BE171F"/>
    <w:rsid w:val="00BE1E30"/>
    <w:rsid w:val="00BE28D2"/>
    <w:rsid w:val="00BE29BD"/>
    <w:rsid w:val="00BE4A64"/>
    <w:rsid w:val="00BE4E7E"/>
    <w:rsid w:val="00BE5275"/>
    <w:rsid w:val="00BE5E43"/>
    <w:rsid w:val="00BF232A"/>
    <w:rsid w:val="00BF275E"/>
    <w:rsid w:val="00BF3391"/>
    <w:rsid w:val="00BF4F76"/>
    <w:rsid w:val="00BF557D"/>
    <w:rsid w:val="00BF565B"/>
    <w:rsid w:val="00BF658D"/>
    <w:rsid w:val="00BF6D04"/>
    <w:rsid w:val="00BF7596"/>
    <w:rsid w:val="00BF7F58"/>
    <w:rsid w:val="00C01381"/>
    <w:rsid w:val="00C01AB1"/>
    <w:rsid w:val="00C026A0"/>
    <w:rsid w:val="00C0279F"/>
    <w:rsid w:val="00C047B2"/>
    <w:rsid w:val="00C053FF"/>
    <w:rsid w:val="00C06137"/>
    <w:rsid w:val="00C06929"/>
    <w:rsid w:val="00C06CDF"/>
    <w:rsid w:val="00C071BB"/>
    <w:rsid w:val="00C079B8"/>
    <w:rsid w:val="00C10037"/>
    <w:rsid w:val="00C108A1"/>
    <w:rsid w:val="00C115E1"/>
    <w:rsid w:val="00C11BDE"/>
    <w:rsid w:val="00C123EA"/>
    <w:rsid w:val="00C12A49"/>
    <w:rsid w:val="00C12B05"/>
    <w:rsid w:val="00C133EE"/>
    <w:rsid w:val="00C148F4"/>
    <w:rsid w:val="00C149D0"/>
    <w:rsid w:val="00C15D95"/>
    <w:rsid w:val="00C16C8F"/>
    <w:rsid w:val="00C20846"/>
    <w:rsid w:val="00C21343"/>
    <w:rsid w:val="00C22037"/>
    <w:rsid w:val="00C22FB3"/>
    <w:rsid w:val="00C2526B"/>
    <w:rsid w:val="00C262C5"/>
    <w:rsid w:val="00C26588"/>
    <w:rsid w:val="00C27680"/>
    <w:rsid w:val="00C27DE9"/>
    <w:rsid w:val="00C300E9"/>
    <w:rsid w:val="00C3022B"/>
    <w:rsid w:val="00C31420"/>
    <w:rsid w:val="00C3167C"/>
    <w:rsid w:val="00C31F10"/>
    <w:rsid w:val="00C32989"/>
    <w:rsid w:val="00C33233"/>
    <w:rsid w:val="00C33388"/>
    <w:rsid w:val="00C342C9"/>
    <w:rsid w:val="00C35484"/>
    <w:rsid w:val="00C35D2D"/>
    <w:rsid w:val="00C3674E"/>
    <w:rsid w:val="00C375A4"/>
    <w:rsid w:val="00C37A74"/>
    <w:rsid w:val="00C4014E"/>
    <w:rsid w:val="00C4173A"/>
    <w:rsid w:val="00C42590"/>
    <w:rsid w:val="00C427FC"/>
    <w:rsid w:val="00C43DF9"/>
    <w:rsid w:val="00C4650F"/>
    <w:rsid w:val="00C47994"/>
    <w:rsid w:val="00C50DED"/>
    <w:rsid w:val="00C52217"/>
    <w:rsid w:val="00C54F8E"/>
    <w:rsid w:val="00C5542A"/>
    <w:rsid w:val="00C602FF"/>
    <w:rsid w:val="00C60411"/>
    <w:rsid w:val="00C61174"/>
    <w:rsid w:val="00C6148F"/>
    <w:rsid w:val="00C621B1"/>
    <w:rsid w:val="00C62ED4"/>
    <w:rsid w:val="00C62F7A"/>
    <w:rsid w:val="00C63846"/>
    <w:rsid w:val="00C63B9C"/>
    <w:rsid w:val="00C63DD9"/>
    <w:rsid w:val="00C64C6B"/>
    <w:rsid w:val="00C65DBC"/>
    <w:rsid w:val="00C664CA"/>
    <w:rsid w:val="00C6682F"/>
    <w:rsid w:val="00C66E1D"/>
    <w:rsid w:val="00C67BF4"/>
    <w:rsid w:val="00C70729"/>
    <w:rsid w:val="00C7275E"/>
    <w:rsid w:val="00C731AF"/>
    <w:rsid w:val="00C74C5D"/>
    <w:rsid w:val="00C74EB8"/>
    <w:rsid w:val="00C761F3"/>
    <w:rsid w:val="00C80D67"/>
    <w:rsid w:val="00C81781"/>
    <w:rsid w:val="00C81FAE"/>
    <w:rsid w:val="00C83993"/>
    <w:rsid w:val="00C863C4"/>
    <w:rsid w:val="00C8785F"/>
    <w:rsid w:val="00C87DB8"/>
    <w:rsid w:val="00C909CB"/>
    <w:rsid w:val="00C90BB7"/>
    <w:rsid w:val="00C90DAB"/>
    <w:rsid w:val="00C91CAD"/>
    <w:rsid w:val="00C91E8B"/>
    <w:rsid w:val="00C920EA"/>
    <w:rsid w:val="00C925E6"/>
    <w:rsid w:val="00C92CA6"/>
    <w:rsid w:val="00C93062"/>
    <w:rsid w:val="00C93C3E"/>
    <w:rsid w:val="00C93C72"/>
    <w:rsid w:val="00C957E2"/>
    <w:rsid w:val="00C9594F"/>
    <w:rsid w:val="00C97E2F"/>
    <w:rsid w:val="00CA12E3"/>
    <w:rsid w:val="00CA1476"/>
    <w:rsid w:val="00CA1A5C"/>
    <w:rsid w:val="00CA2BFB"/>
    <w:rsid w:val="00CA320B"/>
    <w:rsid w:val="00CA333B"/>
    <w:rsid w:val="00CA445E"/>
    <w:rsid w:val="00CA50CA"/>
    <w:rsid w:val="00CA594E"/>
    <w:rsid w:val="00CA644C"/>
    <w:rsid w:val="00CA6611"/>
    <w:rsid w:val="00CA6AE6"/>
    <w:rsid w:val="00CA782F"/>
    <w:rsid w:val="00CA7E2C"/>
    <w:rsid w:val="00CB0EF2"/>
    <w:rsid w:val="00CB187B"/>
    <w:rsid w:val="00CB202D"/>
    <w:rsid w:val="00CB2835"/>
    <w:rsid w:val="00CB3285"/>
    <w:rsid w:val="00CB4169"/>
    <w:rsid w:val="00CB4500"/>
    <w:rsid w:val="00CB5EA8"/>
    <w:rsid w:val="00CB629C"/>
    <w:rsid w:val="00CB7144"/>
    <w:rsid w:val="00CB7B65"/>
    <w:rsid w:val="00CC00CB"/>
    <w:rsid w:val="00CC0838"/>
    <w:rsid w:val="00CC0C72"/>
    <w:rsid w:val="00CC2BFD"/>
    <w:rsid w:val="00CC3EB7"/>
    <w:rsid w:val="00CC459D"/>
    <w:rsid w:val="00CC4AC8"/>
    <w:rsid w:val="00CC5471"/>
    <w:rsid w:val="00CC6A6D"/>
    <w:rsid w:val="00CC6F40"/>
    <w:rsid w:val="00CC7522"/>
    <w:rsid w:val="00CC7827"/>
    <w:rsid w:val="00CD1A35"/>
    <w:rsid w:val="00CD1EC7"/>
    <w:rsid w:val="00CD3476"/>
    <w:rsid w:val="00CD5A07"/>
    <w:rsid w:val="00CD64DF"/>
    <w:rsid w:val="00CD7148"/>
    <w:rsid w:val="00CD768F"/>
    <w:rsid w:val="00CE035F"/>
    <w:rsid w:val="00CE1651"/>
    <w:rsid w:val="00CE1ED4"/>
    <w:rsid w:val="00CE225F"/>
    <w:rsid w:val="00CE2324"/>
    <w:rsid w:val="00CE2D18"/>
    <w:rsid w:val="00CE2FBB"/>
    <w:rsid w:val="00CE3769"/>
    <w:rsid w:val="00CE5187"/>
    <w:rsid w:val="00CE5233"/>
    <w:rsid w:val="00CE5CC1"/>
    <w:rsid w:val="00CE63D4"/>
    <w:rsid w:val="00CF2081"/>
    <w:rsid w:val="00CF230C"/>
    <w:rsid w:val="00CF2C97"/>
    <w:rsid w:val="00CF2F50"/>
    <w:rsid w:val="00CF360C"/>
    <w:rsid w:val="00CF38B8"/>
    <w:rsid w:val="00CF4A47"/>
    <w:rsid w:val="00CF4BCA"/>
    <w:rsid w:val="00CF508B"/>
    <w:rsid w:val="00CF5303"/>
    <w:rsid w:val="00CF5E73"/>
    <w:rsid w:val="00CF6198"/>
    <w:rsid w:val="00CF7588"/>
    <w:rsid w:val="00D026EA"/>
    <w:rsid w:val="00D02919"/>
    <w:rsid w:val="00D029B5"/>
    <w:rsid w:val="00D03E74"/>
    <w:rsid w:val="00D046EA"/>
    <w:rsid w:val="00D04C61"/>
    <w:rsid w:val="00D05B8D"/>
    <w:rsid w:val="00D05B9B"/>
    <w:rsid w:val="00D065A2"/>
    <w:rsid w:val="00D066C6"/>
    <w:rsid w:val="00D079AA"/>
    <w:rsid w:val="00D07F00"/>
    <w:rsid w:val="00D1130F"/>
    <w:rsid w:val="00D12B0C"/>
    <w:rsid w:val="00D147D2"/>
    <w:rsid w:val="00D14E90"/>
    <w:rsid w:val="00D15014"/>
    <w:rsid w:val="00D150B7"/>
    <w:rsid w:val="00D1571F"/>
    <w:rsid w:val="00D16D3C"/>
    <w:rsid w:val="00D1788E"/>
    <w:rsid w:val="00D17B72"/>
    <w:rsid w:val="00D205FB"/>
    <w:rsid w:val="00D20D49"/>
    <w:rsid w:val="00D213FE"/>
    <w:rsid w:val="00D23566"/>
    <w:rsid w:val="00D23E9C"/>
    <w:rsid w:val="00D245B0"/>
    <w:rsid w:val="00D24BDF"/>
    <w:rsid w:val="00D2632B"/>
    <w:rsid w:val="00D277DD"/>
    <w:rsid w:val="00D30089"/>
    <w:rsid w:val="00D3185C"/>
    <w:rsid w:val="00D3205F"/>
    <w:rsid w:val="00D320AF"/>
    <w:rsid w:val="00D32279"/>
    <w:rsid w:val="00D327F1"/>
    <w:rsid w:val="00D3318E"/>
    <w:rsid w:val="00D33B60"/>
    <w:rsid w:val="00D33E72"/>
    <w:rsid w:val="00D33EBD"/>
    <w:rsid w:val="00D345C1"/>
    <w:rsid w:val="00D35BD6"/>
    <w:rsid w:val="00D361B5"/>
    <w:rsid w:val="00D36F0A"/>
    <w:rsid w:val="00D411A2"/>
    <w:rsid w:val="00D43D7F"/>
    <w:rsid w:val="00D44E26"/>
    <w:rsid w:val="00D455DA"/>
    <w:rsid w:val="00D4606D"/>
    <w:rsid w:val="00D46970"/>
    <w:rsid w:val="00D46ADB"/>
    <w:rsid w:val="00D475F3"/>
    <w:rsid w:val="00D50B9C"/>
    <w:rsid w:val="00D50D7D"/>
    <w:rsid w:val="00D513AF"/>
    <w:rsid w:val="00D52D73"/>
    <w:rsid w:val="00D52E58"/>
    <w:rsid w:val="00D54BF1"/>
    <w:rsid w:val="00D55DDB"/>
    <w:rsid w:val="00D55FF8"/>
    <w:rsid w:val="00D561C3"/>
    <w:rsid w:val="00D56B20"/>
    <w:rsid w:val="00D578B3"/>
    <w:rsid w:val="00D6019F"/>
    <w:rsid w:val="00D60529"/>
    <w:rsid w:val="00D607AD"/>
    <w:rsid w:val="00D60E4B"/>
    <w:rsid w:val="00D618F4"/>
    <w:rsid w:val="00D628AD"/>
    <w:rsid w:val="00D63602"/>
    <w:rsid w:val="00D63636"/>
    <w:rsid w:val="00D640AD"/>
    <w:rsid w:val="00D64234"/>
    <w:rsid w:val="00D645DF"/>
    <w:rsid w:val="00D649E1"/>
    <w:rsid w:val="00D6624D"/>
    <w:rsid w:val="00D714CC"/>
    <w:rsid w:val="00D71D42"/>
    <w:rsid w:val="00D7262D"/>
    <w:rsid w:val="00D73CB1"/>
    <w:rsid w:val="00D7437F"/>
    <w:rsid w:val="00D753F6"/>
    <w:rsid w:val="00D75EA7"/>
    <w:rsid w:val="00D76C34"/>
    <w:rsid w:val="00D77252"/>
    <w:rsid w:val="00D81ADF"/>
    <w:rsid w:val="00D81F21"/>
    <w:rsid w:val="00D83D06"/>
    <w:rsid w:val="00D840E7"/>
    <w:rsid w:val="00D85529"/>
    <w:rsid w:val="00D864F2"/>
    <w:rsid w:val="00D871E0"/>
    <w:rsid w:val="00D92874"/>
    <w:rsid w:val="00D943F8"/>
    <w:rsid w:val="00D94451"/>
    <w:rsid w:val="00D95470"/>
    <w:rsid w:val="00D961F4"/>
    <w:rsid w:val="00D96B55"/>
    <w:rsid w:val="00D97459"/>
    <w:rsid w:val="00DA0B3D"/>
    <w:rsid w:val="00DA0EC4"/>
    <w:rsid w:val="00DA2619"/>
    <w:rsid w:val="00DA4239"/>
    <w:rsid w:val="00DA43FB"/>
    <w:rsid w:val="00DA5185"/>
    <w:rsid w:val="00DA583B"/>
    <w:rsid w:val="00DA588C"/>
    <w:rsid w:val="00DA5AC5"/>
    <w:rsid w:val="00DA65DE"/>
    <w:rsid w:val="00DB069F"/>
    <w:rsid w:val="00DB0B61"/>
    <w:rsid w:val="00DB1192"/>
    <w:rsid w:val="00DB1474"/>
    <w:rsid w:val="00DB223E"/>
    <w:rsid w:val="00DB2962"/>
    <w:rsid w:val="00DB52FB"/>
    <w:rsid w:val="00DB56A3"/>
    <w:rsid w:val="00DB67C4"/>
    <w:rsid w:val="00DB7184"/>
    <w:rsid w:val="00DC00C1"/>
    <w:rsid w:val="00DC013B"/>
    <w:rsid w:val="00DC041D"/>
    <w:rsid w:val="00DC084F"/>
    <w:rsid w:val="00DC090B"/>
    <w:rsid w:val="00DC10A3"/>
    <w:rsid w:val="00DC1679"/>
    <w:rsid w:val="00DC1E50"/>
    <w:rsid w:val="00DC1E86"/>
    <w:rsid w:val="00DC219B"/>
    <w:rsid w:val="00DC2A0D"/>
    <w:rsid w:val="00DC2CF1"/>
    <w:rsid w:val="00DC2DC7"/>
    <w:rsid w:val="00DC3A7C"/>
    <w:rsid w:val="00DC3CDD"/>
    <w:rsid w:val="00DC43AA"/>
    <w:rsid w:val="00DC451B"/>
    <w:rsid w:val="00DC4BFD"/>
    <w:rsid w:val="00DC4FCF"/>
    <w:rsid w:val="00DC50E0"/>
    <w:rsid w:val="00DC5364"/>
    <w:rsid w:val="00DC5C37"/>
    <w:rsid w:val="00DC6386"/>
    <w:rsid w:val="00DC6A9D"/>
    <w:rsid w:val="00DC7A0B"/>
    <w:rsid w:val="00DC7EBE"/>
    <w:rsid w:val="00DD015C"/>
    <w:rsid w:val="00DD1130"/>
    <w:rsid w:val="00DD1951"/>
    <w:rsid w:val="00DD358C"/>
    <w:rsid w:val="00DD487D"/>
    <w:rsid w:val="00DD4E83"/>
    <w:rsid w:val="00DD6628"/>
    <w:rsid w:val="00DD6945"/>
    <w:rsid w:val="00DD71BB"/>
    <w:rsid w:val="00DD7C60"/>
    <w:rsid w:val="00DE1E5C"/>
    <w:rsid w:val="00DE2D04"/>
    <w:rsid w:val="00DE2F9F"/>
    <w:rsid w:val="00DE3250"/>
    <w:rsid w:val="00DE3C3B"/>
    <w:rsid w:val="00DE55B8"/>
    <w:rsid w:val="00DE6028"/>
    <w:rsid w:val="00DE6C85"/>
    <w:rsid w:val="00DE78A3"/>
    <w:rsid w:val="00DF0481"/>
    <w:rsid w:val="00DF1A71"/>
    <w:rsid w:val="00DF1DE9"/>
    <w:rsid w:val="00DF22F4"/>
    <w:rsid w:val="00DF2421"/>
    <w:rsid w:val="00DF41DD"/>
    <w:rsid w:val="00DF43B5"/>
    <w:rsid w:val="00DF4527"/>
    <w:rsid w:val="00DF4FDD"/>
    <w:rsid w:val="00DF50FC"/>
    <w:rsid w:val="00DF524A"/>
    <w:rsid w:val="00DF5A76"/>
    <w:rsid w:val="00DF6034"/>
    <w:rsid w:val="00DF68C7"/>
    <w:rsid w:val="00DF6E3F"/>
    <w:rsid w:val="00DF731A"/>
    <w:rsid w:val="00DF7BED"/>
    <w:rsid w:val="00E00D01"/>
    <w:rsid w:val="00E01AB4"/>
    <w:rsid w:val="00E03CB6"/>
    <w:rsid w:val="00E03E25"/>
    <w:rsid w:val="00E041B4"/>
    <w:rsid w:val="00E04BBB"/>
    <w:rsid w:val="00E05D33"/>
    <w:rsid w:val="00E06049"/>
    <w:rsid w:val="00E06B75"/>
    <w:rsid w:val="00E07395"/>
    <w:rsid w:val="00E078D7"/>
    <w:rsid w:val="00E11165"/>
    <w:rsid w:val="00E11276"/>
    <w:rsid w:val="00E11332"/>
    <w:rsid w:val="00E11352"/>
    <w:rsid w:val="00E12DF6"/>
    <w:rsid w:val="00E1459D"/>
    <w:rsid w:val="00E1534C"/>
    <w:rsid w:val="00E15BEC"/>
    <w:rsid w:val="00E170DC"/>
    <w:rsid w:val="00E17546"/>
    <w:rsid w:val="00E176AC"/>
    <w:rsid w:val="00E17B28"/>
    <w:rsid w:val="00E20E42"/>
    <w:rsid w:val="00E210B5"/>
    <w:rsid w:val="00E21A58"/>
    <w:rsid w:val="00E22EAB"/>
    <w:rsid w:val="00E23EB0"/>
    <w:rsid w:val="00E261B3"/>
    <w:rsid w:val="00E26818"/>
    <w:rsid w:val="00E278AE"/>
    <w:rsid w:val="00E27D2C"/>
    <w:rsid w:val="00E27FFC"/>
    <w:rsid w:val="00E30B15"/>
    <w:rsid w:val="00E30C9C"/>
    <w:rsid w:val="00E3274D"/>
    <w:rsid w:val="00E33237"/>
    <w:rsid w:val="00E33B0C"/>
    <w:rsid w:val="00E351FB"/>
    <w:rsid w:val="00E377E6"/>
    <w:rsid w:val="00E40181"/>
    <w:rsid w:val="00E41DB7"/>
    <w:rsid w:val="00E4344D"/>
    <w:rsid w:val="00E434A0"/>
    <w:rsid w:val="00E434D0"/>
    <w:rsid w:val="00E43C36"/>
    <w:rsid w:val="00E46007"/>
    <w:rsid w:val="00E47F5F"/>
    <w:rsid w:val="00E50664"/>
    <w:rsid w:val="00E50ED5"/>
    <w:rsid w:val="00E50FEC"/>
    <w:rsid w:val="00E54950"/>
    <w:rsid w:val="00E54C63"/>
    <w:rsid w:val="00E55FB3"/>
    <w:rsid w:val="00E55FE0"/>
    <w:rsid w:val="00E56A01"/>
    <w:rsid w:val="00E570A0"/>
    <w:rsid w:val="00E610AC"/>
    <w:rsid w:val="00E61D0A"/>
    <w:rsid w:val="00E629A1"/>
    <w:rsid w:val="00E636D6"/>
    <w:rsid w:val="00E65A0A"/>
    <w:rsid w:val="00E65D6B"/>
    <w:rsid w:val="00E675E1"/>
    <w:rsid w:val="00E6794C"/>
    <w:rsid w:val="00E70B72"/>
    <w:rsid w:val="00E71591"/>
    <w:rsid w:val="00E71CEB"/>
    <w:rsid w:val="00E7474F"/>
    <w:rsid w:val="00E756FC"/>
    <w:rsid w:val="00E80104"/>
    <w:rsid w:val="00E80410"/>
    <w:rsid w:val="00E80A92"/>
    <w:rsid w:val="00E80DE3"/>
    <w:rsid w:val="00E815BF"/>
    <w:rsid w:val="00E82C55"/>
    <w:rsid w:val="00E83EE5"/>
    <w:rsid w:val="00E86F69"/>
    <w:rsid w:val="00E877DC"/>
    <w:rsid w:val="00E8787E"/>
    <w:rsid w:val="00E87C02"/>
    <w:rsid w:val="00E87DB6"/>
    <w:rsid w:val="00E92AC3"/>
    <w:rsid w:val="00E94952"/>
    <w:rsid w:val="00E955A2"/>
    <w:rsid w:val="00E960EE"/>
    <w:rsid w:val="00E96A7E"/>
    <w:rsid w:val="00E96BD8"/>
    <w:rsid w:val="00EA090E"/>
    <w:rsid w:val="00EA09C5"/>
    <w:rsid w:val="00EA0C87"/>
    <w:rsid w:val="00EA2ACF"/>
    <w:rsid w:val="00EA2F6A"/>
    <w:rsid w:val="00EA321D"/>
    <w:rsid w:val="00EA41A6"/>
    <w:rsid w:val="00EA48E4"/>
    <w:rsid w:val="00EA6FA7"/>
    <w:rsid w:val="00EB00E0"/>
    <w:rsid w:val="00EB05D5"/>
    <w:rsid w:val="00EB21BB"/>
    <w:rsid w:val="00EB4BC7"/>
    <w:rsid w:val="00EB58B5"/>
    <w:rsid w:val="00EC059F"/>
    <w:rsid w:val="00EC1F24"/>
    <w:rsid w:val="00EC22F6"/>
    <w:rsid w:val="00EC25EC"/>
    <w:rsid w:val="00EC286C"/>
    <w:rsid w:val="00EC2BF7"/>
    <w:rsid w:val="00EC3DB9"/>
    <w:rsid w:val="00ED0968"/>
    <w:rsid w:val="00ED3FE9"/>
    <w:rsid w:val="00ED41B5"/>
    <w:rsid w:val="00ED5B9B"/>
    <w:rsid w:val="00ED6159"/>
    <w:rsid w:val="00ED6898"/>
    <w:rsid w:val="00ED6BAD"/>
    <w:rsid w:val="00ED7447"/>
    <w:rsid w:val="00ED7762"/>
    <w:rsid w:val="00EE00D6"/>
    <w:rsid w:val="00EE11E7"/>
    <w:rsid w:val="00EE1488"/>
    <w:rsid w:val="00EE1BBA"/>
    <w:rsid w:val="00EE25C5"/>
    <w:rsid w:val="00EE29AD"/>
    <w:rsid w:val="00EE2E29"/>
    <w:rsid w:val="00EE3717"/>
    <w:rsid w:val="00EE3AC4"/>
    <w:rsid w:val="00EE3B77"/>
    <w:rsid w:val="00EE3E24"/>
    <w:rsid w:val="00EE4D5D"/>
    <w:rsid w:val="00EE4FAB"/>
    <w:rsid w:val="00EE5131"/>
    <w:rsid w:val="00EE6E14"/>
    <w:rsid w:val="00EE76C5"/>
    <w:rsid w:val="00EF04CE"/>
    <w:rsid w:val="00EF109B"/>
    <w:rsid w:val="00EF12F4"/>
    <w:rsid w:val="00EF201C"/>
    <w:rsid w:val="00EF2326"/>
    <w:rsid w:val="00EF2C72"/>
    <w:rsid w:val="00EF36AF"/>
    <w:rsid w:val="00EF444F"/>
    <w:rsid w:val="00EF528C"/>
    <w:rsid w:val="00EF59A3"/>
    <w:rsid w:val="00EF65F1"/>
    <w:rsid w:val="00EF6675"/>
    <w:rsid w:val="00EF72A9"/>
    <w:rsid w:val="00F0063D"/>
    <w:rsid w:val="00F00A95"/>
    <w:rsid w:val="00F00F9C"/>
    <w:rsid w:val="00F01E5F"/>
    <w:rsid w:val="00F024F3"/>
    <w:rsid w:val="00F02746"/>
    <w:rsid w:val="00F02ABA"/>
    <w:rsid w:val="00F035E6"/>
    <w:rsid w:val="00F0437A"/>
    <w:rsid w:val="00F053A7"/>
    <w:rsid w:val="00F05BA3"/>
    <w:rsid w:val="00F0648E"/>
    <w:rsid w:val="00F06A03"/>
    <w:rsid w:val="00F0732E"/>
    <w:rsid w:val="00F101B8"/>
    <w:rsid w:val="00F105B6"/>
    <w:rsid w:val="00F11037"/>
    <w:rsid w:val="00F12221"/>
    <w:rsid w:val="00F125BE"/>
    <w:rsid w:val="00F12B44"/>
    <w:rsid w:val="00F12EF2"/>
    <w:rsid w:val="00F145A9"/>
    <w:rsid w:val="00F15144"/>
    <w:rsid w:val="00F15291"/>
    <w:rsid w:val="00F155E1"/>
    <w:rsid w:val="00F16C9B"/>
    <w:rsid w:val="00F16F1B"/>
    <w:rsid w:val="00F17132"/>
    <w:rsid w:val="00F171A2"/>
    <w:rsid w:val="00F177B4"/>
    <w:rsid w:val="00F2024F"/>
    <w:rsid w:val="00F2054A"/>
    <w:rsid w:val="00F22A90"/>
    <w:rsid w:val="00F23ADE"/>
    <w:rsid w:val="00F23D17"/>
    <w:rsid w:val="00F250A9"/>
    <w:rsid w:val="00F267AF"/>
    <w:rsid w:val="00F273A5"/>
    <w:rsid w:val="00F2767E"/>
    <w:rsid w:val="00F2789F"/>
    <w:rsid w:val="00F301B0"/>
    <w:rsid w:val="00F30F09"/>
    <w:rsid w:val="00F30FF4"/>
    <w:rsid w:val="00F3122E"/>
    <w:rsid w:val="00F32368"/>
    <w:rsid w:val="00F32DAF"/>
    <w:rsid w:val="00F331AD"/>
    <w:rsid w:val="00F35287"/>
    <w:rsid w:val="00F36110"/>
    <w:rsid w:val="00F37159"/>
    <w:rsid w:val="00F37A71"/>
    <w:rsid w:val="00F37A87"/>
    <w:rsid w:val="00F40A70"/>
    <w:rsid w:val="00F417CD"/>
    <w:rsid w:val="00F4353C"/>
    <w:rsid w:val="00F435E5"/>
    <w:rsid w:val="00F43838"/>
    <w:rsid w:val="00F43A37"/>
    <w:rsid w:val="00F441B8"/>
    <w:rsid w:val="00F44DBA"/>
    <w:rsid w:val="00F45551"/>
    <w:rsid w:val="00F45EE4"/>
    <w:rsid w:val="00F461EB"/>
    <w:rsid w:val="00F4641B"/>
    <w:rsid w:val="00F46BF3"/>
    <w:rsid w:val="00F46EB8"/>
    <w:rsid w:val="00F50CD1"/>
    <w:rsid w:val="00F511E4"/>
    <w:rsid w:val="00F5238F"/>
    <w:rsid w:val="00F52D09"/>
    <w:rsid w:val="00F52E08"/>
    <w:rsid w:val="00F53A66"/>
    <w:rsid w:val="00F54200"/>
    <w:rsid w:val="00F54615"/>
    <w:rsid w:val="00F5462D"/>
    <w:rsid w:val="00F5498E"/>
    <w:rsid w:val="00F54ED8"/>
    <w:rsid w:val="00F55B21"/>
    <w:rsid w:val="00F56677"/>
    <w:rsid w:val="00F56EF6"/>
    <w:rsid w:val="00F570A6"/>
    <w:rsid w:val="00F57548"/>
    <w:rsid w:val="00F60082"/>
    <w:rsid w:val="00F61A9F"/>
    <w:rsid w:val="00F61B5F"/>
    <w:rsid w:val="00F6214A"/>
    <w:rsid w:val="00F62EA7"/>
    <w:rsid w:val="00F64696"/>
    <w:rsid w:val="00F65AA9"/>
    <w:rsid w:val="00F669C7"/>
    <w:rsid w:val="00F6768F"/>
    <w:rsid w:val="00F70047"/>
    <w:rsid w:val="00F70892"/>
    <w:rsid w:val="00F72C2C"/>
    <w:rsid w:val="00F73304"/>
    <w:rsid w:val="00F741F2"/>
    <w:rsid w:val="00F74DB9"/>
    <w:rsid w:val="00F75600"/>
    <w:rsid w:val="00F76CAB"/>
    <w:rsid w:val="00F772C6"/>
    <w:rsid w:val="00F80C26"/>
    <w:rsid w:val="00F815B5"/>
    <w:rsid w:val="00F8171C"/>
    <w:rsid w:val="00F823C3"/>
    <w:rsid w:val="00F827AA"/>
    <w:rsid w:val="00F83B85"/>
    <w:rsid w:val="00F84583"/>
    <w:rsid w:val="00F85195"/>
    <w:rsid w:val="00F85295"/>
    <w:rsid w:val="00F857D4"/>
    <w:rsid w:val="00F85833"/>
    <w:rsid w:val="00F868E3"/>
    <w:rsid w:val="00F904C3"/>
    <w:rsid w:val="00F906ED"/>
    <w:rsid w:val="00F91760"/>
    <w:rsid w:val="00F91EE3"/>
    <w:rsid w:val="00F92964"/>
    <w:rsid w:val="00F93875"/>
    <w:rsid w:val="00F938BA"/>
    <w:rsid w:val="00F93FC4"/>
    <w:rsid w:val="00F952A3"/>
    <w:rsid w:val="00F9614F"/>
    <w:rsid w:val="00F969E9"/>
    <w:rsid w:val="00F976B1"/>
    <w:rsid w:val="00F97919"/>
    <w:rsid w:val="00FA230B"/>
    <w:rsid w:val="00FA2744"/>
    <w:rsid w:val="00FA2C46"/>
    <w:rsid w:val="00FA3525"/>
    <w:rsid w:val="00FA476F"/>
    <w:rsid w:val="00FA5A53"/>
    <w:rsid w:val="00FA5E38"/>
    <w:rsid w:val="00FA659A"/>
    <w:rsid w:val="00FB015D"/>
    <w:rsid w:val="00FB08F6"/>
    <w:rsid w:val="00FB1F6E"/>
    <w:rsid w:val="00FB2039"/>
    <w:rsid w:val="00FB3D4D"/>
    <w:rsid w:val="00FB438A"/>
    <w:rsid w:val="00FB4769"/>
    <w:rsid w:val="00FB4CDA"/>
    <w:rsid w:val="00FB6262"/>
    <w:rsid w:val="00FB6481"/>
    <w:rsid w:val="00FB6D36"/>
    <w:rsid w:val="00FB763F"/>
    <w:rsid w:val="00FC0965"/>
    <w:rsid w:val="00FC0DE4"/>
    <w:rsid w:val="00FC0F81"/>
    <w:rsid w:val="00FC1EC0"/>
    <w:rsid w:val="00FC252F"/>
    <w:rsid w:val="00FC33E4"/>
    <w:rsid w:val="00FC395C"/>
    <w:rsid w:val="00FC3B56"/>
    <w:rsid w:val="00FC3C2C"/>
    <w:rsid w:val="00FC5995"/>
    <w:rsid w:val="00FC5E8E"/>
    <w:rsid w:val="00FC6314"/>
    <w:rsid w:val="00FC7C7C"/>
    <w:rsid w:val="00FD21A6"/>
    <w:rsid w:val="00FD2A64"/>
    <w:rsid w:val="00FD2B53"/>
    <w:rsid w:val="00FD2E7B"/>
    <w:rsid w:val="00FD300F"/>
    <w:rsid w:val="00FD3766"/>
    <w:rsid w:val="00FD3D05"/>
    <w:rsid w:val="00FD47C4"/>
    <w:rsid w:val="00FE2D18"/>
    <w:rsid w:val="00FE2DCF"/>
    <w:rsid w:val="00FE2EE3"/>
    <w:rsid w:val="00FE331E"/>
    <w:rsid w:val="00FE3FA7"/>
    <w:rsid w:val="00FE4081"/>
    <w:rsid w:val="00FE53AF"/>
    <w:rsid w:val="00FE62BC"/>
    <w:rsid w:val="00FF0D91"/>
    <w:rsid w:val="00FF1844"/>
    <w:rsid w:val="00FF21DF"/>
    <w:rsid w:val="00FF22B6"/>
    <w:rsid w:val="00FF2A4E"/>
    <w:rsid w:val="00FF2FCE"/>
    <w:rsid w:val="00FF4B25"/>
    <w:rsid w:val="00FF4EDE"/>
    <w:rsid w:val="00FF4F7D"/>
    <w:rsid w:val="00FF546F"/>
    <w:rsid w:val="00FF54D1"/>
    <w:rsid w:val="00FF6D9D"/>
    <w:rsid w:val="00FF7384"/>
    <w:rsid w:val="00FF7620"/>
    <w:rsid w:val="00FF77DB"/>
    <w:rsid w:val="00FF7896"/>
    <w:rsid w:val="00FF7DD5"/>
    <w:rsid w:val="0185DD99"/>
    <w:rsid w:val="032696D1"/>
    <w:rsid w:val="037357DF"/>
    <w:rsid w:val="049A56D6"/>
    <w:rsid w:val="0A5AA966"/>
    <w:rsid w:val="0B3F2275"/>
    <w:rsid w:val="0F644670"/>
    <w:rsid w:val="182A1F62"/>
    <w:rsid w:val="212F1AF6"/>
    <w:rsid w:val="21A4E637"/>
    <w:rsid w:val="21B9B7D8"/>
    <w:rsid w:val="226A87FA"/>
    <w:rsid w:val="25555F3C"/>
    <w:rsid w:val="26569D60"/>
    <w:rsid w:val="27E4FD63"/>
    <w:rsid w:val="2AE8BA1A"/>
    <w:rsid w:val="2BBA4BAB"/>
    <w:rsid w:val="2D6D967B"/>
    <w:rsid w:val="317776FF"/>
    <w:rsid w:val="33CAFB2E"/>
    <w:rsid w:val="351CC05E"/>
    <w:rsid w:val="374A42F2"/>
    <w:rsid w:val="3CF2E394"/>
    <w:rsid w:val="3E543C61"/>
    <w:rsid w:val="3F98A4F2"/>
    <w:rsid w:val="410E4DF9"/>
    <w:rsid w:val="4433026E"/>
    <w:rsid w:val="45A9006C"/>
    <w:rsid w:val="45D912D4"/>
    <w:rsid w:val="56D33FF2"/>
    <w:rsid w:val="585D4D95"/>
    <w:rsid w:val="5E604ABA"/>
    <w:rsid w:val="5E659778"/>
    <w:rsid w:val="61869B33"/>
    <w:rsid w:val="623607A9"/>
    <w:rsid w:val="624B168C"/>
    <w:rsid w:val="63D802AA"/>
    <w:rsid w:val="6C966557"/>
    <w:rsid w:val="6EE39AAF"/>
    <w:rsid w:val="72F7ACF8"/>
    <w:rsid w:val="7342C662"/>
    <w:rsid w:val="7E653ADE"/>
    <w:rsid w:val="7FB821D7"/>
    <w:rsid w:val="7FDAC2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76FC89A9-3AE1-4E05-AEEF-8F94CDF2DDC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0"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8"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8"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semiHidden="1" w:qFormat="1"/>
    <w:lsdException w:name="Quote" w:uiPriority="73" w:semiHidden="1" w:qFormat="1"/>
    <w:lsdException w:name="Intense Quote" w:uiPriority="60" w:semiHidden="1"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semiHidden="1" w:qFormat="1"/>
    <w:lsdException w:name="Intense Emphasis" w:uiPriority="66" w:semiHidden="1" w:qFormat="1"/>
    <w:lsdException w:name="Subtle Reference" w:uiPriority="67" w:semiHidden="1" w:qFormat="1"/>
    <w:lsdException w:name="Intense Reference" w:uiPriority="68" w:semiHidden="1" w:qFormat="1"/>
    <w:lsdException w:name="Book Title" w:uiPriority="69" w:semiHidden="1" w:qFormat="1"/>
    <w:lsdException w:name="Bibliography" w:uiPriority="70" w:semiHidden="1"/>
    <w:lsdException w:name="TOC Heading" w:uiPriority="71"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numPr>
        <w:numId w:val="7"/>
      </w:numPr>
      <w:spacing w:before="520" w:after="240" w:line="480" w:lineRule="atLeast"/>
      <w:outlineLvl w:val="0"/>
    </w:pPr>
    <w:rPr>
      <w:rFonts w:ascii="Arial" w:hAnsi="Arial" w:eastAsia="MS Gothic" w:cs="Arial"/>
      <w:bCs/>
      <w:color w:val="201547"/>
      <w:kern w:val="32"/>
      <w:sz w:val="44"/>
      <w:szCs w:val="44"/>
      <w:lang w:eastAsia="en-US"/>
    </w:rPr>
  </w:style>
  <w:style w:type="paragraph" w:styleId="Heading2">
    <w:name w:val="heading 2"/>
    <w:next w:val="Body"/>
    <w:link w:val="Heading2Char"/>
    <w:uiPriority w:val="1"/>
    <w:qFormat/>
    <w:rsid w:val="00F15144"/>
    <w:pPr>
      <w:keepNext/>
      <w:keepLines/>
      <w:numPr>
        <w:ilvl w:val="1"/>
        <w:numId w:val="7"/>
      </w:numPr>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numPr>
        <w:ilvl w:val="2"/>
        <w:numId w:val="7"/>
      </w:numPr>
      <w:spacing w:before="280" w:after="120" w:line="320" w:lineRule="atLeast"/>
      <w:outlineLvl w:val="2"/>
    </w:pPr>
    <w:rPr>
      <w:rFonts w:ascii="Arial" w:hAnsi="Arial" w:eastAsia="MS Gothic"/>
      <w:bCs/>
      <w:color w:val="201547"/>
      <w:sz w:val="28"/>
      <w:szCs w:val="26"/>
      <w:lang w:eastAsia="en-US"/>
    </w:rPr>
  </w:style>
  <w:style w:type="paragraph" w:styleId="Heading4">
    <w:name w:val="heading 4"/>
    <w:next w:val="Body"/>
    <w:link w:val="Heading4Char"/>
    <w:uiPriority w:val="1"/>
    <w:qFormat/>
    <w:rsid w:val="00F15144"/>
    <w:pPr>
      <w:keepNext/>
      <w:keepLines/>
      <w:numPr>
        <w:ilvl w:val="3"/>
        <w:numId w:val="7"/>
      </w:numPr>
      <w:spacing w:before="240" w:after="80" w:line="280" w:lineRule="atLeast"/>
      <w:outlineLvl w:val="3"/>
    </w:pPr>
    <w:rPr>
      <w:rFonts w:ascii="Arial" w:hAnsi="Arial" w:eastAsia="MS Mincho"/>
      <w:b/>
      <w:bCs/>
      <w:color w:val="201547"/>
      <w:sz w:val="24"/>
      <w:szCs w:val="22"/>
      <w:lang w:eastAsia="en-US"/>
    </w:rPr>
  </w:style>
  <w:style w:type="paragraph" w:styleId="Heading5">
    <w:name w:val="heading 5"/>
    <w:next w:val="Body"/>
    <w:link w:val="Heading5Char"/>
    <w:uiPriority w:val="98"/>
    <w:qFormat/>
    <w:rsid w:val="004C014B"/>
    <w:pPr>
      <w:keepNext/>
      <w:keepLines/>
      <w:numPr>
        <w:ilvl w:val="4"/>
        <w:numId w:val="7"/>
      </w:numPr>
      <w:spacing w:before="240" w:after="80" w:line="240" w:lineRule="atLeast"/>
      <w:outlineLvl w:val="4"/>
    </w:pPr>
    <w:rPr>
      <w:rFonts w:ascii="Arial" w:hAnsi="Arial" w:eastAsia="MS Mincho"/>
      <w:b/>
      <w:bCs/>
      <w:iCs/>
      <w:color w:val="201547"/>
      <w:sz w:val="21"/>
      <w:szCs w:val="26"/>
      <w:lang w:eastAsia="en-US"/>
    </w:rPr>
  </w:style>
  <w:style w:type="paragraph" w:styleId="Heading6">
    <w:name w:val="heading 6"/>
    <w:basedOn w:val="Normal"/>
    <w:next w:val="Normal"/>
    <w:link w:val="Heading6Char"/>
    <w:uiPriority w:val="9"/>
    <w:semiHidden/>
    <w:unhideWhenUsed/>
    <w:qFormat/>
    <w:rsid w:val="00CC459D"/>
    <w:pPr>
      <w:keepNext/>
      <w:keepLines/>
      <w:numPr>
        <w:ilvl w:val="5"/>
        <w:numId w:val="7"/>
      </w:numPr>
      <w:spacing w:before="40" w:after="0"/>
      <w:outlineLvl w:val="5"/>
    </w:pPr>
    <w:rPr>
      <w:rFonts w:asciiTheme="majorHAnsi" w:hAnsiTheme="majorHAnsi" w:eastAsiaTheme="majorEastAsia" w:cstheme="majorBidi"/>
      <w:color w:val="243F60" w:themeColor="accent1" w:themeShade="7F"/>
    </w:rPr>
  </w:style>
  <w:style w:type="paragraph" w:styleId="Heading7">
    <w:name w:val="heading 7"/>
    <w:basedOn w:val="Normal"/>
    <w:next w:val="Normal"/>
    <w:link w:val="Heading7Char"/>
    <w:uiPriority w:val="9"/>
    <w:semiHidden/>
    <w:unhideWhenUsed/>
    <w:qFormat/>
    <w:rsid w:val="00CC459D"/>
    <w:pPr>
      <w:keepNext/>
      <w:keepLines/>
      <w:numPr>
        <w:ilvl w:val="6"/>
        <w:numId w:val="7"/>
      </w:numPr>
      <w:spacing w:before="40" w:after="0"/>
      <w:outlineLvl w:val="6"/>
    </w:pPr>
    <w:rPr>
      <w:rFonts w:asciiTheme="majorHAnsi" w:hAnsiTheme="majorHAnsi"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CC459D"/>
    <w:pPr>
      <w:keepNext/>
      <w:keepLines/>
      <w:numPr>
        <w:ilvl w:val="7"/>
        <w:numId w:val="7"/>
      </w:numPr>
      <w:spacing w:before="40" w:after="0"/>
      <w:outlineLvl w:val="7"/>
    </w:pPr>
    <w:rPr>
      <w:rFonts w:asciiTheme="majorHAnsi" w:hAnsiTheme="majorHAnsi" w:eastAsiaTheme="majorEastAsia" w:cstheme="majorBidi"/>
      <w:color w:val="272727" w:themeColor="text1" w:themeTint="D8"/>
      <w:szCs w:val="21"/>
    </w:rPr>
  </w:style>
  <w:style w:type="paragraph" w:styleId="Heading9">
    <w:name w:val="heading 9"/>
    <w:basedOn w:val="Normal"/>
    <w:next w:val="Normal"/>
    <w:link w:val="Heading9Char"/>
    <w:uiPriority w:val="9"/>
    <w:semiHidden/>
    <w:unhideWhenUsed/>
    <w:qFormat/>
    <w:rsid w:val="00CC459D"/>
    <w:pPr>
      <w:keepNext/>
      <w:keepLines/>
      <w:numPr>
        <w:ilvl w:val="8"/>
        <w:numId w:val="7"/>
      </w:numPr>
      <w:spacing w:before="40" w:after="0"/>
      <w:outlineLvl w:val="8"/>
    </w:pPr>
    <w:rPr>
      <w:rFonts w:asciiTheme="majorHAnsi" w:hAnsiTheme="majorHAnsi"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link w:val="BodyChar"/>
    <w:qFormat/>
    <w:rsid w:val="002365B4"/>
    <w:pPr>
      <w:spacing w:after="120" w:line="280" w:lineRule="atLeast"/>
    </w:pPr>
    <w:rPr>
      <w:rFonts w:ascii="Arial" w:hAnsi="Arial" w:eastAsia="Times"/>
      <w:sz w:val="21"/>
      <w:lang w:eastAsia="en-US"/>
    </w:rPr>
  </w:style>
  <w:style w:type="character" w:styleId="Heading1Char" w:customStyle="1">
    <w:name w:val="Heading 1 Char"/>
    <w:link w:val="Heading1"/>
    <w:uiPriority w:val="1"/>
    <w:rsid w:val="00DC2DC7"/>
    <w:rPr>
      <w:rFonts w:ascii="Arial" w:hAnsi="Arial" w:eastAsia="MS Gothic" w:cs="Arial"/>
      <w:bCs/>
      <w:color w:val="201547"/>
      <w:kern w:val="32"/>
      <w:sz w:val="44"/>
      <w:szCs w:val="44"/>
      <w:lang w:eastAsia="en-US"/>
    </w:rPr>
  </w:style>
  <w:style w:type="character" w:styleId="Heading2Char" w:customStyle="1">
    <w:name w:val="Heading 2 Char"/>
    <w:link w:val="Heading2"/>
    <w:uiPriority w:val="1"/>
    <w:rsid w:val="00F15144"/>
    <w:rPr>
      <w:rFonts w:ascii="Arial" w:hAnsi="Arial"/>
      <w:b/>
      <w:color w:val="201547"/>
      <w:sz w:val="32"/>
      <w:szCs w:val="28"/>
      <w:lang w:eastAsia="en-US"/>
    </w:rPr>
  </w:style>
  <w:style w:type="character" w:styleId="Heading3Char" w:customStyle="1">
    <w:name w:val="Heading 3 Char"/>
    <w:link w:val="Heading3"/>
    <w:uiPriority w:val="1"/>
    <w:rsid w:val="00F15144"/>
    <w:rPr>
      <w:rFonts w:ascii="Arial" w:hAnsi="Arial" w:eastAsia="MS Gothic"/>
      <w:bCs/>
      <w:color w:val="201547"/>
      <w:sz w:val="28"/>
      <w:szCs w:val="26"/>
      <w:lang w:eastAsia="en-US"/>
    </w:rPr>
  </w:style>
  <w:style w:type="character" w:styleId="Heading4Char" w:customStyle="1">
    <w:name w:val="Heading 4 Char"/>
    <w:link w:val="Heading4"/>
    <w:uiPriority w:val="1"/>
    <w:rsid w:val="00F15144"/>
    <w:rPr>
      <w:rFonts w:ascii="Arial" w:hAnsi="Arial" w:eastAsia="MS Mincho"/>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styleId="Tabletext6pt" w:customStyle="1">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styleId="EndnoteTextChar" w:customStyle="1">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nospace" w:customStyle="1">
    <w:name w:val="Body no space"/>
    <w:basedOn w:val="Body"/>
    <w:uiPriority w:val="1"/>
    <w:rsid w:val="00F772C6"/>
    <w:pPr>
      <w:spacing w:after="0"/>
    </w:pPr>
  </w:style>
  <w:style w:type="paragraph" w:styleId="Bullet1" w:customStyle="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styleId="DocumentMapChar" w:customStyle="1">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styleId="Heading5Char" w:customStyle="1">
    <w:name w:val="Heading 5 Char"/>
    <w:link w:val="Heading5"/>
    <w:uiPriority w:val="98"/>
    <w:rsid w:val="004C014B"/>
    <w:rPr>
      <w:rFonts w:ascii="Arial" w:hAnsi="Arial" w:eastAsia="MS Mincho"/>
      <w:b/>
      <w:bCs/>
      <w:iCs/>
      <w:color w:val="201547"/>
      <w:sz w:val="21"/>
      <w:szCs w:val="26"/>
      <w:lang w:eastAsia="en-US"/>
    </w:rPr>
  </w:style>
  <w:style w:type="character" w:styleId="Strong">
    <w:name w:val="Strong"/>
    <w:uiPriority w:val="22"/>
    <w:qFormat/>
    <w:rsid w:val="00FA3525"/>
    <w:rPr>
      <w:b/>
      <w:bCs/>
    </w:rPr>
  </w:style>
  <w:style w:type="paragraph" w:styleId="TOCheadingreport" w:customStyle="1">
    <w:name w:val="TOC heading report"/>
    <w:basedOn w:val="Heading1"/>
    <w:next w:val="Body"/>
    <w:link w:val="TOCheadingreportChar"/>
    <w:uiPriority w:val="4"/>
    <w:rsid w:val="00A71CE4"/>
    <w:pPr>
      <w:pageBreakBefore/>
      <w:spacing w:before="0"/>
      <w:outlineLvl w:val="9"/>
    </w:pPr>
  </w:style>
  <w:style w:type="character" w:styleId="TOCheadingreportChar" w:customStyle="1">
    <w:name w:val="TOC heading report Char"/>
    <w:link w:val="TOCheadingreport"/>
    <w:uiPriority w:val="4"/>
    <w:rsid w:val="00A71CE4"/>
    <w:rPr>
      <w:rFonts w:ascii="Arial" w:hAnsi="Arial" w:eastAsia="MS Gothic"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styleId="Tabletext" w:customStyle="1">
    <w:name w:val="Table text"/>
    <w:uiPriority w:val="3"/>
    <w:qFormat/>
    <w:rsid w:val="004A4195"/>
    <w:pPr>
      <w:spacing w:before="80" w:after="60"/>
    </w:pPr>
    <w:rPr>
      <w:rFonts w:ascii="Arial" w:hAnsi="Arial"/>
      <w:sz w:val="21"/>
      <w:lang w:eastAsia="en-US"/>
    </w:rPr>
  </w:style>
  <w:style w:type="paragraph" w:styleId="Tablecaption" w:customStyle="1">
    <w:name w:val="Table caption"/>
    <w:next w:val="Body"/>
    <w:uiPriority w:val="3"/>
    <w:qFormat/>
    <w:rsid w:val="00B04489"/>
    <w:pPr>
      <w:keepNext/>
      <w:keepLines/>
      <w:spacing w:before="240" w:after="120" w:line="250" w:lineRule="atLeast"/>
    </w:pPr>
    <w:rPr>
      <w:rFonts w:ascii="Arial" w:hAnsi="Arial"/>
      <w:b/>
      <w:sz w:val="21"/>
      <w:lang w:eastAsia="en-US"/>
    </w:rPr>
  </w:style>
  <w:style w:type="paragraph" w:styleId="Documenttitle" w:customStyle="1">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styleId="Accessibilitypara" w:customStyle="1">
    <w:name w:val="Accessibility para"/>
    <w:uiPriority w:val="8"/>
    <w:rsid w:val="00877635"/>
    <w:pPr>
      <w:spacing w:before="120" w:after="200" w:line="300" w:lineRule="atLeast"/>
    </w:pPr>
    <w:rPr>
      <w:rFonts w:ascii="Arial" w:hAnsi="Arial" w:eastAsia="Times"/>
      <w:sz w:val="24"/>
      <w:szCs w:val="19"/>
      <w:lang w:eastAsia="en-US"/>
    </w:rPr>
  </w:style>
  <w:style w:type="paragraph" w:styleId="Figurecaption" w:customStyle="1">
    <w:name w:val="Figure caption"/>
    <w:next w:val="Body"/>
    <w:rsid w:val="00B04489"/>
    <w:pPr>
      <w:keepNext/>
      <w:keepLines/>
      <w:spacing w:before="240" w:after="120" w:line="250" w:lineRule="atLeast"/>
    </w:pPr>
    <w:rPr>
      <w:rFonts w:ascii="Arial" w:hAnsi="Arial"/>
      <w:b/>
      <w:sz w:val="21"/>
      <w:lang w:eastAsia="en-US"/>
    </w:rPr>
  </w:style>
  <w:style w:type="paragraph" w:styleId="Bullet2" w:customStyle="1">
    <w:name w:val="Bullet 2"/>
    <w:basedOn w:val="Body"/>
    <w:uiPriority w:val="2"/>
    <w:qFormat/>
    <w:rsid w:val="00C60411"/>
    <w:pPr>
      <w:numPr>
        <w:ilvl w:val="1"/>
        <w:numId w:val="2"/>
      </w:numPr>
      <w:spacing w:after="40"/>
    </w:pPr>
  </w:style>
  <w:style w:type="paragraph" w:styleId="Bodyafterbullets" w:customStyle="1">
    <w:name w:val="Body after bullets"/>
    <w:basedOn w:val="Body"/>
    <w:uiPriority w:val="11"/>
    <w:rsid w:val="00E11352"/>
    <w:pPr>
      <w:spacing w:before="120"/>
    </w:pPr>
  </w:style>
  <w:style w:type="paragraph" w:styleId="Tablebullet2" w:customStyle="1">
    <w:name w:val="Table bullet 2"/>
    <w:basedOn w:val="Tabletext"/>
    <w:uiPriority w:val="11"/>
    <w:rsid w:val="00C60411"/>
    <w:pPr>
      <w:numPr>
        <w:ilvl w:val="1"/>
        <w:numId w:val="3"/>
      </w:numPr>
    </w:pPr>
  </w:style>
  <w:style w:type="character" w:styleId="SubtitleChar" w:customStyle="1">
    <w:name w:val="Subtitle Char"/>
    <w:link w:val="Subtitle"/>
    <w:uiPriority w:val="11"/>
    <w:semiHidden/>
    <w:rsid w:val="00152073"/>
    <w:rPr>
      <w:rFonts w:ascii="Calibri Light" w:hAnsi="Calibri Light"/>
      <w:sz w:val="24"/>
      <w:szCs w:val="24"/>
      <w:lang w:eastAsia="en-US"/>
    </w:rPr>
  </w:style>
  <w:style w:type="paragraph" w:styleId="Tablebullet1" w:customStyle="1">
    <w:name w:val="Table bullet 1"/>
    <w:basedOn w:val="Tabletext"/>
    <w:uiPriority w:val="3"/>
    <w:qFormat/>
    <w:rsid w:val="00C60411"/>
    <w:pPr>
      <w:numPr>
        <w:numId w:val="3"/>
      </w:numPr>
    </w:pPr>
  </w:style>
  <w:style w:type="numbering" w:styleId="ZZTablebullets" w:customStyle="1">
    <w:name w:val="ZZ Table bullets"/>
    <w:basedOn w:val="NoList"/>
    <w:rsid w:val="00C60411"/>
    <w:pPr>
      <w:numPr>
        <w:numId w:val="3"/>
      </w:numPr>
    </w:pPr>
  </w:style>
  <w:style w:type="paragraph" w:styleId="Tablecolhead" w:customStyle="1">
    <w:name w:val="Table col head"/>
    <w:uiPriority w:val="3"/>
    <w:qFormat/>
    <w:rsid w:val="00EB05D5"/>
    <w:pPr>
      <w:spacing w:before="80" w:after="60"/>
    </w:pPr>
    <w:rPr>
      <w:rFonts w:ascii="Arial" w:hAnsi="Arial"/>
      <w:b/>
      <w:color w:val="201547"/>
      <w:sz w:val="21"/>
      <w:lang w:eastAsia="en-US"/>
    </w:rPr>
  </w:style>
  <w:style w:type="paragraph" w:styleId="Bulletafternumbers1" w:customStyle="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styleId="Documentsubtitle" w:customStyle="1">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styleId="FootnoteTextChar" w:customStyle="1">
    <w:name w:val="Footnote Text Char"/>
    <w:link w:val="FootnoteText"/>
    <w:uiPriority w:val="8"/>
    <w:rsid w:val="004A4195"/>
    <w:rPr>
      <w:rFonts w:ascii="Arial" w:hAnsi="Arial" w:eastAsia="MS Gothic" w:cs="Arial"/>
      <w:sz w:val="18"/>
      <w:szCs w:val="16"/>
      <w:lang w:eastAsia="en-US"/>
    </w:rPr>
  </w:style>
  <w:style w:type="paragraph" w:styleId="Spacerparatopoffirstpage" w:customStyle="1">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styleId="TitleChar" w:customStyle="1">
    <w:name w:val="Title Char"/>
    <w:link w:val="Title"/>
    <w:uiPriority w:val="10"/>
    <w:semiHidden/>
    <w:rsid w:val="00152073"/>
    <w:rPr>
      <w:rFonts w:ascii="Calibri Light" w:hAnsi="Calibri Light"/>
      <w:b/>
      <w:bCs/>
      <w:kern w:val="28"/>
      <w:sz w:val="32"/>
      <w:szCs w:val="32"/>
      <w:lang w:eastAsia="en-US"/>
    </w:rPr>
  </w:style>
  <w:style w:type="numbering" w:styleId="ZZBullets" w:customStyle="1">
    <w:name w:val="ZZ Bullets"/>
    <w:rsid w:val="00C60411"/>
    <w:pPr>
      <w:numPr>
        <w:numId w:val="2"/>
      </w:numPr>
    </w:pPr>
  </w:style>
  <w:style w:type="numbering" w:styleId="ZZNumbersdigit" w:customStyle="1">
    <w:name w:val="ZZ Numbers digit"/>
    <w:rsid w:val="00F15144"/>
    <w:pPr>
      <w:numPr>
        <w:numId w:val="1"/>
      </w:numPr>
    </w:pPr>
  </w:style>
  <w:style w:type="numbering" w:styleId="ZZQuotebullets" w:customStyle="1">
    <w:name w:val="ZZ Quote bullets"/>
    <w:basedOn w:val="ZZNumbersdigit"/>
    <w:rsid w:val="00C60411"/>
    <w:pPr>
      <w:numPr>
        <w:numId w:val="4"/>
      </w:numPr>
    </w:pPr>
  </w:style>
  <w:style w:type="paragraph" w:styleId="Numberdigit" w:customStyle="1">
    <w:name w:val="Number digit"/>
    <w:basedOn w:val="Body"/>
    <w:uiPriority w:val="2"/>
    <w:rsid w:val="00F15144"/>
    <w:pPr>
      <w:numPr>
        <w:numId w:val="1"/>
      </w:numPr>
    </w:pPr>
  </w:style>
  <w:style w:type="paragraph" w:styleId="Numberloweralphaindent" w:customStyle="1">
    <w:name w:val="Number lower alpha indent"/>
    <w:basedOn w:val="Body"/>
    <w:uiPriority w:val="3"/>
    <w:rsid w:val="00C60411"/>
    <w:pPr>
      <w:numPr>
        <w:ilvl w:val="1"/>
        <w:numId w:val="6"/>
      </w:numPr>
    </w:pPr>
  </w:style>
  <w:style w:type="paragraph" w:styleId="Numberdigitindent" w:customStyle="1">
    <w:name w:val="Number digit indent"/>
    <w:basedOn w:val="Body"/>
    <w:uiPriority w:val="3"/>
    <w:rsid w:val="00F15144"/>
    <w:pPr>
      <w:numPr>
        <w:ilvl w:val="1"/>
        <w:numId w:val="1"/>
      </w:numPr>
    </w:pPr>
  </w:style>
  <w:style w:type="paragraph" w:styleId="Numberloweralpha" w:customStyle="1">
    <w:name w:val="Number lower alpha"/>
    <w:basedOn w:val="Body"/>
    <w:uiPriority w:val="3"/>
    <w:rsid w:val="00C60411"/>
    <w:pPr>
      <w:numPr>
        <w:numId w:val="6"/>
      </w:numPr>
    </w:pPr>
  </w:style>
  <w:style w:type="paragraph" w:styleId="Numberlowerroman" w:customStyle="1">
    <w:name w:val="Number lower roman"/>
    <w:basedOn w:val="Body"/>
    <w:uiPriority w:val="3"/>
    <w:rsid w:val="00C60411"/>
    <w:pPr>
      <w:numPr>
        <w:numId w:val="5"/>
      </w:numPr>
    </w:pPr>
  </w:style>
  <w:style w:type="paragraph" w:styleId="Numberlowerromanindent" w:customStyle="1">
    <w:name w:val="Number lower roman indent"/>
    <w:basedOn w:val="Body"/>
    <w:uiPriority w:val="3"/>
    <w:rsid w:val="00C60411"/>
    <w:pPr>
      <w:numPr>
        <w:ilvl w:val="1"/>
        <w:numId w:val="5"/>
      </w:numPr>
    </w:pPr>
  </w:style>
  <w:style w:type="paragraph" w:styleId="Quotetext" w:customStyle="1">
    <w:name w:val="Quote text"/>
    <w:basedOn w:val="Body"/>
    <w:uiPriority w:val="4"/>
    <w:rsid w:val="00152073"/>
    <w:pPr>
      <w:ind w:left="397"/>
    </w:pPr>
    <w:rPr>
      <w:szCs w:val="18"/>
    </w:rPr>
  </w:style>
  <w:style w:type="paragraph" w:styleId="Tablefigurenote" w:customStyle="1">
    <w:name w:val="Table/figure note"/>
    <w:uiPriority w:val="4"/>
    <w:rsid w:val="004A4195"/>
    <w:pPr>
      <w:spacing w:before="60" w:after="60" w:line="240" w:lineRule="exact"/>
    </w:pPr>
    <w:rPr>
      <w:rFonts w:ascii="Arial" w:hAnsi="Arial"/>
      <w:lang w:eastAsia="en-US"/>
    </w:rPr>
  </w:style>
  <w:style w:type="paragraph" w:styleId="Bodyaftertablefigure" w:customStyle="1">
    <w:name w:val="Body after table/figure"/>
    <w:basedOn w:val="Body"/>
    <w:next w:val="Body"/>
    <w:uiPriority w:val="1"/>
    <w:rsid w:val="00951D50"/>
    <w:pPr>
      <w:spacing w:before="240"/>
    </w:pPr>
  </w:style>
  <w:style w:type="paragraph" w:styleId="Bulletafternumbers2" w:customStyle="1">
    <w:name w:val="Bullet after numbers 2"/>
    <w:basedOn w:val="Body"/>
    <w:rsid w:val="00F15144"/>
    <w:pPr>
      <w:numPr>
        <w:ilvl w:val="3"/>
        <w:numId w:val="1"/>
      </w:numPr>
    </w:pPr>
  </w:style>
  <w:style w:type="numbering" w:styleId="ZZNumberslowerroman" w:customStyle="1">
    <w:name w:val="ZZ Numbers lower roman"/>
    <w:basedOn w:val="ZZQuotebullets"/>
    <w:rsid w:val="00C60411"/>
    <w:pPr>
      <w:numPr>
        <w:numId w:val="5"/>
      </w:numPr>
    </w:pPr>
  </w:style>
  <w:style w:type="numbering" w:styleId="ZZNumbersloweralpha" w:customStyle="1">
    <w:name w:val="ZZ Numbers lower alpha"/>
    <w:basedOn w:val="NoList"/>
    <w:rsid w:val="00C60411"/>
    <w:pPr>
      <w:numPr>
        <w:numId w:val="6"/>
      </w:numPr>
    </w:pPr>
  </w:style>
  <w:style w:type="paragraph" w:styleId="Quotebullet1" w:customStyle="1">
    <w:name w:val="Quote bullet 1"/>
    <w:basedOn w:val="Quotetext"/>
    <w:rsid w:val="00C60411"/>
    <w:pPr>
      <w:numPr>
        <w:numId w:val="4"/>
      </w:numPr>
    </w:pPr>
  </w:style>
  <w:style w:type="paragraph" w:styleId="Quotebullet2" w:customStyle="1">
    <w:name w:val="Quote bullet 2"/>
    <w:basedOn w:val="Quotetext"/>
    <w:rsid w:val="00C60411"/>
    <w:pPr>
      <w:numPr>
        <w:ilvl w:val="1"/>
        <w:numId w:val="4"/>
      </w:numPr>
    </w:pPr>
  </w:style>
  <w:style w:type="paragraph" w:styleId="CommentText">
    <w:name w:val="annotation text"/>
    <w:basedOn w:val="Normal"/>
    <w:link w:val="CommentTextChar"/>
    <w:uiPriority w:val="99"/>
    <w:unhideWhenUsed/>
    <w:rsid w:val="00982454"/>
  </w:style>
  <w:style w:type="character" w:styleId="CommentTextChar" w:customStyle="1">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styleId="CommentSubjectChar" w:customStyle="1">
    <w:name w:val="Comment Subject Char"/>
    <w:basedOn w:val="CommentTextChar"/>
    <w:link w:val="CommentSubject"/>
    <w:uiPriority w:val="99"/>
    <w:semiHidden/>
    <w:rsid w:val="00EE29AD"/>
    <w:rPr>
      <w:rFonts w:ascii="Cambria" w:hAnsi="Cambria"/>
      <w:b/>
      <w:bCs/>
      <w:lang w:eastAsia="en-US"/>
    </w:rPr>
  </w:style>
  <w:style w:type="character" w:styleId="BodyChar" w:customStyle="1">
    <w:name w:val="Body Char"/>
    <w:basedOn w:val="DefaultParagraphFont"/>
    <w:link w:val="Body"/>
    <w:rsid w:val="002365B4"/>
    <w:rPr>
      <w:rFonts w:ascii="Arial" w:hAnsi="Arial" w:eastAsia="Times"/>
      <w:sz w:val="21"/>
      <w:lang w:eastAsia="en-US"/>
    </w:rPr>
  </w:style>
  <w:style w:type="paragraph" w:styleId="Bannermarking" w:customStyle="1">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styleId="Imprint" w:customStyle="1">
    <w:name w:val="Imprint"/>
    <w:basedOn w:val="Body"/>
    <w:uiPriority w:val="11"/>
    <w:rsid w:val="00020678"/>
    <w:pPr>
      <w:spacing w:after="60" w:line="270" w:lineRule="atLeast"/>
    </w:pPr>
    <w:rPr>
      <w:sz w:val="20"/>
    </w:rPr>
  </w:style>
  <w:style w:type="paragraph" w:styleId="Introtext" w:customStyle="1">
    <w:name w:val="Intro text"/>
    <w:basedOn w:val="Body"/>
    <w:uiPriority w:val="11"/>
    <w:rsid w:val="001C7128"/>
    <w:pPr>
      <w:spacing w:line="320" w:lineRule="atLeast"/>
    </w:pPr>
    <w:rPr>
      <w:color w:val="201547"/>
      <w:sz w:val="24"/>
    </w:rPr>
  </w:style>
  <w:style w:type="character" w:styleId="HeaderChar" w:customStyle="1">
    <w:name w:val="Header Char"/>
    <w:basedOn w:val="DefaultParagraphFont"/>
    <w:link w:val="Header"/>
    <w:uiPriority w:val="10"/>
    <w:rsid w:val="00F15144"/>
    <w:rPr>
      <w:rFonts w:ascii="Arial" w:hAnsi="Arial" w:cs="Arial"/>
      <w:b/>
      <w:color w:val="201547"/>
      <w:sz w:val="18"/>
      <w:szCs w:val="18"/>
      <w:lang w:eastAsia="en-US"/>
    </w:rPr>
  </w:style>
  <w:style w:type="character" w:styleId="Heading6Char" w:customStyle="1">
    <w:name w:val="Heading 6 Char"/>
    <w:basedOn w:val="DefaultParagraphFont"/>
    <w:link w:val="Heading6"/>
    <w:uiPriority w:val="9"/>
    <w:semiHidden/>
    <w:rsid w:val="00CC459D"/>
    <w:rPr>
      <w:rFonts w:asciiTheme="majorHAnsi" w:hAnsiTheme="majorHAnsi" w:eastAsiaTheme="majorEastAsia" w:cstheme="majorBidi"/>
      <w:color w:val="243F60" w:themeColor="accent1" w:themeShade="7F"/>
      <w:sz w:val="21"/>
      <w:lang w:eastAsia="en-US"/>
    </w:rPr>
  </w:style>
  <w:style w:type="character" w:styleId="Heading7Char" w:customStyle="1">
    <w:name w:val="Heading 7 Char"/>
    <w:basedOn w:val="DefaultParagraphFont"/>
    <w:link w:val="Heading7"/>
    <w:uiPriority w:val="9"/>
    <w:semiHidden/>
    <w:rsid w:val="00CC459D"/>
    <w:rPr>
      <w:rFonts w:asciiTheme="majorHAnsi" w:hAnsiTheme="majorHAnsi" w:eastAsiaTheme="majorEastAsia" w:cstheme="majorBidi"/>
      <w:i/>
      <w:iCs/>
      <w:color w:val="243F60" w:themeColor="accent1" w:themeShade="7F"/>
      <w:sz w:val="21"/>
      <w:lang w:eastAsia="en-US"/>
    </w:rPr>
  </w:style>
  <w:style w:type="character" w:styleId="Heading8Char" w:customStyle="1">
    <w:name w:val="Heading 8 Char"/>
    <w:basedOn w:val="DefaultParagraphFont"/>
    <w:link w:val="Heading8"/>
    <w:uiPriority w:val="9"/>
    <w:semiHidden/>
    <w:rsid w:val="00CC459D"/>
    <w:rPr>
      <w:rFonts w:asciiTheme="majorHAnsi" w:hAnsiTheme="majorHAnsi" w:eastAsiaTheme="majorEastAsia" w:cstheme="majorBidi"/>
      <w:color w:val="272727" w:themeColor="text1" w:themeTint="D8"/>
      <w:sz w:val="21"/>
      <w:szCs w:val="21"/>
      <w:lang w:eastAsia="en-US"/>
    </w:rPr>
  </w:style>
  <w:style w:type="character" w:styleId="Heading9Char" w:customStyle="1">
    <w:name w:val="Heading 9 Char"/>
    <w:basedOn w:val="DefaultParagraphFont"/>
    <w:link w:val="Heading9"/>
    <w:uiPriority w:val="9"/>
    <w:semiHidden/>
    <w:rsid w:val="00CC459D"/>
    <w:rPr>
      <w:rFonts w:asciiTheme="majorHAnsi" w:hAnsiTheme="majorHAnsi" w:eastAsiaTheme="majorEastAsia" w:cstheme="majorBidi"/>
      <w:i/>
      <w:iCs/>
      <w:color w:val="272727" w:themeColor="text1" w:themeTint="D8"/>
      <w:sz w:val="21"/>
      <w:szCs w:val="21"/>
      <w:lang w:eastAsia="en-US"/>
    </w:rPr>
  </w:style>
  <w:style w:type="paragraph" w:styleId="DHHSbullet1" w:customStyle="1">
    <w:name w:val="DHHS bullet 1"/>
    <w:basedOn w:val="Normal"/>
    <w:rsid w:val="008115B4"/>
    <w:pPr>
      <w:spacing w:after="40" w:line="270" w:lineRule="atLeast"/>
      <w:ind w:left="284" w:hanging="284"/>
    </w:pPr>
    <w:rPr>
      <w:rFonts w:eastAsia="Times"/>
      <w:sz w:val="20"/>
    </w:rPr>
  </w:style>
  <w:style w:type="paragraph" w:styleId="DHHSnumberloweralpha" w:customStyle="1">
    <w:name w:val="DHHS number lower alpha"/>
    <w:basedOn w:val="Normal"/>
    <w:uiPriority w:val="3"/>
    <w:rsid w:val="008115B4"/>
    <w:pPr>
      <w:numPr>
        <w:ilvl w:val="2"/>
        <w:numId w:val="8"/>
      </w:numPr>
      <w:spacing w:line="270" w:lineRule="atLeast"/>
    </w:pPr>
    <w:rPr>
      <w:rFonts w:eastAsia="Times"/>
      <w:sz w:val="20"/>
    </w:rPr>
  </w:style>
  <w:style w:type="paragraph" w:styleId="DHHSnumberloweralphaindent" w:customStyle="1">
    <w:name w:val="DHHS number lower alpha indent"/>
    <w:basedOn w:val="Normal"/>
    <w:uiPriority w:val="3"/>
    <w:rsid w:val="008115B4"/>
    <w:pPr>
      <w:numPr>
        <w:ilvl w:val="3"/>
        <w:numId w:val="8"/>
      </w:numPr>
      <w:spacing w:line="270" w:lineRule="atLeast"/>
    </w:pPr>
    <w:rPr>
      <w:rFonts w:eastAsia="Times"/>
      <w:sz w:val="20"/>
    </w:rPr>
  </w:style>
  <w:style w:type="paragraph" w:styleId="DHHStabletext" w:customStyle="1">
    <w:name w:val="DHHS table text"/>
    <w:uiPriority w:val="3"/>
    <w:rsid w:val="008115B4"/>
    <w:pPr>
      <w:spacing w:before="80" w:after="60"/>
    </w:pPr>
    <w:rPr>
      <w:rFonts w:ascii="Arial" w:hAnsi="Arial"/>
      <w:lang w:eastAsia="en-US"/>
    </w:rPr>
  </w:style>
  <w:style w:type="paragraph" w:styleId="DHHSbullet2" w:customStyle="1">
    <w:name w:val="DHHS bullet 2"/>
    <w:basedOn w:val="Normal"/>
    <w:uiPriority w:val="2"/>
    <w:rsid w:val="008115B4"/>
    <w:pPr>
      <w:spacing w:after="40" w:line="270" w:lineRule="atLeast"/>
      <w:ind w:left="567" w:hanging="283"/>
    </w:pPr>
    <w:rPr>
      <w:rFonts w:eastAsia="Times"/>
      <w:sz w:val="20"/>
    </w:rPr>
  </w:style>
  <w:style w:type="paragraph" w:styleId="DHHSnumberdigit" w:customStyle="1">
    <w:name w:val="DHHS number digit"/>
    <w:basedOn w:val="Normal"/>
    <w:uiPriority w:val="2"/>
    <w:rsid w:val="008115B4"/>
    <w:pPr>
      <w:numPr>
        <w:numId w:val="8"/>
      </w:numPr>
      <w:spacing w:line="270" w:lineRule="atLeast"/>
    </w:pPr>
    <w:rPr>
      <w:rFonts w:eastAsia="Times"/>
      <w:sz w:val="20"/>
    </w:rPr>
  </w:style>
  <w:style w:type="paragraph" w:styleId="DHHSbullet1lastline" w:customStyle="1">
    <w:name w:val="DHHS bullet 1 last line"/>
    <w:basedOn w:val="DHHSbullet1"/>
    <w:rsid w:val="008115B4"/>
    <w:pPr>
      <w:spacing w:after="120"/>
    </w:pPr>
  </w:style>
  <w:style w:type="paragraph" w:styleId="DHHSbullet2lastline" w:customStyle="1">
    <w:name w:val="DHHS bullet 2 last line"/>
    <w:basedOn w:val="DHHSbullet2"/>
    <w:uiPriority w:val="2"/>
    <w:rsid w:val="008115B4"/>
    <w:pPr>
      <w:spacing w:after="120"/>
    </w:pPr>
  </w:style>
  <w:style w:type="paragraph" w:styleId="DHHStablebullet" w:customStyle="1">
    <w:name w:val="DHHS table bullet"/>
    <w:basedOn w:val="DHHStabletext"/>
    <w:uiPriority w:val="3"/>
    <w:rsid w:val="008115B4"/>
    <w:pPr>
      <w:ind w:left="227" w:hanging="227"/>
    </w:pPr>
  </w:style>
  <w:style w:type="paragraph" w:styleId="DHHSbulletindent" w:customStyle="1">
    <w:name w:val="DHHS bullet indent"/>
    <w:basedOn w:val="Normal"/>
    <w:uiPriority w:val="4"/>
    <w:rsid w:val="008115B4"/>
    <w:pPr>
      <w:spacing w:after="40" w:line="270" w:lineRule="atLeast"/>
      <w:ind w:left="680" w:hanging="283"/>
    </w:pPr>
    <w:rPr>
      <w:rFonts w:eastAsia="Times"/>
      <w:sz w:val="20"/>
    </w:rPr>
  </w:style>
  <w:style w:type="paragraph" w:styleId="DHHSbulletindentlastline" w:customStyle="1">
    <w:name w:val="DHHS bullet indent last line"/>
    <w:basedOn w:val="Normal"/>
    <w:uiPriority w:val="4"/>
    <w:rsid w:val="008115B4"/>
    <w:pPr>
      <w:spacing w:line="270" w:lineRule="atLeast"/>
      <w:ind w:left="680" w:hanging="283"/>
    </w:pPr>
    <w:rPr>
      <w:rFonts w:eastAsia="Times"/>
      <w:sz w:val="20"/>
    </w:rPr>
  </w:style>
  <w:style w:type="numbering" w:styleId="ZZNumbers" w:customStyle="1">
    <w:name w:val="ZZ Numbers"/>
    <w:rsid w:val="008115B4"/>
    <w:pPr>
      <w:numPr>
        <w:numId w:val="8"/>
      </w:numPr>
    </w:pPr>
  </w:style>
  <w:style w:type="paragraph" w:styleId="DHHSnumberlowerroman" w:customStyle="1">
    <w:name w:val="DHHS number lower roman"/>
    <w:basedOn w:val="Normal"/>
    <w:uiPriority w:val="3"/>
    <w:rsid w:val="008115B4"/>
    <w:pPr>
      <w:numPr>
        <w:ilvl w:val="4"/>
        <w:numId w:val="8"/>
      </w:numPr>
      <w:spacing w:line="270" w:lineRule="atLeast"/>
    </w:pPr>
    <w:rPr>
      <w:rFonts w:eastAsia="Times"/>
      <w:sz w:val="20"/>
    </w:rPr>
  </w:style>
  <w:style w:type="paragraph" w:styleId="DHHSnumberlowerromanindent" w:customStyle="1">
    <w:name w:val="DHHS number lower roman indent"/>
    <w:basedOn w:val="Normal"/>
    <w:uiPriority w:val="3"/>
    <w:rsid w:val="008115B4"/>
    <w:pPr>
      <w:numPr>
        <w:ilvl w:val="5"/>
        <w:numId w:val="8"/>
      </w:numPr>
      <w:spacing w:line="270" w:lineRule="atLeast"/>
    </w:pPr>
    <w:rPr>
      <w:rFonts w:eastAsia="Times"/>
      <w:sz w:val="20"/>
    </w:rPr>
  </w:style>
  <w:style w:type="paragraph" w:styleId="DHHSnumberdigitindent" w:customStyle="1">
    <w:name w:val="DHHS number digit indent"/>
    <w:basedOn w:val="DHHSnumberloweralphaindent"/>
    <w:uiPriority w:val="3"/>
    <w:rsid w:val="008115B4"/>
    <w:pPr>
      <w:numPr>
        <w:ilvl w:val="1"/>
      </w:numPr>
    </w:pPr>
  </w:style>
  <w:style w:type="paragraph" w:styleId="ListParagraph">
    <w:name w:val="List Paragraph"/>
    <w:basedOn w:val="Normal"/>
    <w:uiPriority w:val="34"/>
    <w:qFormat/>
    <w:rsid w:val="00E636D6"/>
    <w:pPr>
      <w:ind w:left="720"/>
      <w:contextualSpacing/>
    </w:pPr>
  </w:style>
  <w:style w:type="character" w:styleId="Mention">
    <w:name w:val="Mention"/>
    <w:basedOn w:val="DefaultParagraphFont"/>
    <w:uiPriority w:val="99"/>
    <w:unhideWhenUsed/>
    <w:rsid w:val="004F49A6"/>
    <w:rPr>
      <w:color w:val="2B579A"/>
      <w:shd w:val="clear" w:color="auto" w:fill="E1DFDD"/>
    </w:rPr>
  </w:style>
  <w:style w:type="paragraph" w:styleId="NormalWeb">
    <w:name w:val="Normal (Web)"/>
    <w:basedOn w:val="Normal"/>
    <w:uiPriority w:val="99"/>
    <w:semiHidden/>
    <w:unhideWhenUsed/>
    <w:rsid w:val="004F49A6"/>
    <w:rPr>
      <w:rFonts w:ascii="Times New Roman" w:hAnsi="Times New Roman"/>
      <w:sz w:val="24"/>
      <w:szCs w:val="24"/>
    </w:rPr>
  </w:style>
  <w:style w:type="character" w:styleId="sp-field-label-padding" w:customStyle="1">
    <w:name w:val="sp-field-label-padding"/>
    <w:basedOn w:val="DefaultParagraphFont"/>
    <w:rsid w:val="004F49A6"/>
  </w:style>
  <w:style w:type="character" w:styleId="boolean-control" w:customStyle="1">
    <w:name w:val="boolean-control"/>
    <w:basedOn w:val="DefaultParagraphFont"/>
    <w:rsid w:val="004F49A6"/>
  </w:style>
  <w:style w:type="character" w:styleId="apple-converted-space" w:customStyle="1">
    <w:name w:val="apple-converted-space"/>
    <w:basedOn w:val="DefaultParagraphFont"/>
    <w:rsid w:val="000A2323"/>
  </w:style>
  <w:style w:type="paragraph" w:styleId="my-0" w:customStyle="1">
    <w:name w:val="my-0"/>
    <w:basedOn w:val="Normal"/>
    <w:rsid w:val="0071036A"/>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3697">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51354153">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25403844">
      <w:bodyDiv w:val="1"/>
      <w:marLeft w:val="0"/>
      <w:marRight w:val="0"/>
      <w:marTop w:val="0"/>
      <w:marBottom w:val="0"/>
      <w:divBdr>
        <w:top w:val="none" w:sz="0" w:space="0" w:color="auto"/>
        <w:left w:val="none" w:sz="0" w:space="0" w:color="auto"/>
        <w:bottom w:val="none" w:sz="0" w:space="0" w:color="auto"/>
        <w:right w:val="none" w:sz="0" w:space="0" w:color="auto"/>
      </w:divBdr>
    </w:div>
    <w:div w:id="420949031">
      <w:bodyDiv w:val="1"/>
      <w:marLeft w:val="0"/>
      <w:marRight w:val="0"/>
      <w:marTop w:val="0"/>
      <w:marBottom w:val="0"/>
      <w:divBdr>
        <w:top w:val="none" w:sz="0" w:space="0" w:color="auto"/>
        <w:left w:val="none" w:sz="0" w:space="0" w:color="auto"/>
        <w:bottom w:val="none" w:sz="0" w:space="0" w:color="auto"/>
        <w:right w:val="none" w:sz="0" w:space="0" w:color="auto"/>
      </w:divBdr>
    </w:div>
    <w:div w:id="566451450">
      <w:bodyDiv w:val="1"/>
      <w:marLeft w:val="0"/>
      <w:marRight w:val="0"/>
      <w:marTop w:val="0"/>
      <w:marBottom w:val="0"/>
      <w:divBdr>
        <w:top w:val="none" w:sz="0" w:space="0" w:color="auto"/>
        <w:left w:val="none" w:sz="0" w:space="0" w:color="auto"/>
        <w:bottom w:val="none" w:sz="0" w:space="0" w:color="auto"/>
        <w:right w:val="none" w:sz="0" w:space="0" w:color="auto"/>
      </w:divBdr>
    </w:div>
    <w:div w:id="623971679">
      <w:bodyDiv w:val="1"/>
      <w:marLeft w:val="0"/>
      <w:marRight w:val="0"/>
      <w:marTop w:val="0"/>
      <w:marBottom w:val="0"/>
      <w:divBdr>
        <w:top w:val="none" w:sz="0" w:space="0" w:color="auto"/>
        <w:left w:val="none" w:sz="0" w:space="0" w:color="auto"/>
        <w:bottom w:val="none" w:sz="0" w:space="0" w:color="auto"/>
        <w:right w:val="none" w:sz="0" w:space="0" w:color="auto"/>
      </w:divBdr>
    </w:div>
    <w:div w:id="631448152">
      <w:bodyDiv w:val="1"/>
      <w:marLeft w:val="0"/>
      <w:marRight w:val="0"/>
      <w:marTop w:val="0"/>
      <w:marBottom w:val="0"/>
      <w:divBdr>
        <w:top w:val="none" w:sz="0" w:space="0" w:color="auto"/>
        <w:left w:val="none" w:sz="0" w:space="0" w:color="auto"/>
        <w:bottom w:val="none" w:sz="0" w:space="0" w:color="auto"/>
        <w:right w:val="none" w:sz="0" w:space="0" w:color="auto"/>
      </w:divBdr>
    </w:div>
    <w:div w:id="7389855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016154662">
      <w:bodyDiv w:val="1"/>
      <w:marLeft w:val="0"/>
      <w:marRight w:val="0"/>
      <w:marTop w:val="0"/>
      <w:marBottom w:val="0"/>
      <w:divBdr>
        <w:top w:val="none" w:sz="0" w:space="0" w:color="auto"/>
        <w:left w:val="none" w:sz="0" w:space="0" w:color="auto"/>
        <w:bottom w:val="none" w:sz="0" w:space="0" w:color="auto"/>
        <w:right w:val="none" w:sz="0" w:space="0" w:color="auto"/>
      </w:divBdr>
    </w:div>
    <w:div w:id="1141002271">
      <w:bodyDiv w:val="1"/>
      <w:marLeft w:val="0"/>
      <w:marRight w:val="0"/>
      <w:marTop w:val="0"/>
      <w:marBottom w:val="0"/>
      <w:divBdr>
        <w:top w:val="none" w:sz="0" w:space="0" w:color="auto"/>
        <w:left w:val="none" w:sz="0" w:space="0" w:color="auto"/>
        <w:bottom w:val="none" w:sz="0" w:space="0" w:color="auto"/>
        <w:right w:val="none" w:sz="0" w:space="0" w:color="auto"/>
      </w:divBdr>
      <w:divsChild>
        <w:div w:id="967400136">
          <w:marLeft w:val="-225"/>
          <w:marRight w:val="-225"/>
          <w:marTop w:val="0"/>
          <w:marBottom w:val="0"/>
          <w:divBdr>
            <w:top w:val="none" w:sz="0" w:space="0" w:color="auto"/>
            <w:left w:val="none" w:sz="0" w:space="0" w:color="auto"/>
            <w:bottom w:val="none" w:sz="0" w:space="0" w:color="auto"/>
            <w:right w:val="none" w:sz="0" w:space="0" w:color="auto"/>
          </w:divBdr>
          <w:divsChild>
            <w:div w:id="2112512005">
              <w:marLeft w:val="0"/>
              <w:marRight w:val="0"/>
              <w:marTop w:val="0"/>
              <w:marBottom w:val="0"/>
              <w:divBdr>
                <w:top w:val="none" w:sz="0" w:space="0" w:color="auto"/>
                <w:left w:val="none" w:sz="0" w:space="0" w:color="auto"/>
                <w:bottom w:val="none" w:sz="0" w:space="0" w:color="auto"/>
                <w:right w:val="none" w:sz="0" w:space="0" w:color="auto"/>
              </w:divBdr>
              <w:divsChild>
                <w:div w:id="352727786">
                  <w:marLeft w:val="0"/>
                  <w:marRight w:val="0"/>
                  <w:marTop w:val="0"/>
                  <w:marBottom w:val="0"/>
                  <w:divBdr>
                    <w:top w:val="none" w:sz="0" w:space="0" w:color="auto"/>
                    <w:left w:val="none" w:sz="0" w:space="0" w:color="auto"/>
                    <w:bottom w:val="none" w:sz="0" w:space="0" w:color="auto"/>
                    <w:right w:val="none" w:sz="0" w:space="0" w:color="auto"/>
                  </w:divBdr>
                  <w:divsChild>
                    <w:div w:id="1937638791">
                      <w:marLeft w:val="0"/>
                      <w:marRight w:val="0"/>
                      <w:marTop w:val="0"/>
                      <w:marBottom w:val="0"/>
                      <w:divBdr>
                        <w:top w:val="none" w:sz="0" w:space="0" w:color="auto"/>
                        <w:left w:val="none" w:sz="0" w:space="0" w:color="auto"/>
                        <w:bottom w:val="none" w:sz="0" w:space="0" w:color="auto"/>
                        <w:right w:val="none" w:sz="0" w:space="0" w:color="auto"/>
                      </w:divBdr>
                    </w:div>
                  </w:divsChild>
                </w:div>
                <w:div w:id="427702575">
                  <w:marLeft w:val="0"/>
                  <w:marRight w:val="0"/>
                  <w:marTop w:val="0"/>
                  <w:marBottom w:val="0"/>
                  <w:divBdr>
                    <w:top w:val="none" w:sz="0" w:space="0" w:color="auto"/>
                    <w:left w:val="none" w:sz="0" w:space="0" w:color="auto"/>
                    <w:bottom w:val="none" w:sz="0" w:space="0" w:color="auto"/>
                    <w:right w:val="none" w:sz="0" w:space="0" w:color="auto"/>
                  </w:divBdr>
                  <w:divsChild>
                    <w:div w:id="1486626745">
                      <w:marLeft w:val="0"/>
                      <w:marRight w:val="0"/>
                      <w:marTop w:val="0"/>
                      <w:marBottom w:val="0"/>
                      <w:divBdr>
                        <w:top w:val="none" w:sz="0" w:space="0" w:color="auto"/>
                        <w:left w:val="none" w:sz="0" w:space="0" w:color="auto"/>
                        <w:bottom w:val="none" w:sz="0" w:space="0" w:color="auto"/>
                        <w:right w:val="none" w:sz="0" w:space="0" w:color="auto"/>
                      </w:divBdr>
                    </w:div>
                  </w:divsChild>
                </w:div>
                <w:div w:id="617224667">
                  <w:marLeft w:val="0"/>
                  <w:marRight w:val="0"/>
                  <w:marTop w:val="0"/>
                  <w:marBottom w:val="0"/>
                  <w:divBdr>
                    <w:top w:val="none" w:sz="0" w:space="0" w:color="auto"/>
                    <w:left w:val="none" w:sz="0" w:space="0" w:color="auto"/>
                    <w:bottom w:val="none" w:sz="0" w:space="0" w:color="auto"/>
                    <w:right w:val="none" w:sz="0" w:space="0" w:color="auto"/>
                  </w:divBdr>
                  <w:divsChild>
                    <w:div w:id="229924224">
                      <w:marLeft w:val="0"/>
                      <w:marRight w:val="0"/>
                      <w:marTop w:val="0"/>
                      <w:marBottom w:val="0"/>
                      <w:divBdr>
                        <w:top w:val="none" w:sz="0" w:space="0" w:color="auto"/>
                        <w:left w:val="none" w:sz="0" w:space="0" w:color="auto"/>
                        <w:bottom w:val="none" w:sz="0" w:space="0" w:color="auto"/>
                        <w:right w:val="none" w:sz="0" w:space="0" w:color="auto"/>
                      </w:divBdr>
                    </w:div>
                  </w:divsChild>
                </w:div>
                <w:div w:id="943656037">
                  <w:marLeft w:val="0"/>
                  <w:marRight w:val="0"/>
                  <w:marTop w:val="0"/>
                  <w:marBottom w:val="0"/>
                  <w:divBdr>
                    <w:top w:val="none" w:sz="0" w:space="0" w:color="auto"/>
                    <w:left w:val="none" w:sz="0" w:space="0" w:color="auto"/>
                    <w:bottom w:val="none" w:sz="0" w:space="0" w:color="auto"/>
                    <w:right w:val="none" w:sz="0" w:space="0" w:color="auto"/>
                  </w:divBdr>
                  <w:divsChild>
                    <w:div w:id="44258174">
                      <w:marLeft w:val="0"/>
                      <w:marRight w:val="0"/>
                      <w:marTop w:val="0"/>
                      <w:marBottom w:val="0"/>
                      <w:divBdr>
                        <w:top w:val="none" w:sz="0" w:space="0" w:color="auto"/>
                        <w:left w:val="none" w:sz="0" w:space="0" w:color="auto"/>
                        <w:bottom w:val="none" w:sz="0" w:space="0" w:color="auto"/>
                        <w:right w:val="none" w:sz="0" w:space="0" w:color="auto"/>
                      </w:divBdr>
                    </w:div>
                  </w:divsChild>
                </w:div>
                <w:div w:id="974136793">
                  <w:marLeft w:val="0"/>
                  <w:marRight w:val="0"/>
                  <w:marTop w:val="0"/>
                  <w:marBottom w:val="0"/>
                  <w:divBdr>
                    <w:top w:val="none" w:sz="0" w:space="0" w:color="auto"/>
                    <w:left w:val="none" w:sz="0" w:space="0" w:color="auto"/>
                    <w:bottom w:val="none" w:sz="0" w:space="0" w:color="auto"/>
                    <w:right w:val="none" w:sz="0" w:space="0" w:color="auto"/>
                  </w:divBdr>
                  <w:divsChild>
                    <w:div w:id="1633710423">
                      <w:marLeft w:val="0"/>
                      <w:marRight w:val="0"/>
                      <w:marTop w:val="0"/>
                      <w:marBottom w:val="0"/>
                      <w:divBdr>
                        <w:top w:val="none" w:sz="0" w:space="0" w:color="auto"/>
                        <w:left w:val="none" w:sz="0" w:space="0" w:color="auto"/>
                        <w:bottom w:val="none" w:sz="0" w:space="0" w:color="auto"/>
                        <w:right w:val="none" w:sz="0" w:space="0" w:color="auto"/>
                      </w:divBdr>
                    </w:div>
                  </w:divsChild>
                </w:div>
                <w:div w:id="1031880922">
                  <w:marLeft w:val="0"/>
                  <w:marRight w:val="0"/>
                  <w:marTop w:val="0"/>
                  <w:marBottom w:val="0"/>
                  <w:divBdr>
                    <w:top w:val="none" w:sz="0" w:space="0" w:color="auto"/>
                    <w:left w:val="none" w:sz="0" w:space="0" w:color="auto"/>
                    <w:bottom w:val="none" w:sz="0" w:space="0" w:color="auto"/>
                    <w:right w:val="none" w:sz="0" w:space="0" w:color="auto"/>
                  </w:divBdr>
                  <w:divsChild>
                    <w:div w:id="654186042">
                      <w:marLeft w:val="0"/>
                      <w:marRight w:val="0"/>
                      <w:marTop w:val="0"/>
                      <w:marBottom w:val="0"/>
                      <w:divBdr>
                        <w:top w:val="none" w:sz="0" w:space="0" w:color="auto"/>
                        <w:left w:val="none" w:sz="0" w:space="0" w:color="auto"/>
                        <w:bottom w:val="none" w:sz="0" w:space="0" w:color="auto"/>
                        <w:right w:val="none" w:sz="0" w:space="0" w:color="auto"/>
                      </w:divBdr>
                    </w:div>
                  </w:divsChild>
                </w:div>
                <w:div w:id="1544631094">
                  <w:marLeft w:val="0"/>
                  <w:marRight w:val="0"/>
                  <w:marTop w:val="0"/>
                  <w:marBottom w:val="0"/>
                  <w:divBdr>
                    <w:top w:val="none" w:sz="0" w:space="0" w:color="auto"/>
                    <w:left w:val="none" w:sz="0" w:space="0" w:color="auto"/>
                    <w:bottom w:val="none" w:sz="0" w:space="0" w:color="auto"/>
                    <w:right w:val="none" w:sz="0" w:space="0" w:color="auto"/>
                  </w:divBdr>
                  <w:divsChild>
                    <w:div w:id="466049573">
                      <w:marLeft w:val="0"/>
                      <w:marRight w:val="0"/>
                      <w:marTop w:val="0"/>
                      <w:marBottom w:val="0"/>
                      <w:divBdr>
                        <w:top w:val="none" w:sz="0" w:space="0" w:color="auto"/>
                        <w:left w:val="none" w:sz="0" w:space="0" w:color="auto"/>
                        <w:bottom w:val="none" w:sz="0" w:space="0" w:color="auto"/>
                        <w:right w:val="none" w:sz="0" w:space="0" w:color="auto"/>
                      </w:divBdr>
                    </w:div>
                  </w:divsChild>
                </w:div>
                <w:div w:id="1566136353">
                  <w:marLeft w:val="0"/>
                  <w:marRight w:val="0"/>
                  <w:marTop w:val="0"/>
                  <w:marBottom w:val="0"/>
                  <w:divBdr>
                    <w:top w:val="none" w:sz="0" w:space="0" w:color="auto"/>
                    <w:left w:val="none" w:sz="0" w:space="0" w:color="auto"/>
                    <w:bottom w:val="none" w:sz="0" w:space="0" w:color="auto"/>
                    <w:right w:val="none" w:sz="0" w:space="0" w:color="auto"/>
                  </w:divBdr>
                  <w:divsChild>
                    <w:div w:id="1136949499">
                      <w:marLeft w:val="0"/>
                      <w:marRight w:val="0"/>
                      <w:marTop w:val="0"/>
                      <w:marBottom w:val="0"/>
                      <w:divBdr>
                        <w:top w:val="none" w:sz="0" w:space="0" w:color="auto"/>
                        <w:left w:val="none" w:sz="0" w:space="0" w:color="auto"/>
                        <w:bottom w:val="none" w:sz="0" w:space="0" w:color="auto"/>
                        <w:right w:val="none" w:sz="0" w:space="0" w:color="auto"/>
                      </w:divBdr>
                    </w:div>
                  </w:divsChild>
                </w:div>
                <w:div w:id="1587151726">
                  <w:marLeft w:val="0"/>
                  <w:marRight w:val="0"/>
                  <w:marTop w:val="0"/>
                  <w:marBottom w:val="0"/>
                  <w:divBdr>
                    <w:top w:val="none" w:sz="0" w:space="0" w:color="auto"/>
                    <w:left w:val="none" w:sz="0" w:space="0" w:color="auto"/>
                    <w:bottom w:val="none" w:sz="0" w:space="0" w:color="auto"/>
                    <w:right w:val="none" w:sz="0" w:space="0" w:color="auto"/>
                  </w:divBdr>
                  <w:divsChild>
                    <w:div w:id="315300842">
                      <w:marLeft w:val="0"/>
                      <w:marRight w:val="0"/>
                      <w:marTop w:val="0"/>
                      <w:marBottom w:val="0"/>
                      <w:divBdr>
                        <w:top w:val="none" w:sz="0" w:space="0" w:color="auto"/>
                        <w:left w:val="none" w:sz="0" w:space="0" w:color="auto"/>
                        <w:bottom w:val="none" w:sz="0" w:space="0" w:color="auto"/>
                        <w:right w:val="none" w:sz="0" w:space="0" w:color="auto"/>
                      </w:divBdr>
                    </w:div>
                  </w:divsChild>
                </w:div>
                <w:div w:id="1790201107">
                  <w:marLeft w:val="0"/>
                  <w:marRight w:val="0"/>
                  <w:marTop w:val="0"/>
                  <w:marBottom w:val="0"/>
                  <w:divBdr>
                    <w:top w:val="none" w:sz="0" w:space="0" w:color="auto"/>
                    <w:left w:val="none" w:sz="0" w:space="0" w:color="auto"/>
                    <w:bottom w:val="none" w:sz="0" w:space="0" w:color="auto"/>
                    <w:right w:val="none" w:sz="0" w:space="0" w:color="auto"/>
                  </w:divBdr>
                  <w:divsChild>
                    <w:div w:id="434446785">
                      <w:marLeft w:val="0"/>
                      <w:marRight w:val="0"/>
                      <w:marTop w:val="0"/>
                      <w:marBottom w:val="0"/>
                      <w:divBdr>
                        <w:top w:val="none" w:sz="0" w:space="0" w:color="auto"/>
                        <w:left w:val="none" w:sz="0" w:space="0" w:color="auto"/>
                        <w:bottom w:val="none" w:sz="0" w:space="0" w:color="auto"/>
                        <w:right w:val="none" w:sz="0" w:space="0" w:color="auto"/>
                      </w:divBdr>
                    </w:div>
                  </w:divsChild>
                </w:div>
                <w:div w:id="2036617173">
                  <w:marLeft w:val="0"/>
                  <w:marRight w:val="0"/>
                  <w:marTop w:val="0"/>
                  <w:marBottom w:val="0"/>
                  <w:divBdr>
                    <w:top w:val="none" w:sz="0" w:space="0" w:color="auto"/>
                    <w:left w:val="none" w:sz="0" w:space="0" w:color="auto"/>
                    <w:bottom w:val="none" w:sz="0" w:space="0" w:color="auto"/>
                    <w:right w:val="none" w:sz="0" w:space="0" w:color="auto"/>
                  </w:divBdr>
                  <w:divsChild>
                    <w:div w:id="141473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8946">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52671421">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6194247">
      <w:bodyDiv w:val="1"/>
      <w:marLeft w:val="0"/>
      <w:marRight w:val="0"/>
      <w:marTop w:val="0"/>
      <w:marBottom w:val="0"/>
      <w:divBdr>
        <w:top w:val="none" w:sz="0" w:space="0" w:color="auto"/>
        <w:left w:val="none" w:sz="0" w:space="0" w:color="auto"/>
        <w:bottom w:val="none" w:sz="0" w:space="0" w:color="auto"/>
        <w:right w:val="none" w:sz="0" w:space="0" w:color="auto"/>
      </w:divBdr>
    </w:div>
    <w:div w:id="1552573509">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50477083">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7350035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www.housing.vic.gov.au" TargetMode="External" Id="rId18" /><Relationship Type="http://schemas.openxmlformats.org/officeDocument/2006/relationships/hyperlink" Target="https://ourservice.support.vic.gov.au/ourservice?id=sc_cat_item&amp;sys_id=5bfb744adb6a2110ddf5bc56f39619b1&amp;sysparm_category=dfeb09fe1bc52110af5d98ef0d4bcb79" TargetMode="External" Id="rId26" /><Relationship Type="http://schemas.openxmlformats.org/officeDocument/2006/relationships/customXml" Target="../customXml/item3.xml" Id="rId3" /><Relationship Type="http://schemas.openxmlformats.org/officeDocument/2006/relationships/header" Target="header4.xml" Id="rId21" /><Relationship Type="http://schemas.openxmlformats.org/officeDocument/2006/relationships/hyperlink" Target="https://www.abcb.gov.au/resources" TargetMode="External" Id="rId34"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s://ourservice.support.vic.gov.au/ourservice?id=sc_cat_item&amp;sys_id=edc96f261b2e6510af5d98ef0d4bcbf9&amp;sysparm_category=dfeb09fe1bc52110af5d98ef0d4bcb79" TargetMode="External" Id="rId25" /><Relationship Type="http://schemas.openxmlformats.org/officeDocument/2006/relationships/hyperlink" Target="https://www.consumer.vic.gov.au/housing/renting/repairs-alterations-safety-and-pets/keeping-the-property-safe/locks-and-security" TargetMode="Externa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enquiries@homes.vic.gov.au" TargetMode="External" Id="rId20" /><Relationship Type="http://schemas.openxmlformats.org/officeDocument/2006/relationships/hyperlink" Target="https://providers.dffh.vic.gov.au/tenancy-condition-reports-operational-guidelines-word"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5.xml" Id="rId24" /><Relationship Type="http://schemas.openxmlformats.org/officeDocument/2006/relationships/hyperlink" Target="https://www.consumer.vic.gov.au/housing/renting/repairs-alterations-safety-and-pets/keeping-the-property-safe/locks-and-security" TargetMode="External" Id="rId32"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footer" Target="footer4.xml" Id="rId23" /><Relationship Type="http://schemas.openxmlformats.org/officeDocument/2006/relationships/hyperlink" Target="https://providers.dffh.vic.gov.au/" TargetMode="External" Id="rId28" /><Relationship Type="http://schemas.openxmlformats.org/officeDocument/2006/relationships/theme" Target="theme/theme1.xml" Id="rId36" /><Relationship Type="http://schemas.openxmlformats.org/officeDocument/2006/relationships/endnotes" Target="endnotes.xml" Id="rId10" /><Relationship Type="http://schemas.openxmlformats.org/officeDocument/2006/relationships/hyperlink" Target="http://www.housing.vic.gov.au/contact-a-housing-office" TargetMode="External" Id="rId19" /><Relationship Type="http://schemas.openxmlformats.org/officeDocument/2006/relationships/hyperlink" Target="https://heritagecouncil.vic.gov.au/protecting-our-heritage/heritage-protection-process/victorian-heritage-register"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eader" Target="header5.xml" Id="rId22" /><Relationship Type="http://schemas.openxmlformats.org/officeDocument/2006/relationships/hyperlink" Target="https://ourservice.support.vic.gov.au/ourservice?id=sc_cat_item&amp;sys_id=53537c77db52e150ddf5bc56f396199f&amp;sysparm_category=dfeb09fe1bc52110af5d98ef0d4bcb79" TargetMode="External" Id="rId27" /><Relationship Type="http://schemas.openxmlformats.org/officeDocument/2006/relationships/hyperlink" Target="https://heritagecouncil.vic.gov.au/protecting-our-heritage/heritage-protection-process/victorian-heritage-register" TargetMode="External" Id="rId30" /><Relationship Type="http://schemas.openxmlformats.org/officeDocument/2006/relationships/fontTable" Target="fontTable.xm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5a23c12-eb64-4047-9d50-c4f465f3c0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19E57E9B24DB41BBF1ABFB82127421" ma:contentTypeVersion="17" ma:contentTypeDescription="Create a new document." ma:contentTypeScope="" ma:versionID="a5e8e543e56bacd3c6e2a5bb309a2a22">
  <xsd:schema xmlns:xsd="http://www.w3.org/2001/XMLSchema" xmlns:xs="http://www.w3.org/2001/XMLSchema" xmlns:p="http://schemas.microsoft.com/office/2006/metadata/properties" xmlns:ns2="05a23c12-eb64-4047-9d50-c4f465f3c0dd" xmlns:ns3="13404760-8ec3-4f68-8110-bc572b2bfb09" xmlns:ns4="5ce0f2b5-5be5-4508-bce9-d7011ece0659" targetNamespace="http://schemas.microsoft.com/office/2006/metadata/properties" ma:root="true" ma:fieldsID="8f967dbb5f6935bfd9fae9ebdc5ec2c3" ns2:_="" ns3:_="" ns4:_="">
    <xsd:import namespace="05a23c12-eb64-4047-9d50-c4f465f3c0dd"/>
    <xsd:import namespace="13404760-8ec3-4f68-8110-bc572b2bfb09"/>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23c12-eb64-4047-9d50-c4f465f3c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404760-8ec3-4f68-8110-bc572b2bfb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1b8daaf-ef9e-4564-a435-35f838f0f641}" ma:internalName="TaxCatchAll" ma:showField="CatchAllData" ma:web="13404760-8ec3-4f68-8110-bc572b2bf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05a23c12-eb64-4047-9d50-c4f465f3c0d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7EA43B7-65D2-4733-ADD5-A6BA48626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a23c12-eb64-4047-9d50-c4f465f3c0dd"/>
    <ds:schemaRef ds:uri="13404760-8ec3-4f68-8110-bc572b2bfb09"/>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Victoria State Government, Department of Families, Fairness and Housing</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Vacant Unit Maintenance Operational Guideline December 2024</dc:title>
  <dc:subject>Vacant Unit Maintenance Operational Guideline December 2024</dc:subject>
  <dc:creator>Homes Victoria</dc:creator>
  <cp:keywords/>
  <cp:lastPrinted>2021-01-30T19:27:00Z</cp:lastPrinted>
  <dcterms:created xsi:type="dcterms:W3CDTF">2025-06-14T08:02:00Z</dcterms:created>
  <dcterms:modified xsi:type="dcterms:W3CDTF">2025-06-24T22:45:41Z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0x0101003C19E57E9B24DB41BBF1ABFB82127421</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Order">
    <vt:r8>2600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Report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https://dhhsvicgovau.sharepoint.com/:w:/s/dffh/Ec1sUX29ovVNg1yz-k3q1CIBvxIHfUXXZlqlU8WV6A4LBA</vt:lpwstr>
  </property>
  <property fmtid="{D5CDD505-2E9C-101B-9397-08002B2CF9AE}" pid="21" name="Link">
    <vt:lpwstr>https://dhhsvicgovau.sharepoint.com/:w:/s/dffh/Ec1sUX29ovVNg1yz-k3q1CIBvxIHfUXXZlqlU8WV6A4LBA, https://dhhsvicgovau.sharepoint.com/:w:/s/dffh/Ec1sUX29ovVNg1yz-k3q1CIBvxIHfUXXZlqlU8WV6A4LBA</vt:lpwstr>
  </property>
  <property fmtid="{D5CDD505-2E9C-101B-9397-08002B2CF9AE}" pid="22" name="xd_Signature">
    <vt:bool>false</vt:bool>
  </property>
  <property fmtid="{D5CDD505-2E9C-101B-9397-08002B2CF9AE}" pid="23" name="MediaServiceImageTags">
    <vt:lpwstr/>
  </property>
</Properties>
</file>