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68E1F" w14:textId="77777777" w:rsidR="0074696E" w:rsidRPr="004C6EEE" w:rsidRDefault="00457807" w:rsidP="00AD784C">
      <w:pPr>
        <w:pStyle w:val="Spacerparatopoffirstpage"/>
      </w:pPr>
      <w:r>
        <w:rPr>
          <w:lang w:eastAsia="en-AU"/>
        </w:rPr>
        <w:drawing>
          <wp:anchor distT="0" distB="0" distL="114300" distR="114300" simplePos="0" relativeHeight="251657728" behindDoc="1" locked="1" layoutInCell="0" allowOverlap="1" wp14:anchorId="57C58E96" wp14:editId="50FBEC34">
            <wp:simplePos x="0" y="0"/>
            <wp:positionH relativeFrom="page">
              <wp:posOffset>0</wp:posOffset>
            </wp:positionH>
            <wp:positionV relativeFrom="page">
              <wp:posOffset>0</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p w14:paraId="760723DC" w14:textId="77777777" w:rsidR="00A62D44" w:rsidRPr="004C6EEE" w:rsidRDefault="00A62D44" w:rsidP="00D1443D">
      <w:pPr>
        <w:pStyle w:val="Sectionbreakfirstpage"/>
        <w:rPr>
          <w:rFonts w:eastAsia="Times"/>
          <w:noProof/>
          <w:sz w:val="12"/>
        </w:rPr>
        <w:sectPr w:rsidR="00A62D44" w:rsidRPr="004C6EEE" w:rsidSect="00F922BE">
          <w:footerReference w:type="default" r:id="rId9"/>
          <w:pgSz w:w="11906" w:h="16838" w:code="9"/>
          <w:pgMar w:top="426" w:right="851" w:bottom="1418" w:left="851" w:header="510" w:footer="510" w:gutter="0"/>
          <w:cols w:space="708"/>
          <w:docGrid w:linePitch="360"/>
        </w:sectPr>
      </w:pPr>
    </w:p>
    <w:tbl>
      <w:tblPr>
        <w:tblW w:w="0" w:type="auto"/>
        <w:tblLook w:val="04A0" w:firstRow="1" w:lastRow="0" w:firstColumn="1" w:lastColumn="0" w:noHBand="0" w:noVBand="1"/>
      </w:tblPr>
      <w:tblGrid>
        <w:gridCol w:w="8341"/>
      </w:tblGrid>
      <w:tr w:rsidR="00AD784C" w14:paraId="588DCCD3" w14:textId="77777777" w:rsidTr="00446FB5">
        <w:trPr>
          <w:trHeight w:val="856"/>
        </w:trPr>
        <w:tc>
          <w:tcPr>
            <w:tcW w:w="8341" w:type="dxa"/>
            <w:shd w:val="clear" w:color="auto" w:fill="auto"/>
            <w:vAlign w:val="bottom"/>
          </w:tcPr>
          <w:p w14:paraId="0AF79EA5" w14:textId="77777777" w:rsidR="00AD784C" w:rsidRPr="00DE4E5C" w:rsidRDefault="00B95825" w:rsidP="000025A2">
            <w:pPr>
              <w:pStyle w:val="DHHSmainheading"/>
              <w:spacing w:line="270" w:lineRule="atLeast"/>
              <w:rPr>
                <w:sz w:val="44"/>
                <w:szCs w:val="44"/>
              </w:rPr>
            </w:pPr>
            <w:r w:rsidRPr="00B95825">
              <w:rPr>
                <w:rFonts w:cs="Arial"/>
                <w:sz w:val="44"/>
                <w:szCs w:val="44"/>
              </w:rPr>
              <w:t>Leaving care support services</w:t>
            </w:r>
            <w:r w:rsidR="00F922BE" w:rsidRPr="00DE4E5C">
              <w:rPr>
                <w:rFonts w:cs="Arial"/>
                <w:sz w:val="44"/>
                <w:szCs w:val="44"/>
              </w:rPr>
              <w:br/>
            </w:r>
            <w:r w:rsidRPr="00B95825">
              <w:rPr>
                <w:rFonts w:cs="Arial"/>
                <w:sz w:val="44"/>
                <w:szCs w:val="44"/>
              </w:rPr>
              <w:t>31414</w:t>
            </w:r>
          </w:p>
        </w:tc>
      </w:tr>
      <w:tr w:rsidR="00AD784C" w14:paraId="5FC3ED94" w14:textId="77777777" w:rsidTr="00446FB5">
        <w:trPr>
          <w:trHeight w:hRule="exact" w:val="1118"/>
        </w:trPr>
        <w:tc>
          <w:tcPr>
            <w:tcW w:w="8341" w:type="dxa"/>
            <w:shd w:val="clear" w:color="auto" w:fill="auto"/>
            <w:tcMar>
              <w:top w:w="170" w:type="dxa"/>
              <w:bottom w:w="510" w:type="dxa"/>
            </w:tcMar>
          </w:tcPr>
          <w:p w14:paraId="52F78CEC" w14:textId="77777777" w:rsidR="000E1740" w:rsidRDefault="00F922BE" w:rsidP="005E76EA">
            <w:pPr>
              <w:pStyle w:val="DHHSmainsubheading"/>
              <w:rPr>
                <w:szCs w:val="28"/>
              </w:rPr>
            </w:pPr>
            <w:r>
              <w:rPr>
                <w:szCs w:val="28"/>
              </w:rPr>
              <w:t>Outcome objective</w:t>
            </w:r>
            <w:r w:rsidR="00DE4E5C">
              <w:rPr>
                <w:szCs w:val="28"/>
              </w:rPr>
              <w:t>:</w:t>
            </w:r>
            <w:r>
              <w:rPr>
                <w:szCs w:val="28"/>
              </w:rPr>
              <w:t xml:space="preserve"> </w:t>
            </w:r>
            <w:r w:rsidR="000E1740">
              <w:rPr>
                <w:szCs w:val="28"/>
              </w:rPr>
              <w:t>Victorians are safe and secure</w:t>
            </w:r>
          </w:p>
          <w:p w14:paraId="7DE62481" w14:textId="77777777" w:rsidR="00DE4E5C" w:rsidRDefault="00F922BE" w:rsidP="005E76EA">
            <w:pPr>
              <w:pStyle w:val="DHHSmainsubheading"/>
              <w:rPr>
                <w:szCs w:val="28"/>
              </w:rPr>
            </w:pPr>
            <w:r>
              <w:rPr>
                <w:szCs w:val="28"/>
              </w:rPr>
              <w:t xml:space="preserve">Output group: </w:t>
            </w:r>
            <w:r w:rsidR="00A21BDA" w:rsidRPr="00A21BDA">
              <w:rPr>
                <w:szCs w:val="28"/>
              </w:rPr>
              <w:t>Child protection and family services</w:t>
            </w:r>
          </w:p>
          <w:p w14:paraId="011362DA" w14:textId="77777777" w:rsidR="00F922BE" w:rsidRPr="00AD784C" w:rsidRDefault="00F922BE" w:rsidP="00D1443D">
            <w:pPr>
              <w:pStyle w:val="DHHSmainsubheading"/>
              <w:rPr>
                <w:szCs w:val="28"/>
              </w:rPr>
            </w:pPr>
            <w:r>
              <w:rPr>
                <w:szCs w:val="28"/>
              </w:rPr>
              <w:t xml:space="preserve">Output: </w:t>
            </w:r>
            <w:r w:rsidR="00A21BDA" w:rsidRPr="00A21BDA">
              <w:rPr>
                <w:szCs w:val="28"/>
              </w:rPr>
              <w:t>Placement services</w:t>
            </w:r>
          </w:p>
        </w:tc>
      </w:tr>
    </w:tbl>
    <w:p w14:paraId="7A7E434B" w14:textId="77777777" w:rsidR="007173CA" w:rsidRDefault="007173CA" w:rsidP="006C7A1F">
      <w:pPr>
        <w:pStyle w:val="DHHSbody"/>
        <w:spacing w:beforeLines="40" w:before="96"/>
        <w:sectPr w:rsidR="007173CA" w:rsidSect="00F922BE">
          <w:headerReference w:type="default" r:id="rId10"/>
          <w:footerReference w:type="default" r:id="rId11"/>
          <w:type w:val="continuous"/>
          <w:pgSz w:w="11906" w:h="16838" w:code="9"/>
          <w:pgMar w:top="993" w:right="851" w:bottom="1134" w:left="851" w:header="567" w:footer="510" w:gutter="0"/>
          <w:cols w:space="340"/>
          <w:titlePg/>
          <w:docGrid w:linePitch="360"/>
        </w:sectPr>
      </w:pPr>
      <w:bookmarkStart w:id="0" w:name="_Toc440566508"/>
    </w:p>
    <w:bookmarkEnd w:id="0"/>
    <w:p w14:paraId="58E89B91" w14:textId="5A717C57" w:rsidR="00A62D44" w:rsidRDefault="00B70F76" w:rsidP="00C17901">
      <w:pPr>
        <w:pStyle w:val="Heading1"/>
      </w:pPr>
      <w:r w:rsidRPr="00B70F76">
        <w:t>1.</w:t>
      </w:r>
      <w:r>
        <w:t xml:space="preserve"> </w:t>
      </w:r>
      <w:r w:rsidR="00DF6BAF">
        <w:t xml:space="preserve">Service Objective </w:t>
      </w:r>
    </w:p>
    <w:p w14:paraId="39F13589" w14:textId="77777777" w:rsidR="00D64A29" w:rsidRPr="00D64A29" w:rsidRDefault="00B95825" w:rsidP="00D64A29">
      <w:pPr>
        <w:pStyle w:val="DHHSbody"/>
      </w:pPr>
      <w:bookmarkStart w:id="1" w:name="_Toc256778633"/>
      <w:r w:rsidRPr="00D64A29">
        <w:t>Leaving care support services aim to assist young people to successfully transition from out-of-home care to independent living.</w:t>
      </w:r>
    </w:p>
    <w:p w14:paraId="46FE0D85" w14:textId="6A8CE319" w:rsidR="00DF6BAF" w:rsidRDefault="00D64A29" w:rsidP="00E76662">
      <w:pPr>
        <w:pStyle w:val="Heading1"/>
      </w:pPr>
      <w:r>
        <w:t>2.</w:t>
      </w:r>
      <w:r w:rsidR="00B70F76" w:rsidRPr="00B70F76">
        <w:t xml:space="preserve"> </w:t>
      </w:r>
      <w:r w:rsidR="00DF6BAF">
        <w:t>Description of the service</w:t>
      </w:r>
    </w:p>
    <w:p w14:paraId="1B59910B" w14:textId="77777777" w:rsidR="00A8547B" w:rsidRDefault="00A8547B" w:rsidP="00A8547B">
      <w:pPr>
        <w:pStyle w:val="DHHSbody"/>
      </w:pPr>
      <w:r>
        <w:t>Leaving care services include the following:</w:t>
      </w:r>
    </w:p>
    <w:p w14:paraId="561E11C9" w14:textId="77777777" w:rsidR="00A8547B" w:rsidRDefault="00A8547B" w:rsidP="00A8547B">
      <w:pPr>
        <w:pStyle w:val="DHHSbullet1"/>
      </w:pPr>
      <w:r>
        <w:t>Leaving care mentoring (LCM) provides young people, 15–21 years old, with opportunities to interact with supportive adults to assist them to engage in community activities</w:t>
      </w:r>
    </w:p>
    <w:p w14:paraId="5A9D2E19" w14:textId="77777777" w:rsidR="00A8547B" w:rsidRDefault="00A8547B" w:rsidP="00A8547B">
      <w:pPr>
        <w:pStyle w:val="DHHSbullet1"/>
      </w:pPr>
      <w:r>
        <w:t>Post care support, referral and information services support young people 16–21 years old who require assistance in their transition to independence once their family reunification order, a care by Secretary order or a long-term care order expires for the final time</w:t>
      </w:r>
    </w:p>
    <w:p w14:paraId="5AFE6C5E" w14:textId="77777777" w:rsidR="00A8547B" w:rsidRDefault="00A8547B" w:rsidP="00A8547B">
      <w:pPr>
        <w:pStyle w:val="DHHSbullet1"/>
      </w:pPr>
      <w:r>
        <w:t>Leaving care brokerage provides flexible support funding for young people 16–18 years old transitioning from state care, and young people 18–21 years old who need support after leaving state care</w:t>
      </w:r>
    </w:p>
    <w:p w14:paraId="6D903294" w14:textId="77777777" w:rsidR="009F7CFC" w:rsidRPr="00A8547B" w:rsidRDefault="00A8547B" w:rsidP="00A8547B">
      <w:pPr>
        <w:pStyle w:val="DHHSbullet1"/>
        <w:rPr>
          <w:b/>
          <w:bCs/>
        </w:rPr>
      </w:pPr>
      <w:r>
        <w:t>Leaving care support for Aboriginal young people</w:t>
      </w:r>
      <w:r w:rsidR="00C15686">
        <w:t>.</w:t>
      </w:r>
    </w:p>
    <w:p w14:paraId="4FF14F33" w14:textId="52C8924A" w:rsidR="00A8547B" w:rsidRPr="00A31128" w:rsidRDefault="00A8547B" w:rsidP="00A8547B">
      <w:pPr>
        <w:pStyle w:val="DHHSbody"/>
        <w:rPr>
          <w:b/>
        </w:rPr>
      </w:pPr>
      <w:r w:rsidRPr="00A31128">
        <w:rPr>
          <w:b/>
        </w:rPr>
        <w:t xml:space="preserve">Description of leaving care </w:t>
      </w:r>
      <w:r w:rsidR="00F04CBC" w:rsidRPr="00A31128">
        <w:rPr>
          <w:b/>
        </w:rPr>
        <w:t>reform activities</w:t>
      </w:r>
      <w:r w:rsidR="00A31128">
        <w:rPr>
          <w:b/>
        </w:rPr>
        <w:t xml:space="preserve"> </w:t>
      </w:r>
      <w:r w:rsidRPr="00A31128">
        <w:rPr>
          <w:b/>
        </w:rPr>
        <w:t>pilots</w:t>
      </w:r>
    </w:p>
    <w:p w14:paraId="7778460B" w14:textId="77777777" w:rsidR="004028EC" w:rsidRDefault="004028EC" w:rsidP="004028EC">
      <w:pPr>
        <w:pStyle w:val="DHHSbullet1"/>
      </w:pPr>
      <w:r w:rsidRPr="00D10D2D">
        <w:rPr>
          <w:b/>
        </w:rPr>
        <w:t>Better Futures</w:t>
      </w:r>
      <w:r w:rsidRPr="00BC5D2C">
        <w:t xml:space="preserve"> -</w:t>
      </w:r>
      <w:r w:rsidRPr="00D10D2D">
        <w:rPr>
          <w:b/>
        </w:rPr>
        <w:t xml:space="preserve"> </w:t>
      </w:r>
      <w:r w:rsidRPr="00BC5D2C">
        <w:t>a post care support service</w:t>
      </w:r>
      <w:r>
        <w:t xml:space="preserve"> (Better Futures) operating in the South Division and Barwon area with Goulburn area commencing operations in March 2019. Better Futures pilots are trialling </w:t>
      </w:r>
      <w:r w:rsidRPr="008858A8">
        <w:t xml:space="preserve">a new </w:t>
      </w:r>
      <w:r>
        <w:t xml:space="preserve">service delivery model to </w:t>
      </w:r>
      <w:r w:rsidRPr="008858A8">
        <w:t>improve outcomes for young people</w:t>
      </w:r>
      <w:r>
        <w:t xml:space="preserve"> transitioning from </w:t>
      </w:r>
      <w:r w:rsidRPr="008858A8">
        <w:t>out-of</w:t>
      </w:r>
      <w:r>
        <w:t>-</w:t>
      </w:r>
      <w:r w:rsidRPr="008858A8">
        <w:t xml:space="preserve"> home care</w:t>
      </w:r>
      <w:r>
        <w:t xml:space="preserve">. It will provide early engagement; levels of support depending on the young person’s needs; flexible funding to facilitate access to education, employment, health and wellbeing supports and connection to community. </w:t>
      </w:r>
    </w:p>
    <w:p w14:paraId="5C241120" w14:textId="77777777" w:rsidR="004028EC" w:rsidRDefault="004028EC" w:rsidP="004028EC">
      <w:pPr>
        <w:pStyle w:val="DHHSbullet1"/>
        <w:rPr>
          <w:b/>
        </w:rPr>
      </w:pPr>
      <w:r>
        <w:t>The Better Futures pilots are subject to a set of monitoring rules in CRISSP for reporting and evaluation purposes. It is anticipated that Better Futures will be implemented across all areas from late 2019.</w:t>
      </w:r>
    </w:p>
    <w:p w14:paraId="6EB1DFA6" w14:textId="77777777" w:rsidR="004028EC" w:rsidRDefault="004028EC" w:rsidP="004028EC">
      <w:pPr>
        <w:pStyle w:val="DHHSbullet1"/>
      </w:pPr>
      <w:r w:rsidRPr="00FE3FB8">
        <w:rPr>
          <w:b/>
        </w:rPr>
        <w:t>Home</w:t>
      </w:r>
      <w:r>
        <w:rPr>
          <w:b/>
        </w:rPr>
        <w:t xml:space="preserve"> </w:t>
      </w:r>
      <w:r w:rsidRPr="00FE3FB8">
        <w:rPr>
          <w:b/>
        </w:rPr>
        <w:t>Stretch –</w:t>
      </w:r>
      <w:r w:rsidRPr="00D10D2D">
        <w:t>will</w:t>
      </w:r>
      <w:r>
        <w:t xml:space="preserve"> be implemented in the Better Futures pilot sites from March 2019. The initiative will</w:t>
      </w:r>
      <w:r w:rsidRPr="00D10D2D">
        <w:t xml:space="preserve"> </w:t>
      </w:r>
      <w:r>
        <w:t>offer a continuation of accommodation allowance for young people in foster and kinship care and young people exiting residential care up to 21 years, casework support and access to flexible funding. It is proposed that Home Stretch will be offered through the Better Futures service delivery model. The department has established a Home Stretch Expert Advisory Group and a Home Stretch Youth Expert Advisory Group to advise on key program design elements, including the relationship between the Better Futures model and Home Stretch.</w:t>
      </w:r>
    </w:p>
    <w:p w14:paraId="38DDDA24" w14:textId="77777777" w:rsidR="004028EC" w:rsidRDefault="004028EC" w:rsidP="004028EC">
      <w:pPr>
        <w:pStyle w:val="DHHSbullet1"/>
      </w:pPr>
      <w:r w:rsidRPr="00D10D2D">
        <w:t>Home Stretch</w:t>
      </w:r>
      <w:r w:rsidRPr="00FE3FB8">
        <w:rPr>
          <w:b/>
        </w:rPr>
        <w:t xml:space="preserve"> </w:t>
      </w:r>
      <w:r w:rsidRPr="008858A8">
        <w:t>will be subject to a set of monitori</w:t>
      </w:r>
      <w:r w:rsidRPr="00783D01">
        <w:t>ng ru</w:t>
      </w:r>
      <w:r>
        <w:t>l</w:t>
      </w:r>
      <w:r w:rsidRPr="008858A8">
        <w:t>es</w:t>
      </w:r>
      <w:r>
        <w:t xml:space="preserve"> in CRISSP for reporting and evaluation purposes. It is anticipated that Home Stretch will be implemented across all areas from late 2019 </w:t>
      </w:r>
    </w:p>
    <w:p w14:paraId="28AFE794" w14:textId="77777777" w:rsidR="00B70F76" w:rsidRPr="00B70F76" w:rsidRDefault="00DF6BAF" w:rsidP="00E76662">
      <w:pPr>
        <w:pStyle w:val="Heading1"/>
      </w:pPr>
      <w:r>
        <w:t xml:space="preserve">3. </w:t>
      </w:r>
      <w:r w:rsidR="00B70F76" w:rsidRPr="00B70F76">
        <w:t>Client group</w:t>
      </w:r>
    </w:p>
    <w:p w14:paraId="7F53D11C" w14:textId="77777777" w:rsidR="009F7CFC" w:rsidRDefault="00A8547B" w:rsidP="00E51804">
      <w:pPr>
        <w:pStyle w:val="DHHSbody"/>
        <w:rPr>
          <w:b/>
          <w:bCs/>
        </w:rPr>
      </w:pPr>
      <w:r w:rsidRPr="00A8547B">
        <w:t>The target group is young people who are 16–21 (mentoring 15–21) years and were living in care on or after their 16th birthday. They are eligible if they have been on a family reunification order, a care by Secretary order or a long-term care order; and on leaving the care of the Secretary, are of an age to, or intends to, live independently.</w:t>
      </w:r>
    </w:p>
    <w:p w14:paraId="4D8A0FCA" w14:textId="77777777" w:rsidR="002D1AA5" w:rsidRDefault="00DF6BAF" w:rsidP="00E76662">
      <w:pPr>
        <w:pStyle w:val="Heading1"/>
      </w:pPr>
      <w:r>
        <w:lastRenderedPageBreak/>
        <w:t>4</w:t>
      </w:r>
      <w:r w:rsidR="00B70F76">
        <w:t xml:space="preserve">. Obligations specific to this </w:t>
      </w:r>
      <w:r w:rsidR="00EC4117">
        <w:t>activity</w:t>
      </w:r>
    </w:p>
    <w:p w14:paraId="448C9286" w14:textId="77777777" w:rsidR="00B70F76" w:rsidRDefault="00DF6BAF" w:rsidP="006C7A1F">
      <w:pPr>
        <w:pStyle w:val="DHHSbody"/>
        <w:spacing w:beforeLines="40" w:before="96"/>
      </w:pPr>
      <w:r>
        <w:t>In addition to the obligations listed in the Service Agreement, o</w:t>
      </w:r>
      <w:r w:rsidR="002B3651">
        <w:t xml:space="preserve">rganisations funded to deliver this </w:t>
      </w:r>
      <w:r w:rsidR="00EC4117">
        <w:t xml:space="preserve">activity </w:t>
      </w:r>
      <w:r w:rsidR="002B3651">
        <w:t>must comply with the following:</w:t>
      </w:r>
    </w:p>
    <w:p w14:paraId="5FDDE5DC" w14:textId="77777777" w:rsidR="00FA3628" w:rsidRPr="001F3DE2" w:rsidRDefault="00FA3628" w:rsidP="00E76662">
      <w:pPr>
        <w:pStyle w:val="Heading2"/>
      </w:pPr>
      <w:r w:rsidRPr="001F3DE2">
        <w:t xml:space="preserve">4a.  Registration and Accreditation </w:t>
      </w:r>
    </w:p>
    <w:p w14:paraId="5EC81830" w14:textId="0C2445DA" w:rsidR="00FA3628" w:rsidRPr="000E20DB" w:rsidRDefault="00FA3628" w:rsidP="000E20DB">
      <w:pPr>
        <w:pStyle w:val="DHHSbullet1"/>
      </w:pPr>
      <w:r w:rsidRPr="000E20DB">
        <w:t>Independent review and accreditation against the department’s Human Services Standards, unless exempted</w:t>
      </w:r>
      <w:r w:rsidR="000E20DB" w:rsidRPr="000E20DB">
        <w:t>.</w:t>
      </w:r>
    </w:p>
    <w:p w14:paraId="3D54DF86" w14:textId="77777777" w:rsidR="00FA3628" w:rsidRPr="001F3DE2" w:rsidRDefault="00FA3628" w:rsidP="00E76662">
      <w:pPr>
        <w:pStyle w:val="Heading2"/>
      </w:pPr>
      <w:r w:rsidRPr="001F3DE2">
        <w:t xml:space="preserve">4b. Program requirements and other policy guidelines </w:t>
      </w:r>
    </w:p>
    <w:bookmarkStart w:id="2" w:name="_Toc421023841"/>
    <w:bookmarkStart w:id="3" w:name="_Toc475953722"/>
    <w:bookmarkStart w:id="4" w:name="_Toc477437702"/>
    <w:bookmarkStart w:id="5" w:name="_Toc529373787"/>
    <w:p w14:paraId="0BEBCD9B" w14:textId="77777777" w:rsidR="000E20DB" w:rsidRPr="000E20DB" w:rsidRDefault="00E76662" w:rsidP="00A8547B">
      <w:pPr>
        <w:pStyle w:val="DHHSbullet1"/>
      </w:pPr>
      <w:r w:rsidRPr="00E76662">
        <w:rPr>
          <w:color w:val="7030A0"/>
        </w:rPr>
        <w:fldChar w:fldCharType="begin"/>
      </w:r>
      <w:r w:rsidRPr="00E76662">
        <w:rPr>
          <w:color w:val="7030A0"/>
        </w:rPr>
        <w:instrText xml:space="preserve"> HYPERLINK "https://providers.dhhs.vic.gov.au/care-and-transition-planning-leaving-care-framework-word-0" </w:instrText>
      </w:r>
      <w:r w:rsidRPr="00E76662">
        <w:rPr>
          <w:color w:val="7030A0"/>
        </w:rPr>
        <w:fldChar w:fldCharType="separate"/>
      </w:r>
      <w:r w:rsidR="00A8547B" w:rsidRPr="00E76662">
        <w:rPr>
          <w:rStyle w:val="Hyperlink"/>
          <w:color w:val="7030A0"/>
        </w:rPr>
        <w:t>Commonwealth Transitioning to Independence from out-of-home care</w:t>
      </w:r>
      <w:r w:rsidRPr="00E76662">
        <w:rPr>
          <w:color w:val="7030A0"/>
        </w:rPr>
        <w:fldChar w:fldCharType="end"/>
      </w:r>
      <w:r w:rsidR="00A8547B" w:rsidRPr="00E76662">
        <w:rPr>
          <w:color w:val="7030A0"/>
        </w:rPr>
        <w:t xml:space="preserve"> </w:t>
      </w:r>
    </w:p>
    <w:p w14:paraId="7C0FFBB5" w14:textId="13BE706D" w:rsidR="00A8547B" w:rsidRDefault="00A8547B" w:rsidP="000E20DB">
      <w:pPr>
        <w:pStyle w:val="DHHSbullet1"/>
        <w:numPr>
          <w:ilvl w:val="0"/>
          <w:numId w:val="0"/>
        </w:numPr>
        <w:ind w:left="284"/>
      </w:pPr>
      <w:r>
        <w:t>&lt;</w:t>
      </w:r>
      <w:r w:rsidR="00E76662">
        <w:t xml:space="preserve"> </w:t>
      </w:r>
      <w:r w:rsidR="00E76662" w:rsidRPr="00E76662">
        <w:t>https://providers.dhhs.vic.gov.au/care-and-transition-planning-leaving-care-framework-word-0</w:t>
      </w:r>
      <w:r w:rsidR="00E76662">
        <w:t xml:space="preserve">&gt;  </w:t>
      </w:r>
    </w:p>
    <w:p w14:paraId="0C383B67" w14:textId="487E50D3" w:rsidR="00A8547B" w:rsidRDefault="0085706D" w:rsidP="00A8547B">
      <w:pPr>
        <w:pStyle w:val="DHHSbullet1"/>
      </w:pPr>
      <w:hyperlink r:id="rId12" w:history="1">
        <w:r w:rsidR="00A8547B" w:rsidRPr="00E76662">
          <w:rPr>
            <w:rStyle w:val="Hyperlink"/>
            <w:color w:val="7030A0"/>
          </w:rPr>
          <w:t>Department of Health and Human Services Management Response to Inhalant Use</w:t>
        </w:r>
      </w:hyperlink>
      <w:r w:rsidR="00A8547B" w:rsidRPr="00E76662">
        <w:rPr>
          <w:color w:val="7030A0"/>
        </w:rPr>
        <w:t xml:space="preserve"> </w:t>
      </w:r>
      <w:r w:rsidR="00E76662">
        <w:t>&lt;</w:t>
      </w:r>
      <w:r w:rsidR="00E76662" w:rsidRPr="00E76662">
        <w:t xml:space="preserve">https://www2.health.vic.gov.au/about/publications/researchandreports/management-response-to-inhalant-use-guidelines </w:t>
      </w:r>
      <w:r w:rsidR="00A8547B">
        <w:t>&gt;</w:t>
      </w:r>
    </w:p>
    <w:p w14:paraId="351639D6" w14:textId="77777777" w:rsidR="000E20DB" w:rsidRDefault="0085706D" w:rsidP="00E26D51">
      <w:pPr>
        <w:pStyle w:val="DHHSbullet1"/>
      </w:pPr>
      <w:hyperlink r:id="rId13" w:history="1">
        <w:r w:rsidR="00A8547B" w:rsidRPr="00E76662">
          <w:rPr>
            <w:rStyle w:val="Hyperlink"/>
            <w:color w:val="7030A0"/>
          </w:rPr>
          <w:t>Program requirements for residential care services in Victoria</w:t>
        </w:r>
      </w:hyperlink>
      <w:r w:rsidR="00A8547B">
        <w:t xml:space="preserve"> </w:t>
      </w:r>
    </w:p>
    <w:p w14:paraId="7BBB94CB" w14:textId="703B7C23" w:rsidR="00E76662" w:rsidRDefault="00A8547B" w:rsidP="000E20DB">
      <w:pPr>
        <w:pStyle w:val="DHHSbullet1"/>
        <w:numPr>
          <w:ilvl w:val="0"/>
          <w:numId w:val="0"/>
        </w:numPr>
        <w:ind w:left="284"/>
      </w:pPr>
      <w:r>
        <w:t>&lt;</w:t>
      </w:r>
      <w:r w:rsidR="00E76662" w:rsidRPr="00E76662">
        <w:t xml:space="preserve"> https://providers.dhhs.vic.gov.au/program-requirements-residential-care-victoria-oct-2016-word </w:t>
      </w:r>
    </w:p>
    <w:p w14:paraId="3F466F2F" w14:textId="77777777" w:rsidR="000E20DB" w:rsidRPr="000E20DB" w:rsidRDefault="0085706D" w:rsidP="00E26D51">
      <w:pPr>
        <w:pStyle w:val="DHHSbullet1"/>
      </w:pPr>
      <w:hyperlink r:id="rId14" w:history="1">
        <w:r w:rsidR="00A8547B" w:rsidRPr="00E76662">
          <w:rPr>
            <w:rStyle w:val="Hyperlink"/>
            <w:color w:val="7030A0"/>
          </w:rPr>
          <w:t>Care and transition planning for young people leaving care framework</w:t>
        </w:r>
      </w:hyperlink>
      <w:r w:rsidR="00A8547B" w:rsidRPr="00E76662">
        <w:rPr>
          <w:color w:val="7030A0"/>
        </w:rPr>
        <w:t xml:space="preserve"> </w:t>
      </w:r>
      <w:r w:rsidR="00E76662" w:rsidRPr="00E76662">
        <w:rPr>
          <w:color w:val="7030A0"/>
        </w:rPr>
        <w:t xml:space="preserve"> </w:t>
      </w:r>
    </w:p>
    <w:p w14:paraId="445C3684" w14:textId="30B5889B" w:rsidR="00A8547B" w:rsidRDefault="00E76662" w:rsidP="000E20DB">
      <w:pPr>
        <w:pStyle w:val="DHHSbullet1"/>
        <w:numPr>
          <w:ilvl w:val="0"/>
          <w:numId w:val="0"/>
        </w:numPr>
        <w:ind w:left="284"/>
      </w:pPr>
      <w:r>
        <w:t>&lt;</w:t>
      </w:r>
      <w:r w:rsidRPr="00E76662">
        <w:t>https://providers.dhhs.vic.gov.au/care-and-transition-planning-leaving-care-framework-word-0</w:t>
      </w:r>
      <w:r>
        <w:t>&gt;</w:t>
      </w:r>
      <w:r w:rsidRPr="00E76662">
        <w:t xml:space="preserve"> </w:t>
      </w:r>
    </w:p>
    <w:p w14:paraId="20A43D3F" w14:textId="77777777" w:rsidR="00575BC9" w:rsidRPr="00575BC9" w:rsidRDefault="00DF6BAF" w:rsidP="00E76662">
      <w:pPr>
        <w:pStyle w:val="Heading1"/>
      </w:pPr>
      <w:r>
        <w:t>5</w:t>
      </w:r>
      <w:r w:rsidR="00575BC9">
        <w:t xml:space="preserve">. </w:t>
      </w:r>
      <w:bookmarkEnd w:id="2"/>
      <w:bookmarkEnd w:id="3"/>
      <w:bookmarkEnd w:id="4"/>
      <w:bookmarkEnd w:id="5"/>
      <w:r w:rsidR="0017293C">
        <w:t>Performance</w:t>
      </w:r>
    </w:p>
    <w:p w14:paraId="57CE64D0" w14:textId="77777777" w:rsidR="00575BC9" w:rsidRPr="001F1A17" w:rsidRDefault="00E05E8D" w:rsidP="00E76662">
      <w:pPr>
        <w:pStyle w:val="DHHSbody"/>
      </w:pPr>
      <w:r>
        <w:t>Funding is subject to</w:t>
      </w:r>
      <w:r w:rsidR="0017293C">
        <w:t xml:space="preserve"> achieving</w:t>
      </w:r>
      <w:r>
        <w:t xml:space="preserve"> the</w:t>
      </w:r>
      <w:r w:rsidR="00575BC9" w:rsidRPr="00171F04">
        <w:t xml:space="preserve"> </w:t>
      </w:r>
      <w:r w:rsidR="00895643">
        <w:t xml:space="preserve">performance </w:t>
      </w:r>
      <w:r>
        <w:t xml:space="preserve">targets </w:t>
      </w:r>
      <w:r w:rsidR="00895643">
        <w:t xml:space="preserve">specified in </w:t>
      </w:r>
      <w:r w:rsidR="00575BC9">
        <w:t>Schedule 2 of the Service Agreement</w:t>
      </w:r>
      <w:r w:rsidR="00895643">
        <w:t>.</w:t>
      </w:r>
      <w:r w:rsidR="006C7A1F">
        <w:t xml:space="preserve"> </w:t>
      </w:r>
      <w:r>
        <w:t xml:space="preserve">Performance is measured as follows:  </w:t>
      </w:r>
    </w:p>
    <w:p w14:paraId="23FE71FB" w14:textId="079B21F7" w:rsidR="00575BC9" w:rsidRPr="000E2F2F" w:rsidRDefault="00E05E8D" w:rsidP="00E76662">
      <w:pPr>
        <w:pStyle w:val="Heading2"/>
        <w:rPr>
          <w:color w:val="FF0000"/>
        </w:rPr>
      </w:pPr>
      <w:r>
        <w:t>Key performance measure</w:t>
      </w:r>
      <w:r w:rsidR="00A21BDA">
        <w:t xml:space="preserve"> 1</w:t>
      </w:r>
      <w:r w:rsidR="00575BC9" w:rsidRPr="00575BC9">
        <w:t xml:space="preserve">: </w:t>
      </w:r>
      <w:r w:rsidR="00A8547B" w:rsidRPr="00A8547B">
        <w:rPr>
          <w:rFonts w:eastAsia="Times"/>
        </w:rPr>
        <w:t>Number of new cases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A8547B" w:rsidRPr="00C237A0" w14:paraId="7DA93531" w14:textId="77777777" w:rsidTr="00E76662">
        <w:trPr>
          <w:cantSplit/>
          <w:trHeight w:hRule="exact" w:val="605"/>
        </w:trPr>
        <w:tc>
          <w:tcPr>
            <w:tcW w:w="2835" w:type="dxa"/>
          </w:tcPr>
          <w:p w14:paraId="73676BAB" w14:textId="77777777" w:rsidR="00A8547B" w:rsidRPr="0017293C" w:rsidRDefault="00A8547B" w:rsidP="0017293C">
            <w:pPr>
              <w:pStyle w:val="DHHStablecolhead"/>
            </w:pPr>
            <w:r w:rsidRPr="00575BC9">
              <w:t>Aim/objective</w:t>
            </w:r>
          </w:p>
        </w:tc>
        <w:tc>
          <w:tcPr>
            <w:tcW w:w="7379" w:type="dxa"/>
          </w:tcPr>
          <w:p w14:paraId="619A75E1" w14:textId="2180342B" w:rsidR="00A8547B" w:rsidRPr="005F67F5" w:rsidRDefault="001D069C" w:rsidP="00503DE8">
            <w:pPr>
              <w:pStyle w:val="DHHStabletext"/>
            </w:pPr>
            <w:r w:rsidRPr="001D069C">
              <w:t>This performance measure is the number of new cases opened.</w:t>
            </w:r>
          </w:p>
        </w:tc>
      </w:tr>
      <w:tr w:rsidR="00B8690F" w:rsidRPr="00C237A0" w14:paraId="14B2F62C" w14:textId="77777777" w:rsidTr="00E76662">
        <w:trPr>
          <w:cantSplit/>
          <w:trHeight w:hRule="exact" w:val="340"/>
        </w:trPr>
        <w:tc>
          <w:tcPr>
            <w:tcW w:w="2835" w:type="dxa"/>
          </w:tcPr>
          <w:p w14:paraId="5F6A8DB0" w14:textId="77777777" w:rsidR="00B8690F" w:rsidRPr="0017293C" w:rsidRDefault="00B8690F" w:rsidP="0017293C">
            <w:pPr>
              <w:pStyle w:val="DHHStablecolhead"/>
            </w:pPr>
            <w:r w:rsidRPr="00575BC9">
              <w:t>Target</w:t>
            </w:r>
          </w:p>
        </w:tc>
        <w:tc>
          <w:tcPr>
            <w:tcW w:w="7379" w:type="dxa"/>
          </w:tcPr>
          <w:p w14:paraId="15CA8091" w14:textId="77777777" w:rsidR="00B8690F" w:rsidRPr="002F7C4B" w:rsidRDefault="00B8690F" w:rsidP="0017293C">
            <w:pPr>
              <w:pStyle w:val="DHHSbody"/>
              <w:spacing w:after="0"/>
              <w:rPr>
                <w:color w:val="7030A0"/>
              </w:rPr>
            </w:pPr>
            <w:r>
              <w:t>The performance measure target is provided in the Service Agreement.</w:t>
            </w:r>
          </w:p>
        </w:tc>
      </w:tr>
      <w:tr w:rsidR="00B8690F" w:rsidRPr="00C237A0" w14:paraId="06C4E010" w14:textId="77777777" w:rsidTr="00E76662">
        <w:trPr>
          <w:cantSplit/>
          <w:trHeight w:hRule="exact" w:val="340"/>
        </w:trPr>
        <w:tc>
          <w:tcPr>
            <w:tcW w:w="2835" w:type="dxa"/>
          </w:tcPr>
          <w:p w14:paraId="309AB201" w14:textId="77777777" w:rsidR="00B8690F" w:rsidRPr="0017293C" w:rsidRDefault="00B8690F" w:rsidP="0017293C">
            <w:pPr>
              <w:pStyle w:val="DHHStablecolhead"/>
            </w:pPr>
            <w:r w:rsidRPr="00575BC9">
              <w:t>Type of count</w:t>
            </w:r>
          </w:p>
        </w:tc>
        <w:tc>
          <w:tcPr>
            <w:tcW w:w="7379" w:type="dxa"/>
          </w:tcPr>
          <w:p w14:paraId="39AB96CC" w14:textId="77777777" w:rsidR="00B8690F" w:rsidRPr="00C237A0" w:rsidRDefault="00A8547B" w:rsidP="00A8547B">
            <w:pPr>
              <w:pStyle w:val="DHHStabletext"/>
              <w:spacing w:before="0" w:after="0"/>
            </w:pPr>
            <w:r>
              <w:rPr>
                <w:color w:val="7030A0"/>
              </w:rPr>
              <w:fldChar w:fldCharType="begin">
                <w:ffData>
                  <w:name w:val=""/>
                  <w:enabled/>
                  <w:calcOnExit w:val="0"/>
                  <w:checkBox>
                    <w:sizeAuto/>
                    <w:default w:val="1"/>
                  </w:checkBox>
                </w:ffData>
              </w:fldChar>
            </w:r>
            <w:r>
              <w:rPr>
                <w:color w:val="7030A0"/>
              </w:rPr>
              <w:instrText xml:space="preserve"> FORMCHECKBOX </w:instrText>
            </w:r>
            <w:r w:rsidR="0085706D">
              <w:rPr>
                <w:color w:val="7030A0"/>
              </w:rPr>
            </w:r>
            <w:r w:rsidR="0085706D">
              <w:rPr>
                <w:color w:val="7030A0"/>
              </w:rPr>
              <w:fldChar w:fldCharType="separate"/>
            </w:r>
            <w:r>
              <w:rPr>
                <w:color w:val="7030A0"/>
              </w:rPr>
              <w:fldChar w:fldCharType="end"/>
            </w:r>
            <w:r w:rsidR="00B8690F">
              <w:rPr>
                <w:color w:val="7030A0"/>
              </w:rPr>
              <w:t xml:space="preserve"> </w:t>
            </w:r>
            <w:r w:rsidR="00B8690F">
              <w:t xml:space="preserve">Cumulative          </w:t>
            </w:r>
            <w:r>
              <w:rPr>
                <w:color w:val="7030A0"/>
              </w:rPr>
              <w:fldChar w:fldCharType="begin">
                <w:ffData>
                  <w:name w:val="Check2"/>
                  <w:enabled/>
                  <w:calcOnExit w:val="0"/>
                  <w:checkBox>
                    <w:sizeAuto/>
                    <w:default w:val="0"/>
                  </w:checkBox>
                </w:ffData>
              </w:fldChar>
            </w:r>
            <w:bookmarkStart w:id="6" w:name="Check2"/>
            <w:r>
              <w:rPr>
                <w:color w:val="7030A0"/>
              </w:rPr>
              <w:instrText xml:space="preserve"> FORMCHECKBOX </w:instrText>
            </w:r>
            <w:r w:rsidR="0085706D">
              <w:rPr>
                <w:color w:val="7030A0"/>
              </w:rPr>
            </w:r>
            <w:r w:rsidR="0085706D">
              <w:rPr>
                <w:color w:val="7030A0"/>
              </w:rPr>
              <w:fldChar w:fldCharType="separate"/>
            </w:r>
            <w:r>
              <w:rPr>
                <w:color w:val="7030A0"/>
              </w:rPr>
              <w:fldChar w:fldCharType="end"/>
            </w:r>
            <w:bookmarkEnd w:id="6"/>
            <w:r w:rsidR="00B8690F">
              <w:rPr>
                <w:color w:val="7030A0"/>
              </w:rPr>
              <w:t xml:space="preserve"> </w:t>
            </w:r>
            <w:r w:rsidR="00B8690F">
              <w:t>Non-cumulative</w:t>
            </w:r>
          </w:p>
        </w:tc>
      </w:tr>
      <w:tr w:rsidR="00A8547B" w:rsidRPr="00C237A0" w14:paraId="52BB4A95" w14:textId="77777777" w:rsidTr="00E76662">
        <w:trPr>
          <w:cantSplit/>
          <w:trHeight w:hRule="exact" w:val="443"/>
        </w:trPr>
        <w:tc>
          <w:tcPr>
            <w:tcW w:w="2835" w:type="dxa"/>
          </w:tcPr>
          <w:p w14:paraId="49D47205" w14:textId="77777777" w:rsidR="00A8547B" w:rsidRPr="0017293C" w:rsidRDefault="00A8547B" w:rsidP="0017293C">
            <w:pPr>
              <w:pStyle w:val="DHHStablecolhead"/>
            </w:pPr>
            <w:r w:rsidRPr="00575BC9">
              <w:t>Counting rule</w:t>
            </w:r>
          </w:p>
        </w:tc>
        <w:tc>
          <w:tcPr>
            <w:tcW w:w="7379" w:type="dxa"/>
          </w:tcPr>
          <w:p w14:paraId="76270A19" w14:textId="77777777" w:rsidR="00A8547B" w:rsidRPr="005F67F5" w:rsidRDefault="00A8547B" w:rsidP="00503DE8">
            <w:pPr>
              <w:pStyle w:val="DHHStabletext"/>
            </w:pPr>
            <w:r w:rsidRPr="005F67F5">
              <w:t xml:space="preserve">Count </w:t>
            </w:r>
            <w:r>
              <w:t>the number of new cases that were opened during the reporting period.</w:t>
            </w:r>
          </w:p>
        </w:tc>
      </w:tr>
      <w:tr w:rsidR="00A8547B" w:rsidRPr="00C237A0" w14:paraId="5CB9F13B" w14:textId="77777777" w:rsidTr="00E76662">
        <w:trPr>
          <w:cantSplit/>
          <w:trHeight w:hRule="exact" w:val="722"/>
        </w:trPr>
        <w:tc>
          <w:tcPr>
            <w:tcW w:w="2835" w:type="dxa"/>
          </w:tcPr>
          <w:p w14:paraId="76290660" w14:textId="77777777" w:rsidR="00A8547B" w:rsidRPr="0017293C" w:rsidRDefault="00A8547B" w:rsidP="0017293C">
            <w:pPr>
              <w:pStyle w:val="DHHStablecolhead"/>
            </w:pPr>
            <w:r w:rsidRPr="00575BC9">
              <w:t>Data source(s) collection</w:t>
            </w:r>
          </w:p>
        </w:tc>
        <w:tc>
          <w:tcPr>
            <w:tcW w:w="7379" w:type="dxa"/>
          </w:tcPr>
          <w:p w14:paraId="1EE67F52" w14:textId="77777777" w:rsidR="00A8547B" w:rsidRDefault="00A8547B" w:rsidP="00503DE8">
            <w:pPr>
              <w:pStyle w:val="DHHStabletext"/>
            </w:pPr>
            <w:r w:rsidRPr="005F67F5">
              <w:t>Client Relationship Information System Service Provider (CRISSP)</w:t>
            </w:r>
            <w:r>
              <w:t xml:space="preserve"> – </w:t>
            </w:r>
            <w:r w:rsidRPr="005F67F5">
              <w:t>youth case.</w:t>
            </w:r>
          </w:p>
          <w:p w14:paraId="0BAF3CBE" w14:textId="77777777" w:rsidR="00A8547B" w:rsidRPr="005F67F5" w:rsidRDefault="00A8547B" w:rsidP="00503DE8">
            <w:pPr>
              <w:pStyle w:val="DHHStabletext"/>
            </w:pPr>
            <w:r>
              <w:t>Service delivery tracking.</w:t>
            </w:r>
          </w:p>
        </w:tc>
      </w:tr>
      <w:tr w:rsidR="00A8547B" w:rsidRPr="00C237A0" w14:paraId="0188B270" w14:textId="77777777" w:rsidTr="00E76662">
        <w:trPr>
          <w:cantSplit/>
          <w:trHeight w:hRule="exact" w:val="727"/>
        </w:trPr>
        <w:tc>
          <w:tcPr>
            <w:tcW w:w="2835" w:type="dxa"/>
          </w:tcPr>
          <w:p w14:paraId="646844B7" w14:textId="77777777" w:rsidR="00A8547B" w:rsidRPr="0017293C" w:rsidRDefault="00A8547B" w:rsidP="0017293C">
            <w:pPr>
              <w:pStyle w:val="DHHStablecolhead"/>
            </w:pPr>
            <w:r w:rsidRPr="00575BC9">
              <w:t>Definition of terms</w:t>
            </w:r>
          </w:p>
        </w:tc>
        <w:tc>
          <w:tcPr>
            <w:tcW w:w="7379" w:type="dxa"/>
          </w:tcPr>
          <w:p w14:paraId="0F2109FC" w14:textId="77777777" w:rsidR="00A8547B" w:rsidRPr="005F67F5" w:rsidRDefault="00A8547B" w:rsidP="00503DE8">
            <w:pPr>
              <w:pStyle w:val="DHHStabletext"/>
            </w:pPr>
            <w:r w:rsidRPr="005F67F5">
              <w:t>A client is defined as a young person 16</w:t>
            </w:r>
            <w:r>
              <w:t>–</w:t>
            </w:r>
            <w:r w:rsidRPr="005F67F5">
              <w:t>2</w:t>
            </w:r>
            <w:r>
              <w:t>1</w:t>
            </w:r>
            <w:r w:rsidRPr="005F67F5">
              <w:t xml:space="preserve"> years</w:t>
            </w:r>
            <w:r>
              <w:t xml:space="preserve"> old</w:t>
            </w:r>
            <w:r w:rsidRPr="005F67F5">
              <w:t xml:space="preserve"> receiving leaving care support.</w:t>
            </w:r>
          </w:p>
        </w:tc>
      </w:tr>
    </w:tbl>
    <w:p w14:paraId="74321467" w14:textId="77777777" w:rsidR="00575BC9" w:rsidRPr="00575BC9" w:rsidRDefault="00DF6BAF" w:rsidP="00E76662">
      <w:pPr>
        <w:pStyle w:val="Heading1"/>
      </w:pPr>
      <w:r>
        <w:t>6</w:t>
      </w:r>
      <w:r w:rsidR="00575BC9">
        <w:t>. Data collection</w:t>
      </w:r>
    </w:p>
    <w:p w14:paraId="4045A995" w14:textId="77777777" w:rsidR="00575BC9" w:rsidRDefault="00A11FC5" w:rsidP="00E76662">
      <w:pPr>
        <w:pStyle w:val="DHHSbody"/>
      </w:pPr>
      <w:r>
        <w:t>The r</w:t>
      </w:r>
      <w:r w:rsidR="0087683C">
        <w:t>eporting requirements for this service</w:t>
      </w:r>
      <w:r>
        <w:t xml:space="preserv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575BC9" w:rsidRPr="00045493" w14:paraId="20B963F0" w14:textId="77777777" w:rsidTr="00E76662">
        <w:trPr>
          <w:trHeight w:hRule="exact" w:val="340"/>
          <w:tblHeader/>
        </w:trPr>
        <w:tc>
          <w:tcPr>
            <w:tcW w:w="2580" w:type="dxa"/>
          </w:tcPr>
          <w:p w14:paraId="4B878960" w14:textId="77777777" w:rsidR="00575BC9" w:rsidRPr="00575BC9" w:rsidRDefault="00575BC9" w:rsidP="0017293C">
            <w:pPr>
              <w:pStyle w:val="DHHStablecolhead"/>
              <w:spacing w:before="0" w:after="0"/>
            </w:pPr>
            <w:r w:rsidRPr="00575BC9">
              <w:t>Data collection name</w:t>
            </w:r>
          </w:p>
        </w:tc>
        <w:tc>
          <w:tcPr>
            <w:tcW w:w="2580" w:type="dxa"/>
          </w:tcPr>
          <w:p w14:paraId="29AE1652" w14:textId="77777777" w:rsidR="00575BC9" w:rsidRPr="00575BC9" w:rsidRDefault="00575BC9" w:rsidP="0017293C">
            <w:pPr>
              <w:pStyle w:val="DHHStablecolhead"/>
              <w:spacing w:before="0" w:after="0"/>
            </w:pPr>
            <w:r w:rsidRPr="00575BC9">
              <w:t xml:space="preserve">Data system </w:t>
            </w:r>
          </w:p>
        </w:tc>
        <w:tc>
          <w:tcPr>
            <w:tcW w:w="2580" w:type="dxa"/>
          </w:tcPr>
          <w:p w14:paraId="169B1797" w14:textId="77777777" w:rsidR="00575BC9" w:rsidRPr="00575BC9" w:rsidRDefault="00575BC9" w:rsidP="0017293C">
            <w:pPr>
              <w:pStyle w:val="DHHStablecolhead"/>
              <w:spacing w:before="0" w:after="0"/>
            </w:pPr>
            <w:r w:rsidRPr="00575BC9">
              <w:t xml:space="preserve">Data set </w:t>
            </w:r>
          </w:p>
        </w:tc>
        <w:tc>
          <w:tcPr>
            <w:tcW w:w="2508" w:type="dxa"/>
          </w:tcPr>
          <w:p w14:paraId="56E4C07D" w14:textId="77777777" w:rsidR="00575BC9" w:rsidRPr="00575BC9" w:rsidRDefault="00575BC9" w:rsidP="0017293C">
            <w:pPr>
              <w:pStyle w:val="DHHStablecolhead"/>
              <w:spacing w:before="0" w:after="0"/>
            </w:pPr>
            <w:r w:rsidRPr="00575BC9">
              <w:t>Reporting cycle</w:t>
            </w:r>
          </w:p>
        </w:tc>
      </w:tr>
      <w:tr w:rsidR="00A8547B" w:rsidRPr="00C237A0" w14:paraId="66C89336" w14:textId="77777777" w:rsidTr="00E76662">
        <w:trPr>
          <w:trHeight w:val="20"/>
        </w:trPr>
        <w:tc>
          <w:tcPr>
            <w:tcW w:w="2580" w:type="dxa"/>
          </w:tcPr>
          <w:p w14:paraId="033BB094" w14:textId="77777777" w:rsidR="00A8547B" w:rsidRPr="00881C0E" w:rsidRDefault="00A8547B" w:rsidP="00503DE8">
            <w:pPr>
              <w:pStyle w:val="DHHStabletext"/>
              <w:rPr>
                <w:rFonts w:cs="Arial"/>
                <w:b/>
              </w:rPr>
            </w:pPr>
            <w:r>
              <w:rPr>
                <w:rFonts w:cs="Arial"/>
              </w:rPr>
              <w:t>Service delivery tracking (SDT)</w:t>
            </w:r>
          </w:p>
        </w:tc>
        <w:tc>
          <w:tcPr>
            <w:tcW w:w="2580" w:type="dxa"/>
          </w:tcPr>
          <w:p w14:paraId="23F1CEB2" w14:textId="77777777" w:rsidR="00A8547B" w:rsidRPr="00881C0E" w:rsidRDefault="00A8547B" w:rsidP="00503DE8">
            <w:pPr>
              <w:pStyle w:val="DHHStabletext"/>
              <w:rPr>
                <w:rFonts w:cs="Arial"/>
              </w:rPr>
            </w:pPr>
            <w:r>
              <w:rPr>
                <w:rFonts w:cs="Arial"/>
                <w:lang w:eastAsia="en-AU"/>
              </w:rPr>
              <w:t>FAC/SAMS2</w:t>
            </w:r>
          </w:p>
        </w:tc>
        <w:tc>
          <w:tcPr>
            <w:tcW w:w="2580" w:type="dxa"/>
          </w:tcPr>
          <w:p w14:paraId="0E934D99" w14:textId="77777777" w:rsidR="00A8547B" w:rsidRPr="00881C0E" w:rsidRDefault="00A8547B" w:rsidP="00503DE8">
            <w:pPr>
              <w:pStyle w:val="DHHStabletext"/>
              <w:rPr>
                <w:rFonts w:cs="Arial"/>
              </w:rPr>
            </w:pPr>
            <w:r>
              <w:rPr>
                <w:rFonts w:cs="Arial"/>
              </w:rPr>
              <w:t>SAMS2/Service delivery tracking data set.</w:t>
            </w:r>
          </w:p>
        </w:tc>
        <w:tc>
          <w:tcPr>
            <w:tcW w:w="2508" w:type="dxa"/>
          </w:tcPr>
          <w:p w14:paraId="4414A346" w14:textId="77777777" w:rsidR="00A8547B" w:rsidRPr="00881C0E" w:rsidRDefault="00A8547B" w:rsidP="00503DE8">
            <w:pPr>
              <w:pStyle w:val="DHHStabletext"/>
              <w:rPr>
                <w:rFonts w:cs="Arial"/>
              </w:rPr>
            </w:pPr>
            <w:r>
              <w:rPr>
                <w:rFonts w:cs="Arial"/>
              </w:rPr>
              <w:t>Monthly</w:t>
            </w:r>
          </w:p>
        </w:tc>
      </w:tr>
      <w:tr w:rsidR="00A8547B" w:rsidRPr="00C237A0" w14:paraId="2FC596B6" w14:textId="77777777" w:rsidTr="00E76662">
        <w:tblPrEx>
          <w:tblLook w:val="01E0" w:firstRow="1" w:lastRow="1" w:firstColumn="1" w:lastColumn="1" w:noHBand="0" w:noVBand="0"/>
        </w:tblPrEx>
        <w:trPr>
          <w:trHeight w:val="20"/>
        </w:trPr>
        <w:tc>
          <w:tcPr>
            <w:tcW w:w="2580" w:type="dxa"/>
          </w:tcPr>
          <w:p w14:paraId="37C47634" w14:textId="77777777" w:rsidR="00A8547B" w:rsidRPr="00881C0E" w:rsidRDefault="00A8547B" w:rsidP="00503DE8">
            <w:pPr>
              <w:pStyle w:val="DHHStabletext"/>
              <w:rPr>
                <w:rFonts w:cs="Arial"/>
                <w:b/>
              </w:rPr>
            </w:pPr>
            <w:r>
              <w:rPr>
                <w:rFonts w:cs="Arial"/>
              </w:rPr>
              <w:t>Leaving care</w:t>
            </w:r>
          </w:p>
        </w:tc>
        <w:tc>
          <w:tcPr>
            <w:tcW w:w="2580" w:type="dxa"/>
          </w:tcPr>
          <w:p w14:paraId="06F77ED6" w14:textId="77777777" w:rsidR="00A8547B" w:rsidRPr="00881C0E" w:rsidRDefault="00A8547B" w:rsidP="00503DE8">
            <w:pPr>
              <w:pStyle w:val="DHHStabletext"/>
              <w:rPr>
                <w:rFonts w:cs="Arial"/>
              </w:rPr>
            </w:pPr>
            <w:r w:rsidRPr="00A82817">
              <w:rPr>
                <w:rFonts w:cs="Arial"/>
                <w:lang w:eastAsia="en-AU"/>
              </w:rPr>
              <w:t>CRISSP</w:t>
            </w:r>
          </w:p>
        </w:tc>
        <w:tc>
          <w:tcPr>
            <w:tcW w:w="2580" w:type="dxa"/>
          </w:tcPr>
          <w:p w14:paraId="5FC99854" w14:textId="77777777" w:rsidR="00A8547B" w:rsidRPr="00881C0E" w:rsidRDefault="00A8547B" w:rsidP="00503DE8">
            <w:pPr>
              <w:pStyle w:val="DHHStabletext"/>
              <w:rPr>
                <w:rFonts w:cs="Arial"/>
              </w:rPr>
            </w:pPr>
            <w:r>
              <w:rPr>
                <w:rFonts w:cs="Arial"/>
              </w:rPr>
              <w:t>CRISSP leaving care</w:t>
            </w:r>
          </w:p>
        </w:tc>
        <w:tc>
          <w:tcPr>
            <w:tcW w:w="2508" w:type="dxa"/>
          </w:tcPr>
          <w:p w14:paraId="53E5BE62" w14:textId="77777777" w:rsidR="00A8547B" w:rsidRPr="00881C0E" w:rsidRDefault="00A8547B" w:rsidP="00503DE8">
            <w:pPr>
              <w:pStyle w:val="DHHStabletext"/>
              <w:rPr>
                <w:rFonts w:cs="Arial"/>
              </w:rPr>
            </w:pPr>
            <w:r>
              <w:rPr>
                <w:rFonts w:cs="Arial"/>
              </w:rPr>
              <w:t>Monthly</w:t>
            </w:r>
          </w:p>
        </w:tc>
      </w:tr>
      <w:bookmarkEnd w:id="1"/>
    </w:tbl>
    <w:p w14:paraId="4A33872D" w14:textId="77777777" w:rsidR="006C7A1F" w:rsidRDefault="006C7A1F" w:rsidP="00AA3CA8">
      <w:pPr>
        <w:rPr>
          <w:sz w:val="4"/>
          <w:szCs w:val="4"/>
        </w:rPr>
      </w:pPr>
    </w:p>
    <w:p w14:paraId="7C1D6ED7" w14:textId="1472B898" w:rsidR="00D64A29" w:rsidRPr="005F2CB2" w:rsidRDefault="00D64A29" w:rsidP="00D64A29">
      <w:pPr>
        <w:pStyle w:val="Heading1"/>
      </w:pPr>
      <w:bookmarkStart w:id="7" w:name="_Hlk23786470"/>
      <w:r w:rsidRPr="005F2CB2">
        <w:lastRenderedPageBreak/>
        <w:t>7. Service redevelopment</w:t>
      </w:r>
    </w:p>
    <w:p w14:paraId="103222EC" w14:textId="0D2080EC" w:rsidR="00D64A29" w:rsidRPr="00C17901" w:rsidRDefault="00D64A29" w:rsidP="00D64A29">
      <w:pPr>
        <w:rPr>
          <w:rFonts w:ascii="Calibri" w:hAnsi="Calibri"/>
        </w:rPr>
      </w:pPr>
      <w:r w:rsidRPr="005F2CB2">
        <w:t>As of November 2019, services funded under this activity have been transferred to new activities introduced in 2019. This activity is being retained until the end of the 2019-20 funding cycle.</w:t>
      </w:r>
    </w:p>
    <w:bookmarkEnd w:id="7"/>
    <w:p w14:paraId="35D5B8FE" w14:textId="77777777" w:rsidR="006C7A1F" w:rsidRDefault="006C7A1F" w:rsidP="00AA3CA8">
      <w:pPr>
        <w:rPr>
          <w:sz w:val="4"/>
          <w:szCs w:val="4"/>
        </w:rPr>
      </w:pPr>
    </w:p>
    <w:p w14:paraId="6326B479" w14:textId="77777777" w:rsidR="006C7A1F" w:rsidRDefault="006C7A1F" w:rsidP="00AA3CA8">
      <w:pPr>
        <w:rPr>
          <w:sz w:val="4"/>
          <w:szCs w:val="4"/>
        </w:rPr>
      </w:pPr>
    </w:p>
    <w:p w14:paraId="7ED95636" w14:textId="77777777" w:rsidR="006C7A1F" w:rsidRDefault="006C7A1F" w:rsidP="00AA3CA8">
      <w:pPr>
        <w:rPr>
          <w:sz w:val="4"/>
          <w:szCs w:val="4"/>
        </w:rPr>
      </w:pPr>
    </w:p>
    <w:p w14:paraId="72CD64E1" w14:textId="77777777" w:rsidR="000667DA" w:rsidRDefault="000667DA" w:rsidP="00AA3CA8">
      <w:pPr>
        <w:rPr>
          <w:sz w:val="4"/>
          <w:szCs w:val="4"/>
        </w:rPr>
      </w:pPr>
    </w:p>
    <w:p w14:paraId="4CA3F0F7" w14:textId="77777777" w:rsidR="000667DA" w:rsidRDefault="000667DA" w:rsidP="00AA3CA8">
      <w:pPr>
        <w:rPr>
          <w:sz w:val="4"/>
          <w:szCs w:val="4"/>
        </w:rPr>
      </w:pPr>
    </w:p>
    <w:p w14:paraId="48601CDB" w14:textId="77777777" w:rsidR="006C7A1F" w:rsidRDefault="006C7A1F" w:rsidP="00AA3CA8">
      <w:pPr>
        <w:rPr>
          <w:sz w:val="4"/>
          <w:szCs w:val="4"/>
        </w:rPr>
      </w:pPr>
    </w:p>
    <w:p w14:paraId="2A3FD155" w14:textId="77777777" w:rsidR="006C7A1F" w:rsidRPr="006C7A1F" w:rsidRDefault="006C7A1F" w:rsidP="00AA3CA8">
      <w:pPr>
        <w:rPr>
          <w:sz w:val="4"/>
          <w:szCs w:val="4"/>
        </w:rPr>
      </w:pPr>
    </w:p>
    <w:tbl>
      <w:tblPr>
        <w:tblW w:w="4800" w:type="pct"/>
        <w:tblInd w:w="113" w:type="dxa"/>
        <w:tblCellMar>
          <w:top w:w="113" w:type="dxa"/>
          <w:bottom w:w="57" w:type="dxa"/>
        </w:tblCellMar>
        <w:tblLook w:val="00A0" w:firstRow="1" w:lastRow="0" w:firstColumn="1" w:lastColumn="0" w:noHBand="0" w:noVBand="0"/>
      </w:tblPr>
      <w:tblGrid>
        <w:gridCol w:w="9786"/>
      </w:tblGrid>
      <w:tr w:rsidR="006A7939" w:rsidRPr="002802E3" w14:paraId="64F90E28" w14:textId="77777777" w:rsidTr="00431E46">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770FB9B0" w14:textId="77777777" w:rsidR="00446FB5" w:rsidRDefault="00446FB5" w:rsidP="00446FB5">
            <w:pPr>
              <w:pStyle w:val="DHHSaccessibilitypara"/>
            </w:pPr>
            <w:r>
              <w:t xml:space="preserve">To receive this publication in an accessible format </w:t>
            </w:r>
            <w:hyperlink r:id="rId15" w:history="1">
              <w:r>
                <w:rPr>
                  <w:rStyle w:val="Hyperlink"/>
                </w:rPr>
                <w:t>email Service Agreement Policy</w:t>
              </w:r>
            </w:hyperlink>
            <w:r>
              <w:t xml:space="preserve"> &lt;</w:t>
            </w:r>
            <w:hyperlink r:id="rId16" w:history="1">
              <w:r>
                <w:rPr>
                  <w:rStyle w:val="Hyperlink"/>
                </w:rPr>
                <w:t>sapolicy@dhhs.vic.gov.au</w:t>
              </w:r>
            </w:hyperlink>
            <w:r>
              <w:t>&gt;</w:t>
            </w:r>
          </w:p>
          <w:p w14:paraId="3153967D" w14:textId="7EA7DB7D" w:rsidR="00446FB5" w:rsidRDefault="00446FB5" w:rsidP="00446FB5">
            <w:pPr>
              <w:pStyle w:val="DHHSbody"/>
              <w:rPr>
                <w:sz w:val="16"/>
                <w:szCs w:val="16"/>
              </w:rPr>
            </w:pPr>
            <w:r>
              <w:rPr>
                <w:sz w:val="16"/>
                <w:szCs w:val="16"/>
              </w:rPr>
              <w:t xml:space="preserve">Authorised and published by the Victorian Government, 1 Treasury Place, Melbourne. © State of Victoria, Department of Health and Human Services, </w:t>
            </w:r>
            <w:r w:rsidR="005E7A96">
              <w:rPr>
                <w:sz w:val="16"/>
                <w:szCs w:val="16"/>
              </w:rPr>
              <w:t>November</w:t>
            </w:r>
            <w:r>
              <w:rPr>
                <w:sz w:val="16"/>
                <w:szCs w:val="16"/>
              </w:rPr>
              <w:t xml:space="preserve"> 2019. Where the term ‘Aboriginal’ is used it refers to both Aboriginal and Torres Strait Islander people. Indigenous is retained when it is part of the title of a report, program or quotation. ISSN 2207-8347 (online/PDF/Word)</w:t>
            </w:r>
          </w:p>
          <w:p w14:paraId="4FA0C02B" w14:textId="1EC2E012" w:rsidR="006A7939" w:rsidRPr="00CA4422" w:rsidRDefault="00446FB5" w:rsidP="00446FB5">
            <w:pPr>
              <w:pStyle w:val="DHHSbody"/>
              <w:spacing w:line="240" w:lineRule="auto"/>
            </w:pPr>
            <w:r>
              <w:t xml:space="preserve">Available on the department’s </w:t>
            </w:r>
            <w:hyperlink r:id="rId17" w:history="1">
              <w:r>
                <w:rPr>
                  <w:rStyle w:val="Hyperlink"/>
                </w:rPr>
                <w:t>Health and human services activity search</w:t>
              </w:r>
            </w:hyperlink>
            <w:r>
              <w:t xml:space="preserve"> &lt;</w:t>
            </w:r>
            <w:r w:rsidRPr="0085706D">
              <w:rPr>
                <w:lang w:eastAsia="en-AU"/>
              </w:rPr>
              <w:t>http://providers.dhhs.vic.gov.au/healt</w:t>
            </w:r>
            <w:bookmarkStart w:id="8" w:name="_GoBack"/>
            <w:bookmarkEnd w:id="8"/>
            <w:r w:rsidRPr="0085706D">
              <w:rPr>
                <w:lang w:eastAsia="en-AU"/>
              </w:rPr>
              <w:t>h-human-services-activity-search</w:t>
            </w:r>
            <w:r>
              <w:rPr>
                <w:color w:val="000000"/>
                <w:lang w:eastAsia="en-AU"/>
              </w:rPr>
              <w:t>&gt;</w:t>
            </w:r>
          </w:p>
        </w:tc>
      </w:tr>
    </w:tbl>
    <w:p w14:paraId="41A0FAE2" w14:textId="77777777" w:rsidR="000918C3" w:rsidRPr="006C7A1F" w:rsidRDefault="000918C3" w:rsidP="006C7A1F">
      <w:pPr>
        <w:rPr>
          <w:sz w:val="2"/>
          <w:szCs w:val="2"/>
          <w:lang w:eastAsia="en-US"/>
        </w:rPr>
      </w:pPr>
    </w:p>
    <w:sectPr w:rsidR="000918C3" w:rsidRPr="006C7A1F"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92A8E" w14:textId="77777777" w:rsidR="000D3756" w:rsidRDefault="000D3756">
      <w:r>
        <w:separator/>
      </w:r>
    </w:p>
  </w:endnote>
  <w:endnote w:type="continuationSeparator" w:id="0">
    <w:p w14:paraId="40FF628E" w14:textId="77777777" w:rsidR="000D3756" w:rsidRDefault="000D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7E9AB" w14:textId="77777777" w:rsidR="009D70A4" w:rsidRPr="00F65AA9" w:rsidRDefault="00457807" w:rsidP="0051568D">
    <w:pPr>
      <w:pStyle w:val="DHHSfooter"/>
    </w:pPr>
    <w:r>
      <w:rPr>
        <w:noProof/>
        <w:lang w:eastAsia="en-AU"/>
      </w:rPr>
      <w:drawing>
        <wp:anchor distT="0" distB="0" distL="114300" distR="114300" simplePos="0" relativeHeight="251657728" behindDoc="0" locked="1" layoutInCell="0" allowOverlap="1" wp14:anchorId="6B0EF64C" wp14:editId="380BC196">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C50F3" w14:textId="0C995564" w:rsidR="009D70A4" w:rsidRPr="00A11421" w:rsidRDefault="003A0723" w:rsidP="0051568D">
    <w:pPr>
      <w:pStyle w:val="DHHSfooter"/>
    </w:pPr>
    <w:r w:rsidRPr="003A0723">
      <w:t>Activity description</w:t>
    </w:r>
    <w:r>
      <w:t xml:space="preserve"> (</w:t>
    </w:r>
    <w:r w:rsidRPr="003A0723">
      <w:t>human services</w:t>
    </w:r>
    <w:r>
      <w:t xml:space="preserve">) </w:t>
    </w:r>
    <w:r w:rsidRPr="003A0723">
      <w:t>Leaving care support services-31414</w:t>
    </w:r>
    <w:r w:rsidR="00A4339C">
      <w:t>(2)</w:t>
    </w:r>
    <w:r w:rsidR="009D70A4" w:rsidRPr="00A11421">
      <w:tab/>
    </w:r>
    <w:r w:rsidR="009D70A4" w:rsidRPr="00A11421">
      <w:fldChar w:fldCharType="begin"/>
    </w:r>
    <w:r w:rsidR="009D70A4" w:rsidRPr="00A11421">
      <w:instrText xml:space="preserve"> PAGE </w:instrText>
    </w:r>
    <w:r w:rsidR="009D70A4" w:rsidRPr="00A11421">
      <w:fldChar w:fldCharType="separate"/>
    </w:r>
    <w:r w:rsidR="00A8547B">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9B061" w14:textId="77777777" w:rsidR="000D3756" w:rsidRDefault="000D3756" w:rsidP="002862F1">
      <w:pPr>
        <w:spacing w:before="120"/>
      </w:pPr>
      <w:r>
        <w:separator/>
      </w:r>
    </w:p>
  </w:footnote>
  <w:footnote w:type="continuationSeparator" w:id="0">
    <w:p w14:paraId="3719AD2A" w14:textId="77777777" w:rsidR="000D3756" w:rsidRDefault="000D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20E50"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FA4411"/>
    <w:multiLevelType w:val="hybridMultilevel"/>
    <w:tmpl w:val="F2262A6E"/>
    <w:lvl w:ilvl="0" w:tplc="0C09000F">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BA23DAC"/>
    <w:multiLevelType w:val="multilevel"/>
    <w:tmpl w:val="8A86A6B0"/>
    <w:styleLink w:val="Bullets"/>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0" w15:restartNumberingAfterBreak="0">
    <w:nsid w:val="4EB2364E"/>
    <w:multiLevelType w:val="hybridMultilevel"/>
    <w:tmpl w:val="89420D52"/>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6910D84"/>
    <w:multiLevelType w:val="hybridMultilevel"/>
    <w:tmpl w:val="7F72DF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6"/>
  </w:num>
  <w:num w:numId="9">
    <w:abstractNumId w:val="12"/>
  </w:num>
  <w:num w:numId="10">
    <w:abstractNumId w:val="15"/>
  </w:num>
  <w:num w:numId="11">
    <w:abstractNumId w:val="7"/>
  </w:num>
  <w:num w:numId="12">
    <w:abstractNumId w:val="8"/>
  </w:num>
  <w:num w:numId="13">
    <w:abstractNumId w:val="4"/>
  </w:num>
  <w:num w:numId="14">
    <w:abstractNumId w:val="13"/>
  </w:num>
  <w:num w:numId="15">
    <w:abstractNumId w:val="2"/>
  </w:num>
  <w:num w:numId="16">
    <w:abstractNumId w:val="10"/>
  </w:num>
  <w:num w:numId="17">
    <w:abstractNumId w:val="9"/>
  </w:num>
  <w:num w:numId="18">
    <w:abstractNumId w:val="14"/>
  </w:num>
  <w:num w:numId="1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25A2"/>
    <w:rsid w:val="000072B6"/>
    <w:rsid w:val="0001021B"/>
    <w:rsid w:val="00011D89"/>
    <w:rsid w:val="000214DC"/>
    <w:rsid w:val="00024D89"/>
    <w:rsid w:val="000250B6"/>
    <w:rsid w:val="00033D81"/>
    <w:rsid w:val="00041BF0"/>
    <w:rsid w:val="0004536B"/>
    <w:rsid w:val="00046B68"/>
    <w:rsid w:val="000527DD"/>
    <w:rsid w:val="00053A78"/>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1740"/>
    <w:rsid w:val="000E20DB"/>
    <w:rsid w:val="000E3CC7"/>
    <w:rsid w:val="000E6BD4"/>
    <w:rsid w:val="000F1F1E"/>
    <w:rsid w:val="000F2259"/>
    <w:rsid w:val="0010392D"/>
    <w:rsid w:val="0010447F"/>
    <w:rsid w:val="00104FE3"/>
    <w:rsid w:val="001068FF"/>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69C"/>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A7B50"/>
    <w:rsid w:val="002B1729"/>
    <w:rsid w:val="002B3651"/>
    <w:rsid w:val="002B4DD4"/>
    <w:rsid w:val="002B5277"/>
    <w:rsid w:val="002B5375"/>
    <w:rsid w:val="002B77C1"/>
    <w:rsid w:val="002C2728"/>
    <w:rsid w:val="002D1AA5"/>
    <w:rsid w:val="002D3358"/>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956CC"/>
    <w:rsid w:val="00395C9A"/>
    <w:rsid w:val="003A0723"/>
    <w:rsid w:val="003A6B67"/>
    <w:rsid w:val="003B15E6"/>
    <w:rsid w:val="003C2045"/>
    <w:rsid w:val="003C43A1"/>
    <w:rsid w:val="003C4FC0"/>
    <w:rsid w:val="003C542D"/>
    <w:rsid w:val="003C55F4"/>
    <w:rsid w:val="003C7A3F"/>
    <w:rsid w:val="003D2766"/>
    <w:rsid w:val="003D3E8F"/>
    <w:rsid w:val="003D6475"/>
    <w:rsid w:val="003F0445"/>
    <w:rsid w:val="003F0CF0"/>
    <w:rsid w:val="003F14B1"/>
    <w:rsid w:val="003F3289"/>
    <w:rsid w:val="00401FCF"/>
    <w:rsid w:val="004028EC"/>
    <w:rsid w:val="00406285"/>
    <w:rsid w:val="004148F9"/>
    <w:rsid w:val="0042084E"/>
    <w:rsid w:val="00421EEF"/>
    <w:rsid w:val="00424D65"/>
    <w:rsid w:val="00442C6C"/>
    <w:rsid w:val="00443CBE"/>
    <w:rsid w:val="00443E8A"/>
    <w:rsid w:val="004441BC"/>
    <w:rsid w:val="004468B4"/>
    <w:rsid w:val="00446FB5"/>
    <w:rsid w:val="0045230A"/>
    <w:rsid w:val="00457337"/>
    <w:rsid w:val="00457807"/>
    <w:rsid w:val="0047372D"/>
    <w:rsid w:val="004743DD"/>
    <w:rsid w:val="00474CEA"/>
    <w:rsid w:val="00483968"/>
    <w:rsid w:val="00484F86"/>
    <w:rsid w:val="00490746"/>
    <w:rsid w:val="00490852"/>
    <w:rsid w:val="00492F30"/>
    <w:rsid w:val="004946F4"/>
    <w:rsid w:val="0049487E"/>
    <w:rsid w:val="00494AA7"/>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2031"/>
    <w:rsid w:val="00575BC9"/>
    <w:rsid w:val="00576E84"/>
    <w:rsid w:val="00582B8C"/>
    <w:rsid w:val="0058757E"/>
    <w:rsid w:val="005938E5"/>
    <w:rsid w:val="00596A4B"/>
    <w:rsid w:val="00597507"/>
    <w:rsid w:val="005B21B6"/>
    <w:rsid w:val="005B384F"/>
    <w:rsid w:val="005B3A08"/>
    <w:rsid w:val="005B7A63"/>
    <w:rsid w:val="005C0955"/>
    <w:rsid w:val="005C49DA"/>
    <w:rsid w:val="005C50F3"/>
    <w:rsid w:val="005C5D91"/>
    <w:rsid w:val="005C7CBC"/>
    <w:rsid w:val="005D0013"/>
    <w:rsid w:val="005D07B8"/>
    <w:rsid w:val="005D6597"/>
    <w:rsid w:val="005E14E7"/>
    <w:rsid w:val="005E26A3"/>
    <w:rsid w:val="005E447E"/>
    <w:rsid w:val="005E76EA"/>
    <w:rsid w:val="005E7A96"/>
    <w:rsid w:val="005F0775"/>
    <w:rsid w:val="005F0CF5"/>
    <w:rsid w:val="005F21EB"/>
    <w:rsid w:val="005F2CB2"/>
    <w:rsid w:val="00605908"/>
    <w:rsid w:val="00610D7C"/>
    <w:rsid w:val="00613414"/>
    <w:rsid w:val="0062408D"/>
    <w:rsid w:val="006240CC"/>
    <w:rsid w:val="00627DA7"/>
    <w:rsid w:val="00633A5F"/>
    <w:rsid w:val="006358B4"/>
    <w:rsid w:val="006419AA"/>
    <w:rsid w:val="00644B7E"/>
    <w:rsid w:val="006454E6"/>
    <w:rsid w:val="00646A68"/>
    <w:rsid w:val="0065092E"/>
    <w:rsid w:val="006544C7"/>
    <w:rsid w:val="006557A7"/>
    <w:rsid w:val="00656290"/>
    <w:rsid w:val="006621D7"/>
    <w:rsid w:val="0066302A"/>
    <w:rsid w:val="00670597"/>
    <w:rsid w:val="006706D0"/>
    <w:rsid w:val="00673455"/>
    <w:rsid w:val="00677574"/>
    <w:rsid w:val="0068454C"/>
    <w:rsid w:val="00691B62"/>
    <w:rsid w:val="00693D14"/>
    <w:rsid w:val="00697090"/>
    <w:rsid w:val="006A18C2"/>
    <w:rsid w:val="006A7939"/>
    <w:rsid w:val="006B077C"/>
    <w:rsid w:val="006B6803"/>
    <w:rsid w:val="006C5390"/>
    <w:rsid w:val="006C7A1F"/>
    <w:rsid w:val="006D2A3F"/>
    <w:rsid w:val="006D2FBC"/>
    <w:rsid w:val="006D72EA"/>
    <w:rsid w:val="006E138B"/>
    <w:rsid w:val="006E3632"/>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C0F0C"/>
    <w:rsid w:val="007C20B9"/>
    <w:rsid w:val="007C7301"/>
    <w:rsid w:val="007C7859"/>
    <w:rsid w:val="007D2932"/>
    <w:rsid w:val="007D2BDE"/>
    <w:rsid w:val="007D2FB6"/>
    <w:rsid w:val="007E0DE2"/>
    <w:rsid w:val="007E1E0B"/>
    <w:rsid w:val="007E3B98"/>
    <w:rsid w:val="007F31B6"/>
    <w:rsid w:val="007F546C"/>
    <w:rsid w:val="007F625F"/>
    <w:rsid w:val="007F665E"/>
    <w:rsid w:val="00800412"/>
    <w:rsid w:val="0080587B"/>
    <w:rsid w:val="00806468"/>
    <w:rsid w:val="008155F0"/>
    <w:rsid w:val="00816735"/>
    <w:rsid w:val="00820141"/>
    <w:rsid w:val="00820E0C"/>
    <w:rsid w:val="008237E6"/>
    <w:rsid w:val="008338A2"/>
    <w:rsid w:val="008370FF"/>
    <w:rsid w:val="00841AA9"/>
    <w:rsid w:val="00853EE4"/>
    <w:rsid w:val="00855535"/>
    <w:rsid w:val="0085706D"/>
    <w:rsid w:val="0086255E"/>
    <w:rsid w:val="008633F0"/>
    <w:rsid w:val="00867D9D"/>
    <w:rsid w:val="0087116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259E"/>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9F7CFC"/>
    <w:rsid w:val="00A0057A"/>
    <w:rsid w:val="00A11421"/>
    <w:rsid w:val="00A11FC5"/>
    <w:rsid w:val="00A157B1"/>
    <w:rsid w:val="00A20D71"/>
    <w:rsid w:val="00A21BDA"/>
    <w:rsid w:val="00A22229"/>
    <w:rsid w:val="00A31128"/>
    <w:rsid w:val="00A4339C"/>
    <w:rsid w:val="00A44882"/>
    <w:rsid w:val="00A54715"/>
    <w:rsid w:val="00A6061C"/>
    <w:rsid w:val="00A62D44"/>
    <w:rsid w:val="00A67263"/>
    <w:rsid w:val="00A7161C"/>
    <w:rsid w:val="00A77AA3"/>
    <w:rsid w:val="00A842F2"/>
    <w:rsid w:val="00A8547B"/>
    <w:rsid w:val="00A854EB"/>
    <w:rsid w:val="00A872E5"/>
    <w:rsid w:val="00A91406"/>
    <w:rsid w:val="00A96E65"/>
    <w:rsid w:val="00A97C72"/>
    <w:rsid w:val="00AA0F86"/>
    <w:rsid w:val="00AA3CA8"/>
    <w:rsid w:val="00AA63D4"/>
    <w:rsid w:val="00AA6C43"/>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4D1A"/>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5825"/>
    <w:rsid w:val="00B960B6"/>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15686"/>
    <w:rsid w:val="00C17901"/>
    <w:rsid w:val="00C27201"/>
    <w:rsid w:val="00C27DE9"/>
    <w:rsid w:val="00C33388"/>
    <w:rsid w:val="00C35484"/>
    <w:rsid w:val="00C4173A"/>
    <w:rsid w:val="00C602FF"/>
    <w:rsid w:val="00C61174"/>
    <w:rsid w:val="00C6148F"/>
    <w:rsid w:val="00C62F7A"/>
    <w:rsid w:val="00C63B9C"/>
    <w:rsid w:val="00C6682F"/>
    <w:rsid w:val="00C7275E"/>
    <w:rsid w:val="00C74C5D"/>
    <w:rsid w:val="00C77250"/>
    <w:rsid w:val="00C863C4"/>
    <w:rsid w:val="00C93C3E"/>
    <w:rsid w:val="00CA12E3"/>
    <w:rsid w:val="00CA4422"/>
    <w:rsid w:val="00CA6611"/>
    <w:rsid w:val="00CA6AE6"/>
    <w:rsid w:val="00CA782F"/>
    <w:rsid w:val="00CC0C72"/>
    <w:rsid w:val="00CC2BFD"/>
    <w:rsid w:val="00CC3FB0"/>
    <w:rsid w:val="00CD3476"/>
    <w:rsid w:val="00CD625A"/>
    <w:rsid w:val="00CD64DF"/>
    <w:rsid w:val="00CF2F50"/>
    <w:rsid w:val="00CF6A3E"/>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64A29"/>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68C7"/>
    <w:rsid w:val="00DF6BAF"/>
    <w:rsid w:val="00DF731A"/>
    <w:rsid w:val="00E05E8D"/>
    <w:rsid w:val="00E170DC"/>
    <w:rsid w:val="00E26818"/>
    <w:rsid w:val="00E27FFC"/>
    <w:rsid w:val="00E30B15"/>
    <w:rsid w:val="00E327EB"/>
    <w:rsid w:val="00E40181"/>
    <w:rsid w:val="00E437CE"/>
    <w:rsid w:val="00E51804"/>
    <w:rsid w:val="00E53D0C"/>
    <w:rsid w:val="00E56A01"/>
    <w:rsid w:val="00E629A1"/>
    <w:rsid w:val="00E71591"/>
    <w:rsid w:val="00E76662"/>
    <w:rsid w:val="00E82C55"/>
    <w:rsid w:val="00E92AC3"/>
    <w:rsid w:val="00EA4E6D"/>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04CBC"/>
    <w:rsid w:val="00F11037"/>
    <w:rsid w:val="00F16F1B"/>
    <w:rsid w:val="00F250A9"/>
    <w:rsid w:val="00F30FF4"/>
    <w:rsid w:val="00F3122E"/>
    <w:rsid w:val="00F331AD"/>
    <w:rsid w:val="00F35287"/>
    <w:rsid w:val="00F425DA"/>
    <w:rsid w:val="00F43A37"/>
    <w:rsid w:val="00F4469B"/>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3133"/>
    <w:rsid w:val="00F76CAB"/>
    <w:rsid w:val="00F772C6"/>
    <w:rsid w:val="00F815B5"/>
    <w:rsid w:val="00F85195"/>
    <w:rsid w:val="00F87FCF"/>
    <w:rsid w:val="00F922BE"/>
    <w:rsid w:val="00F93281"/>
    <w:rsid w:val="00F938BA"/>
    <w:rsid w:val="00FA2C46"/>
    <w:rsid w:val="00FA2E0E"/>
    <w:rsid w:val="00FA3525"/>
    <w:rsid w:val="00FA3628"/>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5"/>
    <o:shapelayout v:ext="edit">
      <o:idmap v:ext="edit" data="1"/>
    </o:shapelayout>
  </w:shapeDefaults>
  <w:decimalSymbol w:val="."/>
  <w:listSeparator w:val=","/>
  <w14:docId w14:val="64830B83"/>
  <w15:docId w15:val="{11AE95DA-ECE5-4B09-83F3-417AB49E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E76662"/>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E76662"/>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E76662"/>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E76662"/>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paragraph" w:customStyle="1" w:styleId="DHSTableText">
    <w:name w:val="DHS Table Text"/>
    <w:rsid w:val="000E1740"/>
    <w:pPr>
      <w:spacing w:before="80" w:after="60"/>
    </w:pPr>
    <w:rPr>
      <w:rFonts w:ascii="Arial" w:hAnsi="Arial"/>
      <w:lang w:eastAsia="en-US"/>
    </w:rPr>
  </w:style>
  <w:style w:type="numbering" w:customStyle="1" w:styleId="Bullets">
    <w:name w:val="Bullets"/>
    <w:rsid w:val="00C77250"/>
    <w:pPr>
      <w:numPr>
        <w:numId w:val="17"/>
      </w:numPr>
    </w:pPr>
  </w:style>
  <w:style w:type="paragraph" w:styleId="Revision">
    <w:name w:val="Revision"/>
    <w:hidden/>
    <w:uiPriority w:val="71"/>
    <w:rsid w:val="004028EC"/>
    <w:rPr>
      <w:rFonts w:ascii="Arial" w:hAnsi="Arial"/>
    </w:rPr>
  </w:style>
  <w:style w:type="character" w:styleId="CommentReference">
    <w:name w:val="annotation reference"/>
    <w:basedOn w:val="DefaultParagraphFont"/>
    <w:uiPriority w:val="99"/>
    <w:semiHidden/>
    <w:unhideWhenUsed/>
    <w:rsid w:val="001068FF"/>
    <w:rPr>
      <w:sz w:val="16"/>
      <w:szCs w:val="16"/>
    </w:rPr>
  </w:style>
  <w:style w:type="paragraph" w:styleId="CommentText">
    <w:name w:val="annotation text"/>
    <w:basedOn w:val="Normal"/>
    <w:link w:val="CommentTextChar"/>
    <w:uiPriority w:val="99"/>
    <w:semiHidden/>
    <w:unhideWhenUsed/>
    <w:rsid w:val="001068FF"/>
    <w:pPr>
      <w:spacing w:line="240" w:lineRule="auto"/>
    </w:pPr>
  </w:style>
  <w:style w:type="character" w:customStyle="1" w:styleId="CommentTextChar">
    <w:name w:val="Comment Text Char"/>
    <w:basedOn w:val="DefaultParagraphFont"/>
    <w:link w:val="CommentText"/>
    <w:uiPriority w:val="99"/>
    <w:semiHidden/>
    <w:rsid w:val="001068FF"/>
    <w:rPr>
      <w:rFonts w:ascii="Arial" w:hAnsi="Arial"/>
    </w:rPr>
  </w:style>
  <w:style w:type="paragraph" w:styleId="CommentSubject">
    <w:name w:val="annotation subject"/>
    <w:basedOn w:val="CommentText"/>
    <w:next w:val="CommentText"/>
    <w:link w:val="CommentSubjectChar"/>
    <w:uiPriority w:val="99"/>
    <w:semiHidden/>
    <w:unhideWhenUsed/>
    <w:rsid w:val="001068FF"/>
    <w:rPr>
      <w:b/>
      <w:bCs/>
    </w:rPr>
  </w:style>
  <w:style w:type="character" w:customStyle="1" w:styleId="CommentSubjectChar">
    <w:name w:val="Comment Subject Char"/>
    <w:basedOn w:val="CommentTextChar"/>
    <w:link w:val="CommentSubject"/>
    <w:uiPriority w:val="99"/>
    <w:semiHidden/>
    <w:rsid w:val="001068FF"/>
    <w:rPr>
      <w:rFonts w:ascii="Arial" w:hAnsi="Arial"/>
      <w:b/>
      <w:bCs/>
    </w:rPr>
  </w:style>
  <w:style w:type="character" w:styleId="UnresolvedMention">
    <w:name w:val="Unresolved Mention"/>
    <w:basedOn w:val="DefaultParagraphFont"/>
    <w:uiPriority w:val="99"/>
    <w:semiHidden/>
    <w:unhideWhenUsed/>
    <w:rsid w:val="00E76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369707">
      <w:bodyDiv w:val="1"/>
      <w:marLeft w:val="0"/>
      <w:marRight w:val="0"/>
      <w:marTop w:val="0"/>
      <w:marBottom w:val="0"/>
      <w:divBdr>
        <w:top w:val="none" w:sz="0" w:space="0" w:color="auto"/>
        <w:left w:val="none" w:sz="0" w:space="0" w:color="auto"/>
        <w:bottom w:val="none" w:sz="0" w:space="0" w:color="auto"/>
        <w:right w:val="none" w:sz="0" w:space="0" w:color="auto"/>
      </w:divBdr>
    </w:div>
    <w:div w:id="406732070">
      <w:bodyDiv w:val="1"/>
      <w:marLeft w:val="0"/>
      <w:marRight w:val="0"/>
      <w:marTop w:val="0"/>
      <w:marBottom w:val="0"/>
      <w:divBdr>
        <w:top w:val="none" w:sz="0" w:space="0" w:color="auto"/>
        <w:left w:val="none" w:sz="0" w:space="0" w:color="auto"/>
        <w:bottom w:val="none" w:sz="0" w:space="0" w:color="auto"/>
        <w:right w:val="none" w:sz="0" w:space="0" w:color="auto"/>
      </w:divBdr>
    </w:div>
    <w:div w:id="1061290547">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731151804">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program-requirements-residential-care-victoria-oct-2016-word"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2.health.vic.gov.au/about/publications/researchandreports/management-response-to-inhalant-use-guidelines" TargetMode="External"/><Relationship Id="rId17" Type="http://schemas.openxmlformats.org/officeDocument/2006/relationships/hyperlink" Target="http://providers.dhhs.vic.gov.au/health-human-services-activity-search" TargetMode="External"/><Relationship Id="rId2" Type="http://schemas.openxmlformats.org/officeDocument/2006/relationships/numbering" Target="numbering.xml"/><Relationship Id="rId16" Type="http://schemas.openxmlformats.org/officeDocument/2006/relationships/hyperlink" Target="mailto:sapolicy@dhhs.vic.gov.au"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apolicy@dhhs.vic.gov.au"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viders.dhhs.vic.gov.au/care-and-transition-planning-leaving-care-framework-word-0"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A50E5A48-FDF1-420B-A813-7143E99FCD21}">
  <ds:schemaRefs>
    <ds:schemaRef ds:uri="http://schemas.openxmlformats.org/officeDocument/2006/bibliography"/>
  </ds:schemaRefs>
</ds:datastoreItem>
</file>

<file path=customXml/itemProps2.xml><?xml version="1.0" encoding="utf-8"?>
<ds:datastoreItem xmlns:ds="http://schemas.openxmlformats.org/officeDocument/2006/customXml" ds:itemID="{C8C000BF-FC88-4C38-9ADF-79615B28B30B}"/>
</file>

<file path=customXml/itemProps3.xml><?xml version="1.0" encoding="utf-8"?>
<ds:datastoreItem xmlns:ds="http://schemas.openxmlformats.org/officeDocument/2006/customXml" ds:itemID="{182ED4DD-98FD-4B22-BE00-2D9FAC168E83}"/>
</file>

<file path=customXml/itemProps4.xml><?xml version="1.0" encoding="utf-8"?>
<ds:datastoreItem xmlns:ds="http://schemas.openxmlformats.org/officeDocument/2006/customXml" ds:itemID="{9F82F7B5-5ADD-4CBD-B841-BD7B0215C77C}"/>
</file>

<file path=docProps/app.xml><?xml version="1.0" encoding="utf-8"?>
<Properties xmlns="http://schemas.openxmlformats.org/officeDocument/2006/extended-properties" xmlns:vt="http://schemas.openxmlformats.org/officeDocument/2006/docPropsVTypes">
  <Template>DHHS Factsheet 01 Navy 2765.dot</Template>
  <TotalTime>2</TotalTime>
  <Pages>3</Pages>
  <Words>835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Activity description human services Leaving care support services-31414</vt:lpstr>
    </vt:vector>
  </TitlesOfParts>
  <Company>Department of Health and Human Services</Company>
  <LinksUpToDate>false</LinksUpToDate>
  <CharactersWithSpaces>6667</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human services Leaving care support services-31414</dc:title>
  <dc:subject>service agreement activity descriptions</dc:subject>
  <dc:creator>Service Agreement Policy unit</dc:creator>
  <cp:keywords>services agreement;Activity description;(human services;Child Protection and Family Services; Leaving care support services;31414</cp:keywords>
  <cp:lastModifiedBy>Sarah Luscombe (DHHS)</cp:lastModifiedBy>
  <cp:revision>4</cp:revision>
  <cp:lastPrinted>2019-01-08T23:20:00Z</cp:lastPrinted>
  <dcterms:created xsi:type="dcterms:W3CDTF">2019-11-20T05:18:00Z</dcterms:created>
  <dcterms:modified xsi:type="dcterms:W3CDTF">2019-11-20T22:35:00Z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