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379" w:rsidRPr="00746D40" w:rsidRDefault="00E91379">
      <w:pPr>
        <w:rPr>
          <w:sz w:val="18"/>
          <w:szCs w:val="18"/>
        </w:rPr>
      </w:pPr>
      <w:bookmarkStart w:id="0" w:name="_GoBack"/>
      <w:bookmarkEnd w:id="0"/>
    </w:p>
    <w:p w:rsidR="00E91379" w:rsidRPr="00746D40" w:rsidRDefault="00E91379">
      <w:pPr>
        <w:jc w:val="center"/>
        <w:rPr>
          <w:b/>
          <w:bCs/>
          <w:sz w:val="33"/>
          <w:szCs w:val="33"/>
        </w:rPr>
      </w:pPr>
    </w:p>
    <w:p w:rsidR="00E91379" w:rsidRPr="00746D40" w:rsidRDefault="00E91379">
      <w:pPr>
        <w:jc w:val="center"/>
        <w:rPr>
          <w:b/>
          <w:bCs/>
          <w:sz w:val="33"/>
          <w:szCs w:val="33"/>
        </w:rPr>
      </w:pPr>
    </w:p>
    <w:p w:rsidR="00E91379" w:rsidRPr="00746D40" w:rsidRDefault="00E91379">
      <w:pPr>
        <w:jc w:val="center"/>
        <w:rPr>
          <w:b/>
          <w:bCs/>
          <w:sz w:val="33"/>
          <w:szCs w:val="33"/>
        </w:rPr>
      </w:pPr>
    </w:p>
    <w:tbl>
      <w:tblPr>
        <w:tblStyle w:val="TableGrid"/>
        <w:tblpPr w:leftFromText="180" w:rightFromText="180" w:horzAnchor="margin" w:tblpY="3291"/>
        <w:tblW w:w="0" w:type="auto"/>
        <w:shd w:val="clear" w:color="auto" w:fill="CCCCFF"/>
        <w:tblLook w:val="01E0" w:firstRow="1" w:lastRow="1" w:firstColumn="1" w:lastColumn="1" w:noHBand="0" w:noVBand="0"/>
      </w:tblPr>
      <w:tblGrid>
        <w:gridCol w:w="9854"/>
      </w:tblGrid>
      <w:tr w:rsidR="00494740" w:rsidRPr="00746D40">
        <w:tc>
          <w:tcPr>
            <w:tcW w:w="10420" w:type="dxa"/>
            <w:shd w:val="clear" w:color="auto" w:fill="CCCCFF"/>
          </w:tcPr>
          <w:p w:rsidR="00494740" w:rsidRDefault="00494740" w:rsidP="0095713E">
            <w:pPr>
              <w:jc w:val="center"/>
              <w:rPr>
                <w:b/>
                <w:bCs/>
                <w:i/>
                <w:sz w:val="37"/>
                <w:szCs w:val="37"/>
              </w:rPr>
            </w:pPr>
            <w:r w:rsidRPr="00746D40">
              <w:rPr>
                <w:b/>
                <w:bCs/>
                <w:i/>
                <w:sz w:val="37"/>
                <w:szCs w:val="37"/>
              </w:rPr>
              <w:t>LEAVING CARE BROKERAGE FUNDS</w:t>
            </w:r>
          </w:p>
          <w:p w:rsidR="004F738F" w:rsidRPr="00746D40" w:rsidRDefault="004F738F" w:rsidP="0095713E">
            <w:pPr>
              <w:jc w:val="center"/>
              <w:rPr>
                <w:b/>
                <w:bCs/>
                <w:i/>
                <w:sz w:val="37"/>
                <w:szCs w:val="37"/>
              </w:rPr>
            </w:pPr>
            <w:r>
              <w:rPr>
                <w:b/>
                <w:bCs/>
                <w:i/>
                <w:sz w:val="37"/>
                <w:szCs w:val="37"/>
              </w:rPr>
              <w:t>GUIDELINES</w:t>
            </w:r>
          </w:p>
          <w:p w:rsidR="00494740" w:rsidRPr="00746D40" w:rsidRDefault="001604B9" w:rsidP="0095713E">
            <w:pPr>
              <w:jc w:val="center"/>
              <w:rPr>
                <w:b/>
                <w:bCs/>
                <w:i/>
                <w:sz w:val="37"/>
                <w:szCs w:val="37"/>
              </w:rPr>
            </w:pPr>
            <w:r>
              <w:rPr>
                <w:b/>
                <w:bCs/>
                <w:i/>
                <w:sz w:val="37"/>
                <w:szCs w:val="37"/>
              </w:rPr>
              <w:t xml:space="preserve">November </w:t>
            </w:r>
            <w:r w:rsidR="00121B19">
              <w:rPr>
                <w:b/>
                <w:bCs/>
                <w:i/>
                <w:sz w:val="37"/>
                <w:szCs w:val="37"/>
              </w:rPr>
              <w:t>2010</w:t>
            </w:r>
          </w:p>
          <w:p w:rsidR="00494740" w:rsidRPr="00746D40" w:rsidRDefault="00494740" w:rsidP="00121B19">
            <w:pPr>
              <w:jc w:val="center"/>
              <w:rPr>
                <w:sz w:val="18"/>
                <w:szCs w:val="18"/>
                <w:lang w:val="en-US"/>
              </w:rPr>
            </w:pPr>
          </w:p>
        </w:tc>
      </w:tr>
    </w:tbl>
    <w:p w:rsidR="00E91379" w:rsidRPr="00746D40" w:rsidRDefault="00E91379">
      <w:pPr>
        <w:jc w:val="center"/>
        <w:rPr>
          <w:b/>
          <w:bCs/>
          <w:sz w:val="33"/>
          <w:szCs w:val="33"/>
        </w:rPr>
      </w:pPr>
    </w:p>
    <w:p w:rsidR="00E91379" w:rsidRPr="00746D40" w:rsidRDefault="00E91379">
      <w:pPr>
        <w:jc w:val="center"/>
        <w:rPr>
          <w:b/>
          <w:bCs/>
          <w:sz w:val="33"/>
          <w:szCs w:val="33"/>
        </w:rPr>
      </w:pPr>
    </w:p>
    <w:p w:rsidR="00E91379" w:rsidRPr="00746D40" w:rsidRDefault="00E91379">
      <w:pPr>
        <w:jc w:val="center"/>
        <w:rPr>
          <w:b/>
          <w:bCs/>
          <w:sz w:val="33"/>
          <w:szCs w:val="33"/>
        </w:rPr>
      </w:pPr>
    </w:p>
    <w:p w:rsidR="00E91379" w:rsidRPr="00746D40" w:rsidRDefault="00E91379">
      <w:pPr>
        <w:rPr>
          <w:b/>
          <w:bCs/>
          <w:sz w:val="33"/>
          <w:szCs w:val="33"/>
        </w:rPr>
      </w:pPr>
    </w:p>
    <w:p w:rsidR="00E91379" w:rsidRPr="00746D40" w:rsidRDefault="00E91379">
      <w:pPr>
        <w:rPr>
          <w:b/>
          <w:bCs/>
          <w:sz w:val="33"/>
          <w:szCs w:val="33"/>
        </w:rPr>
      </w:pPr>
    </w:p>
    <w:p w:rsidR="00E91379" w:rsidRPr="00746D40" w:rsidRDefault="00E91379">
      <w:pPr>
        <w:rPr>
          <w:b/>
          <w:bCs/>
          <w:sz w:val="33"/>
          <w:szCs w:val="33"/>
        </w:rPr>
      </w:pPr>
    </w:p>
    <w:p w:rsidR="00E91379" w:rsidRPr="00746D40" w:rsidRDefault="00E91379">
      <w:pPr>
        <w:rPr>
          <w:b/>
          <w:bCs/>
          <w:sz w:val="33"/>
          <w:szCs w:val="33"/>
        </w:rPr>
      </w:pPr>
    </w:p>
    <w:p w:rsidR="00E91379" w:rsidRPr="00746D40" w:rsidRDefault="00E91379">
      <w:pPr>
        <w:rPr>
          <w:b/>
          <w:bCs/>
          <w:sz w:val="33"/>
          <w:szCs w:val="33"/>
        </w:rPr>
      </w:pPr>
    </w:p>
    <w:p w:rsidR="00E91379" w:rsidRPr="00746D40" w:rsidRDefault="00E91379">
      <w:pPr>
        <w:rPr>
          <w:b/>
          <w:bCs/>
          <w:sz w:val="33"/>
          <w:szCs w:val="33"/>
        </w:rPr>
      </w:pPr>
    </w:p>
    <w:p w:rsidR="00E91379" w:rsidRPr="00746D40" w:rsidRDefault="009A577C">
      <w:pPr>
        <w:rPr>
          <w:b/>
          <w:bCs/>
          <w:sz w:val="33"/>
          <w:szCs w:val="33"/>
        </w:rPr>
      </w:pPr>
      <w:r>
        <w:rPr>
          <w:b/>
          <w:bCs/>
          <w:noProof/>
          <w:sz w:val="33"/>
          <w:szCs w:val="33"/>
          <w:lang w:eastAsia="en-AU"/>
        </w:rPr>
        <w:drawing>
          <wp:inline distT="0" distB="0" distL="0" distR="0">
            <wp:extent cx="1638300" cy="1419225"/>
            <wp:effectExtent l="0" t="0" r="0" b="9525"/>
            <wp:docPr id="1" name="Picture 1" descr="BD066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06663_"/>
                    <pic:cNvPicPr>
                      <a:picLocks noChangeAspect="1" noChangeArrowheads="1"/>
                    </pic:cNvPicPr>
                  </pic:nvPicPr>
                  <pic:blipFill>
                    <a:blip r:embed="rId8" cstate="print">
                      <a:lum bright="-6000"/>
                      <a:extLst>
                        <a:ext uri="{28A0092B-C50C-407E-A947-70E740481C1C}">
                          <a14:useLocalDpi xmlns:a14="http://schemas.microsoft.com/office/drawing/2010/main" val="0"/>
                        </a:ext>
                      </a:extLst>
                    </a:blip>
                    <a:srcRect/>
                    <a:stretch>
                      <a:fillRect/>
                    </a:stretch>
                  </pic:blipFill>
                  <pic:spPr bwMode="auto">
                    <a:xfrm>
                      <a:off x="0" y="0"/>
                      <a:ext cx="1638300" cy="1419225"/>
                    </a:xfrm>
                    <a:prstGeom prst="rect">
                      <a:avLst/>
                    </a:prstGeom>
                    <a:solidFill>
                      <a:srgbClr val="00FF00">
                        <a:alpha val="50000"/>
                      </a:srgbClr>
                    </a:solidFill>
                    <a:ln>
                      <a:noFill/>
                    </a:ln>
                  </pic:spPr>
                </pic:pic>
              </a:graphicData>
            </a:graphic>
          </wp:inline>
        </w:drawing>
      </w:r>
    </w:p>
    <w:p w:rsidR="00E91379" w:rsidRPr="00746D40" w:rsidRDefault="00E91379">
      <w:pPr>
        <w:rPr>
          <w:b/>
          <w:bCs/>
          <w:sz w:val="33"/>
          <w:szCs w:val="33"/>
        </w:rPr>
      </w:pPr>
    </w:p>
    <w:p w:rsidR="00E91379" w:rsidRPr="00746D40" w:rsidRDefault="00E91379">
      <w:pPr>
        <w:rPr>
          <w:b/>
          <w:bCs/>
          <w:sz w:val="33"/>
          <w:szCs w:val="33"/>
        </w:rPr>
      </w:pPr>
    </w:p>
    <w:p w:rsidR="00E91379" w:rsidRPr="00746D40" w:rsidRDefault="00E91379">
      <w:pPr>
        <w:rPr>
          <w:b/>
          <w:bCs/>
          <w:sz w:val="33"/>
          <w:szCs w:val="33"/>
        </w:rPr>
      </w:pPr>
    </w:p>
    <w:p w:rsidR="00E91379" w:rsidRPr="00746D40" w:rsidRDefault="00E91379">
      <w:pPr>
        <w:rPr>
          <w:b/>
          <w:bCs/>
          <w:sz w:val="33"/>
          <w:szCs w:val="33"/>
        </w:rPr>
      </w:pPr>
    </w:p>
    <w:p w:rsidR="00E91379" w:rsidRPr="00746D40" w:rsidRDefault="00E91379">
      <w:pPr>
        <w:rPr>
          <w:b/>
          <w:bCs/>
          <w:sz w:val="33"/>
          <w:szCs w:val="33"/>
        </w:rPr>
      </w:pPr>
    </w:p>
    <w:p w:rsidR="00E91379" w:rsidRPr="00746D40" w:rsidRDefault="00E91379">
      <w:pPr>
        <w:rPr>
          <w:b/>
          <w:bCs/>
          <w:sz w:val="33"/>
          <w:szCs w:val="33"/>
        </w:rPr>
      </w:pPr>
    </w:p>
    <w:p w:rsidR="00E91379" w:rsidRPr="00746D40" w:rsidRDefault="00E91379">
      <w:pPr>
        <w:rPr>
          <w:b/>
          <w:bCs/>
          <w:sz w:val="33"/>
          <w:szCs w:val="33"/>
        </w:rPr>
      </w:pPr>
    </w:p>
    <w:p w:rsidR="00E91379" w:rsidRPr="00746D40" w:rsidRDefault="00E91379">
      <w:pPr>
        <w:rPr>
          <w:b/>
          <w:bCs/>
          <w:sz w:val="33"/>
          <w:szCs w:val="33"/>
        </w:rPr>
      </w:pPr>
    </w:p>
    <w:p w:rsidR="00E91379" w:rsidRPr="00746D40" w:rsidRDefault="00E91379">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240" w:lineRule="atLeast"/>
        <w:jc w:val="both"/>
        <w:rPr>
          <w:spacing w:val="-3"/>
          <w:sz w:val="18"/>
          <w:szCs w:val="18"/>
        </w:rPr>
      </w:pPr>
    </w:p>
    <w:p w:rsidR="005D4CF1" w:rsidRPr="00746D40" w:rsidRDefault="000D64B7" w:rsidP="00746D40">
      <w:pPr>
        <w:rPr>
          <w:b/>
          <w:szCs w:val="22"/>
        </w:rPr>
      </w:pPr>
      <w:r>
        <w:rPr>
          <w:b/>
          <w:szCs w:val="22"/>
        </w:rPr>
        <w:br w:type="page"/>
      </w:r>
      <w:r w:rsidR="005D4CF1" w:rsidRPr="00746D40">
        <w:rPr>
          <w:b/>
          <w:szCs w:val="22"/>
        </w:rPr>
        <w:lastRenderedPageBreak/>
        <w:t>INTRODUCTION</w:t>
      </w:r>
    </w:p>
    <w:p w:rsidR="005D4CF1" w:rsidRPr="00746D40" w:rsidRDefault="005D4CF1" w:rsidP="005D4CF1">
      <w:pPr>
        <w:pStyle w:val="Heading1"/>
        <w:jc w:val="both"/>
        <w:rPr>
          <w:sz w:val="20"/>
          <w:szCs w:val="20"/>
        </w:rPr>
      </w:pPr>
      <w:r w:rsidRPr="00746D40">
        <w:rPr>
          <w:sz w:val="20"/>
          <w:szCs w:val="20"/>
        </w:rPr>
        <w:t xml:space="preserve">This </w:t>
      </w:r>
      <w:r w:rsidR="00746D40" w:rsidRPr="00746D40">
        <w:rPr>
          <w:sz w:val="20"/>
          <w:szCs w:val="20"/>
        </w:rPr>
        <w:t>paper</w:t>
      </w:r>
      <w:r w:rsidRPr="00746D40">
        <w:rPr>
          <w:sz w:val="20"/>
          <w:szCs w:val="20"/>
        </w:rPr>
        <w:t xml:space="preserve"> is </w:t>
      </w:r>
      <w:r w:rsidR="00746D40" w:rsidRPr="00746D40">
        <w:rPr>
          <w:sz w:val="20"/>
          <w:szCs w:val="20"/>
        </w:rPr>
        <w:t>intended</w:t>
      </w:r>
      <w:r w:rsidRPr="00746D40">
        <w:rPr>
          <w:sz w:val="20"/>
          <w:szCs w:val="20"/>
        </w:rPr>
        <w:t xml:space="preserve"> to guide </w:t>
      </w:r>
      <w:r w:rsidR="002A1775">
        <w:rPr>
          <w:sz w:val="20"/>
          <w:szCs w:val="20"/>
        </w:rPr>
        <w:t>R</w:t>
      </w:r>
      <w:r w:rsidRPr="00746D40">
        <w:rPr>
          <w:sz w:val="20"/>
          <w:szCs w:val="20"/>
        </w:rPr>
        <w:t>egions in utilisation of leaving care brokerage funding.</w:t>
      </w:r>
    </w:p>
    <w:p w:rsidR="00A62306" w:rsidRPr="00746D40" w:rsidRDefault="00A62306" w:rsidP="00A62306">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240" w:lineRule="atLeast"/>
        <w:jc w:val="both"/>
      </w:pPr>
      <w:r w:rsidRPr="00746D40">
        <w:t xml:space="preserve">The Victorian community’s vision is that every child has the best possible start in life and thrives, learns and grows, is valued and respected, becoming an effective adult. </w:t>
      </w:r>
    </w:p>
    <w:p w:rsidR="00A62306" w:rsidRPr="00746D40" w:rsidRDefault="00A62306" w:rsidP="00A62306">
      <w:pPr>
        <w:jc w:val="both"/>
      </w:pPr>
    </w:p>
    <w:p w:rsidR="00A62306" w:rsidRPr="00746D40" w:rsidRDefault="00A62306" w:rsidP="00A62306">
      <w:pPr>
        <w:pStyle w:val="ListNumber"/>
        <w:numPr>
          <w:ilvl w:val="0"/>
          <w:numId w:val="0"/>
        </w:numPr>
        <w:jc w:val="both"/>
      </w:pPr>
      <w:r w:rsidRPr="00746D40">
        <w:t xml:space="preserve">The </w:t>
      </w:r>
      <w:r w:rsidRPr="00746D40">
        <w:rPr>
          <w:i/>
          <w:iCs/>
        </w:rPr>
        <w:t xml:space="preserve">Children, Youth and Families Act </w:t>
      </w:r>
      <w:r w:rsidRPr="00746D40">
        <w:t>2005 (CY&amp;FA) contains provisions for young people subject to Custody and Guardianship to Secretary Orders that place a responsibility on the Secretary to assist their transition from out of home care to independent living.</w:t>
      </w:r>
    </w:p>
    <w:p w:rsidR="00A62306" w:rsidRPr="00746D40" w:rsidRDefault="00A62306" w:rsidP="00A62306">
      <w:pPr>
        <w:pStyle w:val="ListNumber"/>
        <w:numPr>
          <w:ilvl w:val="0"/>
          <w:numId w:val="0"/>
        </w:numPr>
        <w:jc w:val="both"/>
      </w:pPr>
      <w:r w:rsidRPr="00746D40">
        <w:t xml:space="preserve">The Child Protection, Placement and Support Branch, working closely with the Office of Housing and other key service providers, is seeking to ensure that young people leaving care do not enter adulthood isolated, but rather that they are connected to appropriate support networks, their family, community and culture; have the skills and experience to lead an independent and safe life; and have access to the information, advice and assistance they may need in the future.  </w:t>
      </w:r>
    </w:p>
    <w:p w:rsidR="00A62306" w:rsidRPr="00746D40" w:rsidRDefault="00A62306" w:rsidP="00A62306">
      <w:pPr>
        <w:pStyle w:val="ListNumber"/>
        <w:numPr>
          <w:ilvl w:val="0"/>
          <w:numId w:val="0"/>
        </w:numPr>
        <w:jc w:val="both"/>
      </w:pPr>
      <w:r w:rsidRPr="00746D40">
        <w:t>Leaving care brokerage funding is one way in which these aims can be met. It is provided to enable flexible, creative responses, which promote independence and connections for care leavers.</w:t>
      </w:r>
    </w:p>
    <w:p w:rsidR="005D4CF1" w:rsidRPr="00746D40" w:rsidRDefault="005D4CF1" w:rsidP="00A62306">
      <w:pPr>
        <w:pStyle w:val="ListNumber"/>
        <w:numPr>
          <w:ilvl w:val="0"/>
          <w:numId w:val="0"/>
        </w:numPr>
        <w:jc w:val="both"/>
      </w:pPr>
      <w:r w:rsidRPr="00746D40">
        <w:t>This advice is written in recognition of each young person’s individual needs and circumstances, allowing for regional discretion to be exercised within the guidelines outlined.</w:t>
      </w:r>
    </w:p>
    <w:p w:rsidR="00A62306" w:rsidRPr="00746D40" w:rsidRDefault="00A62306" w:rsidP="005D4CF1">
      <w:pPr>
        <w:pStyle w:val="Heading1"/>
        <w:jc w:val="both"/>
        <w:rPr>
          <w:b/>
          <w:bCs/>
          <w:sz w:val="20"/>
          <w:szCs w:val="20"/>
        </w:rPr>
      </w:pPr>
      <w:r w:rsidRPr="00746D40">
        <w:rPr>
          <w:b/>
          <w:bCs/>
          <w:sz w:val="20"/>
          <w:szCs w:val="20"/>
        </w:rPr>
        <w:t>ELIGIBILITY</w:t>
      </w:r>
    </w:p>
    <w:p w:rsidR="00A62306" w:rsidRPr="00746D40" w:rsidRDefault="00A62306" w:rsidP="00A62306">
      <w:pPr>
        <w:jc w:val="both"/>
      </w:pPr>
      <w:r w:rsidRPr="00746D40">
        <w:t>Leaving care brokerage is restricted to any young person/young adult aged under 21 years who was subject to a Custody or Guardianship to Secretary order on or after their 16</w:t>
      </w:r>
      <w:r w:rsidRPr="00746D40">
        <w:rPr>
          <w:vertAlign w:val="superscript"/>
        </w:rPr>
        <w:t>th</w:t>
      </w:r>
      <w:r w:rsidRPr="00746D40">
        <w:t xml:space="preserve"> birthday </w:t>
      </w:r>
      <w:r w:rsidR="00444EE8">
        <w:t xml:space="preserve">and </w:t>
      </w:r>
      <w:r w:rsidRPr="00746D40">
        <w:t>who is leaving</w:t>
      </w:r>
      <w:r w:rsidR="00444EE8">
        <w:t xml:space="preserve">, or </w:t>
      </w:r>
      <w:r w:rsidRPr="00746D40">
        <w:t xml:space="preserve">has left care to live independently. </w:t>
      </w:r>
    </w:p>
    <w:p w:rsidR="00E91379" w:rsidRPr="00746D40" w:rsidRDefault="00A62306" w:rsidP="00A62306">
      <w:pPr>
        <w:pStyle w:val="Heading1"/>
        <w:jc w:val="both"/>
        <w:rPr>
          <w:sz w:val="20"/>
          <w:szCs w:val="20"/>
        </w:rPr>
      </w:pPr>
      <w:r w:rsidRPr="00746D40">
        <w:rPr>
          <w:sz w:val="20"/>
          <w:szCs w:val="20"/>
        </w:rPr>
        <w:t>This includes those young people subject to Custody or Guardianship to Secretary orders who left care prior to commencement of the Children, Youth and Family Act (CY&amp;FA) on 23 April 2007 and who are not yet 21 years of age.</w:t>
      </w:r>
    </w:p>
    <w:p w:rsidR="00E91379" w:rsidRPr="00746D40" w:rsidRDefault="00E91379">
      <w:pPr>
        <w:pStyle w:val="Heading1"/>
        <w:jc w:val="both"/>
        <w:rPr>
          <w:b/>
          <w:bCs/>
          <w:sz w:val="20"/>
          <w:szCs w:val="20"/>
        </w:rPr>
      </w:pPr>
      <w:r w:rsidRPr="00746D40">
        <w:rPr>
          <w:b/>
          <w:bCs/>
          <w:sz w:val="20"/>
          <w:szCs w:val="20"/>
        </w:rPr>
        <w:t>THE RELATIONSHIP BETWEEN LEAVING CARE BROKERAGE FUNDS AND OTHER BROKERAGE/ CLIENT EXPENSE FUNDING</w:t>
      </w:r>
    </w:p>
    <w:p w:rsidR="00E91379" w:rsidRPr="00746D40" w:rsidRDefault="00E91379">
      <w:pPr>
        <w:pStyle w:val="Heading1"/>
        <w:tabs>
          <w:tab w:val="left" w:pos="5220"/>
        </w:tabs>
        <w:jc w:val="both"/>
        <w:rPr>
          <w:sz w:val="20"/>
          <w:szCs w:val="20"/>
        </w:rPr>
      </w:pPr>
      <w:r w:rsidRPr="00746D40">
        <w:rPr>
          <w:sz w:val="20"/>
          <w:szCs w:val="20"/>
        </w:rPr>
        <w:t xml:space="preserve">In order to maximise the impact of the leaving care brokerage funding, it is essential that its utilisation strictly focus on expenditure that explicitly supports the young person’s transition to, or maintenance of successful independent living.  It is acknowledged that this may at times require a subjective assessment to be made, however </w:t>
      </w:r>
      <w:r w:rsidRPr="00746D40">
        <w:rPr>
          <w:b/>
          <w:bCs/>
          <w:sz w:val="20"/>
          <w:szCs w:val="20"/>
        </w:rPr>
        <w:t>leaving care brokerage funds should not</w:t>
      </w:r>
      <w:r w:rsidRPr="00746D40">
        <w:rPr>
          <w:sz w:val="20"/>
          <w:szCs w:val="20"/>
        </w:rPr>
        <w:t xml:space="preserve"> </w:t>
      </w:r>
      <w:r w:rsidRPr="00746D40">
        <w:rPr>
          <w:b/>
          <w:sz w:val="20"/>
          <w:szCs w:val="20"/>
        </w:rPr>
        <w:t>be used for young people leaving care to purchase items that should otherwise have been provided to the young person by a ‘good parent’, for example adequate clothing or footwear, toiletries or dental treatment (eg orthodontic treatment).</w:t>
      </w:r>
      <w:r w:rsidR="00127ED6" w:rsidRPr="00746D40">
        <w:rPr>
          <w:b/>
          <w:sz w:val="20"/>
          <w:szCs w:val="20"/>
        </w:rPr>
        <w:t xml:space="preserve">  </w:t>
      </w:r>
      <w:r w:rsidRPr="00746D40">
        <w:rPr>
          <w:sz w:val="20"/>
          <w:szCs w:val="20"/>
        </w:rPr>
        <w:t>These items should be paid for whilst the young person is in care, utilising existing funding sources.</w:t>
      </w:r>
    </w:p>
    <w:p w:rsidR="00E91379" w:rsidRPr="00746D40" w:rsidRDefault="00E91379">
      <w:pPr>
        <w:pStyle w:val="Heading1"/>
        <w:jc w:val="both"/>
        <w:rPr>
          <w:sz w:val="20"/>
          <w:szCs w:val="20"/>
        </w:rPr>
      </w:pPr>
      <w:r w:rsidRPr="00746D40">
        <w:rPr>
          <w:sz w:val="20"/>
          <w:szCs w:val="20"/>
        </w:rPr>
        <w:t>However in those instances where young people between 18 and 21 years who have left care seek assistance to purchase items such as those noted above, it may be appropriate to utilise the leaving care brokerage funds.</w:t>
      </w:r>
    </w:p>
    <w:p w:rsidR="00E91379" w:rsidRPr="00746D40" w:rsidRDefault="00E91379">
      <w:pPr>
        <w:pStyle w:val="Heading1"/>
        <w:jc w:val="both"/>
        <w:rPr>
          <w:b/>
          <w:bCs/>
          <w:sz w:val="20"/>
          <w:szCs w:val="20"/>
        </w:rPr>
      </w:pPr>
      <w:r w:rsidRPr="00746D40">
        <w:rPr>
          <w:b/>
          <w:bCs/>
          <w:sz w:val="20"/>
          <w:szCs w:val="20"/>
        </w:rPr>
        <w:t>LEAVING CARE FUNDING PROVIDED PREVIOUSLY BY REGIONS</w:t>
      </w:r>
    </w:p>
    <w:p w:rsidR="00E91379" w:rsidRPr="00746D40" w:rsidRDefault="00E91379">
      <w:pPr>
        <w:pStyle w:val="Heading1"/>
        <w:jc w:val="both"/>
        <w:rPr>
          <w:sz w:val="20"/>
          <w:szCs w:val="20"/>
        </w:rPr>
      </w:pPr>
      <w:r w:rsidRPr="00746D40">
        <w:rPr>
          <w:sz w:val="20"/>
          <w:szCs w:val="20"/>
        </w:rPr>
        <w:t xml:space="preserve">Consultation with regional staff has identified that there has been a variable approach to the provision of leaving care brokerage support in recent years. </w:t>
      </w:r>
    </w:p>
    <w:p w:rsidR="00E91379" w:rsidRPr="00746D40" w:rsidRDefault="00E91379">
      <w:pPr>
        <w:pStyle w:val="Heading1"/>
        <w:jc w:val="both"/>
        <w:rPr>
          <w:sz w:val="20"/>
          <w:szCs w:val="20"/>
        </w:rPr>
      </w:pPr>
      <w:r w:rsidRPr="00746D40">
        <w:rPr>
          <w:sz w:val="20"/>
          <w:szCs w:val="20"/>
        </w:rPr>
        <w:t xml:space="preserve">Some Regions have provided, as standard practice, amounts totalling $2,000 to $3,000 for each young person leaving care.  Others have routinely provided $1,000.  Others have provided no set </w:t>
      </w:r>
      <w:r w:rsidRPr="00746D40">
        <w:rPr>
          <w:sz w:val="20"/>
          <w:szCs w:val="20"/>
        </w:rPr>
        <w:lastRenderedPageBreak/>
        <w:t xml:space="preserve">amount, rather treating each application based on the young person’s circumstances and needs.  All these funds have been sourced from within existing regional budgets. </w:t>
      </w:r>
    </w:p>
    <w:p w:rsidR="00E91379" w:rsidRPr="00746D40" w:rsidRDefault="00E91379">
      <w:pPr>
        <w:pStyle w:val="Heading1"/>
        <w:jc w:val="both"/>
        <w:rPr>
          <w:sz w:val="20"/>
          <w:szCs w:val="20"/>
        </w:rPr>
      </w:pPr>
      <w:r w:rsidRPr="00746D40">
        <w:rPr>
          <w:sz w:val="20"/>
          <w:szCs w:val="20"/>
        </w:rPr>
        <w:t xml:space="preserve">In order to ensure that the new CYF Division leaving care brokerage funding does not simply replace funds previously provided by regions, and therefore offer no nett gain for young people, it is required that all young people leaving care receive minimum funding of $1,000 each from existing regional funds </w:t>
      </w:r>
      <w:r w:rsidRPr="00746D40">
        <w:rPr>
          <w:b/>
          <w:bCs/>
          <w:sz w:val="20"/>
          <w:szCs w:val="20"/>
          <w:u w:val="single"/>
        </w:rPr>
        <w:t>in addition</w:t>
      </w:r>
      <w:r w:rsidRPr="00746D40">
        <w:rPr>
          <w:sz w:val="20"/>
          <w:szCs w:val="20"/>
        </w:rPr>
        <w:t xml:space="preserve"> to the funding available via the new leaving care brokerage funding.</w:t>
      </w:r>
    </w:p>
    <w:p w:rsidR="00444EE8" w:rsidRPr="00666644" w:rsidRDefault="00444EE8" w:rsidP="006C05F0">
      <w:pPr>
        <w:pStyle w:val="Heading1"/>
        <w:jc w:val="both"/>
        <w:rPr>
          <w:b/>
          <w:sz w:val="22"/>
          <w:szCs w:val="22"/>
        </w:rPr>
      </w:pPr>
      <w:r w:rsidRPr="00666644">
        <w:rPr>
          <w:b/>
          <w:sz w:val="22"/>
          <w:szCs w:val="22"/>
        </w:rPr>
        <w:t xml:space="preserve">Transition to </w:t>
      </w:r>
      <w:smartTag w:uri="urn:schemas-microsoft-com:office:smarttags" w:element="City">
        <w:smartTag w:uri="urn:schemas-microsoft-com:office:smarttags" w:element="place">
          <w:r w:rsidRPr="00666644">
            <w:rPr>
              <w:b/>
              <w:sz w:val="22"/>
              <w:szCs w:val="22"/>
            </w:rPr>
            <w:t>Independence</w:t>
          </w:r>
        </w:smartTag>
      </w:smartTag>
      <w:r w:rsidRPr="00666644">
        <w:rPr>
          <w:b/>
          <w:sz w:val="22"/>
          <w:szCs w:val="22"/>
        </w:rPr>
        <w:t xml:space="preserve"> Living Allowance (TILA) – Commonwealth Funding</w:t>
      </w:r>
    </w:p>
    <w:p w:rsidR="0071170B" w:rsidRDefault="00F61EEE" w:rsidP="00F61EEE">
      <w:pPr>
        <w:pStyle w:val="BodyTextIndent2"/>
        <w:ind w:left="0" w:firstLine="0"/>
        <w:jc w:val="both"/>
      </w:pPr>
      <w:r>
        <w:t>TILA is grant of $1500</w:t>
      </w:r>
      <w:r w:rsidR="0071170B">
        <w:t xml:space="preserve"> that may only be accessed </w:t>
      </w:r>
      <w:r w:rsidR="0076545A">
        <w:t xml:space="preserve">once and </w:t>
      </w:r>
      <w:r w:rsidR="00A902DB">
        <w:t>as a</w:t>
      </w:r>
      <w:r w:rsidR="00F72AF6">
        <w:t xml:space="preserve"> lump sum</w:t>
      </w:r>
      <w:r w:rsidR="0071170B">
        <w:t>,</w:t>
      </w:r>
    </w:p>
    <w:p w:rsidR="0071170B" w:rsidRDefault="0071170B" w:rsidP="00F61EEE">
      <w:pPr>
        <w:pStyle w:val="BodyTextIndent2"/>
        <w:ind w:left="0" w:firstLine="0"/>
        <w:jc w:val="both"/>
      </w:pPr>
      <w:r>
        <w:t xml:space="preserve">TILA is available to eligible young people </w:t>
      </w:r>
      <w:r w:rsidR="00F72AF6">
        <w:t xml:space="preserve">between the </w:t>
      </w:r>
      <w:r>
        <w:t>age</w:t>
      </w:r>
      <w:r w:rsidR="00F72AF6">
        <w:t>s</w:t>
      </w:r>
      <w:r>
        <w:t xml:space="preserve"> of</w:t>
      </w:r>
      <w:r w:rsidR="00F72AF6">
        <w:t xml:space="preserve"> 15 and</w:t>
      </w:r>
      <w:r>
        <w:t xml:space="preserve"> 25 years.</w:t>
      </w:r>
      <w:r w:rsidR="00A902DB">
        <w:t xml:space="preserve"> </w:t>
      </w:r>
    </w:p>
    <w:p w:rsidR="007D3C18" w:rsidRDefault="007D3C18" w:rsidP="007D3C18">
      <w:pPr>
        <w:pStyle w:val="BodyTextIndent2"/>
        <w:jc w:val="both"/>
      </w:pPr>
    </w:p>
    <w:p w:rsidR="00C274BE" w:rsidRPr="00A21356" w:rsidRDefault="00C274BE" w:rsidP="00C274BE">
      <w:pPr>
        <w:pStyle w:val="BodyTextIndent2"/>
        <w:ind w:left="900"/>
        <w:jc w:val="both"/>
      </w:pPr>
      <w:r w:rsidRPr="00A21356">
        <w:t xml:space="preserve">NB: </w:t>
      </w:r>
      <w:r w:rsidRPr="00A21356">
        <w:tab/>
        <w:t xml:space="preserve">Eligibility and access guidelines have altered for the TILA grant – it is important that all workers be aware of this. Information is at </w:t>
      </w:r>
      <w:hyperlink r:id="rId9" w:history="1">
        <w:r w:rsidRPr="00A21356">
          <w:rPr>
            <w:rStyle w:val="Hyperlink"/>
          </w:rPr>
          <w:t>http://www.tila.org.au/</w:t>
        </w:r>
      </w:hyperlink>
      <w:r w:rsidRPr="00A21356">
        <w:t xml:space="preserve">.  </w:t>
      </w:r>
    </w:p>
    <w:p w:rsidR="009451DE" w:rsidRDefault="009451DE" w:rsidP="00C274BE">
      <w:pPr>
        <w:pStyle w:val="BodyTextIndent2"/>
        <w:ind w:left="900"/>
        <w:jc w:val="both"/>
        <w:rPr>
          <w:b/>
        </w:rPr>
      </w:pPr>
    </w:p>
    <w:p w:rsidR="00A21356" w:rsidRDefault="00A21356" w:rsidP="00C274BE">
      <w:pPr>
        <w:pStyle w:val="BodyTextIndent2"/>
        <w:ind w:left="900"/>
        <w:jc w:val="both"/>
        <w:rPr>
          <w:b/>
        </w:rPr>
      </w:pPr>
      <w:r>
        <w:rPr>
          <w:b/>
        </w:rPr>
        <w:t>The new eligibility on the TILA website is noted as follows:</w:t>
      </w:r>
    </w:p>
    <w:p w:rsidR="00A21356" w:rsidRPr="00666644" w:rsidRDefault="00A21356" w:rsidP="00A21356">
      <w:pPr>
        <w:spacing w:before="100" w:beforeAutospacing="1" w:after="100" w:afterAutospacing="1"/>
        <w:rPr>
          <w:rFonts w:ascii="Arial" w:hAnsi="Arial" w:cs="Arial"/>
          <w:color w:val="3366FF"/>
          <w:sz w:val="21"/>
          <w:szCs w:val="21"/>
        </w:rPr>
      </w:pPr>
      <w:r w:rsidRPr="00666644">
        <w:rPr>
          <w:rStyle w:val="Emphasis"/>
          <w:rFonts w:cs="Arial"/>
          <w:b/>
          <w:bCs/>
          <w:color w:val="3366FF"/>
        </w:rPr>
        <w:t xml:space="preserve">Target Group </w:t>
      </w:r>
      <w:r w:rsidR="00666644" w:rsidRPr="00666644">
        <w:rPr>
          <w:rStyle w:val="Emphasis"/>
          <w:rFonts w:cs="Arial"/>
          <w:b/>
          <w:bCs/>
          <w:color w:val="3366FF"/>
        </w:rPr>
        <w:t>for TILA</w:t>
      </w:r>
    </w:p>
    <w:p w:rsidR="00A21356" w:rsidRPr="00666644" w:rsidRDefault="00A21356" w:rsidP="00A21356">
      <w:pPr>
        <w:rPr>
          <w:rFonts w:ascii="Arial" w:hAnsi="Arial" w:cs="Arial"/>
          <w:color w:val="3366FF"/>
          <w:sz w:val="21"/>
          <w:szCs w:val="21"/>
        </w:rPr>
      </w:pPr>
      <w:r w:rsidRPr="00666644">
        <w:rPr>
          <w:rFonts w:cs="Arial"/>
          <w:color w:val="3366FF"/>
        </w:rPr>
        <w:t xml:space="preserve">TILA (the Allowance) of $1,500 is available to all young people aged between 15 and 25 years who are preparing to, or </w:t>
      </w:r>
      <w:r w:rsidRPr="00666644">
        <w:rPr>
          <w:rFonts w:cs="Arial"/>
          <w:b/>
          <w:bCs/>
          <w:color w:val="3366FF"/>
        </w:rPr>
        <w:t>have exited</w:t>
      </w:r>
      <w:r w:rsidRPr="00666644">
        <w:rPr>
          <w:rFonts w:cs="Arial"/>
          <w:color w:val="3366FF"/>
        </w:rPr>
        <w:t xml:space="preserve">, State or Territory based </w:t>
      </w:r>
      <w:r w:rsidRPr="00666644">
        <w:rPr>
          <w:rFonts w:cs="Arial"/>
          <w:b/>
          <w:bCs/>
          <w:color w:val="3366FF"/>
        </w:rPr>
        <w:t>Care</w:t>
      </w:r>
      <w:r w:rsidRPr="00666644">
        <w:rPr>
          <w:rFonts w:cs="Arial"/>
          <w:color w:val="3366FF"/>
        </w:rPr>
        <w:t xml:space="preserve"> and/or informal Care such as: Juvenile Justice; Out of Home Care - including SAAP services; or Aboriginal or Torres Strait Islander kinship care arrangements </w:t>
      </w:r>
      <w:r w:rsidRPr="00666644">
        <w:rPr>
          <w:rFonts w:cs="Arial"/>
          <w:b/>
          <w:bCs/>
          <w:color w:val="3366FF"/>
        </w:rPr>
        <w:t>not more than 24 months ago</w:t>
      </w:r>
      <w:r w:rsidRPr="00666644">
        <w:rPr>
          <w:rFonts w:cs="Arial"/>
          <w:color w:val="3366FF"/>
        </w:rPr>
        <w:t xml:space="preserve">. TILA funds are available to assist a maximum of 2,500 young people each financial year. For further information please view the </w:t>
      </w:r>
      <w:hyperlink r:id="rId10" w:tgtFrame="_blank" w:history="1">
        <w:r w:rsidRPr="00666644">
          <w:rPr>
            <w:rStyle w:val="Hyperlink"/>
            <w:rFonts w:cs="Arial"/>
            <w:color w:val="3366FF"/>
          </w:rPr>
          <w:t>TILA Guidelines</w:t>
        </w:r>
      </w:hyperlink>
      <w:r w:rsidRPr="00666644">
        <w:rPr>
          <w:rFonts w:cs="Arial"/>
          <w:color w:val="3366FF"/>
        </w:rPr>
        <w:t>.</w:t>
      </w:r>
    </w:p>
    <w:p w:rsidR="00A21356" w:rsidRPr="00666644" w:rsidRDefault="00A21356" w:rsidP="00C274BE">
      <w:pPr>
        <w:pStyle w:val="BodyTextIndent2"/>
        <w:ind w:left="900"/>
        <w:jc w:val="both"/>
        <w:rPr>
          <w:b/>
          <w:color w:val="3366FF"/>
        </w:rPr>
      </w:pPr>
    </w:p>
    <w:p w:rsidR="00A21356" w:rsidRDefault="00A21356" w:rsidP="00C274BE">
      <w:pPr>
        <w:pStyle w:val="BodyTextIndent2"/>
        <w:ind w:left="900"/>
        <w:jc w:val="both"/>
        <w:rPr>
          <w:b/>
        </w:rPr>
      </w:pPr>
      <w:r>
        <w:rPr>
          <w:b/>
        </w:rPr>
        <w:t xml:space="preserve">Given the changes it is important that workers assist young people leaving care to </w:t>
      </w:r>
    </w:p>
    <w:p w:rsidR="00A21356" w:rsidRPr="00A21356" w:rsidRDefault="00A21356" w:rsidP="00C274BE">
      <w:pPr>
        <w:pStyle w:val="BodyTextIndent2"/>
        <w:ind w:left="900"/>
        <w:jc w:val="both"/>
        <w:rPr>
          <w:b/>
        </w:rPr>
      </w:pPr>
      <w:r>
        <w:rPr>
          <w:b/>
        </w:rPr>
        <w:t>access TILA as soon as is possible post care.</w:t>
      </w:r>
    </w:p>
    <w:p w:rsidR="00C274BE" w:rsidRDefault="00C274BE" w:rsidP="00335F69">
      <w:pPr>
        <w:pStyle w:val="BodyTextIndent2"/>
        <w:ind w:left="900"/>
        <w:jc w:val="both"/>
        <w:rPr>
          <w:b/>
        </w:rPr>
      </w:pPr>
    </w:p>
    <w:p w:rsidR="00A21356" w:rsidRDefault="00A21356" w:rsidP="00335F69">
      <w:pPr>
        <w:pStyle w:val="BodyTextIndent2"/>
        <w:ind w:left="900"/>
        <w:jc w:val="both"/>
        <w:rPr>
          <w:b/>
        </w:rPr>
      </w:pPr>
      <w:r>
        <w:rPr>
          <w:b/>
        </w:rPr>
        <w:t xml:space="preserve">Access to TILA is not a prerequisite in accessing </w:t>
      </w:r>
      <w:smartTag w:uri="urn:schemas-microsoft-com:office:smarttags" w:element="State">
        <w:smartTag w:uri="urn:schemas-microsoft-com:office:smarttags" w:element="place">
          <w:r>
            <w:rPr>
              <w:b/>
            </w:rPr>
            <w:t>Victoria</w:t>
          </w:r>
        </w:smartTag>
      </w:smartTag>
      <w:r>
        <w:rPr>
          <w:b/>
        </w:rPr>
        <w:t>’s Leaving Care brokerage</w:t>
      </w:r>
    </w:p>
    <w:p w:rsidR="00A21356" w:rsidRPr="00A21356" w:rsidRDefault="00A21356" w:rsidP="00335F69">
      <w:pPr>
        <w:pStyle w:val="BodyTextIndent2"/>
        <w:ind w:left="900"/>
        <w:jc w:val="both"/>
        <w:rPr>
          <w:b/>
        </w:rPr>
      </w:pPr>
      <w:r>
        <w:rPr>
          <w:b/>
        </w:rPr>
        <w:t xml:space="preserve">for eligible young people. </w:t>
      </w:r>
    </w:p>
    <w:p w:rsidR="00C274BE" w:rsidRDefault="00C274BE" w:rsidP="00335F69">
      <w:pPr>
        <w:pStyle w:val="BodyTextIndent2"/>
        <w:ind w:left="900"/>
        <w:jc w:val="both"/>
      </w:pPr>
    </w:p>
    <w:p w:rsidR="007B63EC" w:rsidRPr="00A21356" w:rsidRDefault="00F63F26" w:rsidP="00335F69">
      <w:pPr>
        <w:pStyle w:val="BodyTextIndent2"/>
        <w:ind w:left="900"/>
        <w:jc w:val="both"/>
        <w:rPr>
          <w:b/>
        </w:rPr>
      </w:pPr>
      <w:r w:rsidRPr="00A21356">
        <w:rPr>
          <w:b/>
        </w:rPr>
        <w:t>The Victorian Leaving Care brokerage fund is available</w:t>
      </w:r>
      <w:r w:rsidR="00A21356">
        <w:rPr>
          <w:b/>
        </w:rPr>
        <w:t>:</w:t>
      </w:r>
    </w:p>
    <w:p w:rsidR="007B63EC" w:rsidRDefault="007B63EC" w:rsidP="00335F69">
      <w:pPr>
        <w:pStyle w:val="BodyTextIndent2"/>
        <w:ind w:left="900"/>
        <w:jc w:val="both"/>
      </w:pPr>
    </w:p>
    <w:p w:rsidR="0071170B" w:rsidRPr="007B63EC" w:rsidRDefault="00F63F26" w:rsidP="007B63EC">
      <w:pPr>
        <w:pStyle w:val="BodyTextIndent2"/>
        <w:numPr>
          <w:ilvl w:val="0"/>
          <w:numId w:val="22"/>
        </w:numPr>
        <w:jc w:val="both"/>
      </w:pPr>
      <w:r w:rsidRPr="00F63F26">
        <w:t>to eligible</w:t>
      </w:r>
      <w:r w:rsidR="007B63EC">
        <w:t xml:space="preserve"> </w:t>
      </w:r>
      <w:r w:rsidRPr="00F63F26">
        <w:t>young people</w:t>
      </w:r>
      <w:r w:rsidR="007B63EC">
        <w:t xml:space="preserve"> </w:t>
      </w:r>
      <w:r>
        <w:t>up to 21 years,</w:t>
      </w:r>
    </w:p>
    <w:p w:rsidR="002A1775" w:rsidRDefault="00F63F26" w:rsidP="002A1775">
      <w:pPr>
        <w:pStyle w:val="Heading1"/>
        <w:numPr>
          <w:ilvl w:val="0"/>
          <w:numId w:val="21"/>
        </w:numPr>
        <w:jc w:val="both"/>
        <w:rPr>
          <w:sz w:val="20"/>
          <w:szCs w:val="20"/>
        </w:rPr>
      </w:pPr>
      <w:r>
        <w:rPr>
          <w:sz w:val="20"/>
          <w:szCs w:val="20"/>
        </w:rPr>
        <w:t>may be accessed on more than one occasion both during transition from care and post care, and</w:t>
      </w:r>
    </w:p>
    <w:p w:rsidR="00F63F26" w:rsidRDefault="00F63F26" w:rsidP="00F63F26">
      <w:pPr>
        <w:pStyle w:val="Heading1"/>
        <w:numPr>
          <w:ilvl w:val="0"/>
          <w:numId w:val="21"/>
        </w:numPr>
        <w:jc w:val="both"/>
        <w:rPr>
          <w:sz w:val="20"/>
          <w:szCs w:val="20"/>
        </w:rPr>
      </w:pPr>
      <w:r>
        <w:rPr>
          <w:sz w:val="20"/>
          <w:szCs w:val="20"/>
        </w:rPr>
        <w:t>may be accessed in differing sums subject to the young person’s needs</w:t>
      </w:r>
    </w:p>
    <w:p w:rsidR="00F63F26" w:rsidRPr="00EF24EB" w:rsidRDefault="00F63F26" w:rsidP="00F63F26">
      <w:pPr>
        <w:pStyle w:val="Heading1"/>
        <w:jc w:val="both"/>
        <w:rPr>
          <w:b/>
          <w:sz w:val="20"/>
          <w:szCs w:val="20"/>
        </w:rPr>
      </w:pPr>
      <w:r w:rsidRPr="00EF24EB">
        <w:rPr>
          <w:b/>
          <w:sz w:val="20"/>
          <w:szCs w:val="20"/>
        </w:rPr>
        <w:t xml:space="preserve">It must be re-iterated however that the allocation of Leaving Care brokerage is subject to regional </w:t>
      </w:r>
      <w:r w:rsidR="00227E5F" w:rsidRPr="00EF24EB">
        <w:rPr>
          <w:b/>
          <w:sz w:val="20"/>
          <w:szCs w:val="20"/>
        </w:rPr>
        <w:t>discretion and judgements based on availability of funds and equity of access.</w:t>
      </w:r>
    </w:p>
    <w:p w:rsidR="00A77702" w:rsidRPr="00DC3889" w:rsidRDefault="00E91379" w:rsidP="00A77702">
      <w:pPr>
        <w:pStyle w:val="Heading1"/>
        <w:jc w:val="both"/>
        <w:rPr>
          <w:rStyle w:val="a"/>
          <w:b/>
          <w:bCs/>
          <w:sz w:val="22"/>
          <w:szCs w:val="22"/>
        </w:rPr>
      </w:pPr>
      <w:r w:rsidRPr="00DC3889">
        <w:rPr>
          <w:rStyle w:val="a"/>
          <w:b/>
          <w:bCs/>
          <w:sz w:val="22"/>
          <w:szCs w:val="22"/>
        </w:rPr>
        <w:t xml:space="preserve">CONSIDERATIONS FOR </w:t>
      </w:r>
      <w:r w:rsidR="00A77702" w:rsidRPr="00DC3889">
        <w:rPr>
          <w:rStyle w:val="a"/>
          <w:b/>
          <w:bCs/>
          <w:sz w:val="22"/>
          <w:szCs w:val="22"/>
        </w:rPr>
        <w:t>ALLOCATION OF BROKERAGE FUNDS</w:t>
      </w:r>
    </w:p>
    <w:p w:rsidR="00E91379" w:rsidRPr="00A77702" w:rsidRDefault="00E91379" w:rsidP="00A77702">
      <w:pPr>
        <w:pStyle w:val="Heading1"/>
        <w:jc w:val="both"/>
        <w:rPr>
          <w:rStyle w:val="a"/>
          <w:b/>
          <w:bCs/>
          <w:sz w:val="22"/>
          <w:szCs w:val="22"/>
        </w:rPr>
      </w:pPr>
      <w:r w:rsidRPr="00A77702">
        <w:rPr>
          <w:rStyle w:val="a"/>
          <w:b/>
          <w:bCs/>
          <w:sz w:val="22"/>
          <w:szCs w:val="22"/>
        </w:rPr>
        <w:t>Young people leaving care</w:t>
      </w:r>
    </w:p>
    <w:p w:rsidR="00E91379" w:rsidRPr="00746D40" w:rsidRDefault="00E91379">
      <w:pPr>
        <w:pStyle w:val="BodyTextIndent2"/>
        <w:ind w:left="0" w:firstLine="0"/>
        <w:jc w:val="both"/>
      </w:pPr>
      <w:r w:rsidRPr="00746D40">
        <w:t>In relation to young people aged 16 - 18 years</w:t>
      </w:r>
      <w:r w:rsidRPr="00746D40">
        <w:rPr>
          <w:rStyle w:val="FootnoteReference"/>
        </w:rPr>
        <w:footnoteReference w:id="1"/>
      </w:r>
      <w:r w:rsidRPr="00746D40">
        <w:t xml:space="preserve"> in the process of leaving care, the following should guide decision making:</w:t>
      </w:r>
    </w:p>
    <w:p w:rsidR="00E91379" w:rsidRPr="00746D40" w:rsidRDefault="00E91379">
      <w:pPr>
        <w:pStyle w:val="BodyTextIndent2"/>
        <w:ind w:left="0" w:firstLine="0"/>
        <w:jc w:val="both"/>
      </w:pPr>
    </w:p>
    <w:p w:rsidR="00D76EA8" w:rsidRDefault="00E91379" w:rsidP="00D76EA8">
      <w:pPr>
        <w:pStyle w:val="BodyTextIndent2"/>
        <w:ind w:left="720" w:hanging="720"/>
        <w:jc w:val="both"/>
      </w:pPr>
      <w:r w:rsidRPr="00746D40">
        <w:lastRenderedPageBreak/>
        <w:t>(i)</w:t>
      </w:r>
      <w:r w:rsidRPr="00746D40">
        <w:tab/>
        <w:t>As part of transition planning an assessment of each young person’s specific needs to support transition to independence must be undertaken;</w:t>
      </w:r>
    </w:p>
    <w:p w:rsidR="00D76EA8" w:rsidRPr="00746D40" w:rsidRDefault="00D76EA8" w:rsidP="00D76EA8">
      <w:pPr>
        <w:pStyle w:val="BodyTextIndent2"/>
        <w:ind w:left="720" w:hanging="720"/>
        <w:jc w:val="both"/>
      </w:pPr>
    </w:p>
    <w:p w:rsidR="00E91379" w:rsidRPr="00746D40" w:rsidRDefault="00D76EA8" w:rsidP="00D76EA8">
      <w:pPr>
        <w:pStyle w:val="BodyTextIndent2"/>
        <w:ind w:left="720" w:hanging="720"/>
        <w:jc w:val="both"/>
      </w:pPr>
      <w:r>
        <w:t>(ii)</w:t>
      </w:r>
      <w:r>
        <w:tab/>
      </w:r>
      <w:r w:rsidR="00E91379" w:rsidRPr="00746D40">
        <w:t xml:space="preserve">An amount of </w:t>
      </w:r>
      <w:r w:rsidR="00E91379" w:rsidRPr="00746D40">
        <w:rPr>
          <w:b/>
          <w:bCs/>
          <w:u w:val="single"/>
        </w:rPr>
        <w:t>no less</w:t>
      </w:r>
      <w:r w:rsidR="00E91379" w:rsidRPr="00746D40">
        <w:rPr>
          <w:b/>
          <w:bCs/>
        </w:rPr>
        <w:t xml:space="preserve"> </w:t>
      </w:r>
      <w:r w:rsidR="00E91379" w:rsidRPr="00746D40">
        <w:t>than $1,000, sourced from existing regional funds (as discussed above) must be allocated to every young person transitioning to independent living linked to their needs as identified in their transition plan;</w:t>
      </w:r>
    </w:p>
    <w:p w:rsidR="00E91379" w:rsidRPr="00746D40" w:rsidRDefault="00E91379">
      <w:pPr>
        <w:pStyle w:val="BodyTextIndent2"/>
        <w:ind w:left="720" w:hanging="720"/>
        <w:jc w:val="both"/>
      </w:pPr>
      <w:r w:rsidRPr="00746D40">
        <w:t>(i</w:t>
      </w:r>
      <w:r w:rsidR="00D76EA8">
        <w:t>ii</w:t>
      </w:r>
      <w:r w:rsidRPr="00746D40">
        <w:t>)</w:t>
      </w:r>
      <w:r w:rsidRPr="00746D40">
        <w:tab/>
        <w:t>Additional funding required to support a young person’s transition, sourced from the CYF Division leaving care brokerage budget,</w:t>
      </w:r>
      <w:r w:rsidR="00EE5EAB" w:rsidRPr="00746D40">
        <w:t xml:space="preserve"> must</w:t>
      </w:r>
      <w:r w:rsidRPr="00746D40">
        <w:t xml:space="preserve"> be approved by the young person’s care team who will consider need against regional priorities.</w:t>
      </w:r>
    </w:p>
    <w:p w:rsidR="00E91379" w:rsidRPr="00746D40" w:rsidRDefault="00E91379">
      <w:pPr>
        <w:pStyle w:val="BodyTextIndent2"/>
        <w:ind w:left="0" w:firstLine="0"/>
        <w:jc w:val="both"/>
      </w:pPr>
    </w:p>
    <w:p w:rsidR="00E91379" w:rsidRPr="00746D40" w:rsidRDefault="00E91379">
      <w:pPr>
        <w:pStyle w:val="BodyTextIndent2"/>
        <w:ind w:left="720" w:hanging="720"/>
        <w:jc w:val="both"/>
      </w:pPr>
      <w:r w:rsidRPr="00746D40">
        <w:t>(</w:t>
      </w:r>
      <w:r w:rsidR="00B63807">
        <w:t>i</w:t>
      </w:r>
      <w:r w:rsidRPr="00746D40">
        <w:t>v)</w:t>
      </w:r>
      <w:r w:rsidRPr="00746D40">
        <w:tab/>
      </w:r>
      <w:r w:rsidR="00B63807">
        <w:t>A</w:t>
      </w:r>
      <w:r w:rsidRPr="00746D40">
        <w:t>llocations in excess of $1,000 must be approved by the Regional Leaving Care Alliance</w:t>
      </w:r>
      <w:r w:rsidR="002A1775">
        <w:t xml:space="preserve"> (RCLA)</w:t>
      </w:r>
      <w:r w:rsidR="00B63807">
        <w:t>, or their delegates</w:t>
      </w:r>
      <w:r w:rsidRPr="00746D40">
        <w:t>.  There is no maximum limit on the amount of funding to be provided.</w:t>
      </w:r>
    </w:p>
    <w:p w:rsidR="00E91379" w:rsidRPr="00746D40" w:rsidRDefault="00E91379">
      <w:pPr>
        <w:pStyle w:val="BodyTextIndent2"/>
        <w:ind w:left="0" w:firstLine="0"/>
        <w:jc w:val="both"/>
      </w:pPr>
    </w:p>
    <w:p w:rsidR="00E91379" w:rsidRPr="00746D40" w:rsidRDefault="00E91379">
      <w:pPr>
        <w:pStyle w:val="BodyTextIndent2"/>
        <w:ind w:left="720" w:hanging="720"/>
        <w:jc w:val="both"/>
      </w:pPr>
      <w:r w:rsidRPr="00746D40">
        <w:t>(v)</w:t>
      </w:r>
      <w:r w:rsidRPr="00746D40">
        <w:tab/>
      </w:r>
      <w:r w:rsidR="002A1775">
        <w:t>RCLA</w:t>
      </w:r>
      <w:r w:rsidRPr="00746D40">
        <w:t xml:space="preserve"> and Community Service Organizations managing leaving care brokerage funds, need to ensure that annual expenditure does not exceed 50% of the available funds, to ensure sufficient brokerage funds for older care leavers seeking support. </w:t>
      </w:r>
    </w:p>
    <w:p w:rsidR="00E91379" w:rsidRPr="00746D40" w:rsidRDefault="00E91379">
      <w:pPr>
        <w:pStyle w:val="BodyTextIndent2"/>
        <w:ind w:left="0" w:firstLine="0"/>
        <w:jc w:val="both"/>
        <w:rPr>
          <w:b/>
          <w:bCs/>
        </w:rPr>
      </w:pPr>
    </w:p>
    <w:p w:rsidR="00E91379" w:rsidRPr="000553D7" w:rsidRDefault="00E91379">
      <w:pPr>
        <w:pStyle w:val="BodyTextIndent2"/>
        <w:ind w:left="0" w:firstLine="0"/>
        <w:jc w:val="both"/>
        <w:rPr>
          <w:b/>
          <w:bCs/>
          <w:sz w:val="22"/>
          <w:szCs w:val="22"/>
        </w:rPr>
      </w:pPr>
      <w:r w:rsidRPr="000553D7">
        <w:rPr>
          <w:b/>
          <w:bCs/>
          <w:sz w:val="22"/>
          <w:szCs w:val="22"/>
        </w:rPr>
        <w:t>Young people who subsequently seek assistance</w:t>
      </w:r>
    </w:p>
    <w:p w:rsidR="00E91379" w:rsidRPr="00746D40" w:rsidRDefault="00E91379">
      <w:pPr>
        <w:pStyle w:val="BodyTextIndent2"/>
        <w:ind w:left="0" w:firstLine="0"/>
        <w:jc w:val="both"/>
        <w:rPr>
          <w:b/>
          <w:bCs/>
        </w:rPr>
      </w:pPr>
    </w:p>
    <w:p w:rsidR="00E91379" w:rsidRPr="00746D40" w:rsidRDefault="00E91379">
      <w:pPr>
        <w:pStyle w:val="BodyTextIndent2"/>
        <w:ind w:left="0" w:firstLine="0"/>
        <w:jc w:val="both"/>
      </w:pPr>
      <w:r w:rsidRPr="00746D40">
        <w:t>In relation to young people between</w:t>
      </w:r>
      <w:r w:rsidR="000553D7">
        <w:t xml:space="preserve"> 16 and</w:t>
      </w:r>
      <w:r w:rsidRPr="00746D40">
        <w:t xml:space="preserve"> 21 years of age who have transitioned to independence but who </w:t>
      </w:r>
      <w:r w:rsidR="000553D7">
        <w:t xml:space="preserve">subsequently </w:t>
      </w:r>
      <w:r w:rsidRPr="00746D40">
        <w:t xml:space="preserve">seek further support </w:t>
      </w:r>
      <w:r w:rsidR="000553D7">
        <w:t>t</w:t>
      </w:r>
      <w:r w:rsidRPr="00746D40">
        <w:t>hat may require brokerage funding the following should guide decision making:</w:t>
      </w:r>
    </w:p>
    <w:p w:rsidR="00E91379" w:rsidRPr="00746D40" w:rsidRDefault="00E91379">
      <w:pPr>
        <w:pStyle w:val="BodyTextIndent2"/>
        <w:ind w:left="0" w:firstLine="0"/>
        <w:jc w:val="both"/>
      </w:pPr>
    </w:p>
    <w:p w:rsidR="00E91379" w:rsidRPr="00746D40" w:rsidRDefault="000B75D9">
      <w:pPr>
        <w:pStyle w:val="BodyTextIndent2"/>
        <w:ind w:left="720" w:hanging="720"/>
        <w:jc w:val="both"/>
      </w:pPr>
      <w:r w:rsidRPr="00746D40" w:rsidDel="000B75D9">
        <w:t xml:space="preserve"> </w:t>
      </w:r>
      <w:r w:rsidR="00E91379" w:rsidRPr="00746D40">
        <w:t>(i)</w:t>
      </w:r>
      <w:r w:rsidR="00E91379" w:rsidRPr="00746D40">
        <w:tab/>
        <w:t>Funding of up to $500 in any calendar year can be approved by the post care support provider subject to criteria discussed below;</w:t>
      </w:r>
    </w:p>
    <w:p w:rsidR="00E91379" w:rsidRPr="00746D40" w:rsidRDefault="00E91379">
      <w:pPr>
        <w:pStyle w:val="BodyTextIndent2"/>
        <w:ind w:left="0" w:firstLine="0"/>
        <w:jc w:val="both"/>
      </w:pPr>
    </w:p>
    <w:p w:rsidR="00E91379" w:rsidRPr="00746D40" w:rsidRDefault="00E91379">
      <w:pPr>
        <w:pStyle w:val="BodyTextIndent2"/>
        <w:ind w:left="720" w:hanging="720"/>
        <w:jc w:val="both"/>
      </w:pPr>
      <w:r w:rsidRPr="00746D40">
        <w:t>(ii)</w:t>
      </w:r>
      <w:r w:rsidRPr="00746D40">
        <w:tab/>
        <w:t xml:space="preserve">Where an assessment of a young person’s needs determines that the young person requires support exceeding $500 in any calendar year, assessment of this need against regional priorities must be approved by the </w:t>
      </w:r>
      <w:r w:rsidR="002A1775">
        <w:t>RCLA</w:t>
      </w:r>
      <w:r w:rsidRPr="00746D40">
        <w:t xml:space="preserve">.  </w:t>
      </w:r>
    </w:p>
    <w:p w:rsidR="00E91379" w:rsidRPr="00746D40" w:rsidRDefault="00E91379">
      <w:pPr>
        <w:pStyle w:val="BodyTextIndent2"/>
        <w:ind w:left="0" w:firstLine="0"/>
        <w:jc w:val="both"/>
      </w:pPr>
    </w:p>
    <w:p w:rsidR="00E91379" w:rsidRDefault="00E91379">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240" w:lineRule="atLeast"/>
        <w:ind w:left="705" w:hanging="705"/>
        <w:jc w:val="both"/>
        <w:rPr>
          <w:rStyle w:val="a"/>
          <w:spacing w:val="-3"/>
        </w:rPr>
      </w:pPr>
      <w:r w:rsidRPr="00746D40">
        <w:t>(i</w:t>
      </w:r>
      <w:r w:rsidR="000B75D9">
        <w:t>ii</w:t>
      </w:r>
      <w:r w:rsidRPr="00746D40">
        <w:t>)</w:t>
      </w:r>
      <w:r w:rsidRPr="00746D40">
        <w:tab/>
        <w:t xml:space="preserve">Assess each young person’s capacity to contribute in order that </w:t>
      </w:r>
      <w:r w:rsidRPr="00746D40">
        <w:rPr>
          <w:rStyle w:val="a"/>
          <w:spacing w:val="-3"/>
        </w:rPr>
        <w:t>brokerage payments may be made on a cost-share basis, rather than the full cost of an item being met by the leaving care brokerage funding alone.  (Service providers have noted that where a young person has contributed payment to a purchase or service they are more likely to take responsibility</w:t>
      </w:r>
      <w:r w:rsidR="002A1775">
        <w:rPr>
          <w:rStyle w:val="a"/>
          <w:spacing w:val="-3"/>
        </w:rPr>
        <w:t xml:space="preserve"> for</w:t>
      </w:r>
      <w:r w:rsidRPr="00746D40">
        <w:rPr>
          <w:rStyle w:val="a"/>
          <w:spacing w:val="-3"/>
        </w:rPr>
        <w:t xml:space="preserve"> it)</w:t>
      </w:r>
      <w:r w:rsidR="000B75D9">
        <w:rPr>
          <w:rStyle w:val="a"/>
          <w:spacing w:val="-3"/>
        </w:rPr>
        <w:t>.</w:t>
      </w:r>
    </w:p>
    <w:p w:rsidR="000B75D9" w:rsidRDefault="004C0305" w:rsidP="004C0305">
      <w:pPr>
        <w:pStyle w:val="BodyTextIndent2"/>
        <w:ind w:left="705" w:hanging="705"/>
        <w:jc w:val="both"/>
      </w:pPr>
      <w:r>
        <w:rPr>
          <w:rStyle w:val="a"/>
          <w:spacing w:val="-3"/>
        </w:rPr>
        <w:t>(iv)</w:t>
      </w:r>
      <w:r>
        <w:rPr>
          <w:rStyle w:val="a"/>
          <w:spacing w:val="-3"/>
        </w:rPr>
        <w:tab/>
      </w:r>
      <w:r w:rsidR="000B75D9">
        <w:rPr>
          <w:rStyle w:val="a"/>
          <w:spacing w:val="-3"/>
        </w:rPr>
        <w:t>Assess those young adults (in their 21</w:t>
      </w:r>
      <w:r w:rsidR="000B75D9" w:rsidRPr="000B75D9">
        <w:rPr>
          <w:rStyle w:val="a"/>
          <w:spacing w:val="-3"/>
          <w:vertAlign w:val="superscript"/>
        </w:rPr>
        <w:t>st</w:t>
      </w:r>
      <w:r w:rsidR="000B75D9">
        <w:rPr>
          <w:rStyle w:val="a"/>
          <w:spacing w:val="-3"/>
        </w:rPr>
        <w:t xml:space="preserve"> years) for an application to TILA.</w:t>
      </w:r>
      <w:r w:rsidR="000B75D9">
        <w:t xml:space="preserve"> The TILA website is at </w:t>
      </w:r>
      <w:hyperlink r:id="rId11" w:history="1">
        <w:r w:rsidR="000B75D9" w:rsidRPr="00195370">
          <w:rPr>
            <w:rStyle w:val="Hyperlink"/>
          </w:rPr>
          <w:t>www.tila.org.au</w:t>
        </w:r>
      </w:hyperlink>
      <w:r w:rsidR="000B75D9">
        <w:t>.</w:t>
      </w:r>
    </w:p>
    <w:p w:rsidR="000B75D9" w:rsidRPr="00746D40" w:rsidRDefault="000B75D9" w:rsidP="000B75D9">
      <w:pPr>
        <w:pStyle w:val="BodyTextIndent2"/>
        <w:ind w:left="0" w:firstLine="0"/>
        <w:jc w:val="both"/>
      </w:pPr>
    </w:p>
    <w:p w:rsidR="00E91379" w:rsidRPr="00746D40" w:rsidRDefault="00E91379">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240" w:lineRule="atLeast"/>
        <w:jc w:val="both"/>
        <w:rPr>
          <w:rStyle w:val="a"/>
          <w:b/>
          <w:bCs/>
          <w:spacing w:val="-3"/>
        </w:rPr>
      </w:pPr>
      <w:r w:rsidRPr="00746D40">
        <w:rPr>
          <w:rStyle w:val="a"/>
          <w:b/>
          <w:bCs/>
          <w:spacing w:val="-3"/>
        </w:rPr>
        <w:t>ALTERNATE FUNDING SOURCES</w:t>
      </w:r>
    </w:p>
    <w:p w:rsidR="00E91379" w:rsidRPr="00746D40" w:rsidRDefault="00E91379">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240" w:lineRule="atLeast"/>
        <w:jc w:val="both"/>
        <w:rPr>
          <w:rStyle w:val="a"/>
          <w:b/>
          <w:bCs/>
          <w:spacing w:val="-3"/>
        </w:rPr>
      </w:pPr>
    </w:p>
    <w:p w:rsidR="00E91379" w:rsidRPr="00746D40" w:rsidRDefault="00E91379">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240" w:lineRule="atLeast"/>
        <w:jc w:val="both"/>
        <w:rPr>
          <w:rStyle w:val="a"/>
          <w:spacing w:val="-3"/>
        </w:rPr>
      </w:pPr>
      <w:r w:rsidRPr="00746D40">
        <w:rPr>
          <w:rStyle w:val="a"/>
          <w:spacing w:val="-3"/>
        </w:rPr>
        <w:t xml:space="preserve">It is important that post care support providers and </w:t>
      </w:r>
      <w:r w:rsidR="002A1775">
        <w:rPr>
          <w:rStyle w:val="a"/>
          <w:spacing w:val="-3"/>
        </w:rPr>
        <w:t>RCLA</w:t>
      </w:r>
      <w:r w:rsidRPr="00746D40">
        <w:rPr>
          <w:rStyle w:val="a"/>
          <w:spacing w:val="-3"/>
        </w:rPr>
        <w:t xml:space="preserve"> build a body of knowledge of resources and funding sources that young people can access in order to ensure that brokerage funding is used to maximum effect.</w:t>
      </w:r>
    </w:p>
    <w:p w:rsidR="00E91379" w:rsidRPr="00746D40" w:rsidRDefault="00E91379">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240" w:lineRule="atLeast"/>
        <w:jc w:val="both"/>
        <w:rPr>
          <w:rStyle w:val="a"/>
          <w:spacing w:val="-3"/>
        </w:rPr>
      </w:pPr>
    </w:p>
    <w:p w:rsidR="00E91379" w:rsidRPr="00746D40" w:rsidRDefault="00E91379">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240" w:lineRule="atLeast"/>
        <w:jc w:val="both"/>
        <w:rPr>
          <w:rStyle w:val="a"/>
          <w:spacing w:val="-3"/>
        </w:rPr>
      </w:pPr>
      <w:r w:rsidRPr="00746D40">
        <w:rPr>
          <w:rStyle w:val="a"/>
          <w:spacing w:val="-3"/>
        </w:rPr>
        <w:t xml:space="preserve">Brokerage funding should be sought after it is clear that there is no alternative funding source available.  An approach to other departmental programs, other Government programs and community resources should be considered in each case and adequate advice and information given to the young person to empower them to negotiate these networks. </w:t>
      </w:r>
    </w:p>
    <w:p w:rsidR="00E91379" w:rsidRPr="00746D40" w:rsidRDefault="00E91379">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240" w:lineRule="atLeast"/>
        <w:jc w:val="both"/>
        <w:rPr>
          <w:rStyle w:val="a"/>
          <w:spacing w:val="-3"/>
        </w:rPr>
      </w:pPr>
    </w:p>
    <w:p w:rsidR="00E91379" w:rsidRPr="00746D40" w:rsidRDefault="00E91379">
      <w:pPr>
        <w:pStyle w:val="Heading1"/>
        <w:jc w:val="both"/>
        <w:rPr>
          <w:b/>
          <w:bCs/>
          <w:sz w:val="20"/>
          <w:szCs w:val="20"/>
        </w:rPr>
      </w:pPr>
      <w:r w:rsidRPr="00746D40">
        <w:rPr>
          <w:b/>
          <w:bCs/>
          <w:sz w:val="20"/>
          <w:szCs w:val="20"/>
        </w:rPr>
        <w:t>WHAT CAN BE APPLIED FOR?</w:t>
      </w:r>
    </w:p>
    <w:p w:rsidR="00E91379" w:rsidRPr="00746D40" w:rsidRDefault="00E91379">
      <w:pPr>
        <w:pStyle w:val="Heading5"/>
        <w:jc w:val="both"/>
        <w:rPr>
          <w:bCs/>
          <w:u w:val="single"/>
        </w:rPr>
      </w:pPr>
      <w:r w:rsidRPr="00746D40">
        <w:rPr>
          <w:bCs/>
          <w:u w:val="single"/>
        </w:rPr>
        <w:t>Young people up to 18 years</w:t>
      </w:r>
      <w:r w:rsidR="00D1426A" w:rsidRPr="00746D40">
        <w:rPr>
          <w:bCs/>
          <w:u w:val="single"/>
        </w:rPr>
        <w:t xml:space="preserve"> of age</w:t>
      </w:r>
      <w:r w:rsidRPr="00746D40">
        <w:rPr>
          <w:bCs/>
          <w:u w:val="single"/>
        </w:rPr>
        <w:t xml:space="preserve"> </w:t>
      </w:r>
      <w:r w:rsidR="008E21D7">
        <w:rPr>
          <w:bCs/>
          <w:u w:val="single"/>
        </w:rPr>
        <w:t xml:space="preserve">who </w:t>
      </w:r>
      <w:r w:rsidR="00A17FCE">
        <w:rPr>
          <w:bCs/>
          <w:u w:val="single"/>
        </w:rPr>
        <w:t>are</w:t>
      </w:r>
      <w:r w:rsidR="008E21D7">
        <w:rPr>
          <w:bCs/>
          <w:u w:val="single"/>
        </w:rPr>
        <w:t xml:space="preserve"> transitioning from care</w:t>
      </w:r>
    </w:p>
    <w:p w:rsidR="00E91379" w:rsidRPr="00746D40" w:rsidRDefault="00E91379">
      <w:pPr>
        <w:jc w:val="both"/>
      </w:pPr>
    </w:p>
    <w:p w:rsidR="00E91379" w:rsidRPr="00746D40" w:rsidRDefault="00E91379">
      <w:pPr>
        <w:jc w:val="both"/>
      </w:pPr>
      <w:r w:rsidRPr="00746D40">
        <w:t>It is the shared responsibility of the care team to ensure that every detail of the young person’s assessed needs are identified and detailed in the transition plan.  Consistent with the Transition Plan, funds can be provided for:</w:t>
      </w:r>
    </w:p>
    <w:p w:rsidR="00E91379" w:rsidRPr="00746D40" w:rsidRDefault="00E91379">
      <w:pPr>
        <w:ind w:left="360"/>
        <w:jc w:val="both"/>
        <w:rPr>
          <w:rStyle w:val="a"/>
          <w:spacing w:val="-3"/>
          <w:u w:val="single"/>
        </w:rPr>
      </w:pPr>
    </w:p>
    <w:p w:rsidR="00E91379" w:rsidRPr="00746D40" w:rsidRDefault="00E91379">
      <w:pPr>
        <w:numPr>
          <w:ilvl w:val="0"/>
          <w:numId w:val="7"/>
        </w:numPr>
        <w:jc w:val="both"/>
        <w:rPr>
          <w:rStyle w:val="a"/>
          <w:spacing w:val="-3"/>
        </w:rPr>
      </w:pPr>
      <w:r w:rsidRPr="00746D40">
        <w:rPr>
          <w:rStyle w:val="a"/>
          <w:b/>
          <w:bCs/>
          <w:spacing w:val="-3"/>
        </w:rPr>
        <w:lastRenderedPageBreak/>
        <w:t>Accommodation</w:t>
      </w:r>
      <w:r w:rsidRPr="00746D40">
        <w:rPr>
          <w:rStyle w:val="a"/>
          <w:spacing w:val="-3"/>
        </w:rPr>
        <w:t xml:space="preserve"> costs associated with setting up or maintaining accommodation;</w:t>
      </w:r>
    </w:p>
    <w:p w:rsidR="00E91379" w:rsidRPr="00746D40" w:rsidRDefault="00E91379">
      <w:pPr>
        <w:ind w:left="360"/>
        <w:jc w:val="both"/>
        <w:rPr>
          <w:rStyle w:val="a"/>
          <w:spacing w:val="-3"/>
        </w:rPr>
      </w:pPr>
    </w:p>
    <w:p w:rsidR="00E91379" w:rsidRPr="00746D40" w:rsidRDefault="00E91379">
      <w:pPr>
        <w:numPr>
          <w:ilvl w:val="0"/>
          <w:numId w:val="7"/>
        </w:numPr>
        <w:jc w:val="both"/>
        <w:rPr>
          <w:rStyle w:val="a"/>
          <w:spacing w:val="-3"/>
        </w:rPr>
      </w:pPr>
      <w:r w:rsidRPr="00746D40">
        <w:rPr>
          <w:rStyle w:val="a"/>
          <w:b/>
          <w:bCs/>
          <w:spacing w:val="-3"/>
        </w:rPr>
        <w:t>Education, training and employment</w:t>
      </w:r>
      <w:r w:rsidRPr="00746D40">
        <w:rPr>
          <w:rStyle w:val="a"/>
          <w:spacing w:val="-3"/>
        </w:rPr>
        <w:t xml:space="preserve"> costs enabling a young person to successfully</w:t>
      </w:r>
      <w:r w:rsidR="00D1426A" w:rsidRPr="00746D40">
        <w:rPr>
          <w:rStyle w:val="a"/>
          <w:spacing w:val="-3"/>
        </w:rPr>
        <w:t xml:space="preserve"> complete training or education</w:t>
      </w:r>
      <w:r w:rsidRPr="00746D40">
        <w:rPr>
          <w:rStyle w:val="a"/>
          <w:spacing w:val="-3"/>
        </w:rPr>
        <w:t xml:space="preserve"> – eg. Laptop, printer, books, course enrolment fees and including contribution to child care costs where the young person is a full time carer; transport costs to seek advice on education / training / voluntary work, to complete education / training / voluntary work or to attend an interview; </w:t>
      </w:r>
    </w:p>
    <w:p w:rsidR="00E91379" w:rsidRPr="00746D40" w:rsidRDefault="00E91379" w:rsidP="000966BD">
      <w:pPr>
        <w:jc w:val="both"/>
        <w:rPr>
          <w:rStyle w:val="a"/>
          <w:spacing w:val="-3"/>
        </w:rPr>
      </w:pPr>
    </w:p>
    <w:p w:rsidR="00E91379" w:rsidRPr="00746D40" w:rsidRDefault="00E91379">
      <w:pPr>
        <w:numPr>
          <w:ilvl w:val="0"/>
          <w:numId w:val="7"/>
        </w:numPr>
        <w:jc w:val="both"/>
        <w:rPr>
          <w:rStyle w:val="a"/>
          <w:spacing w:val="-3"/>
        </w:rPr>
      </w:pPr>
      <w:r w:rsidRPr="00746D40">
        <w:rPr>
          <w:rStyle w:val="a"/>
          <w:b/>
          <w:bCs/>
          <w:spacing w:val="-3"/>
        </w:rPr>
        <w:t>Access to health and community services</w:t>
      </w:r>
      <w:r w:rsidR="002A1775">
        <w:rPr>
          <w:rStyle w:val="a"/>
          <w:spacing w:val="-3"/>
          <w:u w:val="single"/>
        </w:rPr>
        <w:t xml:space="preserve"> </w:t>
      </w:r>
      <w:r w:rsidRPr="00746D40">
        <w:rPr>
          <w:rStyle w:val="a"/>
          <w:spacing w:val="-3"/>
        </w:rPr>
        <w:t>eg. gaps in the cost of essential medical equipment and specialist health needs requiring further attention or treatment.</w:t>
      </w:r>
    </w:p>
    <w:p w:rsidR="00E91379" w:rsidRPr="00746D40" w:rsidRDefault="00E91379">
      <w:pPr>
        <w:ind w:left="360"/>
        <w:jc w:val="both"/>
        <w:rPr>
          <w:rStyle w:val="a"/>
          <w:spacing w:val="-3"/>
        </w:rPr>
      </w:pPr>
    </w:p>
    <w:p w:rsidR="00E91379" w:rsidRPr="00746D40" w:rsidRDefault="00E91379">
      <w:pPr>
        <w:numPr>
          <w:ilvl w:val="0"/>
          <w:numId w:val="7"/>
        </w:numPr>
        <w:jc w:val="both"/>
        <w:rPr>
          <w:rStyle w:val="a"/>
          <w:spacing w:val="-3"/>
        </w:rPr>
      </w:pPr>
      <w:r w:rsidRPr="00746D40">
        <w:rPr>
          <w:rStyle w:val="a"/>
          <w:b/>
          <w:bCs/>
          <w:spacing w:val="-3"/>
        </w:rPr>
        <w:t>Life skills education and connection to community</w:t>
      </w:r>
      <w:r w:rsidRPr="00746D40">
        <w:rPr>
          <w:rStyle w:val="a"/>
          <w:spacing w:val="-3"/>
        </w:rPr>
        <w:t xml:space="preserve"> eg. Enhancing life skills such as cooking, budgeting, driver education; Transport costs to maintain links with family and community; or costs associated with continuing recreational activities.</w:t>
      </w:r>
      <w:r w:rsidRPr="00746D40">
        <w:rPr>
          <w:rStyle w:val="a"/>
          <w:spacing w:val="-3"/>
        </w:rPr>
        <w:tab/>
      </w:r>
    </w:p>
    <w:p w:rsidR="00E91379" w:rsidRPr="00746D40" w:rsidRDefault="00E91379">
      <w:pPr>
        <w:jc w:val="both"/>
        <w:rPr>
          <w:rStyle w:val="a"/>
          <w:spacing w:val="-3"/>
        </w:rPr>
      </w:pPr>
    </w:p>
    <w:p w:rsidR="00E91379" w:rsidRPr="00746D40" w:rsidRDefault="00E91379">
      <w:pPr>
        <w:pStyle w:val="Heading1"/>
        <w:jc w:val="both"/>
        <w:rPr>
          <w:rStyle w:val="a"/>
          <w:sz w:val="20"/>
          <w:szCs w:val="20"/>
          <w:u w:val="single"/>
        </w:rPr>
      </w:pPr>
      <w:r w:rsidRPr="00746D40">
        <w:rPr>
          <w:b/>
          <w:bCs/>
          <w:sz w:val="20"/>
          <w:szCs w:val="20"/>
          <w:u w:val="single"/>
        </w:rPr>
        <w:t xml:space="preserve">Young </w:t>
      </w:r>
      <w:r w:rsidR="00D1426A" w:rsidRPr="00746D40">
        <w:rPr>
          <w:b/>
          <w:bCs/>
          <w:sz w:val="20"/>
          <w:szCs w:val="20"/>
          <w:u w:val="single"/>
        </w:rPr>
        <w:t>adults 18 years</w:t>
      </w:r>
      <w:r w:rsidR="002A57DE">
        <w:rPr>
          <w:b/>
          <w:bCs/>
          <w:sz w:val="20"/>
          <w:szCs w:val="20"/>
          <w:u w:val="single"/>
        </w:rPr>
        <w:t xml:space="preserve"> up</w:t>
      </w:r>
      <w:r w:rsidRPr="00746D40">
        <w:rPr>
          <w:b/>
          <w:bCs/>
          <w:sz w:val="20"/>
          <w:szCs w:val="20"/>
          <w:u w:val="single"/>
        </w:rPr>
        <w:t xml:space="preserve"> to 21 years of age </w:t>
      </w:r>
    </w:p>
    <w:p w:rsidR="00E91379" w:rsidRPr="002A57DE" w:rsidRDefault="00E91379">
      <w:pPr>
        <w:pStyle w:val="Heading1"/>
        <w:jc w:val="both"/>
        <w:rPr>
          <w:b/>
          <w:sz w:val="20"/>
          <w:szCs w:val="20"/>
        </w:rPr>
      </w:pPr>
      <w:r w:rsidRPr="002A57DE">
        <w:rPr>
          <w:rStyle w:val="a"/>
          <w:b/>
          <w:sz w:val="20"/>
          <w:szCs w:val="20"/>
        </w:rPr>
        <w:t xml:space="preserve">Young </w:t>
      </w:r>
      <w:r w:rsidR="00D1426A" w:rsidRPr="002A57DE">
        <w:rPr>
          <w:rStyle w:val="a"/>
          <w:b/>
          <w:sz w:val="20"/>
          <w:szCs w:val="20"/>
        </w:rPr>
        <w:t>adults</w:t>
      </w:r>
      <w:r w:rsidRPr="002A57DE">
        <w:rPr>
          <w:rStyle w:val="a"/>
          <w:b/>
          <w:sz w:val="20"/>
          <w:szCs w:val="20"/>
        </w:rPr>
        <w:t xml:space="preserve"> </w:t>
      </w:r>
      <w:r w:rsidRPr="002A57DE">
        <w:rPr>
          <w:b/>
          <w:sz w:val="20"/>
          <w:szCs w:val="20"/>
        </w:rPr>
        <w:t>who have made the transition to independence may subsequently present with specific needs for example:</w:t>
      </w:r>
    </w:p>
    <w:p w:rsidR="00E91379" w:rsidRPr="00746D40" w:rsidRDefault="00E91379">
      <w:pPr>
        <w:pStyle w:val="BodyText"/>
        <w:numPr>
          <w:ilvl w:val="0"/>
          <w:numId w:val="15"/>
        </w:numPr>
        <w:jc w:val="both"/>
        <w:rPr>
          <w:sz w:val="20"/>
        </w:rPr>
      </w:pPr>
      <w:r w:rsidRPr="00746D40">
        <w:rPr>
          <w:b/>
          <w:bCs/>
          <w:sz w:val="20"/>
        </w:rPr>
        <w:t>Accommodation</w:t>
      </w:r>
      <w:r w:rsidRPr="00746D40">
        <w:rPr>
          <w:sz w:val="20"/>
        </w:rPr>
        <w:t xml:space="preserve"> </w:t>
      </w:r>
      <w:r w:rsidRPr="00746D40">
        <w:rPr>
          <w:rStyle w:val="a"/>
          <w:spacing w:val="-3"/>
          <w:sz w:val="20"/>
        </w:rPr>
        <w:t xml:space="preserve">costs associated with setting up or maintaining accommodation </w:t>
      </w:r>
      <w:r w:rsidRPr="00746D40">
        <w:rPr>
          <w:sz w:val="20"/>
        </w:rPr>
        <w:t>or for contribution towards a debt that could result in the young person being evicted or made homeless;</w:t>
      </w:r>
    </w:p>
    <w:p w:rsidR="00E91379" w:rsidRPr="00746D40" w:rsidRDefault="00E91379">
      <w:pPr>
        <w:ind w:left="360"/>
        <w:jc w:val="both"/>
      </w:pPr>
    </w:p>
    <w:p w:rsidR="00E91379" w:rsidRPr="00746D40" w:rsidRDefault="00D1426A">
      <w:pPr>
        <w:pStyle w:val="BodyText"/>
        <w:numPr>
          <w:ilvl w:val="0"/>
          <w:numId w:val="15"/>
        </w:numPr>
        <w:jc w:val="both"/>
        <w:rPr>
          <w:sz w:val="20"/>
        </w:rPr>
      </w:pPr>
      <w:r w:rsidRPr="00746D40">
        <w:rPr>
          <w:b/>
          <w:bCs/>
          <w:sz w:val="20"/>
        </w:rPr>
        <w:t>Education/training/</w:t>
      </w:r>
      <w:r w:rsidR="00E91379" w:rsidRPr="00746D40">
        <w:rPr>
          <w:b/>
          <w:bCs/>
          <w:sz w:val="20"/>
        </w:rPr>
        <w:t>employment</w:t>
      </w:r>
      <w:r w:rsidR="002A1775">
        <w:rPr>
          <w:sz w:val="20"/>
        </w:rPr>
        <w:t xml:space="preserve"> -</w:t>
      </w:r>
      <w:r w:rsidR="00E91379" w:rsidRPr="00746D40">
        <w:rPr>
          <w:rStyle w:val="a"/>
          <w:spacing w:val="-3"/>
          <w:sz w:val="20"/>
        </w:rPr>
        <w:t xml:space="preserve"> enabling a young person to successfully complete training or </w:t>
      </w:r>
      <w:r w:rsidR="00E9770D" w:rsidRPr="00746D40">
        <w:rPr>
          <w:rStyle w:val="a"/>
          <w:spacing w:val="-3"/>
          <w:sz w:val="20"/>
        </w:rPr>
        <w:t>education –</w:t>
      </w:r>
      <w:r w:rsidR="00E91379" w:rsidRPr="00746D40">
        <w:rPr>
          <w:rStyle w:val="a"/>
          <w:spacing w:val="-3"/>
          <w:sz w:val="20"/>
        </w:rPr>
        <w:t xml:space="preserve"> eg. Laptop, printer, books, course enrolment fees and including contribution to child care costs where the young person is a full time carer; transport costs to seek advice on education / training / voluntary work, to complete education / training / voluntary work or to attend an interview</w:t>
      </w:r>
      <w:r w:rsidR="00E91379" w:rsidRPr="00746D40">
        <w:rPr>
          <w:sz w:val="20"/>
        </w:rPr>
        <w:t>; to purchase clothing or equipment to attend an interview/ to commence training.</w:t>
      </w:r>
    </w:p>
    <w:p w:rsidR="00E91379" w:rsidRPr="00746D40" w:rsidRDefault="00E91379">
      <w:pPr>
        <w:pStyle w:val="BodyText"/>
        <w:jc w:val="both"/>
        <w:rPr>
          <w:sz w:val="20"/>
        </w:rPr>
      </w:pPr>
    </w:p>
    <w:p w:rsidR="00E91379" w:rsidRPr="00746D40" w:rsidRDefault="00E91379">
      <w:pPr>
        <w:pStyle w:val="BodyText"/>
        <w:numPr>
          <w:ilvl w:val="0"/>
          <w:numId w:val="15"/>
        </w:numPr>
        <w:jc w:val="both"/>
        <w:rPr>
          <w:sz w:val="20"/>
        </w:rPr>
      </w:pPr>
      <w:r w:rsidRPr="00746D40">
        <w:rPr>
          <w:rStyle w:val="a"/>
          <w:b/>
          <w:bCs/>
          <w:spacing w:val="-3"/>
          <w:sz w:val="20"/>
        </w:rPr>
        <w:t>Access to health and community services</w:t>
      </w:r>
      <w:r w:rsidR="002A1775">
        <w:rPr>
          <w:rStyle w:val="a"/>
          <w:spacing w:val="-3"/>
          <w:sz w:val="20"/>
          <w:u w:val="single"/>
        </w:rPr>
        <w:t xml:space="preserve"> </w:t>
      </w:r>
      <w:r w:rsidR="002A1775">
        <w:rPr>
          <w:rStyle w:val="a"/>
          <w:spacing w:val="-3"/>
          <w:sz w:val="20"/>
        </w:rPr>
        <w:t>-</w:t>
      </w:r>
      <w:r w:rsidRPr="00746D40">
        <w:rPr>
          <w:rStyle w:val="a"/>
          <w:spacing w:val="-3"/>
          <w:sz w:val="20"/>
        </w:rPr>
        <w:t xml:space="preserve"> to </w:t>
      </w:r>
      <w:r w:rsidRPr="00746D40">
        <w:rPr>
          <w:sz w:val="20"/>
        </w:rPr>
        <w:t>facilitate and/or maintain a young person’s access to health services eg interim service whilst on a waiting list, or assistance with a co-payment.</w:t>
      </w:r>
    </w:p>
    <w:p w:rsidR="00E91379" w:rsidRPr="00746D40" w:rsidRDefault="00E91379">
      <w:pPr>
        <w:pStyle w:val="BodyText"/>
        <w:jc w:val="both"/>
        <w:rPr>
          <w:sz w:val="20"/>
        </w:rPr>
      </w:pPr>
    </w:p>
    <w:p w:rsidR="00E91379" w:rsidRPr="00746D40" w:rsidRDefault="00E91379">
      <w:pPr>
        <w:pStyle w:val="DHSReportHd1"/>
        <w:jc w:val="both"/>
        <w:rPr>
          <w:b/>
          <w:bCs/>
          <w:sz w:val="20"/>
        </w:rPr>
      </w:pPr>
      <w:r w:rsidRPr="00746D40">
        <w:rPr>
          <w:b/>
          <w:bCs/>
          <w:sz w:val="20"/>
        </w:rPr>
        <w:t xml:space="preserve">WHAT BROKERAGE FUNDS </w:t>
      </w:r>
      <w:r w:rsidRPr="00746D40">
        <w:rPr>
          <w:b/>
          <w:bCs/>
          <w:i/>
          <w:sz w:val="20"/>
        </w:rPr>
        <w:t>CANNOT</w:t>
      </w:r>
      <w:r w:rsidRPr="00746D40">
        <w:rPr>
          <w:b/>
          <w:bCs/>
          <w:sz w:val="20"/>
        </w:rPr>
        <w:t xml:space="preserve"> BE USED FOR</w:t>
      </w:r>
    </w:p>
    <w:p w:rsidR="00E91379" w:rsidRPr="00746D40" w:rsidRDefault="00E91379">
      <w:pPr>
        <w:pStyle w:val="ver"/>
        <w:rPr>
          <w:sz w:val="20"/>
          <w:szCs w:val="20"/>
        </w:rPr>
      </w:pPr>
      <w:r w:rsidRPr="00746D40">
        <w:rPr>
          <w:sz w:val="20"/>
          <w:szCs w:val="20"/>
        </w:rPr>
        <w:t>As previously discussed, brokerage is</w:t>
      </w:r>
      <w:r w:rsidRPr="00746D40">
        <w:rPr>
          <w:b/>
          <w:bCs/>
          <w:sz w:val="20"/>
          <w:szCs w:val="20"/>
        </w:rPr>
        <w:t xml:space="preserve"> not </w:t>
      </w:r>
      <w:r w:rsidRPr="00746D40">
        <w:rPr>
          <w:sz w:val="20"/>
          <w:szCs w:val="20"/>
        </w:rPr>
        <w:t>intended for:</w:t>
      </w:r>
    </w:p>
    <w:p w:rsidR="001A17B7" w:rsidRDefault="001A17B7" w:rsidP="001A17B7">
      <w:pPr>
        <w:numPr>
          <w:ilvl w:val="0"/>
          <w:numId w:val="24"/>
        </w:numPr>
        <w:jc w:val="both"/>
      </w:pPr>
      <w:r>
        <w:t>Program funding or staffing costs.</w:t>
      </w:r>
    </w:p>
    <w:p w:rsidR="001A17B7" w:rsidRDefault="001A17B7" w:rsidP="001A17B7">
      <w:pPr>
        <w:jc w:val="both"/>
      </w:pPr>
    </w:p>
    <w:p w:rsidR="00E91379" w:rsidRPr="00746D40" w:rsidRDefault="00E91379" w:rsidP="001A17B7">
      <w:pPr>
        <w:numPr>
          <w:ilvl w:val="0"/>
          <w:numId w:val="24"/>
        </w:numPr>
        <w:jc w:val="both"/>
      </w:pPr>
      <w:r w:rsidRPr="00746D40">
        <w:t>items, equipment or treatment that should have been obtained prior to the young person’s transition;</w:t>
      </w:r>
    </w:p>
    <w:p w:rsidR="00E91379" w:rsidRPr="00746D40" w:rsidRDefault="00E91379" w:rsidP="001A17B7">
      <w:pPr>
        <w:jc w:val="both"/>
      </w:pPr>
    </w:p>
    <w:p w:rsidR="00E91379" w:rsidRPr="00746D40" w:rsidRDefault="00E91379" w:rsidP="001A17B7">
      <w:pPr>
        <w:numPr>
          <w:ilvl w:val="0"/>
          <w:numId w:val="24"/>
        </w:numPr>
        <w:jc w:val="both"/>
        <w:rPr>
          <w:spacing w:val="-3"/>
        </w:rPr>
      </w:pPr>
      <w:r w:rsidRPr="00746D40">
        <w:t>health care costs that can be</w:t>
      </w:r>
      <w:r w:rsidRPr="00746D40">
        <w:rPr>
          <w:spacing w:val="-3"/>
        </w:rPr>
        <w:t xml:space="preserve"> met directly or at least partially reimbursed through Medicare and attending medical clinics willing to bulk bill;</w:t>
      </w:r>
    </w:p>
    <w:p w:rsidR="00E91379" w:rsidRPr="00746D40" w:rsidRDefault="00E91379" w:rsidP="001A17B7">
      <w:pPr>
        <w:jc w:val="both"/>
        <w:rPr>
          <w:spacing w:val="-3"/>
        </w:rPr>
      </w:pPr>
    </w:p>
    <w:p w:rsidR="00D8124A" w:rsidRPr="00746D40" w:rsidRDefault="00E91379" w:rsidP="001A17B7">
      <w:pPr>
        <w:numPr>
          <w:ilvl w:val="0"/>
          <w:numId w:val="24"/>
        </w:numPr>
        <w:jc w:val="both"/>
      </w:pPr>
      <w:r w:rsidRPr="00746D40">
        <w:rPr>
          <w:spacing w:val="-3"/>
        </w:rPr>
        <w:t>specialist services including physiotherapy, chiropractic, psychology and psychiatric, and audio/hearing treatments that have not been approved before the proposed treatment;</w:t>
      </w:r>
    </w:p>
    <w:p w:rsidR="00D8124A" w:rsidRPr="00746D40" w:rsidRDefault="00D8124A" w:rsidP="001A17B7">
      <w:pPr>
        <w:jc w:val="both"/>
        <w:rPr>
          <w:spacing w:val="-3"/>
        </w:rPr>
      </w:pPr>
    </w:p>
    <w:p w:rsidR="00E91379" w:rsidRPr="00746D40" w:rsidRDefault="00E91379" w:rsidP="001A17B7">
      <w:pPr>
        <w:numPr>
          <w:ilvl w:val="0"/>
          <w:numId w:val="24"/>
        </w:numPr>
        <w:jc w:val="both"/>
      </w:pPr>
      <w:r w:rsidRPr="00746D40">
        <w:rPr>
          <w:spacing w:val="-3"/>
        </w:rPr>
        <w:t>Other items which do not support the young person to attain or maintain independence.</w:t>
      </w:r>
    </w:p>
    <w:p w:rsidR="00E91379" w:rsidRPr="00746D40" w:rsidRDefault="00E91379">
      <w:pPr>
        <w:jc w:val="both"/>
      </w:pPr>
    </w:p>
    <w:p w:rsidR="00E91379" w:rsidRPr="00746D40" w:rsidRDefault="00E91379">
      <w:pPr>
        <w:pStyle w:val="DHSReportHd2"/>
        <w:jc w:val="both"/>
        <w:rPr>
          <w:bCs/>
          <w:sz w:val="20"/>
        </w:rPr>
      </w:pPr>
      <w:r w:rsidRPr="00746D40">
        <w:rPr>
          <w:bCs/>
          <w:sz w:val="20"/>
        </w:rPr>
        <w:t>PROCESS FOR ACCESSING BROKERAGE FUNDS</w:t>
      </w:r>
    </w:p>
    <w:p w:rsidR="00E91379" w:rsidRPr="00746D40" w:rsidRDefault="00E91379">
      <w:pPr>
        <w:jc w:val="both"/>
      </w:pPr>
    </w:p>
    <w:p w:rsidR="00E91379" w:rsidRPr="00746D40" w:rsidRDefault="00E91379">
      <w:pPr>
        <w:jc w:val="both"/>
        <w:rPr>
          <w:b/>
          <w:bCs/>
          <w:spacing w:val="-3"/>
        </w:rPr>
      </w:pPr>
      <w:r w:rsidRPr="00746D40">
        <w:t xml:space="preserve">Each </w:t>
      </w:r>
      <w:r w:rsidR="002A1775">
        <w:t>R</w:t>
      </w:r>
      <w:r w:rsidRPr="00746D40">
        <w:t xml:space="preserve">egion will determine processes for accessing brokerage funds and the reporting </w:t>
      </w:r>
      <w:r w:rsidR="00E9770D" w:rsidRPr="00746D40">
        <w:t>processes</w:t>
      </w:r>
      <w:r w:rsidR="00E9770D">
        <w:t>;</w:t>
      </w:r>
      <w:r w:rsidR="001C5698">
        <w:t xml:space="preserve"> however it is strongly recommended that the community service organisation that </w:t>
      </w:r>
      <w:r w:rsidR="001C5698">
        <w:lastRenderedPageBreak/>
        <w:t>provides post care support, referral and information also be responsible for the Leaving Care brokerage funds</w:t>
      </w:r>
      <w:r w:rsidRPr="00746D40">
        <w:t>.</w:t>
      </w:r>
      <w:r w:rsidRPr="00746D40">
        <w:rPr>
          <w:b/>
          <w:bCs/>
          <w:spacing w:val="-3"/>
        </w:rPr>
        <w:tab/>
      </w:r>
    </w:p>
    <w:p w:rsidR="00E91379" w:rsidRPr="00746D40" w:rsidRDefault="00E91379">
      <w:pPr>
        <w:jc w:val="both"/>
        <w:rPr>
          <w:b/>
          <w:bCs/>
          <w:spacing w:val="-3"/>
        </w:rPr>
      </w:pPr>
    </w:p>
    <w:p w:rsidR="00E91379" w:rsidRPr="00746D40" w:rsidRDefault="00E91379">
      <w:pPr>
        <w:pStyle w:val="BodyTextIndent2"/>
        <w:ind w:left="0" w:firstLine="0"/>
        <w:jc w:val="both"/>
      </w:pPr>
      <w:r w:rsidRPr="00746D40">
        <w:t>Each RLCA is requested to put in place</w:t>
      </w:r>
      <w:r w:rsidR="001C5698">
        <w:t xml:space="preserve"> prioritising criteria and</w:t>
      </w:r>
      <w:r w:rsidRPr="00746D40">
        <w:t xml:space="preserve"> monitoring systems for the</w:t>
      </w:r>
      <w:r w:rsidRPr="00746D40">
        <w:rPr>
          <w:lang w:val="en-AU"/>
        </w:rPr>
        <w:t xml:space="preserve"> utilisation</w:t>
      </w:r>
      <w:r w:rsidRPr="00746D40">
        <w:t xml:space="preserve"> of leaving care brokerage funds to ensure they are being used effectively.   </w:t>
      </w:r>
    </w:p>
    <w:p w:rsidR="00E91379" w:rsidRPr="00746D40" w:rsidRDefault="00E91379">
      <w:pPr>
        <w:pStyle w:val="BodyTextIndent2"/>
        <w:ind w:left="0" w:firstLine="0"/>
        <w:jc w:val="both"/>
        <w:rPr>
          <w:b/>
          <w:bCs/>
        </w:rPr>
      </w:pPr>
    </w:p>
    <w:p w:rsidR="00E91379" w:rsidRPr="00746D40" w:rsidRDefault="00786C41">
      <w:pPr>
        <w:pStyle w:val="BodyTextIndent2"/>
        <w:ind w:left="0" w:firstLine="0"/>
        <w:jc w:val="both"/>
        <w:rPr>
          <w:b/>
          <w:bCs/>
        </w:rPr>
      </w:pPr>
      <w:r>
        <w:rPr>
          <w:b/>
          <w:bCs/>
        </w:rPr>
        <w:br w:type="page"/>
      </w:r>
      <w:r w:rsidR="00E91379" w:rsidRPr="00746D40">
        <w:rPr>
          <w:b/>
          <w:bCs/>
        </w:rPr>
        <w:lastRenderedPageBreak/>
        <w:t>RECORDING ALLOCATION OF BROKERAGE FUNDS</w:t>
      </w:r>
    </w:p>
    <w:p w:rsidR="00E91379" w:rsidRPr="00746D40" w:rsidRDefault="00E91379">
      <w:pPr>
        <w:pStyle w:val="BodyTextIndent2"/>
        <w:ind w:left="0" w:firstLine="0"/>
        <w:jc w:val="both"/>
      </w:pPr>
    </w:p>
    <w:p w:rsidR="00F155A3" w:rsidRDefault="00E91379">
      <w:pPr>
        <w:pStyle w:val="BodyTextIndent2"/>
        <w:ind w:left="0" w:firstLine="0"/>
        <w:jc w:val="both"/>
      </w:pPr>
      <w:r w:rsidRPr="00746D40">
        <w:t xml:space="preserve">Payment of brokerage funds </w:t>
      </w:r>
      <w:r w:rsidR="00F155A3">
        <w:t xml:space="preserve">for young people transitioning from state care </w:t>
      </w:r>
      <w:r w:rsidRPr="00746D40">
        <w:rPr>
          <w:b/>
          <w:bCs/>
        </w:rPr>
        <w:t>must</w:t>
      </w:r>
      <w:r w:rsidRPr="00746D40">
        <w:t xml:space="preserve"> be recorded on CRIS</w:t>
      </w:r>
      <w:r w:rsidR="000966BD">
        <w:t xml:space="preserve"> as a case note, and the ‘Youth’</w:t>
      </w:r>
      <w:r w:rsidR="00C33CC6">
        <w:t xml:space="preserve"> </w:t>
      </w:r>
      <w:r w:rsidR="000966BD">
        <w:t>case on</w:t>
      </w:r>
      <w:r w:rsidRPr="00746D40">
        <w:t xml:space="preserve"> CRIS</w:t>
      </w:r>
      <w:r w:rsidR="000966BD">
        <w:t xml:space="preserve">SP. </w:t>
      </w:r>
      <w:r w:rsidRPr="00746D40">
        <w:t xml:space="preserve">. </w:t>
      </w:r>
      <w:r w:rsidR="00786C41">
        <w:t xml:space="preserve"> </w:t>
      </w:r>
      <w:r w:rsidRPr="00746D40">
        <w:t xml:space="preserve">This is </w:t>
      </w:r>
      <w:r w:rsidR="00F155A3">
        <w:t xml:space="preserve">a </w:t>
      </w:r>
      <w:r w:rsidRPr="00746D40">
        <w:t xml:space="preserve">particularly important </w:t>
      </w:r>
      <w:r w:rsidR="00F155A3">
        <w:t xml:space="preserve">record </w:t>
      </w:r>
      <w:r w:rsidRPr="00746D40">
        <w:t xml:space="preserve">given that </w:t>
      </w:r>
      <w:r w:rsidR="00F155A3">
        <w:t>financial assistance to young people</w:t>
      </w:r>
      <w:r w:rsidRPr="00746D40">
        <w:t xml:space="preserve"> transition</w:t>
      </w:r>
      <w:r w:rsidR="00F155A3">
        <w:t>ing to independence will inform potential later requests for funding support.</w:t>
      </w:r>
    </w:p>
    <w:p w:rsidR="00F155A3" w:rsidRDefault="00F155A3">
      <w:pPr>
        <w:pStyle w:val="BodyTextIndent2"/>
        <w:ind w:left="0" w:firstLine="0"/>
        <w:jc w:val="both"/>
      </w:pPr>
    </w:p>
    <w:p w:rsidR="00E91379" w:rsidRDefault="004A2CD8">
      <w:pPr>
        <w:pStyle w:val="BodyTextIndent2"/>
        <w:ind w:left="0" w:firstLine="0"/>
        <w:jc w:val="both"/>
      </w:pPr>
      <w:r>
        <w:t>It is also important to</w:t>
      </w:r>
      <w:r w:rsidR="00E91379" w:rsidRPr="00746D40">
        <w:t xml:space="preserve"> bear in mind that young people who have transitioned may </w:t>
      </w:r>
      <w:r>
        <w:t xml:space="preserve">subsequently </w:t>
      </w:r>
      <w:r w:rsidR="00E91379" w:rsidRPr="00746D40">
        <w:t>present in more than one DHS region.</w:t>
      </w:r>
      <w:r w:rsidR="00267B29">
        <w:t xml:space="preserve"> </w:t>
      </w:r>
      <w:r>
        <w:t xml:space="preserve"> For this reason the </w:t>
      </w:r>
      <w:r w:rsidR="00883FAA">
        <w:t xml:space="preserve">central </w:t>
      </w:r>
      <w:r w:rsidR="00C57432">
        <w:t xml:space="preserve">Leaving Care </w:t>
      </w:r>
      <w:r>
        <w:t xml:space="preserve">Advisory Group </w:t>
      </w:r>
      <w:r w:rsidR="00267B29">
        <w:t>has approved the registering of young people as ‘unrestricted’ on the CRISSP ‘Youth’ case</w:t>
      </w:r>
      <w:r w:rsidR="00960D91">
        <w:t>.  This will</w:t>
      </w:r>
      <w:r w:rsidR="00267B29">
        <w:t xml:space="preserve"> </w:t>
      </w:r>
      <w:r w:rsidR="00960D91">
        <w:t>result in young people’s accessing</w:t>
      </w:r>
      <w:r w:rsidR="00267B29">
        <w:t xml:space="preserve"> of leaving care services being visible on the Common Client Layer (CCL) of CRISSP.</w:t>
      </w:r>
      <w:r w:rsidR="00960D91">
        <w:t xml:space="preserve">  This will assist in the provision of Leaving Care services to young people who are no longer in their region of origin.</w:t>
      </w:r>
    </w:p>
    <w:p w:rsidR="00591EF9" w:rsidRPr="00746D40" w:rsidRDefault="00591EF9">
      <w:pPr>
        <w:pStyle w:val="BodyTextIndent2"/>
        <w:ind w:left="0" w:firstLine="0"/>
        <w:jc w:val="both"/>
      </w:pPr>
    </w:p>
    <w:p w:rsidR="00E91379" w:rsidRPr="00746D40" w:rsidRDefault="00E91379">
      <w:pPr>
        <w:pStyle w:val="BodyTextIndent2"/>
        <w:ind w:left="0" w:firstLine="0"/>
        <w:jc w:val="both"/>
      </w:pPr>
      <w:r w:rsidRPr="00746D40">
        <w:t xml:space="preserve">The regional post care support provider is required to report on and acquit expenditure of leaving care brokerage funds to the </w:t>
      </w:r>
      <w:r w:rsidR="002A1775">
        <w:t>RCLA</w:t>
      </w:r>
      <w:r w:rsidRPr="00746D40">
        <w:t xml:space="preserve">.  </w:t>
      </w:r>
    </w:p>
    <w:p w:rsidR="005D4CF1" w:rsidRPr="00746D40" w:rsidRDefault="005D4CF1">
      <w:pPr>
        <w:pStyle w:val="BodyTextIndent2"/>
        <w:ind w:left="0" w:firstLine="0"/>
        <w:jc w:val="both"/>
        <w:rPr>
          <w:b/>
          <w:bCs/>
        </w:rPr>
      </w:pPr>
    </w:p>
    <w:p w:rsidR="00E91379" w:rsidRPr="00746D40" w:rsidRDefault="00BB239A">
      <w:pPr>
        <w:pStyle w:val="BodyTextIndent2"/>
        <w:ind w:left="0" w:firstLine="0"/>
        <w:jc w:val="both"/>
        <w:rPr>
          <w:b/>
          <w:bCs/>
        </w:rPr>
      </w:pPr>
      <w:r>
        <w:rPr>
          <w:b/>
          <w:bCs/>
        </w:rPr>
        <w:t>BROKERAGE UTILISATIOIN ACQUITTAL</w:t>
      </w:r>
    </w:p>
    <w:p w:rsidR="00E91379" w:rsidRPr="00746D40" w:rsidRDefault="00E91379">
      <w:pPr>
        <w:pStyle w:val="BodyTextIndent2"/>
        <w:ind w:left="0" w:firstLine="0"/>
        <w:jc w:val="both"/>
        <w:rPr>
          <w:b/>
          <w:bCs/>
        </w:rPr>
      </w:pPr>
    </w:p>
    <w:p w:rsidR="00964CA1" w:rsidRDefault="00E91379">
      <w:pPr>
        <w:pStyle w:val="BodyTextIndent2"/>
        <w:ind w:left="0" w:firstLine="0"/>
        <w:jc w:val="both"/>
        <w:rPr>
          <w:lang w:val="en-AU"/>
        </w:rPr>
      </w:pPr>
      <w:r w:rsidRPr="00746D40">
        <w:rPr>
          <w:lang w:val="en-AU"/>
        </w:rPr>
        <w:t>As has been stated, leaving care brokerage funds should be used to promote independence and connections for young people transitioning from care and for those who subsequently return seeking assistance.  Regular review of expenditure of brokerage funds is required.</w:t>
      </w:r>
      <w:r w:rsidR="00964CA1">
        <w:rPr>
          <w:lang w:val="en-AU"/>
        </w:rPr>
        <w:t xml:space="preserve"> </w:t>
      </w:r>
      <w:r w:rsidRPr="00746D40">
        <w:rPr>
          <w:lang w:val="en-AU"/>
        </w:rPr>
        <w:t xml:space="preserve">One role of the </w:t>
      </w:r>
      <w:r w:rsidR="00D1426A" w:rsidRPr="00746D40">
        <w:rPr>
          <w:lang w:val="en-AU"/>
        </w:rPr>
        <w:t>RLCA</w:t>
      </w:r>
      <w:r w:rsidRPr="00746D40">
        <w:rPr>
          <w:lang w:val="en-AU"/>
        </w:rPr>
        <w:t xml:space="preserve"> is to ensure the effective utilization of brokerage funds through the review and monitoring of expenditure.  </w:t>
      </w:r>
    </w:p>
    <w:p w:rsidR="00964CA1" w:rsidRDefault="00964CA1">
      <w:pPr>
        <w:pStyle w:val="BodyTextIndent2"/>
        <w:ind w:left="0" w:firstLine="0"/>
        <w:jc w:val="both"/>
        <w:rPr>
          <w:lang w:val="en-AU"/>
        </w:rPr>
      </w:pPr>
    </w:p>
    <w:p w:rsidR="00B26DF1" w:rsidRDefault="00964CA1">
      <w:pPr>
        <w:pStyle w:val="BodyTextIndent2"/>
        <w:ind w:left="0" w:firstLine="0"/>
        <w:jc w:val="both"/>
        <w:rPr>
          <w:lang w:val="en-AU"/>
        </w:rPr>
      </w:pPr>
      <w:r>
        <w:rPr>
          <w:lang w:val="en-AU"/>
        </w:rPr>
        <w:t>A r</w:t>
      </w:r>
      <w:r w:rsidRPr="00746D40">
        <w:rPr>
          <w:lang w:val="en-AU"/>
        </w:rPr>
        <w:t>eview</w:t>
      </w:r>
      <w:r>
        <w:rPr>
          <w:lang w:val="en-AU"/>
        </w:rPr>
        <w:t xml:space="preserve"> </w:t>
      </w:r>
      <w:r w:rsidRPr="00746D40">
        <w:rPr>
          <w:lang w:val="en-AU"/>
        </w:rPr>
        <w:t>s</w:t>
      </w:r>
      <w:r>
        <w:rPr>
          <w:lang w:val="en-AU"/>
        </w:rPr>
        <w:t>chedule commencing from 1 January 2009 for Leaving Care services, including brokerage expenditure</w:t>
      </w:r>
      <w:r w:rsidRPr="00746D40">
        <w:rPr>
          <w:lang w:val="en-AU"/>
        </w:rPr>
        <w:t xml:space="preserve"> </w:t>
      </w:r>
      <w:r>
        <w:rPr>
          <w:lang w:val="en-AU"/>
        </w:rPr>
        <w:t xml:space="preserve">has been established as part of the interim monitoring tool.  </w:t>
      </w:r>
      <w:r w:rsidR="00D72154">
        <w:rPr>
          <w:lang w:val="en-AU"/>
        </w:rPr>
        <w:t>Completed brokerage expenditure</w:t>
      </w:r>
      <w:r>
        <w:rPr>
          <w:lang w:val="en-AU"/>
        </w:rPr>
        <w:t xml:space="preserve"> acquittals</w:t>
      </w:r>
      <w:r w:rsidR="00D72154">
        <w:rPr>
          <w:lang w:val="en-AU"/>
        </w:rPr>
        <w:t xml:space="preserve"> to be forwarded on a quarterly basis to the Placement and Support Unit</w:t>
      </w:r>
      <w:r w:rsidR="00B26DF1">
        <w:rPr>
          <w:lang w:val="en-AU"/>
        </w:rPr>
        <w:t xml:space="preserve"> as follows:</w:t>
      </w:r>
      <w:r w:rsidR="00B26DF1" w:rsidRPr="00746D40" w:rsidDel="00B26DF1">
        <w:rPr>
          <w:lang w:val="en-AU"/>
        </w:rPr>
        <w:t xml:space="preserve"> </w:t>
      </w:r>
    </w:p>
    <w:p w:rsidR="00B26DF1" w:rsidRDefault="00B26DF1">
      <w:pPr>
        <w:pStyle w:val="BodyTextIndent2"/>
        <w:ind w:left="0" w:firstLine="0"/>
        <w:jc w:val="both"/>
        <w:rPr>
          <w:lang w:val="en-AU"/>
        </w:rPr>
      </w:pPr>
    </w:p>
    <w:p w:rsidR="00D72154" w:rsidRDefault="00D72154">
      <w:pPr>
        <w:pStyle w:val="BodyTextIndent2"/>
        <w:ind w:left="0" w:firstLine="0"/>
        <w:jc w:val="both"/>
        <w:rPr>
          <w:lang w:val="en-AU"/>
        </w:rPr>
      </w:pPr>
      <w:r>
        <w:rPr>
          <w:lang w:val="en-AU"/>
        </w:rPr>
        <w:t>31 December 2009</w:t>
      </w:r>
    </w:p>
    <w:p w:rsidR="00D72154" w:rsidRDefault="00D72154">
      <w:pPr>
        <w:pStyle w:val="BodyTextIndent2"/>
        <w:ind w:left="0" w:firstLine="0"/>
        <w:jc w:val="both"/>
        <w:rPr>
          <w:lang w:val="en-AU"/>
        </w:rPr>
      </w:pPr>
    </w:p>
    <w:p w:rsidR="00D72154" w:rsidRDefault="00D72154">
      <w:pPr>
        <w:pStyle w:val="BodyTextIndent2"/>
        <w:ind w:left="0" w:firstLine="0"/>
        <w:jc w:val="both"/>
        <w:rPr>
          <w:lang w:val="en-AU"/>
        </w:rPr>
      </w:pPr>
      <w:r>
        <w:rPr>
          <w:lang w:val="en-AU"/>
        </w:rPr>
        <w:t>31 March 2010</w:t>
      </w:r>
    </w:p>
    <w:p w:rsidR="00D72154" w:rsidRDefault="00D72154">
      <w:pPr>
        <w:pStyle w:val="BodyTextIndent2"/>
        <w:ind w:left="0" w:firstLine="0"/>
        <w:jc w:val="both"/>
        <w:rPr>
          <w:lang w:val="en-AU"/>
        </w:rPr>
      </w:pPr>
    </w:p>
    <w:p w:rsidR="00D72154" w:rsidRDefault="00D72154">
      <w:pPr>
        <w:pStyle w:val="BodyTextIndent2"/>
        <w:ind w:left="0" w:firstLine="0"/>
        <w:jc w:val="both"/>
        <w:rPr>
          <w:lang w:val="en-AU"/>
        </w:rPr>
      </w:pPr>
      <w:r>
        <w:rPr>
          <w:lang w:val="en-AU"/>
        </w:rPr>
        <w:t>30 June 2010</w:t>
      </w:r>
    </w:p>
    <w:p w:rsidR="00D72154" w:rsidRDefault="00D72154">
      <w:pPr>
        <w:pStyle w:val="BodyTextIndent2"/>
        <w:ind w:left="0" w:firstLine="0"/>
        <w:jc w:val="both"/>
        <w:rPr>
          <w:lang w:val="en-AU"/>
        </w:rPr>
      </w:pPr>
    </w:p>
    <w:p w:rsidR="00D72154" w:rsidRDefault="00D72154">
      <w:pPr>
        <w:pStyle w:val="BodyTextIndent2"/>
        <w:ind w:left="0" w:firstLine="0"/>
        <w:jc w:val="both"/>
        <w:rPr>
          <w:lang w:val="en-AU"/>
        </w:rPr>
      </w:pPr>
      <w:r>
        <w:rPr>
          <w:lang w:val="en-AU"/>
        </w:rPr>
        <w:t>30 September 2010</w:t>
      </w:r>
    </w:p>
    <w:p w:rsidR="00D72154" w:rsidRDefault="00D72154">
      <w:pPr>
        <w:pStyle w:val="BodyTextIndent2"/>
        <w:ind w:left="0" w:firstLine="0"/>
        <w:jc w:val="both"/>
        <w:rPr>
          <w:lang w:val="en-AU"/>
        </w:rPr>
      </w:pPr>
    </w:p>
    <w:p w:rsidR="00D72154" w:rsidRDefault="00D72154">
      <w:pPr>
        <w:pStyle w:val="BodyTextIndent2"/>
        <w:ind w:left="0" w:firstLine="0"/>
        <w:jc w:val="both"/>
        <w:rPr>
          <w:lang w:val="en-AU"/>
        </w:rPr>
      </w:pPr>
      <w:r>
        <w:rPr>
          <w:lang w:val="en-AU"/>
        </w:rPr>
        <w:t>31 December 2010</w:t>
      </w:r>
    </w:p>
    <w:p w:rsidR="00E91379" w:rsidRPr="00746D40" w:rsidRDefault="00E91379">
      <w:pPr>
        <w:pStyle w:val="BodyTextIndent2"/>
        <w:ind w:left="0" w:firstLine="0"/>
        <w:jc w:val="both"/>
        <w:rPr>
          <w:b/>
          <w:bCs/>
        </w:rPr>
      </w:pPr>
    </w:p>
    <w:p w:rsidR="005D4CF1" w:rsidRPr="00746D40" w:rsidRDefault="005D4CF1" w:rsidP="005D4CF1">
      <w:pPr>
        <w:jc w:val="both"/>
      </w:pPr>
      <w:r w:rsidRPr="00746D40">
        <w:t xml:space="preserve">Any questions about Brokerage Support Funds should be directed to Maria Trombin, Senior Program Advisor at </w:t>
      </w:r>
      <w:hyperlink r:id="rId12" w:history="1">
        <w:r w:rsidRPr="00746D40">
          <w:rPr>
            <w:rStyle w:val="Hyperlink"/>
          </w:rPr>
          <w:t>maria.trombin@dhs.vic.gov.au</w:t>
        </w:r>
      </w:hyperlink>
      <w:r w:rsidRPr="00746D40">
        <w:t xml:space="preserve"> or telephone 9096 3012.</w:t>
      </w:r>
    </w:p>
    <w:p w:rsidR="005D4CF1" w:rsidRPr="00746D40" w:rsidRDefault="005D4CF1" w:rsidP="005D4CF1">
      <w:pPr>
        <w:jc w:val="both"/>
      </w:pPr>
    </w:p>
    <w:p w:rsidR="005D4CF1" w:rsidRPr="00746D40" w:rsidRDefault="005D4CF1" w:rsidP="005D4CF1">
      <w:pPr>
        <w:pBdr>
          <w:bottom w:val="single" w:sz="4" w:space="1" w:color="auto"/>
        </w:pBdr>
        <w:jc w:val="both"/>
      </w:pPr>
    </w:p>
    <w:p w:rsidR="005D4CF1" w:rsidRPr="00746D40" w:rsidRDefault="005D4CF1" w:rsidP="005D4CF1">
      <w:pPr>
        <w:pStyle w:val="ListNumber"/>
        <w:numPr>
          <w:ilvl w:val="0"/>
          <w:numId w:val="0"/>
        </w:numPr>
        <w:spacing w:after="0"/>
        <w:jc w:val="both"/>
        <w:rPr>
          <w:b/>
          <w:bCs/>
        </w:rPr>
      </w:pPr>
      <w:r w:rsidRPr="00746D40">
        <w:rPr>
          <w:b/>
          <w:bCs/>
        </w:rPr>
        <w:t>Placement and Support Branch</w:t>
      </w:r>
    </w:p>
    <w:p w:rsidR="005D4CF1" w:rsidRPr="00746D40" w:rsidRDefault="00C56809" w:rsidP="005D4CF1">
      <w:pPr>
        <w:rPr>
          <w:b/>
        </w:rPr>
      </w:pPr>
      <w:r>
        <w:rPr>
          <w:b/>
        </w:rPr>
        <w:t>December 2009</w:t>
      </w:r>
    </w:p>
    <w:p w:rsidR="00E91379" w:rsidRPr="00746D40" w:rsidRDefault="00E91379">
      <w:pPr>
        <w:pStyle w:val="BodyTextIndent2"/>
        <w:ind w:left="0" w:firstLine="0"/>
        <w:jc w:val="both"/>
        <w:rPr>
          <w:b/>
          <w:bCs/>
        </w:rPr>
      </w:pPr>
    </w:p>
    <w:sectPr w:rsidR="00E91379" w:rsidRPr="00746D40">
      <w:footerReference w:type="even" r:id="rId13"/>
      <w:footerReference w:type="default" r:id="rId14"/>
      <w:pgSz w:w="11906" w:h="16838"/>
      <w:pgMar w:top="1134" w:right="1134" w:bottom="1134" w:left="1134"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5BE" w:rsidRPr="00746D40" w:rsidRDefault="003175BE">
      <w:pPr>
        <w:rPr>
          <w:sz w:val="18"/>
          <w:szCs w:val="18"/>
        </w:rPr>
      </w:pPr>
      <w:r w:rsidRPr="00746D40">
        <w:rPr>
          <w:sz w:val="18"/>
          <w:szCs w:val="18"/>
        </w:rPr>
        <w:separator/>
      </w:r>
    </w:p>
  </w:endnote>
  <w:endnote w:type="continuationSeparator" w:id="0">
    <w:p w:rsidR="003175BE" w:rsidRPr="00746D40" w:rsidRDefault="003175BE">
      <w:pPr>
        <w:rPr>
          <w:sz w:val="18"/>
          <w:szCs w:val="18"/>
        </w:rPr>
      </w:pPr>
      <w:r w:rsidRPr="00746D40">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8F" w:rsidRPr="00746D40" w:rsidRDefault="004F738F">
    <w:pPr>
      <w:pStyle w:val="Footer"/>
      <w:framePr w:wrap="around" w:vAnchor="text" w:hAnchor="margin" w:xAlign="right" w:y="1"/>
      <w:rPr>
        <w:rStyle w:val="PageNumber"/>
        <w:sz w:val="18"/>
        <w:szCs w:val="18"/>
      </w:rPr>
    </w:pPr>
    <w:r w:rsidRPr="00746D40">
      <w:rPr>
        <w:rStyle w:val="PageNumber"/>
        <w:sz w:val="18"/>
        <w:szCs w:val="18"/>
      </w:rPr>
      <w:fldChar w:fldCharType="begin"/>
    </w:r>
    <w:r w:rsidRPr="00746D40">
      <w:rPr>
        <w:rStyle w:val="PageNumber"/>
        <w:sz w:val="18"/>
        <w:szCs w:val="18"/>
      </w:rPr>
      <w:instrText xml:space="preserve">PAGE  </w:instrText>
    </w:r>
    <w:r w:rsidRPr="00746D40">
      <w:rPr>
        <w:rStyle w:val="PageNumber"/>
        <w:sz w:val="18"/>
        <w:szCs w:val="18"/>
      </w:rPr>
      <w:fldChar w:fldCharType="end"/>
    </w:r>
  </w:p>
  <w:p w:rsidR="004F738F" w:rsidRPr="00746D40" w:rsidRDefault="004F738F">
    <w:pPr>
      <w:pStyle w:val="Footer"/>
      <w:ind w:right="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8F" w:rsidRPr="00746D40" w:rsidRDefault="004F738F">
    <w:pPr>
      <w:pStyle w:val="Footer"/>
      <w:framePr w:wrap="around" w:vAnchor="text" w:hAnchor="margin" w:xAlign="right" w:y="1"/>
      <w:rPr>
        <w:rStyle w:val="PageNumber"/>
        <w:sz w:val="18"/>
        <w:szCs w:val="18"/>
      </w:rPr>
    </w:pPr>
    <w:r w:rsidRPr="00746D40">
      <w:rPr>
        <w:rStyle w:val="PageNumber"/>
        <w:sz w:val="18"/>
        <w:szCs w:val="18"/>
      </w:rPr>
      <w:fldChar w:fldCharType="begin"/>
    </w:r>
    <w:r w:rsidRPr="00746D40">
      <w:rPr>
        <w:rStyle w:val="PageNumber"/>
        <w:sz w:val="18"/>
        <w:szCs w:val="18"/>
      </w:rPr>
      <w:instrText xml:space="preserve">PAGE  </w:instrText>
    </w:r>
    <w:r w:rsidRPr="00746D40">
      <w:rPr>
        <w:rStyle w:val="PageNumber"/>
        <w:sz w:val="18"/>
        <w:szCs w:val="18"/>
      </w:rPr>
      <w:fldChar w:fldCharType="separate"/>
    </w:r>
    <w:r w:rsidR="00C07F24">
      <w:rPr>
        <w:rStyle w:val="PageNumber"/>
        <w:noProof/>
        <w:sz w:val="18"/>
        <w:szCs w:val="18"/>
      </w:rPr>
      <w:t>5</w:t>
    </w:r>
    <w:r w:rsidRPr="00746D40">
      <w:rPr>
        <w:rStyle w:val="PageNumber"/>
        <w:sz w:val="18"/>
        <w:szCs w:val="18"/>
      </w:rPr>
      <w:fldChar w:fldCharType="end"/>
    </w:r>
  </w:p>
  <w:p w:rsidR="004F738F" w:rsidRPr="00746D40" w:rsidRDefault="004F738F">
    <w:pPr>
      <w:pStyle w:val="Footer"/>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5BE" w:rsidRPr="00746D40" w:rsidRDefault="003175BE">
      <w:pPr>
        <w:rPr>
          <w:sz w:val="18"/>
          <w:szCs w:val="18"/>
        </w:rPr>
      </w:pPr>
      <w:r w:rsidRPr="00746D40">
        <w:rPr>
          <w:sz w:val="18"/>
          <w:szCs w:val="18"/>
        </w:rPr>
        <w:separator/>
      </w:r>
    </w:p>
  </w:footnote>
  <w:footnote w:type="continuationSeparator" w:id="0">
    <w:p w:rsidR="003175BE" w:rsidRPr="00746D40" w:rsidRDefault="003175BE">
      <w:pPr>
        <w:rPr>
          <w:sz w:val="18"/>
          <w:szCs w:val="18"/>
        </w:rPr>
      </w:pPr>
      <w:r w:rsidRPr="00746D40">
        <w:rPr>
          <w:sz w:val="18"/>
          <w:szCs w:val="18"/>
        </w:rPr>
        <w:continuationSeparator/>
      </w:r>
    </w:p>
  </w:footnote>
  <w:footnote w:id="1">
    <w:p w:rsidR="004F738F" w:rsidRPr="00746D40" w:rsidRDefault="004F738F">
      <w:pPr>
        <w:pStyle w:val="FootnoteText"/>
        <w:rPr>
          <w:sz w:val="17"/>
          <w:szCs w:val="17"/>
        </w:rPr>
      </w:pPr>
      <w:r w:rsidRPr="00746D40">
        <w:rPr>
          <w:rStyle w:val="FootnoteReference"/>
          <w:sz w:val="18"/>
          <w:szCs w:val="18"/>
        </w:rPr>
        <w:footnoteRef/>
      </w:r>
      <w:r w:rsidRPr="00746D40">
        <w:rPr>
          <w:sz w:val="18"/>
          <w:szCs w:val="18"/>
        </w:rPr>
        <w:t xml:space="preserve"> </w:t>
      </w:r>
      <w:r w:rsidRPr="00746D40">
        <w:rPr>
          <w:sz w:val="17"/>
          <w:szCs w:val="17"/>
        </w:rPr>
        <w:t xml:space="preserve">It should be noted that it is anticipated that the </w:t>
      </w:r>
      <w:r>
        <w:rPr>
          <w:sz w:val="17"/>
          <w:szCs w:val="17"/>
        </w:rPr>
        <w:t>numbers of</w:t>
      </w:r>
      <w:r w:rsidRPr="00746D40">
        <w:rPr>
          <w:sz w:val="17"/>
          <w:szCs w:val="17"/>
        </w:rPr>
        <w:t xml:space="preserve"> young people aged under 17 years of age leav</w:t>
      </w:r>
      <w:r>
        <w:rPr>
          <w:sz w:val="17"/>
          <w:szCs w:val="17"/>
        </w:rPr>
        <w:t>ing</w:t>
      </w:r>
      <w:r w:rsidRPr="00746D40">
        <w:rPr>
          <w:sz w:val="17"/>
          <w:szCs w:val="17"/>
        </w:rPr>
        <w:t xml:space="preserve"> care will reduce in future years.  Only in rare circumstances is it likely that a young person aged 16 years of age will be ready to live independently.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27AE752"/>
    <w:lvl w:ilvl="0">
      <w:start w:val="1"/>
      <w:numFmt w:val="decimal"/>
      <w:lvlText w:val="%1."/>
      <w:lvlJc w:val="left"/>
      <w:pPr>
        <w:tabs>
          <w:tab w:val="num" w:pos="360"/>
        </w:tabs>
        <w:ind w:left="360" w:hanging="360"/>
      </w:pPr>
    </w:lvl>
  </w:abstractNum>
  <w:abstractNum w:abstractNumId="1">
    <w:nsid w:val="0CB3567D"/>
    <w:multiLevelType w:val="hybridMultilevel"/>
    <w:tmpl w:val="5F56E18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FD60DA2"/>
    <w:multiLevelType w:val="hybridMultilevel"/>
    <w:tmpl w:val="57060C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02D0994"/>
    <w:multiLevelType w:val="hybridMultilevel"/>
    <w:tmpl w:val="5546D728"/>
    <w:lvl w:ilvl="0" w:tplc="0409000F">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4">
    <w:nsid w:val="215D1C15"/>
    <w:multiLevelType w:val="hybridMultilevel"/>
    <w:tmpl w:val="000C4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21535E"/>
    <w:multiLevelType w:val="hybridMultilevel"/>
    <w:tmpl w:val="92F2D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1F7859"/>
    <w:multiLevelType w:val="hybridMultilevel"/>
    <w:tmpl w:val="66E4A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3A37F3"/>
    <w:multiLevelType w:val="hybridMultilevel"/>
    <w:tmpl w:val="49D61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255D54"/>
    <w:multiLevelType w:val="hybridMultilevel"/>
    <w:tmpl w:val="70FE2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A320D4"/>
    <w:multiLevelType w:val="hybridMultilevel"/>
    <w:tmpl w:val="1688D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206339"/>
    <w:multiLevelType w:val="hybridMultilevel"/>
    <w:tmpl w:val="8E7CCF30"/>
    <w:lvl w:ilvl="0" w:tplc="7B6074A4">
      <w:start w:val="1"/>
      <w:numFmt w:val="bullet"/>
      <w:lvlText w:val=""/>
      <w:lvlJc w:val="left"/>
      <w:pPr>
        <w:tabs>
          <w:tab w:val="num" w:pos="340"/>
        </w:tabs>
        <w:ind w:left="284" w:hanging="284"/>
      </w:pPr>
      <w:rPr>
        <w:rFonts w:ascii="Symbol" w:hAnsi="Symbol" w:hint="default"/>
        <w:color w:val="auto"/>
      </w:rPr>
    </w:lvl>
    <w:lvl w:ilvl="1" w:tplc="0C090003" w:tentative="1">
      <w:start w:val="1"/>
      <w:numFmt w:val="bullet"/>
      <w:lvlText w:val="o"/>
      <w:lvlJc w:val="left"/>
      <w:pPr>
        <w:tabs>
          <w:tab w:val="num" w:pos="1100"/>
        </w:tabs>
        <w:ind w:left="1100" w:hanging="360"/>
      </w:pPr>
      <w:rPr>
        <w:rFonts w:ascii="Courier New" w:hAnsi="Courier New" w:cs="Courier New" w:hint="default"/>
      </w:rPr>
    </w:lvl>
    <w:lvl w:ilvl="2" w:tplc="0C090005" w:tentative="1">
      <w:start w:val="1"/>
      <w:numFmt w:val="bullet"/>
      <w:lvlText w:val=""/>
      <w:lvlJc w:val="left"/>
      <w:pPr>
        <w:tabs>
          <w:tab w:val="num" w:pos="1820"/>
        </w:tabs>
        <w:ind w:left="1820" w:hanging="360"/>
      </w:pPr>
      <w:rPr>
        <w:rFonts w:ascii="Wingdings" w:hAnsi="Wingdings" w:hint="default"/>
      </w:rPr>
    </w:lvl>
    <w:lvl w:ilvl="3" w:tplc="0C090001" w:tentative="1">
      <w:start w:val="1"/>
      <w:numFmt w:val="bullet"/>
      <w:lvlText w:val=""/>
      <w:lvlJc w:val="left"/>
      <w:pPr>
        <w:tabs>
          <w:tab w:val="num" w:pos="2540"/>
        </w:tabs>
        <w:ind w:left="2540" w:hanging="360"/>
      </w:pPr>
      <w:rPr>
        <w:rFonts w:ascii="Symbol" w:hAnsi="Symbol" w:hint="default"/>
      </w:rPr>
    </w:lvl>
    <w:lvl w:ilvl="4" w:tplc="0C090003" w:tentative="1">
      <w:start w:val="1"/>
      <w:numFmt w:val="bullet"/>
      <w:lvlText w:val="o"/>
      <w:lvlJc w:val="left"/>
      <w:pPr>
        <w:tabs>
          <w:tab w:val="num" w:pos="3260"/>
        </w:tabs>
        <w:ind w:left="3260" w:hanging="360"/>
      </w:pPr>
      <w:rPr>
        <w:rFonts w:ascii="Courier New" w:hAnsi="Courier New" w:cs="Courier New" w:hint="default"/>
      </w:rPr>
    </w:lvl>
    <w:lvl w:ilvl="5" w:tplc="0C090005" w:tentative="1">
      <w:start w:val="1"/>
      <w:numFmt w:val="bullet"/>
      <w:lvlText w:val=""/>
      <w:lvlJc w:val="left"/>
      <w:pPr>
        <w:tabs>
          <w:tab w:val="num" w:pos="3980"/>
        </w:tabs>
        <w:ind w:left="3980" w:hanging="360"/>
      </w:pPr>
      <w:rPr>
        <w:rFonts w:ascii="Wingdings" w:hAnsi="Wingdings" w:hint="default"/>
      </w:rPr>
    </w:lvl>
    <w:lvl w:ilvl="6" w:tplc="0C090001" w:tentative="1">
      <w:start w:val="1"/>
      <w:numFmt w:val="bullet"/>
      <w:lvlText w:val=""/>
      <w:lvlJc w:val="left"/>
      <w:pPr>
        <w:tabs>
          <w:tab w:val="num" w:pos="4700"/>
        </w:tabs>
        <w:ind w:left="4700" w:hanging="360"/>
      </w:pPr>
      <w:rPr>
        <w:rFonts w:ascii="Symbol" w:hAnsi="Symbol" w:hint="default"/>
      </w:rPr>
    </w:lvl>
    <w:lvl w:ilvl="7" w:tplc="0C090003" w:tentative="1">
      <w:start w:val="1"/>
      <w:numFmt w:val="bullet"/>
      <w:lvlText w:val="o"/>
      <w:lvlJc w:val="left"/>
      <w:pPr>
        <w:tabs>
          <w:tab w:val="num" w:pos="5420"/>
        </w:tabs>
        <w:ind w:left="5420" w:hanging="360"/>
      </w:pPr>
      <w:rPr>
        <w:rFonts w:ascii="Courier New" w:hAnsi="Courier New" w:cs="Courier New" w:hint="default"/>
      </w:rPr>
    </w:lvl>
    <w:lvl w:ilvl="8" w:tplc="0C090005" w:tentative="1">
      <w:start w:val="1"/>
      <w:numFmt w:val="bullet"/>
      <w:lvlText w:val=""/>
      <w:lvlJc w:val="left"/>
      <w:pPr>
        <w:tabs>
          <w:tab w:val="num" w:pos="6140"/>
        </w:tabs>
        <w:ind w:left="6140" w:hanging="360"/>
      </w:pPr>
      <w:rPr>
        <w:rFonts w:ascii="Wingdings" w:hAnsi="Wingdings" w:hint="default"/>
      </w:rPr>
    </w:lvl>
  </w:abstractNum>
  <w:abstractNum w:abstractNumId="11">
    <w:nsid w:val="43BE1BAE"/>
    <w:multiLevelType w:val="hybridMultilevel"/>
    <w:tmpl w:val="4156F668"/>
    <w:lvl w:ilvl="0" w:tplc="7B6074A4">
      <w:start w:val="1"/>
      <w:numFmt w:val="bullet"/>
      <w:lvlText w:val=""/>
      <w:lvlJc w:val="left"/>
      <w:pPr>
        <w:tabs>
          <w:tab w:val="num" w:pos="340"/>
        </w:tabs>
        <w:ind w:left="284" w:hanging="284"/>
      </w:pPr>
      <w:rPr>
        <w:rFonts w:ascii="Symbol" w:hAnsi="Symbol" w:hint="default"/>
        <w:color w:val="auto"/>
      </w:rPr>
    </w:lvl>
    <w:lvl w:ilvl="1" w:tplc="0C090003" w:tentative="1">
      <w:start w:val="1"/>
      <w:numFmt w:val="bullet"/>
      <w:lvlText w:val="o"/>
      <w:lvlJc w:val="left"/>
      <w:pPr>
        <w:tabs>
          <w:tab w:val="num" w:pos="1100"/>
        </w:tabs>
        <w:ind w:left="1100" w:hanging="360"/>
      </w:pPr>
      <w:rPr>
        <w:rFonts w:ascii="Courier New" w:hAnsi="Courier New" w:cs="Courier New" w:hint="default"/>
      </w:rPr>
    </w:lvl>
    <w:lvl w:ilvl="2" w:tplc="0C090005" w:tentative="1">
      <w:start w:val="1"/>
      <w:numFmt w:val="bullet"/>
      <w:lvlText w:val=""/>
      <w:lvlJc w:val="left"/>
      <w:pPr>
        <w:tabs>
          <w:tab w:val="num" w:pos="1820"/>
        </w:tabs>
        <w:ind w:left="1820" w:hanging="360"/>
      </w:pPr>
      <w:rPr>
        <w:rFonts w:ascii="Wingdings" w:hAnsi="Wingdings" w:hint="default"/>
      </w:rPr>
    </w:lvl>
    <w:lvl w:ilvl="3" w:tplc="0C090001" w:tentative="1">
      <w:start w:val="1"/>
      <w:numFmt w:val="bullet"/>
      <w:lvlText w:val=""/>
      <w:lvlJc w:val="left"/>
      <w:pPr>
        <w:tabs>
          <w:tab w:val="num" w:pos="2540"/>
        </w:tabs>
        <w:ind w:left="2540" w:hanging="360"/>
      </w:pPr>
      <w:rPr>
        <w:rFonts w:ascii="Symbol" w:hAnsi="Symbol" w:hint="default"/>
      </w:rPr>
    </w:lvl>
    <w:lvl w:ilvl="4" w:tplc="0C090003" w:tentative="1">
      <w:start w:val="1"/>
      <w:numFmt w:val="bullet"/>
      <w:lvlText w:val="o"/>
      <w:lvlJc w:val="left"/>
      <w:pPr>
        <w:tabs>
          <w:tab w:val="num" w:pos="3260"/>
        </w:tabs>
        <w:ind w:left="3260" w:hanging="360"/>
      </w:pPr>
      <w:rPr>
        <w:rFonts w:ascii="Courier New" w:hAnsi="Courier New" w:cs="Courier New" w:hint="default"/>
      </w:rPr>
    </w:lvl>
    <w:lvl w:ilvl="5" w:tplc="0C090005" w:tentative="1">
      <w:start w:val="1"/>
      <w:numFmt w:val="bullet"/>
      <w:lvlText w:val=""/>
      <w:lvlJc w:val="left"/>
      <w:pPr>
        <w:tabs>
          <w:tab w:val="num" w:pos="3980"/>
        </w:tabs>
        <w:ind w:left="3980" w:hanging="360"/>
      </w:pPr>
      <w:rPr>
        <w:rFonts w:ascii="Wingdings" w:hAnsi="Wingdings" w:hint="default"/>
      </w:rPr>
    </w:lvl>
    <w:lvl w:ilvl="6" w:tplc="0C090001" w:tentative="1">
      <w:start w:val="1"/>
      <w:numFmt w:val="bullet"/>
      <w:lvlText w:val=""/>
      <w:lvlJc w:val="left"/>
      <w:pPr>
        <w:tabs>
          <w:tab w:val="num" w:pos="4700"/>
        </w:tabs>
        <w:ind w:left="4700" w:hanging="360"/>
      </w:pPr>
      <w:rPr>
        <w:rFonts w:ascii="Symbol" w:hAnsi="Symbol" w:hint="default"/>
      </w:rPr>
    </w:lvl>
    <w:lvl w:ilvl="7" w:tplc="0C090003" w:tentative="1">
      <w:start w:val="1"/>
      <w:numFmt w:val="bullet"/>
      <w:lvlText w:val="o"/>
      <w:lvlJc w:val="left"/>
      <w:pPr>
        <w:tabs>
          <w:tab w:val="num" w:pos="5420"/>
        </w:tabs>
        <w:ind w:left="5420" w:hanging="360"/>
      </w:pPr>
      <w:rPr>
        <w:rFonts w:ascii="Courier New" w:hAnsi="Courier New" w:cs="Courier New" w:hint="default"/>
      </w:rPr>
    </w:lvl>
    <w:lvl w:ilvl="8" w:tplc="0C090005" w:tentative="1">
      <w:start w:val="1"/>
      <w:numFmt w:val="bullet"/>
      <w:lvlText w:val=""/>
      <w:lvlJc w:val="left"/>
      <w:pPr>
        <w:tabs>
          <w:tab w:val="num" w:pos="6140"/>
        </w:tabs>
        <w:ind w:left="6140" w:hanging="360"/>
      </w:pPr>
      <w:rPr>
        <w:rFonts w:ascii="Wingdings" w:hAnsi="Wingdings" w:hint="default"/>
      </w:rPr>
    </w:lvl>
  </w:abstractNum>
  <w:abstractNum w:abstractNumId="12">
    <w:nsid w:val="45DC5D7D"/>
    <w:multiLevelType w:val="hybridMultilevel"/>
    <w:tmpl w:val="AB267CB2"/>
    <w:lvl w:ilvl="0" w:tplc="6CEAE4AC">
      <w:start w:val="1"/>
      <w:numFmt w:val="bullet"/>
      <w:pStyle w:val="DHSBulletText"/>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1417F2"/>
    <w:multiLevelType w:val="hybridMultilevel"/>
    <w:tmpl w:val="C95C5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1B12AD"/>
    <w:multiLevelType w:val="hybridMultilevel"/>
    <w:tmpl w:val="7AFE09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C191A96"/>
    <w:multiLevelType w:val="hybridMultilevel"/>
    <w:tmpl w:val="78747282"/>
    <w:lvl w:ilvl="0" w:tplc="7A7EB764">
      <w:start w:val="1"/>
      <w:numFmt w:val="bullet"/>
      <w:lvlText w:val=""/>
      <w:lvlJc w:val="left"/>
      <w:pPr>
        <w:tabs>
          <w:tab w:val="num" w:pos="547"/>
        </w:tabs>
        <w:ind w:left="547" w:hanging="34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4E8464DB"/>
    <w:multiLevelType w:val="hybridMultilevel"/>
    <w:tmpl w:val="920C4356"/>
    <w:lvl w:ilvl="0" w:tplc="7B6074A4">
      <w:start w:val="1"/>
      <w:numFmt w:val="bullet"/>
      <w:lvlText w:val=""/>
      <w:lvlJc w:val="left"/>
      <w:pPr>
        <w:tabs>
          <w:tab w:val="num" w:pos="340"/>
        </w:tabs>
        <w:ind w:left="284" w:hanging="284"/>
      </w:pPr>
      <w:rPr>
        <w:rFonts w:ascii="Symbol" w:hAnsi="Symbol" w:hint="default"/>
        <w:color w:val="auto"/>
      </w:rPr>
    </w:lvl>
    <w:lvl w:ilvl="1" w:tplc="0C090003" w:tentative="1">
      <w:start w:val="1"/>
      <w:numFmt w:val="bullet"/>
      <w:lvlText w:val="o"/>
      <w:lvlJc w:val="left"/>
      <w:pPr>
        <w:tabs>
          <w:tab w:val="num" w:pos="1100"/>
        </w:tabs>
        <w:ind w:left="1100" w:hanging="360"/>
      </w:pPr>
      <w:rPr>
        <w:rFonts w:ascii="Courier New" w:hAnsi="Courier New" w:cs="Courier New" w:hint="default"/>
      </w:rPr>
    </w:lvl>
    <w:lvl w:ilvl="2" w:tplc="0C090005" w:tentative="1">
      <w:start w:val="1"/>
      <w:numFmt w:val="bullet"/>
      <w:lvlText w:val=""/>
      <w:lvlJc w:val="left"/>
      <w:pPr>
        <w:tabs>
          <w:tab w:val="num" w:pos="1820"/>
        </w:tabs>
        <w:ind w:left="1820" w:hanging="360"/>
      </w:pPr>
      <w:rPr>
        <w:rFonts w:ascii="Wingdings" w:hAnsi="Wingdings" w:hint="default"/>
      </w:rPr>
    </w:lvl>
    <w:lvl w:ilvl="3" w:tplc="0C090001" w:tentative="1">
      <w:start w:val="1"/>
      <w:numFmt w:val="bullet"/>
      <w:lvlText w:val=""/>
      <w:lvlJc w:val="left"/>
      <w:pPr>
        <w:tabs>
          <w:tab w:val="num" w:pos="2540"/>
        </w:tabs>
        <w:ind w:left="2540" w:hanging="360"/>
      </w:pPr>
      <w:rPr>
        <w:rFonts w:ascii="Symbol" w:hAnsi="Symbol" w:hint="default"/>
      </w:rPr>
    </w:lvl>
    <w:lvl w:ilvl="4" w:tplc="0C090003" w:tentative="1">
      <w:start w:val="1"/>
      <w:numFmt w:val="bullet"/>
      <w:lvlText w:val="o"/>
      <w:lvlJc w:val="left"/>
      <w:pPr>
        <w:tabs>
          <w:tab w:val="num" w:pos="3260"/>
        </w:tabs>
        <w:ind w:left="3260" w:hanging="360"/>
      </w:pPr>
      <w:rPr>
        <w:rFonts w:ascii="Courier New" w:hAnsi="Courier New" w:cs="Courier New" w:hint="default"/>
      </w:rPr>
    </w:lvl>
    <w:lvl w:ilvl="5" w:tplc="0C090005" w:tentative="1">
      <w:start w:val="1"/>
      <w:numFmt w:val="bullet"/>
      <w:lvlText w:val=""/>
      <w:lvlJc w:val="left"/>
      <w:pPr>
        <w:tabs>
          <w:tab w:val="num" w:pos="3980"/>
        </w:tabs>
        <w:ind w:left="3980" w:hanging="360"/>
      </w:pPr>
      <w:rPr>
        <w:rFonts w:ascii="Wingdings" w:hAnsi="Wingdings" w:hint="default"/>
      </w:rPr>
    </w:lvl>
    <w:lvl w:ilvl="6" w:tplc="0C090001" w:tentative="1">
      <w:start w:val="1"/>
      <w:numFmt w:val="bullet"/>
      <w:lvlText w:val=""/>
      <w:lvlJc w:val="left"/>
      <w:pPr>
        <w:tabs>
          <w:tab w:val="num" w:pos="4700"/>
        </w:tabs>
        <w:ind w:left="4700" w:hanging="360"/>
      </w:pPr>
      <w:rPr>
        <w:rFonts w:ascii="Symbol" w:hAnsi="Symbol" w:hint="default"/>
      </w:rPr>
    </w:lvl>
    <w:lvl w:ilvl="7" w:tplc="0C090003" w:tentative="1">
      <w:start w:val="1"/>
      <w:numFmt w:val="bullet"/>
      <w:lvlText w:val="o"/>
      <w:lvlJc w:val="left"/>
      <w:pPr>
        <w:tabs>
          <w:tab w:val="num" w:pos="5420"/>
        </w:tabs>
        <w:ind w:left="5420" w:hanging="360"/>
      </w:pPr>
      <w:rPr>
        <w:rFonts w:ascii="Courier New" w:hAnsi="Courier New" w:cs="Courier New" w:hint="default"/>
      </w:rPr>
    </w:lvl>
    <w:lvl w:ilvl="8" w:tplc="0C090005" w:tentative="1">
      <w:start w:val="1"/>
      <w:numFmt w:val="bullet"/>
      <w:lvlText w:val=""/>
      <w:lvlJc w:val="left"/>
      <w:pPr>
        <w:tabs>
          <w:tab w:val="num" w:pos="6140"/>
        </w:tabs>
        <w:ind w:left="6140" w:hanging="360"/>
      </w:pPr>
      <w:rPr>
        <w:rFonts w:ascii="Wingdings" w:hAnsi="Wingdings" w:hint="default"/>
      </w:rPr>
    </w:lvl>
  </w:abstractNum>
  <w:abstractNum w:abstractNumId="17">
    <w:nsid w:val="58B31838"/>
    <w:multiLevelType w:val="multilevel"/>
    <w:tmpl w:val="3104BC78"/>
    <w:lvl w:ilvl="0">
      <w:start w:val="1"/>
      <w:numFmt w:val="decimal"/>
      <w:pStyle w:val="DHSNumberingOutline"/>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18">
    <w:nsid w:val="605903F1"/>
    <w:multiLevelType w:val="hybridMultilevel"/>
    <w:tmpl w:val="0C4643C0"/>
    <w:lvl w:ilvl="0" w:tplc="52F4DC18">
      <w:start w:val="1"/>
      <w:numFmt w:val="lowerRoman"/>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nsid w:val="68932A98"/>
    <w:multiLevelType w:val="hybridMultilevel"/>
    <w:tmpl w:val="8D9633BC"/>
    <w:lvl w:ilvl="0" w:tplc="7B6074A4">
      <w:start w:val="1"/>
      <w:numFmt w:val="bullet"/>
      <w:lvlText w:val=""/>
      <w:lvlJc w:val="left"/>
      <w:pPr>
        <w:tabs>
          <w:tab w:val="num" w:pos="340"/>
        </w:tabs>
        <w:ind w:left="284" w:hanging="284"/>
      </w:pPr>
      <w:rPr>
        <w:rFonts w:ascii="Symbol" w:hAnsi="Symbol" w:hint="default"/>
        <w:color w:val="auto"/>
      </w:rPr>
    </w:lvl>
    <w:lvl w:ilvl="1" w:tplc="0C090003" w:tentative="1">
      <w:start w:val="1"/>
      <w:numFmt w:val="bullet"/>
      <w:lvlText w:val="o"/>
      <w:lvlJc w:val="left"/>
      <w:pPr>
        <w:tabs>
          <w:tab w:val="num" w:pos="1100"/>
        </w:tabs>
        <w:ind w:left="1100" w:hanging="360"/>
      </w:pPr>
      <w:rPr>
        <w:rFonts w:ascii="Courier New" w:hAnsi="Courier New" w:cs="Courier New" w:hint="default"/>
      </w:rPr>
    </w:lvl>
    <w:lvl w:ilvl="2" w:tplc="0C090005" w:tentative="1">
      <w:start w:val="1"/>
      <w:numFmt w:val="bullet"/>
      <w:lvlText w:val=""/>
      <w:lvlJc w:val="left"/>
      <w:pPr>
        <w:tabs>
          <w:tab w:val="num" w:pos="1820"/>
        </w:tabs>
        <w:ind w:left="1820" w:hanging="360"/>
      </w:pPr>
      <w:rPr>
        <w:rFonts w:ascii="Wingdings" w:hAnsi="Wingdings" w:hint="default"/>
      </w:rPr>
    </w:lvl>
    <w:lvl w:ilvl="3" w:tplc="0C090001" w:tentative="1">
      <w:start w:val="1"/>
      <w:numFmt w:val="bullet"/>
      <w:lvlText w:val=""/>
      <w:lvlJc w:val="left"/>
      <w:pPr>
        <w:tabs>
          <w:tab w:val="num" w:pos="2540"/>
        </w:tabs>
        <w:ind w:left="2540" w:hanging="360"/>
      </w:pPr>
      <w:rPr>
        <w:rFonts w:ascii="Symbol" w:hAnsi="Symbol" w:hint="default"/>
      </w:rPr>
    </w:lvl>
    <w:lvl w:ilvl="4" w:tplc="0C090003" w:tentative="1">
      <w:start w:val="1"/>
      <w:numFmt w:val="bullet"/>
      <w:lvlText w:val="o"/>
      <w:lvlJc w:val="left"/>
      <w:pPr>
        <w:tabs>
          <w:tab w:val="num" w:pos="3260"/>
        </w:tabs>
        <w:ind w:left="3260" w:hanging="360"/>
      </w:pPr>
      <w:rPr>
        <w:rFonts w:ascii="Courier New" w:hAnsi="Courier New" w:cs="Courier New" w:hint="default"/>
      </w:rPr>
    </w:lvl>
    <w:lvl w:ilvl="5" w:tplc="0C090005" w:tentative="1">
      <w:start w:val="1"/>
      <w:numFmt w:val="bullet"/>
      <w:lvlText w:val=""/>
      <w:lvlJc w:val="left"/>
      <w:pPr>
        <w:tabs>
          <w:tab w:val="num" w:pos="3980"/>
        </w:tabs>
        <w:ind w:left="3980" w:hanging="360"/>
      </w:pPr>
      <w:rPr>
        <w:rFonts w:ascii="Wingdings" w:hAnsi="Wingdings" w:hint="default"/>
      </w:rPr>
    </w:lvl>
    <w:lvl w:ilvl="6" w:tplc="0C090001" w:tentative="1">
      <w:start w:val="1"/>
      <w:numFmt w:val="bullet"/>
      <w:lvlText w:val=""/>
      <w:lvlJc w:val="left"/>
      <w:pPr>
        <w:tabs>
          <w:tab w:val="num" w:pos="4700"/>
        </w:tabs>
        <w:ind w:left="4700" w:hanging="360"/>
      </w:pPr>
      <w:rPr>
        <w:rFonts w:ascii="Symbol" w:hAnsi="Symbol" w:hint="default"/>
      </w:rPr>
    </w:lvl>
    <w:lvl w:ilvl="7" w:tplc="0C090003" w:tentative="1">
      <w:start w:val="1"/>
      <w:numFmt w:val="bullet"/>
      <w:lvlText w:val="o"/>
      <w:lvlJc w:val="left"/>
      <w:pPr>
        <w:tabs>
          <w:tab w:val="num" w:pos="5420"/>
        </w:tabs>
        <w:ind w:left="5420" w:hanging="360"/>
      </w:pPr>
      <w:rPr>
        <w:rFonts w:ascii="Courier New" w:hAnsi="Courier New" w:cs="Courier New" w:hint="default"/>
      </w:rPr>
    </w:lvl>
    <w:lvl w:ilvl="8" w:tplc="0C090005" w:tentative="1">
      <w:start w:val="1"/>
      <w:numFmt w:val="bullet"/>
      <w:lvlText w:val=""/>
      <w:lvlJc w:val="left"/>
      <w:pPr>
        <w:tabs>
          <w:tab w:val="num" w:pos="6140"/>
        </w:tabs>
        <w:ind w:left="6140" w:hanging="360"/>
      </w:pPr>
      <w:rPr>
        <w:rFonts w:ascii="Wingdings" w:hAnsi="Wingdings" w:hint="default"/>
      </w:rPr>
    </w:lvl>
  </w:abstractNum>
  <w:abstractNum w:abstractNumId="20">
    <w:nsid w:val="6D633AE0"/>
    <w:multiLevelType w:val="hybridMultilevel"/>
    <w:tmpl w:val="91C25ECC"/>
    <w:lvl w:ilvl="0" w:tplc="7B6074A4">
      <w:start w:val="1"/>
      <w:numFmt w:val="bullet"/>
      <w:lvlText w:val=""/>
      <w:lvlJc w:val="left"/>
      <w:pPr>
        <w:tabs>
          <w:tab w:val="num" w:pos="340"/>
        </w:tabs>
        <w:ind w:left="284" w:hanging="284"/>
      </w:pPr>
      <w:rPr>
        <w:rFonts w:ascii="Symbol" w:hAnsi="Symbol" w:hint="default"/>
        <w:color w:val="auto"/>
      </w:rPr>
    </w:lvl>
    <w:lvl w:ilvl="1" w:tplc="0C090003" w:tentative="1">
      <w:start w:val="1"/>
      <w:numFmt w:val="bullet"/>
      <w:lvlText w:val="o"/>
      <w:lvlJc w:val="left"/>
      <w:pPr>
        <w:tabs>
          <w:tab w:val="num" w:pos="1100"/>
        </w:tabs>
        <w:ind w:left="1100" w:hanging="360"/>
      </w:pPr>
      <w:rPr>
        <w:rFonts w:ascii="Courier New" w:hAnsi="Courier New" w:cs="Courier New" w:hint="default"/>
      </w:rPr>
    </w:lvl>
    <w:lvl w:ilvl="2" w:tplc="0C090005" w:tentative="1">
      <w:start w:val="1"/>
      <w:numFmt w:val="bullet"/>
      <w:lvlText w:val=""/>
      <w:lvlJc w:val="left"/>
      <w:pPr>
        <w:tabs>
          <w:tab w:val="num" w:pos="1820"/>
        </w:tabs>
        <w:ind w:left="1820" w:hanging="360"/>
      </w:pPr>
      <w:rPr>
        <w:rFonts w:ascii="Wingdings" w:hAnsi="Wingdings" w:hint="default"/>
      </w:rPr>
    </w:lvl>
    <w:lvl w:ilvl="3" w:tplc="0C090001" w:tentative="1">
      <w:start w:val="1"/>
      <w:numFmt w:val="bullet"/>
      <w:lvlText w:val=""/>
      <w:lvlJc w:val="left"/>
      <w:pPr>
        <w:tabs>
          <w:tab w:val="num" w:pos="2540"/>
        </w:tabs>
        <w:ind w:left="2540" w:hanging="360"/>
      </w:pPr>
      <w:rPr>
        <w:rFonts w:ascii="Symbol" w:hAnsi="Symbol" w:hint="default"/>
      </w:rPr>
    </w:lvl>
    <w:lvl w:ilvl="4" w:tplc="0C090003" w:tentative="1">
      <w:start w:val="1"/>
      <w:numFmt w:val="bullet"/>
      <w:lvlText w:val="o"/>
      <w:lvlJc w:val="left"/>
      <w:pPr>
        <w:tabs>
          <w:tab w:val="num" w:pos="3260"/>
        </w:tabs>
        <w:ind w:left="3260" w:hanging="360"/>
      </w:pPr>
      <w:rPr>
        <w:rFonts w:ascii="Courier New" w:hAnsi="Courier New" w:cs="Courier New" w:hint="default"/>
      </w:rPr>
    </w:lvl>
    <w:lvl w:ilvl="5" w:tplc="0C090005" w:tentative="1">
      <w:start w:val="1"/>
      <w:numFmt w:val="bullet"/>
      <w:lvlText w:val=""/>
      <w:lvlJc w:val="left"/>
      <w:pPr>
        <w:tabs>
          <w:tab w:val="num" w:pos="3980"/>
        </w:tabs>
        <w:ind w:left="3980" w:hanging="360"/>
      </w:pPr>
      <w:rPr>
        <w:rFonts w:ascii="Wingdings" w:hAnsi="Wingdings" w:hint="default"/>
      </w:rPr>
    </w:lvl>
    <w:lvl w:ilvl="6" w:tplc="0C090001" w:tentative="1">
      <w:start w:val="1"/>
      <w:numFmt w:val="bullet"/>
      <w:lvlText w:val=""/>
      <w:lvlJc w:val="left"/>
      <w:pPr>
        <w:tabs>
          <w:tab w:val="num" w:pos="4700"/>
        </w:tabs>
        <w:ind w:left="4700" w:hanging="360"/>
      </w:pPr>
      <w:rPr>
        <w:rFonts w:ascii="Symbol" w:hAnsi="Symbol" w:hint="default"/>
      </w:rPr>
    </w:lvl>
    <w:lvl w:ilvl="7" w:tplc="0C090003" w:tentative="1">
      <w:start w:val="1"/>
      <w:numFmt w:val="bullet"/>
      <w:lvlText w:val="o"/>
      <w:lvlJc w:val="left"/>
      <w:pPr>
        <w:tabs>
          <w:tab w:val="num" w:pos="5420"/>
        </w:tabs>
        <w:ind w:left="5420" w:hanging="360"/>
      </w:pPr>
      <w:rPr>
        <w:rFonts w:ascii="Courier New" w:hAnsi="Courier New" w:cs="Courier New" w:hint="default"/>
      </w:rPr>
    </w:lvl>
    <w:lvl w:ilvl="8" w:tplc="0C090005" w:tentative="1">
      <w:start w:val="1"/>
      <w:numFmt w:val="bullet"/>
      <w:lvlText w:val=""/>
      <w:lvlJc w:val="left"/>
      <w:pPr>
        <w:tabs>
          <w:tab w:val="num" w:pos="6140"/>
        </w:tabs>
        <w:ind w:left="6140" w:hanging="360"/>
      </w:pPr>
      <w:rPr>
        <w:rFonts w:ascii="Wingdings" w:hAnsi="Wingdings" w:hint="default"/>
      </w:rPr>
    </w:lvl>
  </w:abstractNum>
  <w:abstractNum w:abstractNumId="21">
    <w:nsid w:val="781217A4"/>
    <w:multiLevelType w:val="hybridMultilevel"/>
    <w:tmpl w:val="47285744"/>
    <w:lvl w:ilvl="0" w:tplc="B086B7D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055DEB"/>
    <w:multiLevelType w:val="multilevel"/>
    <w:tmpl w:val="A332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DC1687"/>
    <w:multiLevelType w:val="hybridMultilevel"/>
    <w:tmpl w:val="EEB42F98"/>
    <w:lvl w:ilvl="0" w:tplc="B824B714">
      <w:start w:val="1"/>
      <w:numFmt w:val="bullet"/>
      <w:lvlText w:val=""/>
      <w:lvlJc w:val="left"/>
      <w:pPr>
        <w:tabs>
          <w:tab w:val="num" w:pos="360"/>
        </w:tabs>
        <w:ind w:left="340" w:hanging="34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0"/>
  </w:num>
  <w:num w:numId="4">
    <w:abstractNumId w:val="23"/>
  </w:num>
  <w:num w:numId="5">
    <w:abstractNumId w:val="13"/>
  </w:num>
  <w:num w:numId="6">
    <w:abstractNumId w:val="1"/>
  </w:num>
  <w:num w:numId="7">
    <w:abstractNumId w:val="6"/>
  </w:num>
  <w:num w:numId="8">
    <w:abstractNumId w:val="4"/>
  </w:num>
  <w:num w:numId="9">
    <w:abstractNumId w:val="5"/>
  </w:num>
  <w:num w:numId="10">
    <w:abstractNumId w:val="9"/>
  </w:num>
  <w:num w:numId="11">
    <w:abstractNumId w:val="8"/>
  </w:num>
  <w:num w:numId="12">
    <w:abstractNumId w:val="7"/>
  </w:num>
  <w:num w:numId="13">
    <w:abstractNumId w:val="2"/>
  </w:num>
  <w:num w:numId="14">
    <w:abstractNumId w:val="3"/>
  </w:num>
  <w:num w:numId="15">
    <w:abstractNumId w:val="21"/>
  </w:num>
  <w:num w:numId="16">
    <w:abstractNumId w:val="14"/>
  </w:num>
  <w:num w:numId="17">
    <w:abstractNumId w:val="18"/>
  </w:num>
  <w:num w:numId="18">
    <w:abstractNumId w:val="16"/>
  </w:num>
  <w:num w:numId="19">
    <w:abstractNumId w:val="10"/>
  </w:num>
  <w:num w:numId="20">
    <w:abstractNumId w:val="20"/>
  </w:num>
  <w:num w:numId="21">
    <w:abstractNumId w:val="19"/>
  </w:num>
  <w:num w:numId="22">
    <w:abstractNumId w:val="11"/>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E7"/>
    <w:rsid w:val="00042E32"/>
    <w:rsid w:val="000553D7"/>
    <w:rsid w:val="00081352"/>
    <w:rsid w:val="000966BD"/>
    <w:rsid w:val="000B727F"/>
    <w:rsid w:val="000B75D9"/>
    <w:rsid w:val="000C2B97"/>
    <w:rsid w:val="000D64B7"/>
    <w:rsid w:val="00117273"/>
    <w:rsid w:val="001213E9"/>
    <w:rsid w:val="00121B19"/>
    <w:rsid w:val="001220B8"/>
    <w:rsid w:val="001254E8"/>
    <w:rsid w:val="00127ED6"/>
    <w:rsid w:val="001341DD"/>
    <w:rsid w:val="00135AAE"/>
    <w:rsid w:val="00150DB2"/>
    <w:rsid w:val="001604B9"/>
    <w:rsid w:val="00177A2C"/>
    <w:rsid w:val="001A17B7"/>
    <w:rsid w:val="001B6DE7"/>
    <w:rsid w:val="001C5698"/>
    <w:rsid w:val="001F4AD7"/>
    <w:rsid w:val="00227E5F"/>
    <w:rsid w:val="00267B29"/>
    <w:rsid w:val="00274D69"/>
    <w:rsid w:val="002916C9"/>
    <w:rsid w:val="002A1775"/>
    <w:rsid w:val="002A2712"/>
    <w:rsid w:val="002A57DE"/>
    <w:rsid w:val="002F7133"/>
    <w:rsid w:val="003175BE"/>
    <w:rsid w:val="00335F69"/>
    <w:rsid w:val="00350892"/>
    <w:rsid w:val="00353F38"/>
    <w:rsid w:val="003C6D78"/>
    <w:rsid w:val="003D1E85"/>
    <w:rsid w:val="004274C7"/>
    <w:rsid w:val="00444EE8"/>
    <w:rsid w:val="00460E4D"/>
    <w:rsid w:val="00487CC7"/>
    <w:rsid w:val="004908B8"/>
    <w:rsid w:val="00492A23"/>
    <w:rsid w:val="00494740"/>
    <w:rsid w:val="004A2CD8"/>
    <w:rsid w:val="004C0305"/>
    <w:rsid w:val="004E6172"/>
    <w:rsid w:val="004F738F"/>
    <w:rsid w:val="00504D18"/>
    <w:rsid w:val="00514177"/>
    <w:rsid w:val="00524127"/>
    <w:rsid w:val="00526D22"/>
    <w:rsid w:val="0054092A"/>
    <w:rsid w:val="0055064B"/>
    <w:rsid w:val="0055342B"/>
    <w:rsid w:val="0055562D"/>
    <w:rsid w:val="00591EF9"/>
    <w:rsid w:val="005A3214"/>
    <w:rsid w:val="005B7842"/>
    <w:rsid w:val="005D4CF1"/>
    <w:rsid w:val="005D7BDE"/>
    <w:rsid w:val="00616BFA"/>
    <w:rsid w:val="006330CE"/>
    <w:rsid w:val="006461FB"/>
    <w:rsid w:val="00666644"/>
    <w:rsid w:val="00681653"/>
    <w:rsid w:val="006C05F0"/>
    <w:rsid w:val="006E3AE1"/>
    <w:rsid w:val="006F3521"/>
    <w:rsid w:val="006F6C31"/>
    <w:rsid w:val="007105A3"/>
    <w:rsid w:val="0071170B"/>
    <w:rsid w:val="00732404"/>
    <w:rsid w:val="00746D40"/>
    <w:rsid w:val="0076545A"/>
    <w:rsid w:val="0078489F"/>
    <w:rsid w:val="00786C41"/>
    <w:rsid w:val="007A6AC9"/>
    <w:rsid w:val="007B63EC"/>
    <w:rsid w:val="007D3C18"/>
    <w:rsid w:val="008257DF"/>
    <w:rsid w:val="008463F7"/>
    <w:rsid w:val="00864C4B"/>
    <w:rsid w:val="00883FAA"/>
    <w:rsid w:val="008D449E"/>
    <w:rsid w:val="008E21D7"/>
    <w:rsid w:val="00931AF3"/>
    <w:rsid w:val="009451DE"/>
    <w:rsid w:val="0095713E"/>
    <w:rsid w:val="00960D91"/>
    <w:rsid w:val="00964CA1"/>
    <w:rsid w:val="00977587"/>
    <w:rsid w:val="009A577C"/>
    <w:rsid w:val="009C4884"/>
    <w:rsid w:val="00A17FCE"/>
    <w:rsid w:val="00A21356"/>
    <w:rsid w:val="00A62306"/>
    <w:rsid w:val="00A63754"/>
    <w:rsid w:val="00A77702"/>
    <w:rsid w:val="00A86263"/>
    <w:rsid w:val="00A902DB"/>
    <w:rsid w:val="00AA4CA1"/>
    <w:rsid w:val="00B26DF1"/>
    <w:rsid w:val="00B53869"/>
    <w:rsid w:val="00B63807"/>
    <w:rsid w:val="00B74D49"/>
    <w:rsid w:val="00BB239A"/>
    <w:rsid w:val="00C07F24"/>
    <w:rsid w:val="00C274BE"/>
    <w:rsid w:val="00C33CC6"/>
    <w:rsid w:val="00C56809"/>
    <w:rsid w:val="00C57432"/>
    <w:rsid w:val="00C84995"/>
    <w:rsid w:val="00C918F1"/>
    <w:rsid w:val="00CC1E77"/>
    <w:rsid w:val="00D1426A"/>
    <w:rsid w:val="00D72154"/>
    <w:rsid w:val="00D76EA8"/>
    <w:rsid w:val="00D8124A"/>
    <w:rsid w:val="00DC3889"/>
    <w:rsid w:val="00E17C99"/>
    <w:rsid w:val="00E424B4"/>
    <w:rsid w:val="00E43B07"/>
    <w:rsid w:val="00E61F14"/>
    <w:rsid w:val="00E91379"/>
    <w:rsid w:val="00E9770D"/>
    <w:rsid w:val="00EE5EAB"/>
    <w:rsid w:val="00EF24EB"/>
    <w:rsid w:val="00F155A3"/>
    <w:rsid w:val="00F370C3"/>
    <w:rsid w:val="00F555DE"/>
    <w:rsid w:val="00F61EEE"/>
    <w:rsid w:val="00F63F26"/>
    <w:rsid w:val="00F72AF6"/>
    <w:rsid w:val="00FE5008"/>
    <w:rsid w:val="00FF1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lang w:eastAsia="en-US"/>
    </w:rPr>
  </w:style>
  <w:style w:type="paragraph" w:styleId="Heading1">
    <w:name w:val="heading 1"/>
    <w:basedOn w:val="Normal"/>
    <w:qFormat/>
    <w:pPr>
      <w:spacing w:before="100" w:beforeAutospacing="1" w:after="100" w:afterAutospacing="1"/>
      <w:outlineLvl w:val="0"/>
    </w:pPr>
    <w:rPr>
      <w:color w:val="000000"/>
      <w:spacing w:val="-3"/>
      <w:kern w:val="36"/>
      <w:sz w:val="24"/>
      <w:szCs w:val="36"/>
    </w:rPr>
  </w:style>
  <w:style w:type="paragraph" w:styleId="Heading2">
    <w:name w:val="heading 2"/>
    <w:basedOn w:val="Normal"/>
    <w:next w:val="Normal"/>
    <w:qFormat/>
    <w:pPr>
      <w:keepNext/>
      <w:pBdr>
        <w:bottom w:val="single" w:sz="4" w:space="1" w:color="auto"/>
      </w:pBdr>
      <w:jc w:val="center"/>
      <w:outlineLvl w:val="1"/>
    </w:pPr>
    <w:rPr>
      <w:b/>
      <w:i/>
      <w:sz w:val="28"/>
    </w:rPr>
  </w:style>
  <w:style w:type="paragraph" w:styleId="Heading3">
    <w:name w:val="heading 3"/>
    <w:basedOn w:val="Normal"/>
    <w:next w:val="Normal"/>
    <w:qFormat/>
    <w:pPr>
      <w:keepNext/>
      <w:widowControl w:val="0"/>
      <w:overflowPunct w:val="0"/>
      <w:autoSpaceDE w:val="0"/>
      <w:autoSpaceDN w:val="0"/>
      <w:adjustRightInd w:val="0"/>
      <w:spacing w:before="240" w:after="60"/>
      <w:textAlignment w:val="baseline"/>
      <w:outlineLvl w:val="2"/>
    </w:pPr>
    <w:rPr>
      <w:rFonts w:cs="Arial"/>
      <w:b/>
      <w:bCs/>
      <w:sz w:val="26"/>
      <w:szCs w:val="26"/>
    </w:rPr>
  </w:style>
  <w:style w:type="paragraph" w:styleId="Heading4">
    <w:name w:val="heading 4"/>
    <w:basedOn w:val="Normal"/>
    <w:next w:val="Normal"/>
    <w:qFormat/>
    <w:pPr>
      <w:keepNext/>
      <w:jc w:val="both"/>
      <w:outlineLvl w:val="3"/>
    </w:pPr>
    <w:rPr>
      <w:b/>
      <w:sz w:val="24"/>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widowControl w:val="0"/>
      <w:overflowPunct w:val="0"/>
      <w:autoSpaceDE w:val="0"/>
      <w:autoSpaceDN w:val="0"/>
      <w:adjustRightInd w:val="0"/>
      <w:jc w:val="center"/>
      <w:textAlignment w:val="baseline"/>
      <w:outlineLvl w:val="5"/>
    </w:pPr>
    <w:rPr>
      <w:b/>
      <w:bCs/>
      <w:sz w:val="18"/>
    </w:rPr>
  </w:style>
  <w:style w:type="paragraph" w:styleId="Heading7">
    <w:name w:val="heading 7"/>
    <w:basedOn w:val="Normal"/>
    <w:next w:val="Normal"/>
    <w:qFormat/>
    <w:pPr>
      <w:keepNext/>
      <w:widowControl w:val="0"/>
      <w:overflowPunct w:val="0"/>
      <w:autoSpaceDE w:val="0"/>
      <w:autoSpaceDN w:val="0"/>
      <w:adjustRightInd w:val="0"/>
      <w:ind w:left="357"/>
      <w:jc w:val="center"/>
      <w:textAlignment w:val="baseline"/>
      <w:outlineLvl w:val="6"/>
    </w:pPr>
    <w:rPr>
      <w:b/>
      <w:sz w:val="18"/>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BodyTextIndent">
    <w:name w:val="Body Text Indent"/>
    <w:basedOn w:val="Normal"/>
    <w:pPr>
      <w:widowControl w:val="0"/>
      <w:overflowPunct w:val="0"/>
      <w:autoSpaceDE w:val="0"/>
      <w:autoSpaceDN w:val="0"/>
      <w:adjustRightInd w:val="0"/>
      <w:ind w:left="567"/>
      <w:textAlignment w:val="baseline"/>
    </w:pPr>
  </w:style>
  <w:style w:type="character" w:styleId="CommentReference">
    <w:name w:val="annotation reference"/>
    <w:basedOn w:val="DefaultParagraphFont"/>
    <w:semiHidden/>
    <w:rPr>
      <w:rFonts w:ascii="Verdana" w:hAnsi="Verdana"/>
      <w:sz w:val="16"/>
      <w:szCs w:val="16"/>
    </w:rPr>
  </w:style>
  <w:style w:type="paragraph" w:styleId="CommentText">
    <w:name w:val="annotation text"/>
    <w:basedOn w:val="Normal"/>
    <w:semiHidden/>
    <w:pPr>
      <w:widowControl w:val="0"/>
      <w:overflowPunct w:val="0"/>
      <w:autoSpaceDE w:val="0"/>
      <w:autoSpaceDN w:val="0"/>
      <w:adjustRightInd w:val="0"/>
      <w:textAlignment w:val="baseline"/>
    </w:pPr>
    <w:rPr>
      <w:sz w:val="16"/>
    </w:rPr>
  </w:style>
  <w:style w:type="paragraph" w:customStyle="1" w:styleId="DHSAddress">
    <w:name w:val="DHS Address"/>
    <w:rPr>
      <w:color w:val="000080"/>
      <w:sz w:val="18"/>
      <w:lang w:eastAsia="en-US"/>
    </w:rPr>
  </w:style>
  <w:style w:type="paragraph" w:customStyle="1" w:styleId="DHSBodyText">
    <w:name w:val="DHS Body Text"/>
    <w:basedOn w:val="Normal"/>
    <w:pPr>
      <w:spacing w:line="240" w:lineRule="exact"/>
    </w:pPr>
    <w:rPr>
      <w:sz w:val="18"/>
    </w:rPr>
  </w:style>
  <w:style w:type="paragraph" w:customStyle="1" w:styleId="DHSBulletText">
    <w:name w:val="DHS Bullet Text"/>
    <w:basedOn w:val="Normal"/>
    <w:next w:val="Normal"/>
    <w:pPr>
      <w:widowControl w:val="0"/>
      <w:numPr>
        <w:numId w:val="1"/>
      </w:numPr>
      <w:tabs>
        <w:tab w:val="clear" w:pos="360"/>
      </w:tabs>
      <w:overflowPunct w:val="0"/>
      <w:autoSpaceDE w:val="0"/>
      <w:autoSpaceDN w:val="0"/>
      <w:adjustRightInd w:val="0"/>
      <w:spacing w:after="120"/>
      <w:textAlignment w:val="baseline"/>
    </w:pPr>
    <w:rPr>
      <w:sz w:val="18"/>
    </w:rPr>
  </w:style>
  <w:style w:type="paragraph" w:customStyle="1" w:styleId="DHSDate">
    <w:name w:val="DHS Date"/>
    <w:basedOn w:val="Normal"/>
    <w:next w:val="Normal"/>
    <w:pPr>
      <w:widowControl w:val="0"/>
      <w:overflowPunct w:val="0"/>
      <w:autoSpaceDE w:val="0"/>
      <w:autoSpaceDN w:val="0"/>
      <w:adjustRightInd w:val="0"/>
      <w:spacing w:after="120"/>
      <w:textAlignment w:val="baseline"/>
    </w:pPr>
    <w:rPr>
      <w:sz w:val="28"/>
      <w:szCs w:val="18"/>
    </w:rPr>
  </w:style>
  <w:style w:type="paragraph" w:customStyle="1" w:styleId="DHSFileRef">
    <w:name w:val="DHS FileRef"/>
    <w:next w:val="Normal"/>
    <w:autoRedefine/>
    <w:rPr>
      <w:caps/>
      <w:color w:val="000080"/>
      <w:sz w:val="16"/>
      <w:lang w:eastAsia="en-US"/>
    </w:rPr>
  </w:style>
  <w:style w:type="paragraph" w:customStyle="1" w:styleId="DHSHDAddress">
    <w:name w:val="DHS HD Address"/>
    <w:autoRedefine/>
    <w:rPr>
      <w:color w:val="000080"/>
      <w:sz w:val="18"/>
      <w:lang w:eastAsia="en-US"/>
    </w:rPr>
  </w:style>
  <w:style w:type="paragraph" w:customStyle="1" w:styleId="DHSHDHeading">
    <w:name w:val="DHS HD Heading"/>
    <w:autoRedefine/>
    <w:rPr>
      <w:b/>
      <w:color w:val="000080"/>
      <w:kern w:val="4"/>
      <w:sz w:val="38"/>
      <w:lang w:eastAsia="en-US"/>
    </w:rPr>
  </w:style>
  <w:style w:type="paragraph" w:customStyle="1" w:styleId="DHSHDHeading2">
    <w:name w:val="DHS HD Heading 2"/>
    <w:autoRedefine/>
    <w:rPr>
      <w:color w:val="000080"/>
      <w:kern w:val="4"/>
      <w:sz w:val="24"/>
      <w:lang w:eastAsia="en-US"/>
    </w:rPr>
  </w:style>
  <w:style w:type="paragraph" w:customStyle="1" w:styleId="DHSHeading">
    <w:name w:val="DHS Heading"/>
    <w:rPr>
      <w:b/>
      <w:color w:val="000080"/>
      <w:kern w:val="4"/>
      <w:sz w:val="38"/>
      <w:lang w:eastAsia="en-US"/>
    </w:rPr>
  </w:style>
  <w:style w:type="paragraph" w:customStyle="1" w:styleId="DHSHeading1">
    <w:name w:val="DHS Heading 1"/>
    <w:basedOn w:val="Normal"/>
    <w:next w:val="Normal"/>
    <w:pPr>
      <w:widowControl w:val="0"/>
      <w:overflowPunct w:val="0"/>
      <w:autoSpaceDE w:val="0"/>
      <w:autoSpaceDN w:val="0"/>
      <w:adjustRightInd w:val="0"/>
      <w:spacing w:after="120" w:line="280" w:lineRule="exact"/>
      <w:textAlignment w:val="baseline"/>
    </w:pPr>
    <w:rPr>
      <w:b/>
    </w:rPr>
  </w:style>
  <w:style w:type="paragraph" w:customStyle="1" w:styleId="DHSHeading2">
    <w:name w:val="DHS Heading 2"/>
    <w:basedOn w:val="DHSHeading1"/>
    <w:next w:val="Normal"/>
    <w:pPr>
      <w:spacing w:line="240" w:lineRule="exact"/>
    </w:pPr>
    <w:rPr>
      <w:sz w:val="18"/>
    </w:rPr>
  </w:style>
  <w:style w:type="paragraph" w:customStyle="1" w:styleId="DHSHeading3">
    <w:name w:val="DHS Heading 3"/>
    <w:basedOn w:val="Normal"/>
    <w:next w:val="Normal"/>
    <w:pPr>
      <w:widowControl w:val="0"/>
      <w:overflowPunct w:val="0"/>
      <w:autoSpaceDE w:val="0"/>
      <w:autoSpaceDN w:val="0"/>
      <w:adjustRightInd w:val="0"/>
      <w:textAlignment w:val="baseline"/>
    </w:pPr>
    <w:rPr>
      <w:sz w:val="48"/>
    </w:rPr>
  </w:style>
  <w:style w:type="paragraph" w:customStyle="1" w:styleId="DHSNewsletterTitle">
    <w:name w:val="DHS Newsletter Title"/>
    <w:basedOn w:val="Normal"/>
    <w:next w:val="Normal"/>
    <w:pPr>
      <w:widowControl w:val="0"/>
      <w:overflowPunct w:val="0"/>
      <w:autoSpaceDE w:val="0"/>
      <w:autoSpaceDN w:val="0"/>
      <w:adjustRightInd w:val="0"/>
      <w:textAlignment w:val="baseline"/>
    </w:pPr>
    <w:rPr>
      <w:sz w:val="56"/>
    </w:rPr>
  </w:style>
  <w:style w:type="paragraph" w:customStyle="1" w:styleId="DHSNotes">
    <w:name w:val="DHS Notes"/>
    <w:basedOn w:val="Normal"/>
    <w:next w:val="Normal"/>
    <w:pPr>
      <w:spacing w:line="240" w:lineRule="exact"/>
    </w:pPr>
    <w:rPr>
      <w:i/>
      <w:sz w:val="18"/>
    </w:rPr>
  </w:style>
  <w:style w:type="paragraph" w:customStyle="1" w:styleId="DHSNumberingOutline">
    <w:name w:val="DHS Numbering Outline"/>
    <w:basedOn w:val="Normal"/>
    <w:next w:val="Normal"/>
    <w:pPr>
      <w:widowControl w:val="0"/>
      <w:numPr>
        <w:numId w:val="2"/>
      </w:numPr>
      <w:overflowPunct w:val="0"/>
      <w:autoSpaceDE w:val="0"/>
      <w:autoSpaceDN w:val="0"/>
      <w:adjustRightInd w:val="0"/>
      <w:textAlignment w:val="baseline"/>
    </w:pPr>
  </w:style>
  <w:style w:type="paragraph" w:customStyle="1" w:styleId="DHSReportHd1">
    <w:name w:val="DHS Report Hd 1"/>
    <w:basedOn w:val="Normal"/>
    <w:next w:val="Normal"/>
    <w:pPr>
      <w:spacing w:line="360" w:lineRule="exact"/>
    </w:pPr>
    <w:rPr>
      <w:sz w:val="28"/>
    </w:rPr>
  </w:style>
  <w:style w:type="paragraph" w:customStyle="1" w:styleId="DHSReportHd2">
    <w:name w:val="DHS Report Hd 2"/>
    <w:basedOn w:val="Normal"/>
    <w:next w:val="Normal"/>
    <w:rPr>
      <w:b/>
      <w:sz w:val="24"/>
    </w:rPr>
  </w:style>
  <w:style w:type="paragraph" w:customStyle="1" w:styleId="DHSReportHd3">
    <w:name w:val="DHS Report Hd 3"/>
    <w:basedOn w:val="Normal"/>
    <w:next w:val="Normal"/>
    <w:rPr>
      <w:b/>
      <w:sz w:val="22"/>
    </w:rPr>
  </w:style>
  <w:style w:type="paragraph" w:customStyle="1" w:styleId="DHSReportHd4">
    <w:name w:val="DHS Report Hd 4"/>
    <w:basedOn w:val="Normal"/>
    <w:next w:val="Normal"/>
    <w:rPr>
      <w:b/>
      <w:sz w:val="18"/>
    </w:rPr>
  </w:style>
  <w:style w:type="paragraph" w:customStyle="1" w:styleId="DHSReportSubTitle">
    <w:name w:val="DHS Report Sub Title"/>
    <w:basedOn w:val="Normal"/>
    <w:next w:val="Normal"/>
    <w:pPr>
      <w:spacing w:after="120"/>
    </w:pPr>
    <w:rPr>
      <w:sz w:val="28"/>
    </w:rPr>
  </w:style>
  <w:style w:type="paragraph" w:customStyle="1" w:styleId="DHSReportTitle">
    <w:name w:val="DHS Report Title"/>
    <w:basedOn w:val="Normal"/>
    <w:next w:val="DHSReportSubTitle"/>
    <w:pPr>
      <w:spacing w:before="120" w:after="120" w:line="240" w:lineRule="exact"/>
    </w:pPr>
    <w:rPr>
      <w:sz w:val="40"/>
      <w:szCs w:val="24"/>
    </w:rPr>
  </w:style>
  <w:style w:type="paragraph" w:customStyle="1" w:styleId="DHSSubHeading">
    <w:name w:val="DHS Sub Heading"/>
    <w:basedOn w:val="Normal"/>
    <w:next w:val="Normal"/>
    <w:pPr>
      <w:widowControl w:val="0"/>
      <w:overflowPunct w:val="0"/>
      <w:autoSpaceDE w:val="0"/>
      <w:autoSpaceDN w:val="0"/>
      <w:adjustRightInd w:val="0"/>
      <w:spacing w:after="120"/>
      <w:textAlignment w:val="baseline"/>
    </w:pPr>
    <w:rPr>
      <w:b/>
      <w:sz w:val="28"/>
    </w:rPr>
  </w:style>
  <w:style w:type="paragraph" w:customStyle="1" w:styleId="DHSSubHeading2">
    <w:name w:val="DHS Sub Heading 2"/>
    <w:basedOn w:val="Normal"/>
    <w:next w:val="Normal"/>
    <w:pPr>
      <w:widowControl w:val="0"/>
      <w:overflowPunct w:val="0"/>
      <w:autoSpaceDE w:val="0"/>
      <w:autoSpaceDN w:val="0"/>
      <w:adjustRightInd w:val="0"/>
      <w:textAlignment w:val="baseline"/>
    </w:pPr>
    <w:rPr>
      <w:b/>
    </w:rPr>
  </w:style>
  <w:style w:type="paragraph" w:customStyle="1" w:styleId="DHSSubTitle">
    <w:name w:val="DHS Sub Title"/>
    <w:basedOn w:val="DHSDate"/>
    <w:next w:val="Normal"/>
  </w:style>
  <w:style w:type="paragraph" w:customStyle="1" w:styleId="DHSTableHeader">
    <w:name w:val="DHS Table Header"/>
    <w:basedOn w:val="Normal"/>
    <w:pPr>
      <w:pBdr>
        <w:bottom w:val="single" w:sz="8" w:space="1" w:color="FFFFFF"/>
      </w:pBdr>
      <w:spacing w:before="120" w:after="120"/>
    </w:pPr>
    <w:rPr>
      <w:sz w:val="18"/>
    </w:rPr>
  </w:style>
  <w:style w:type="paragraph" w:customStyle="1" w:styleId="DHSTableSubHeader">
    <w:name w:val="DHS Table Sub Header"/>
    <w:basedOn w:val="Normal"/>
    <w:rPr>
      <w:sz w:val="18"/>
    </w:rPr>
  </w:style>
  <w:style w:type="paragraph" w:customStyle="1" w:styleId="DHSTableText">
    <w:name w:val="DHS Table Text"/>
    <w:basedOn w:val="Normal"/>
    <w:pPr>
      <w:widowControl w:val="0"/>
      <w:shd w:val="clear" w:color="auto" w:fill="E0E0E0"/>
      <w:overflowPunct w:val="0"/>
      <w:autoSpaceDE w:val="0"/>
      <w:autoSpaceDN w:val="0"/>
      <w:adjustRightInd w:val="0"/>
      <w:textAlignment w:val="baseline"/>
    </w:pPr>
    <w:rPr>
      <w:sz w:val="18"/>
    </w:rPr>
  </w:style>
  <w:style w:type="paragraph" w:customStyle="1" w:styleId="DHSText10pt">
    <w:name w:val="DHS Text 10pt"/>
    <w:basedOn w:val="Normal"/>
    <w:pPr>
      <w:widowControl w:val="0"/>
      <w:overflowPunct w:val="0"/>
      <w:autoSpaceDE w:val="0"/>
      <w:autoSpaceDN w:val="0"/>
      <w:adjustRightInd w:val="0"/>
      <w:textAlignment w:val="baseline"/>
    </w:pPr>
  </w:style>
  <w:style w:type="paragraph" w:customStyle="1" w:styleId="DHSText12pt">
    <w:name w:val="DHS Text 12pt"/>
    <w:basedOn w:val="Normal"/>
    <w:pPr>
      <w:widowControl w:val="0"/>
      <w:overflowPunct w:val="0"/>
      <w:autoSpaceDE w:val="0"/>
      <w:autoSpaceDN w:val="0"/>
      <w:adjustRightInd w:val="0"/>
      <w:textAlignment w:val="baseline"/>
    </w:pPr>
    <w:rPr>
      <w:sz w:val="24"/>
    </w:rPr>
  </w:style>
  <w:style w:type="paragraph" w:customStyle="1" w:styleId="DHSText14pt">
    <w:name w:val="DHS Text 14pt"/>
    <w:basedOn w:val="Normal"/>
    <w:pPr>
      <w:widowControl w:val="0"/>
      <w:overflowPunct w:val="0"/>
      <w:autoSpaceDE w:val="0"/>
      <w:autoSpaceDN w:val="0"/>
      <w:adjustRightInd w:val="0"/>
      <w:textAlignment w:val="baseline"/>
    </w:pPr>
    <w:rPr>
      <w:sz w:val="28"/>
    </w:rPr>
  </w:style>
  <w:style w:type="paragraph" w:customStyle="1" w:styleId="DHSText16pt">
    <w:name w:val="DHS Text 16pt"/>
    <w:basedOn w:val="Normal"/>
    <w:pPr>
      <w:widowControl w:val="0"/>
      <w:overflowPunct w:val="0"/>
      <w:autoSpaceDE w:val="0"/>
      <w:autoSpaceDN w:val="0"/>
      <w:adjustRightInd w:val="0"/>
      <w:textAlignment w:val="baseline"/>
    </w:pPr>
    <w:rPr>
      <w:sz w:val="32"/>
    </w:rPr>
  </w:style>
  <w:style w:type="paragraph" w:customStyle="1" w:styleId="DHSText18pt">
    <w:name w:val="DHS Text 18pt"/>
    <w:basedOn w:val="Normal"/>
    <w:pPr>
      <w:widowControl w:val="0"/>
      <w:overflowPunct w:val="0"/>
      <w:autoSpaceDE w:val="0"/>
      <w:autoSpaceDN w:val="0"/>
      <w:adjustRightInd w:val="0"/>
      <w:textAlignment w:val="baseline"/>
    </w:pPr>
    <w:rPr>
      <w:sz w:val="36"/>
    </w:rPr>
  </w:style>
  <w:style w:type="paragraph" w:customStyle="1" w:styleId="DHSText24pt">
    <w:name w:val="DHS Text 24pt"/>
    <w:basedOn w:val="Normal"/>
    <w:pPr>
      <w:widowControl w:val="0"/>
      <w:overflowPunct w:val="0"/>
      <w:autoSpaceDE w:val="0"/>
      <w:autoSpaceDN w:val="0"/>
      <w:adjustRightInd w:val="0"/>
      <w:textAlignment w:val="baseline"/>
    </w:pPr>
    <w:rPr>
      <w:sz w:val="48"/>
    </w:rPr>
  </w:style>
  <w:style w:type="paragraph" w:customStyle="1" w:styleId="DHSText8pt">
    <w:name w:val="DHS Text 8pt"/>
    <w:basedOn w:val="Normal"/>
    <w:pPr>
      <w:widowControl w:val="0"/>
      <w:overflowPunct w:val="0"/>
      <w:autoSpaceDE w:val="0"/>
      <w:autoSpaceDN w:val="0"/>
      <w:adjustRightInd w:val="0"/>
      <w:textAlignment w:val="baseline"/>
    </w:pPr>
    <w:rPr>
      <w:sz w:val="16"/>
    </w:rPr>
  </w:style>
  <w:style w:type="paragraph" w:customStyle="1" w:styleId="DHSTextBold10pt">
    <w:name w:val="DHS Text Bold 10pt"/>
    <w:basedOn w:val="Normal"/>
    <w:pPr>
      <w:widowControl w:val="0"/>
      <w:overflowPunct w:val="0"/>
      <w:autoSpaceDE w:val="0"/>
      <w:autoSpaceDN w:val="0"/>
      <w:adjustRightInd w:val="0"/>
      <w:textAlignment w:val="baseline"/>
    </w:pPr>
    <w:rPr>
      <w:b/>
    </w:rPr>
  </w:style>
  <w:style w:type="paragraph" w:customStyle="1" w:styleId="DHSTextBold12pt">
    <w:name w:val="DHS Text Bold 12pt"/>
    <w:basedOn w:val="Normal"/>
    <w:pPr>
      <w:widowControl w:val="0"/>
      <w:overflowPunct w:val="0"/>
      <w:autoSpaceDE w:val="0"/>
      <w:autoSpaceDN w:val="0"/>
      <w:adjustRightInd w:val="0"/>
      <w:textAlignment w:val="baseline"/>
    </w:pPr>
    <w:rPr>
      <w:b/>
      <w:sz w:val="24"/>
    </w:rPr>
  </w:style>
  <w:style w:type="paragraph" w:customStyle="1" w:styleId="DHSTextBold14pt">
    <w:name w:val="DHS Text Bold 14pt"/>
    <w:basedOn w:val="Normal"/>
    <w:pPr>
      <w:widowControl w:val="0"/>
      <w:overflowPunct w:val="0"/>
      <w:autoSpaceDE w:val="0"/>
      <w:autoSpaceDN w:val="0"/>
      <w:adjustRightInd w:val="0"/>
      <w:textAlignment w:val="baseline"/>
    </w:pPr>
    <w:rPr>
      <w:b/>
      <w:sz w:val="28"/>
    </w:rPr>
  </w:style>
  <w:style w:type="paragraph" w:customStyle="1" w:styleId="DHSTextBold8pt">
    <w:name w:val="DHS Text Bold 8pt"/>
    <w:basedOn w:val="Normal"/>
    <w:pPr>
      <w:widowControl w:val="0"/>
      <w:overflowPunct w:val="0"/>
      <w:autoSpaceDE w:val="0"/>
      <w:autoSpaceDN w:val="0"/>
      <w:adjustRightInd w:val="0"/>
      <w:textAlignment w:val="baseline"/>
    </w:pPr>
    <w:rPr>
      <w:b/>
      <w:sz w:val="16"/>
    </w:rPr>
  </w:style>
  <w:style w:type="paragraph" w:customStyle="1" w:styleId="DHSTitle">
    <w:name w:val="DHS Title"/>
    <w:basedOn w:val="Normal"/>
    <w:pPr>
      <w:spacing w:before="120" w:after="120"/>
    </w:pPr>
    <w:rPr>
      <w:sz w:val="56"/>
    </w:rPr>
  </w:style>
  <w:style w:type="paragraph" w:customStyle="1" w:styleId="DHSTOCHeading">
    <w:name w:val="DHS TOC Heading"/>
    <w:basedOn w:val="Normal"/>
    <w:pPr>
      <w:spacing w:after="160"/>
    </w:pPr>
    <w:rPr>
      <w:sz w:val="28"/>
    </w:rPr>
  </w:style>
  <w:style w:type="paragraph" w:styleId="Footer">
    <w:name w:val="footer"/>
    <w:basedOn w:val="Normal"/>
    <w:pPr>
      <w:widowControl w:val="0"/>
      <w:tabs>
        <w:tab w:val="center" w:pos="4153"/>
        <w:tab w:val="right" w:pos="8306"/>
      </w:tabs>
      <w:overflowPunct w:val="0"/>
      <w:autoSpaceDE w:val="0"/>
      <w:autoSpaceDN w:val="0"/>
      <w:adjustRightInd w:val="0"/>
      <w:textAlignment w:val="baseline"/>
    </w:pPr>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style>
  <w:style w:type="character" w:styleId="Hyperlink">
    <w:name w:val="Hyperlink"/>
    <w:basedOn w:val="DefaultParagraphFont"/>
    <w:rPr>
      <w:rFonts w:ascii="Verdana" w:hAnsi="Verdana"/>
      <w:color w:val="0000FF"/>
      <w:u w:val="single"/>
    </w:rPr>
  </w:style>
  <w:style w:type="paragraph" w:styleId="Title">
    <w:name w:val="Title"/>
    <w:basedOn w:val="Normal"/>
    <w:next w:val="Normal"/>
    <w:qFormat/>
    <w:pPr>
      <w:ind w:left="720"/>
    </w:pPr>
    <w:rPr>
      <w:b/>
      <w:bCs/>
      <w:sz w:val="24"/>
      <w:szCs w:val="24"/>
    </w:rPr>
  </w:style>
  <w:style w:type="paragraph" w:styleId="TOC1">
    <w:name w:val="toc 1"/>
    <w:basedOn w:val="Normal"/>
    <w:next w:val="Normal"/>
    <w:semiHidden/>
    <w:pPr>
      <w:widowControl w:val="0"/>
      <w:tabs>
        <w:tab w:val="right" w:leader="dot" w:pos="9498"/>
      </w:tabs>
      <w:overflowPunct w:val="0"/>
      <w:autoSpaceDE w:val="0"/>
      <w:autoSpaceDN w:val="0"/>
      <w:adjustRightInd w:val="0"/>
      <w:ind w:left="567"/>
      <w:textAlignment w:val="baseline"/>
    </w:pPr>
    <w:rPr>
      <w:noProof/>
      <w:sz w:val="24"/>
      <w:szCs w:val="24"/>
    </w:rPr>
  </w:style>
  <w:style w:type="paragraph" w:styleId="TOC2">
    <w:name w:val="toc 2"/>
    <w:basedOn w:val="Normal"/>
    <w:next w:val="Normal"/>
    <w:autoRedefine/>
    <w:semiHidden/>
    <w:pPr>
      <w:widowControl w:val="0"/>
      <w:tabs>
        <w:tab w:val="right" w:leader="dot" w:pos="9622"/>
      </w:tabs>
      <w:overflowPunct w:val="0"/>
      <w:autoSpaceDE w:val="0"/>
      <w:autoSpaceDN w:val="0"/>
      <w:adjustRightInd w:val="0"/>
      <w:ind w:left="567"/>
      <w:textAlignment w:val="baseline"/>
    </w:pPr>
    <w:rPr>
      <w:noProof/>
    </w:rPr>
  </w:style>
  <w:style w:type="paragraph" w:styleId="TOC3">
    <w:name w:val="toc 3"/>
    <w:basedOn w:val="Normal"/>
    <w:next w:val="Normal"/>
    <w:autoRedefine/>
    <w:semiHidden/>
    <w:pPr>
      <w:widowControl w:val="0"/>
      <w:overflowPunct w:val="0"/>
      <w:autoSpaceDE w:val="0"/>
      <w:autoSpaceDN w:val="0"/>
      <w:adjustRightInd w:val="0"/>
      <w:ind w:left="440"/>
      <w:textAlignment w:val="baseline"/>
    </w:pPr>
  </w:style>
  <w:style w:type="paragraph" w:styleId="TOC4">
    <w:name w:val="toc 4"/>
    <w:basedOn w:val="Normal"/>
    <w:next w:val="Normal"/>
    <w:autoRedefine/>
    <w:semiHidden/>
    <w:pPr>
      <w:widowControl w:val="0"/>
      <w:overflowPunct w:val="0"/>
      <w:autoSpaceDE w:val="0"/>
      <w:autoSpaceDN w:val="0"/>
      <w:adjustRightInd w:val="0"/>
      <w:ind w:left="660"/>
      <w:textAlignment w:val="baseline"/>
    </w:pPr>
  </w:style>
  <w:style w:type="paragraph" w:styleId="TOC5">
    <w:name w:val="toc 5"/>
    <w:basedOn w:val="Normal"/>
    <w:next w:val="Normal"/>
    <w:autoRedefine/>
    <w:semiHidden/>
    <w:pPr>
      <w:widowControl w:val="0"/>
      <w:overflowPunct w:val="0"/>
      <w:autoSpaceDE w:val="0"/>
      <w:autoSpaceDN w:val="0"/>
      <w:adjustRightInd w:val="0"/>
      <w:ind w:left="880"/>
      <w:textAlignment w:val="baseline"/>
    </w:pPr>
  </w:style>
  <w:style w:type="paragraph" w:styleId="TOC6">
    <w:name w:val="toc 6"/>
    <w:basedOn w:val="Normal"/>
    <w:next w:val="Normal"/>
    <w:autoRedefine/>
    <w:semiHidden/>
    <w:pPr>
      <w:widowControl w:val="0"/>
      <w:overflowPunct w:val="0"/>
      <w:autoSpaceDE w:val="0"/>
      <w:autoSpaceDN w:val="0"/>
      <w:adjustRightInd w:val="0"/>
      <w:ind w:left="1100"/>
      <w:textAlignment w:val="baseline"/>
    </w:pPr>
  </w:style>
  <w:style w:type="paragraph" w:styleId="TOC7">
    <w:name w:val="toc 7"/>
    <w:basedOn w:val="Normal"/>
    <w:next w:val="Normal"/>
    <w:autoRedefine/>
    <w:semiHidden/>
    <w:pPr>
      <w:widowControl w:val="0"/>
      <w:overflowPunct w:val="0"/>
      <w:autoSpaceDE w:val="0"/>
      <w:autoSpaceDN w:val="0"/>
      <w:adjustRightInd w:val="0"/>
      <w:ind w:left="1320"/>
      <w:textAlignment w:val="baseline"/>
    </w:pPr>
  </w:style>
  <w:style w:type="paragraph" w:styleId="TOC8">
    <w:name w:val="toc 8"/>
    <w:basedOn w:val="Normal"/>
    <w:next w:val="Normal"/>
    <w:autoRedefine/>
    <w:semiHidden/>
    <w:pPr>
      <w:widowControl w:val="0"/>
      <w:overflowPunct w:val="0"/>
      <w:autoSpaceDE w:val="0"/>
      <w:autoSpaceDN w:val="0"/>
      <w:adjustRightInd w:val="0"/>
      <w:ind w:left="1540"/>
      <w:textAlignment w:val="baseline"/>
    </w:pPr>
  </w:style>
  <w:style w:type="paragraph" w:styleId="TOC9">
    <w:name w:val="toc 9"/>
    <w:basedOn w:val="Normal"/>
    <w:next w:val="Normal"/>
    <w:autoRedefine/>
    <w:semiHidden/>
    <w:pPr>
      <w:widowControl w:val="0"/>
      <w:overflowPunct w:val="0"/>
      <w:autoSpaceDE w:val="0"/>
      <w:autoSpaceDN w:val="0"/>
      <w:adjustRightInd w:val="0"/>
      <w:ind w:left="1760"/>
      <w:textAlignment w:val="baseline"/>
    </w:pPr>
  </w:style>
  <w:style w:type="character" w:styleId="PageNumber">
    <w:name w:val="page number"/>
    <w:basedOn w:val="DefaultParagraphFont"/>
  </w:style>
  <w:style w:type="paragraph" w:styleId="ListNumber">
    <w:name w:val="List Number"/>
    <w:basedOn w:val="Normal"/>
    <w:pPr>
      <w:spacing w:after="120"/>
      <w:ind w:left="720" w:hanging="720"/>
    </w:pPr>
  </w:style>
  <w:style w:type="paragraph" w:styleId="BodyTextIndent2">
    <w:name w:val="Body Text Indent 2"/>
    <w:basedOn w:val="Normal"/>
    <w:pPr>
      <w:ind w:left="1260" w:hanging="900"/>
    </w:pPr>
    <w:rPr>
      <w:lang w:val="en-US"/>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a">
    <w:name w:val="_"/>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rPr>
      <w:color w:val="800080"/>
      <w:u w:val="single"/>
    </w:rPr>
  </w:style>
  <w:style w:type="paragraph" w:customStyle="1" w:styleId="ver">
    <w:name w:val="ver"/>
    <w:basedOn w:val="Heading1"/>
    <w:pPr>
      <w:jc w:val="both"/>
    </w:pPr>
  </w:style>
  <w:style w:type="table" w:styleId="TableGrid">
    <w:name w:val="Table Grid"/>
    <w:basedOn w:val="TableNormal"/>
    <w:rsid w:val="00494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63754"/>
    <w:rPr>
      <w:rFonts w:ascii="Tahoma" w:hAnsi="Tahoma" w:cs="Tahoma"/>
      <w:sz w:val="16"/>
      <w:szCs w:val="16"/>
    </w:rPr>
  </w:style>
  <w:style w:type="character" w:styleId="Emphasis">
    <w:name w:val="Emphasis"/>
    <w:basedOn w:val="DefaultParagraphFont"/>
    <w:qFormat/>
    <w:rsid w:val="00A213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lang w:eastAsia="en-US"/>
    </w:rPr>
  </w:style>
  <w:style w:type="paragraph" w:styleId="Heading1">
    <w:name w:val="heading 1"/>
    <w:basedOn w:val="Normal"/>
    <w:qFormat/>
    <w:pPr>
      <w:spacing w:before="100" w:beforeAutospacing="1" w:after="100" w:afterAutospacing="1"/>
      <w:outlineLvl w:val="0"/>
    </w:pPr>
    <w:rPr>
      <w:color w:val="000000"/>
      <w:spacing w:val="-3"/>
      <w:kern w:val="36"/>
      <w:sz w:val="24"/>
      <w:szCs w:val="36"/>
    </w:rPr>
  </w:style>
  <w:style w:type="paragraph" w:styleId="Heading2">
    <w:name w:val="heading 2"/>
    <w:basedOn w:val="Normal"/>
    <w:next w:val="Normal"/>
    <w:qFormat/>
    <w:pPr>
      <w:keepNext/>
      <w:pBdr>
        <w:bottom w:val="single" w:sz="4" w:space="1" w:color="auto"/>
      </w:pBdr>
      <w:jc w:val="center"/>
      <w:outlineLvl w:val="1"/>
    </w:pPr>
    <w:rPr>
      <w:b/>
      <w:i/>
      <w:sz w:val="28"/>
    </w:rPr>
  </w:style>
  <w:style w:type="paragraph" w:styleId="Heading3">
    <w:name w:val="heading 3"/>
    <w:basedOn w:val="Normal"/>
    <w:next w:val="Normal"/>
    <w:qFormat/>
    <w:pPr>
      <w:keepNext/>
      <w:widowControl w:val="0"/>
      <w:overflowPunct w:val="0"/>
      <w:autoSpaceDE w:val="0"/>
      <w:autoSpaceDN w:val="0"/>
      <w:adjustRightInd w:val="0"/>
      <w:spacing w:before="240" w:after="60"/>
      <w:textAlignment w:val="baseline"/>
      <w:outlineLvl w:val="2"/>
    </w:pPr>
    <w:rPr>
      <w:rFonts w:cs="Arial"/>
      <w:b/>
      <w:bCs/>
      <w:sz w:val="26"/>
      <w:szCs w:val="26"/>
    </w:rPr>
  </w:style>
  <w:style w:type="paragraph" w:styleId="Heading4">
    <w:name w:val="heading 4"/>
    <w:basedOn w:val="Normal"/>
    <w:next w:val="Normal"/>
    <w:qFormat/>
    <w:pPr>
      <w:keepNext/>
      <w:jc w:val="both"/>
      <w:outlineLvl w:val="3"/>
    </w:pPr>
    <w:rPr>
      <w:b/>
      <w:sz w:val="24"/>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widowControl w:val="0"/>
      <w:overflowPunct w:val="0"/>
      <w:autoSpaceDE w:val="0"/>
      <w:autoSpaceDN w:val="0"/>
      <w:adjustRightInd w:val="0"/>
      <w:jc w:val="center"/>
      <w:textAlignment w:val="baseline"/>
      <w:outlineLvl w:val="5"/>
    </w:pPr>
    <w:rPr>
      <w:b/>
      <w:bCs/>
      <w:sz w:val="18"/>
    </w:rPr>
  </w:style>
  <w:style w:type="paragraph" w:styleId="Heading7">
    <w:name w:val="heading 7"/>
    <w:basedOn w:val="Normal"/>
    <w:next w:val="Normal"/>
    <w:qFormat/>
    <w:pPr>
      <w:keepNext/>
      <w:widowControl w:val="0"/>
      <w:overflowPunct w:val="0"/>
      <w:autoSpaceDE w:val="0"/>
      <w:autoSpaceDN w:val="0"/>
      <w:adjustRightInd w:val="0"/>
      <w:ind w:left="357"/>
      <w:jc w:val="center"/>
      <w:textAlignment w:val="baseline"/>
      <w:outlineLvl w:val="6"/>
    </w:pPr>
    <w:rPr>
      <w:b/>
      <w:sz w:val="18"/>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BodyTextIndent">
    <w:name w:val="Body Text Indent"/>
    <w:basedOn w:val="Normal"/>
    <w:pPr>
      <w:widowControl w:val="0"/>
      <w:overflowPunct w:val="0"/>
      <w:autoSpaceDE w:val="0"/>
      <w:autoSpaceDN w:val="0"/>
      <w:adjustRightInd w:val="0"/>
      <w:ind w:left="567"/>
      <w:textAlignment w:val="baseline"/>
    </w:pPr>
  </w:style>
  <w:style w:type="character" w:styleId="CommentReference">
    <w:name w:val="annotation reference"/>
    <w:basedOn w:val="DefaultParagraphFont"/>
    <w:semiHidden/>
    <w:rPr>
      <w:rFonts w:ascii="Verdana" w:hAnsi="Verdana"/>
      <w:sz w:val="16"/>
      <w:szCs w:val="16"/>
    </w:rPr>
  </w:style>
  <w:style w:type="paragraph" w:styleId="CommentText">
    <w:name w:val="annotation text"/>
    <w:basedOn w:val="Normal"/>
    <w:semiHidden/>
    <w:pPr>
      <w:widowControl w:val="0"/>
      <w:overflowPunct w:val="0"/>
      <w:autoSpaceDE w:val="0"/>
      <w:autoSpaceDN w:val="0"/>
      <w:adjustRightInd w:val="0"/>
      <w:textAlignment w:val="baseline"/>
    </w:pPr>
    <w:rPr>
      <w:sz w:val="16"/>
    </w:rPr>
  </w:style>
  <w:style w:type="paragraph" w:customStyle="1" w:styleId="DHSAddress">
    <w:name w:val="DHS Address"/>
    <w:rPr>
      <w:color w:val="000080"/>
      <w:sz w:val="18"/>
      <w:lang w:eastAsia="en-US"/>
    </w:rPr>
  </w:style>
  <w:style w:type="paragraph" w:customStyle="1" w:styleId="DHSBodyText">
    <w:name w:val="DHS Body Text"/>
    <w:basedOn w:val="Normal"/>
    <w:pPr>
      <w:spacing w:line="240" w:lineRule="exact"/>
    </w:pPr>
    <w:rPr>
      <w:sz w:val="18"/>
    </w:rPr>
  </w:style>
  <w:style w:type="paragraph" w:customStyle="1" w:styleId="DHSBulletText">
    <w:name w:val="DHS Bullet Text"/>
    <w:basedOn w:val="Normal"/>
    <w:next w:val="Normal"/>
    <w:pPr>
      <w:widowControl w:val="0"/>
      <w:numPr>
        <w:numId w:val="1"/>
      </w:numPr>
      <w:tabs>
        <w:tab w:val="clear" w:pos="360"/>
      </w:tabs>
      <w:overflowPunct w:val="0"/>
      <w:autoSpaceDE w:val="0"/>
      <w:autoSpaceDN w:val="0"/>
      <w:adjustRightInd w:val="0"/>
      <w:spacing w:after="120"/>
      <w:textAlignment w:val="baseline"/>
    </w:pPr>
    <w:rPr>
      <w:sz w:val="18"/>
    </w:rPr>
  </w:style>
  <w:style w:type="paragraph" w:customStyle="1" w:styleId="DHSDate">
    <w:name w:val="DHS Date"/>
    <w:basedOn w:val="Normal"/>
    <w:next w:val="Normal"/>
    <w:pPr>
      <w:widowControl w:val="0"/>
      <w:overflowPunct w:val="0"/>
      <w:autoSpaceDE w:val="0"/>
      <w:autoSpaceDN w:val="0"/>
      <w:adjustRightInd w:val="0"/>
      <w:spacing w:after="120"/>
      <w:textAlignment w:val="baseline"/>
    </w:pPr>
    <w:rPr>
      <w:sz w:val="28"/>
      <w:szCs w:val="18"/>
    </w:rPr>
  </w:style>
  <w:style w:type="paragraph" w:customStyle="1" w:styleId="DHSFileRef">
    <w:name w:val="DHS FileRef"/>
    <w:next w:val="Normal"/>
    <w:autoRedefine/>
    <w:rPr>
      <w:caps/>
      <w:color w:val="000080"/>
      <w:sz w:val="16"/>
      <w:lang w:eastAsia="en-US"/>
    </w:rPr>
  </w:style>
  <w:style w:type="paragraph" w:customStyle="1" w:styleId="DHSHDAddress">
    <w:name w:val="DHS HD Address"/>
    <w:autoRedefine/>
    <w:rPr>
      <w:color w:val="000080"/>
      <w:sz w:val="18"/>
      <w:lang w:eastAsia="en-US"/>
    </w:rPr>
  </w:style>
  <w:style w:type="paragraph" w:customStyle="1" w:styleId="DHSHDHeading">
    <w:name w:val="DHS HD Heading"/>
    <w:autoRedefine/>
    <w:rPr>
      <w:b/>
      <w:color w:val="000080"/>
      <w:kern w:val="4"/>
      <w:sz w:val="38"/>
      <w:lang w:eastAsia="en-US"/>
    </w:rPr>
  </w:style>
  <w:style w:type="paragraph" w:customStyle="1" w:styleId="DHSHDHeading2">
    <w:name w:val="DHS HD Heading 2"/>
    <w:autoRedefine/>
    <w:rPr>
      <w:color w:val="000080"/>
      <w:kern w:val="4"/>
      <w:sz w:val="24"/>
      <w:lang w:eastAsia="en-US"/>
    </w:rPr>
  </w:style>
  <w:style w:type="paragraph" w:customStyle="1" w:styleId="DHSHeading">
    <w:name w:val="DHS Heading"/>
    <w:rPr>
      <w:b/>
      <w:color w:val="000080"/>
      <w:kern w:val="4"/>
      <w:sz w:val="38"/>
      <w:lang w:eastAsia="en-US"/>
    </w:rPr>
  </w:style>
  <w:style w:type="paragraph" w:customStyle="1" w:styleId="DHSHeading1">
    <w:name w:val="DHS Heading 1"/>
    <w:basedOn w:val="Normal"/>
    <w:next w:val="Normal"/>
    <w:pPr>
      <w:widowControl w:val="0"/>
      <w:overflowPunct w:val="0"/>
      <w:autoSpaceDE w:val="0"/>
      <w:autoSpaceDN w:val="0"/>
      <w:adjustRightInd w:val="0"/>
      <w:spacing w:after="120" w:line="280" w:lineRule="exact"/>
      <w:textAlignment w:val="baseline"/>
    </w:pPr>
    <w:rPr>
      <w:b/>
    </w:rPr>
  </w:style>
  <w:style w:type="paragraph" w:customStyle="1" w:styleId="DHSHeading2">
    <w:name w:val="DHS Heading 2"/>
    <w:basedOn w:val="DHSHeading1"/>
    <w:next w:val="Normal"/>
    <w:pPr>
      <w:spacing w:line="240" w:lineRule="exact"/>
    </w:pPr>
    <w:rPr>
      <w:sz w:val="18"/>
    </w:rPr>
  </w:style>
  <w:style w:type="paragraph" w:customStyle="1" w:styleId="DHSHeading3">
    <w:name w:val="DHS Heading 3"/>
    <w:basedOn w:val="Normal"/>
    <w:next w:val="Normal"/>
    <w:pPr>
      <w:widowControl w:val="0"/>
      <w:overflowPunct w:val="0"/>
      <w:autoSpaceDE w:val="0"/>
      <w:autoSpaceDN w:val="0"/>
      <w:adjustRightInd w:val="0"/>
      <w:textAlignment w:val="baseline"/>
    </w:pPr>
    <w:rPr>
      <w:sz w:val="48"/>
    </w:rPr>
  </w:style>
  <w:style w:type="paragraph" w:customStyle="1" w:styleId="DHSNewsletterTitle">
    <w:name w:val="DHS Newsletter Title"/>
    <w:basedOn w:val="Normal"/>
    <w:next w:val="Normal"/>
    <w:pPr>
      <w:widowControl w:val="0"/>
      <w:overflowPunct w:val="0"/>
      <w:autoSpaceDE w:val="0"/>
      <w:autoSpaceDN w:val="0"/>
      <w:adjustRightInd w:val="0"/>
      <w:textAlignment w:val="baseline"/>
    </w:pPr>
    <w:rPr>
      <w:sz w:val="56"/>
    </w:rPr>
  </w:style>
  <w:style w:type="paragraph" w:customStyle="1" w:styleId="DHSNotes">
    <w:name w:val="DHS Notes"/>
    <w:basedOn w:val="Normal"/>
    <w:next w:val="Normal"/>
    <w:pPr>
      <w:spacing w:line="240" w:lineRule="exact"/>
    </w:pPr>
    <w:rPr>
      <w:i/>
      <w:sz w:val="18"/>
    </w:rPr>
  </w:style>
  <w:style w:type="paragraph" w:customStyle="1" w:styleId="DHSNumberingOutline">
    <w:name w:val="DHS Numbering Outline"/>
    <w:basedOn w:val="Normal"/>
    <w:next w:val="Normal"/>
    <w:pPr>
      <w:widowControl w:val="0"/>
      <w:numPr>
        <w:numId w:val="2"/>
      </w:numPr>
      <w:overflowPunct w:val="0"/>
      <w:autoSpaceDE w:val="0"/>
      <w:autoSpaceDN w:val="0"/>
      <w:adjustRightInd w:val="0"/>
      <w:textAlignment w:val="baseline"/>
    </w:pPr>
  </w:style>
  <w:style w:type="paragraph" w:customStyle="1" w:styleId="DHSReportHd1">
    <w:name w:val="DHS Report Hd 1"/>
    <w:basedOn w:val="Normal"/>
    <w:next w:val="Normal"/>
    <w:pPr>
      <w:spacing w:line="360" w:lineRule="exact"/>
    </w:pPr>
    <w:rPr>
      <w:sz w:val="28"/>
    </w:rPr>
  </w:style>
  <w:style w:type="paragraph" w:customStyle="1" w:styleId="DHSReportHd2">
    <w:name w:val="DHS Report Hd 2"/>
    <w:basedOn w:val="Normal"/>
    <w:next w:val="Normal"/>
    <w:rPr>
      <w:b/>
      <w:sz w:val="24"/>
    </w:rPr>
  </w:style>
  <w:style w:type="paragraph" w:customStyle="1" w:styleId="DHSReportHd3">
    <w:name w:val="DHS Report Hd 3"/>
    <w:basedOn w:val="Normal"/>
    <w:next w:val="Normal"/>
    <w:rPr>
      <w:b/>
      <w:sz w:val="22"/>
    </w:rPr>
  </w:style>
  <w:style w:type="paragraph" w:customStyle="1" w:styleId="DHSReportHd4">
    <w:name w:val="DHS Report Hd 4"/>
    <w:basedOn w:val="Normal"/>
    <w:next w:val="Normal"/>
    <w:rPr>
      <w:b/>
      <w:sz w:val="18"/>
    </w:rPr>
  </w:style>
  <w:style w:type="paragraph" w:customStyle="1" w:styleId="DHSReportSubTitle">
    <w:name w:val="DHS Report Sub Title"/>
    <w:basedOn w:val="Normal"/>
    <w:next w:val="Normal"/>
    <w:pPr>
      <w:spacing w:after="120"/>
    </w:pPr>
    <w:rPr>
      <w:sz w:val="28"/>
    </w:rPr>
  </w:style>
  <w:style w:type="paragraph" w:customStyle="1" w:styleId="DHSReportTitle">
    <w:name w:val="DHS Report Title"/>
    <w:basedOn w:val="Normal"/>
    <w:next w:val="DHSReportSubTitle"/>
    <w:pPr>
      <w:spacing w:before="120" w:after="120" w:line="240" w:lineRule="exact"/>
    </w:pPr>
    <w:rPr>
      <w:sz w:val="40"/>
      <w:szCs w:val="24"/>
    </w:rPr>
  </w:style>
  <w:style w:type="paragraph" w:customStyle="1" w:styleId="DHSSubHeading">
    <w:name w:val="DHS Sub Heading"/>
    <w:basedOn w:val="Normal"/>
    <w:next w:val="Normal"/>
    <w:pPr>
      <w:widowControl w:val="0"/>
      <w:overflowPunct w:val="0"/>
      <w:autoSpaceDE w:val="0"/>
      <w:autoSpaceDN w:val="0"/>
      <w:adjustRightInd w:val="0"/>
      <w:spacing w:after="120"/>
      <w:textAlignment w:val="baseline"/>
    </w:pPr>
    <w:rPr>
      <w:b/>
      <w:sz w:val="28"/>
    </w:rPr>
  </w:style>
  <w:style w:type="paragraph" w:customStyle="1" w:styleId="DHSSubHeading2">
    <w:name w:val="DHS Sub Heading 2"/>
    <w:basedOn w:val="Normal"/>
    <w:next w:val="Normal"/>
    <w:pPr>
      <w:widowControl w:val="0"/>
      <w:overflowPunct w:val="0"/>
      <w:autoSpaceDE w:val="0"/>
      <w:autoSpaceDN w:val="0"/>
      <w:adjustRightInd w:val="0"/>
      <w:textAlignment w:val="baseline"/>
    </w:pPr>
    <w:rPr>
      <w:b/>
    </w:rPr>
  </w:style>
  <w:style w:type="paragraph" w:customStyle="1" w:styleId="DHSSubTitle">
    <w:name w:val="DHS Sub Title"/>
    <w:basedOn w:val="DHSDate"/>
    <w:next w:val="Normal"/>
  </w:style>
  <w:style w:type="paragraph" w:customStyle="1" w:styleId="DHSTableHeader">
    <w:name w:val="DHS Table Header"/>
    <w:basedOn w:val="Normal"/>
    <w:pPr>
      <w:pBdr>
        <w:bottom w:val="single" w:sz="8" w:space="1" w:color="FFFFFF"/>
      </w:pBdr>
      <w:spacing w:before="120" w:after="120"/>
    </w:pPr>
    <w:rPr>
      <w:sz w:val="18"/>
    </w:rPr>
  </w:style>
  <w:style w:type="paragraph" w:customStyle="1" w:styleId="DHSTableSubHeader">
    <w:name w:val="DHS Table Sub Header"/>
    <w:basedOn w:val="Normal"/>
    <w:rPr>
      <w:sz w:val="18"/>
    </w:rPr>
  </w:style>
  <w:style w:type="paragraph" w:customStyle="1" w:styleId="DHSTableText">
    <w:name w:val="DHS Table Text"/>
    <w:basedOn w:val="Normal"/>
    <w:pPr>
      <w:widowControl w:val="0"/>
      <w:shd w:val="clear" w:color="auto" w:fill="E0E0E0"/>
      <w:overflowPunct w:val="0"/>
      <w:autoSpaceDE w:val="0"/>
      <w:autoSpaceDN w:val="0"/>
      <w:adjustRightInd w:val="0"/>
      <w:textAlignment w:val="baseline"/>
    </w:pPr>
    <w:rPr>
      <w:sz w:val="18"/>
    </w:rPr>
  </w:style>
  <w:style w:type="paragraph" w:customStyle="1" w:styleId="DHSText10pt">
    <w:name w:val="DHS Text 10pt"/>
    <w:basedOn w:val="Normal"/>
    <w:pPr>
      <w:widowControl w:val="0"/>
      <w:overflowPunct w:val="0"/>
      <w:autoSpaceDE w:val="0"/>
      <w:autoSpaceDN w:val="0"/>
      <w:adjustRightInd w:val="0"/>
      <w:textAlignment w:val="baseline"/>
    </w:pPr>
  </w:style>
  <w:style w:type="paragraph" w:customStyle="1" w:styleId="DHSText12pt">
    <w:name w:val="DHS Text 12pt"/>
    <w:basedOn w:val="Normal"/>
    <w:pPr>
      <w:widowControl w:val="0"/>
      <w:overflowPunct w:val="0"/>
      <w:autoSpaceDE w:val="0"/>
      <w:autoSpaceDN w:val="0"/>
      <w:adjustRightInd w:val="0"/>
      <w:textAlignment w:val="baseline"/>
    </w:pPr>
    <w:rPr>
      <w:sz w:val="24"/>
    </w:rPr>
  </w:style>
  <w:style w:type="paragraph" w:customStyle="1" w:styleId="DHSText14pt">
    <w:name w:val="DHS Text 14pt"/>
    <w:basedOn w:val="Normal"/>
    <w:pPr>
      <w:widowControl w:val="0"/>
      <w:overflowPunct w:val="0"/>
      <w:autoSpaceDE w:val="0"/>
      <w:autoSpaceDN w:val="0"/>
      <w:adjustRightInd w:val="0"/>
      <w:textAlignment w:val="baseline"/>
    </w:pPr>
    <w:rPr>
      <w:sz w:val="28"/>
    </w:rPr>
  </w:style>
  <w:style w:type="paragraph" w:customStyle="1" w:styleId="DHSText16pt">
    <w:name w:val="DHS Text 16pt"/>
    <w:basedOn w:val="Normal"/>
    <w:pPr>
      <w:widowControl w:val="0"/>
      <w:overflowPunct w:val="0"/>
      <w:autoSpaceDE w:val="0"/>
      <w:autoSpaceDN w:val="0"/>
      <w:adjustRightInd w:val="0"/>
      <w:textAlignment w:val="baseline"/>
    </w:pPr>
    <w:rPr>
      <w:sz w:val="32"/>
    </w:rPr>
  </w:style>
  <w:style w:type="paragraph" w:customStyle="1" w:styleId="DHSText18pt">
    <w:name w:val="DHS Text 18pt"/>
    <w:basedOn w:val="Normal"/>
    <w:pPr>
      <w:widowControl w:val="0"/>
      <w:overflowPunct w:val="0"/>
      <w:autoSpaceDE w:val="0"/>
      <w:autoSpaceDN w:val="0"/>
      <w:adjustRightInd w:val="0"/>
      <w:textAlignment w:val="baseline"/>
    </w:pPr>
    <w:rPr>
      <w:sz w:val="36"/>
    </w:rPr>
  </w:style>
  <w:style w:type="paragraph" w:customStyle="1" w:styleId="DHSText24pt">
    <w:name w:val="DHS Text 24pt"/>
    <w:basedOn w:val="Normal"/>
    <w:pPr>
      <w:widowControl w:val="0"/>
      <w:overflowPunct w:val="0"/>
      <w:autoSpaceDE w:val="0"/>
      <w:autoSpaceDN w:val="0"/>
      <w:adjustRightInd w:val="0"/>
      <w:textAlignment w:val="baseline"/>
    </w:pPr>
    <w:rPr>
      <w:sz w:val="48"/>
    </w:rPr>
  </w:style>
  <w:style w:type="paragraph" w:customStyle="1" w:styleId="DHSText8pt">
    <w:name w:val="DHS Text 8pt"/>
    <w:basedOn w:val="Normal"/>
    <w:pPr>
      <w:widowControl w:val="0"/>
      <w:overflowPunct w:val="0"/>
      <w:autoSpaceDE w:val="0"/>
      <w:autoSpaceDN w:val="0"/>
      <w:adjustRightInd w:val="0"/>
      <w:textAlignment w:val="baseline"/>
    </w:pPr>
    <w:rPr>
      <w:sz w:val="16"/>
    </w:rPr>
  </w:style>
  <w:style w:type="paragraph" w:customStyle="1" w:styleId="DHSTextBold10pt">
    <w:name w:val="DHS Text Bold 10pt"/>
    <w:basedOn w:val="Normal"/>
    <w:pPr>
      <w:widowControl w:val="0"/>
      <w:overflowPunct w:val="0"/>
      <w:autoSpaceDE w:val="0"/>
      <w:autoSpaceDN w:val="0"/>
      <w:adjustRightInd w:val="0"/>
      <w:textAlignment w:val="baseline"/>
    </w:pPr>
    <w:rPr>
      <w:b/>
    </w:rPr>
  </w:style>
  <w:style w:type="paragraph" w:customStyle="1" w:styleId="DHSTextBold12pt">
    <w:name w:val="DHS Text Bold 12pt"/>
    <w:basedOn w:val="Normal"/>
    <w:pPr>
      <w:widowControl w:val="0"/>
      <w:overflowPunct w:val="0"/>
      <w:autoSpaceDE w:val="0"/>
      <w:autoSpaceDN w:val="0"/>
      <w:adjustRightInd w:val="0"/>
      <w:textAlignment w:val="baseline"/>
    </w:pPr>
    <w:rPr>
      <w:b/>
      <w:sz w:val="24"/>
    </w:rPr>
  </w:style>
  <w:style w:type="paragraph" w:customStyle="1" w:styleId="DHSTextBold14pt">
    <w:name w:val="DHS Text Bold 14pt"/>
    <w:basedOn w:val="Normal"/>
    <w:pPr>
      <w:widowControl w:val="0"/>
      <w:overflowPunct w:val="0"/>
      <w:autoSpaceDE w:val="0"/>
      <w:autoSpaceDN w:val="0"/>
      <w:adjustRightInd w:val="0"/>
      <w:textAlignment w:val="baseline"/>
    </w:pPr>
    <w:rPr>
      <w:b/>
      <w:sz w:val="28"/>
    </w:rPr>
  </w:style>
  <w:style w:type="paragraph" w:customStyle="1" w:styleId="DHSTextBold8pt">
    <w:name w:val="DHS Text Bold 8pt"/>
    <w:basedOn w:val="Normal"/>
    <w:pPr>
      <w:widowControl w:val="0"/>
      <w:overflowPunct w:val="0"/>
      <w:autoSpaceDE w:val="0"/>
      <w:autoSpaceDN w:val="0"/>
      <w:adjustRightInd w:val="0"/>
      <w:textAlignment w:val="baseline"/>
    </w:pPr>
    <w:rPr>
      <w:b/>
      <w:sz w:val="16"/>
    </w:rPr>
  </w:style>
  <w:style w:type="paragraph" w:customStyle="1" w:styleId="DHSTitle">
    <w:name w:val="DHS Title"/>
    <w:basedOn w:val="Normal"/>
    <w:pPr>
      <w:spacing w:before="120" w:after="120"/>
    </w:pPr>
    <w:rPr>
      <w:sz w:val="56"/>
    </w:rPr>
  </w:style>
  <w:style w:type="paragraph" w:customStyle="1" w:styleId="DHSTOCHeading">
    <w:name w:val="DHS TOC Heading"/>
    <w:basedOn w:val="Normal"/>
    <w:pPr>
      <w:spacing w:after="160"/>
    </w:pPr>
    <w:rPr>
      <w:sz w:val="28"/>
    </w:rPr>
  </w:style>
  <w:style w:type="paragraph" w:styleId="Footer">
    <w:name w:val="footer"/>
    <w:basedOn w:val="Normal"/>
    <w:pPr>
      <w:widowControl w:val="0"/>
      <w:tabs>
        <w:tab w:val="center" w:pos="4153"/>
        <w:tab w:val="right" w:pos="8306"/>
      </w:tabs>
      <w:overflowPunct w:val="0"/>
      <w:autoSpaceDE w:val="0"/>
      <w:autoSpaceDN w:val="0"/>
      <w:adjustRightInd w:val="0"/>
      <w:textAlignment w:val="baseline"/>
    </w:pPr>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style>
  <w:style w:type="character" w:styleId="Hyperlink">
    <w:name w:val="Hyperlink"/>
    <w:basedOn w:val="DefaultParagraphFont"/>
    <w:rPr>
      <w:rFonts w:ascii="Verdana" w:hAnsi="Verdana"/>
      <w:color w:val="0000FF"/>
      <w:u w:val="single"/>
    </w:rPr>
  </w:style>
  <w:style w:type="paragraph" w:styleId="Title">
    <w:name w:val="Title"/>
    <w:basedOn w:val="Normal"/>
    <w:next w:val="Normal"/>
    <w:qFormat/>
    <w:pPr>
      <w:ind w:left="720"/>
    </w:pPr>
    <w:rPr>
      <w:b/>
      <w:bCs/>
      <w:sz w:val="24"/>
      <w:szCs w:val="24"/>
    </w:rPr>
  </w:style>
  <w:style w:type="paragraph" w:styleId="TOC1">
    <w:name w:val="toc 1"/>
    <w:basedOn w:val="Normal"/>
    <w:next w:val="Normal"/>
    <w:semiHidden/>
    <w:pPr>
      <w:widowControl w:val="0"/>
      <w:tabs>
        <w:tab w:val="right" w:leader="dot" w:pos="9498"/>
      </w:tabs>
      <w:overflowPunct w:val="0"/>
      <w:autoSpaceDE w:val="0"/>
      <w:autoSpaceDN w:val="0"/>
      <w:adjustRightInd w:val="0"/>
      <w:ind w:left="567"/>
      <w:textAlignment w:val="baseline"/>
    </w:pPr>
    <w:rPr>
      <w:noProof/>
      <w:sz w:val="24"/>
      <w:szCs w:val="24"/>
    </w:rPr>
  </w:style>
  <w:style w:type="paragraph" w:styleId="TOC2">
    <w:name w:val="toc 2"/>
    <w:basedOn w:val="Normal"/>
    <w:next w:val="Normal"/>
    <w:autoRedefine/>
    <w:semiHidden/>
    <w:pPr>
      <w:widowControl w:val="0"/>
      <w:tabs>
        <w:tab w:val="right" w:leader="dot" w:pos="9622"/>
      </w:tabs>
      <w:overflowPunct w:val="0"/>
      <w:autoSpaceDE w:val="0"/>
      <w:autoSpaceDN w:val="0"/>
      <w:adjustRightInd w:val="0"/>
      <w:ind w:left="567"/>
      <w:textAlignment w:val="baseline"/>
    </w:pPr>
    <w:rPr>
      <w:noProof/>
    </w:rPr>
  </w:style>
  <w:style w:type="paragraph" w:styleId="TOC3">
    <w:name w:val="toc 3"/>
    <w:basedOn w:val="Normal"/>
    <w:next w:val="Normal"/>
    <w:autoRedefine/>
    <w:semiHidden/>
    <w:pPr>
      <w:widowControl w:val="0"/>
      <w:overflowPunct w:val="0"/>
      <w:autoSpaceDE w:val="0"/>
      <w:autoSpaceDN w:val="0"/>
      <w:adjustRightInd w:val="0"/>
      <w:ind w:left="440"/>
      <w:textAlignment w:val="baseline"/>
    </w:pPr>
  </w:style>
  <w:style w:type="paragraph" w:styleId="TOC4">
    <w:name w:val="toc 4"/>
    <w:basedOn w:val="Normal"/>
    <w:next w:val="Normal"/>
    <w:autoRedefine/>
    <w:semiHidden/>
    <w:pPr>
      <w:widowControl w:val="0"/>
      <w:overflowPunct w:val="0"/>
      <w:autoSpaceDE w:val="0"/>
      <w:autoSpaceDN w:val="0"/>
      <w:adjustRightInd w:val="0"/>
      <w:ind w:left="660"/>
      <w:textAlignment w:val="baseline"/>
    </w:pPr>
  </w:style>
  <w:style w:type="paragraph" w:styleId="TOC5">
    <w:name w:val="toc 5"/>
    <w:basedOn w:val="Normal"/>
    <w:next w:val="Normal"/>
    <w:autoRedefine/>
    <w:semiHidden/>
    <w:pPr>
      <w:widowControl w:val="0"/>
      <w:overflowPunct w:val="0"/>
      <w:autoSpaceDE w:val="0"/>
      <w:autoSpaceDN w:val="0"/>
      <w:adjustRightInd w:val="0"/>
      <w:ind w:left="880"/>
      <w:textAlignment w:val="baseline"/>
    </w:pPr>
  </w:style>
  <w:style w:type="paragraph" w:styleId="TOC6">
    <w:name w:val="toc 6"/>
    <w:basedOn w:val="Normal"/>
    <w:next w:val="Normal"/>
    <w:autoRedefine/>
    <w:semiHidden/>
    <w:pPr>
      <w:widowControl w:val="0"/>
      <w:overflowPunct w:val="0"/>
      <w:autoSpaceDE w:val="0"/>
      <w:autoSpaceDN w:val="0"/>
      <w:adjustRightInd w:val="0"/>
      <w:ind w:left="1100"/>
      <w:textAlignment w:val="baseline"/>
    </w:pPr>
  </w:style>
  <w:style w:type="paragraph" w:styleId="TOC7">
    <w:name w:val="toc 7"/>
    <w:basedOn w:val="Normal"/>
    <w:next w:val="Normal"/>
    <w:autoRedefine/>
    <w:semiHidden/>
    <w:pPr>
      <w:widowControl w:val="0"/>
      <w:overflowPunct w:val="0"/>
      <w:autoSpaceDE w:val="0"/>
      <w:autoSpaceDN w:val="0"/>
      <w:adjustRightInd w:val="0"/>
      <w:ind w:left="1320"/>
      <w:textAlignment w:val="baseline"/>
    </w:pPr>
  </w:style>
  <w:style w:type="paragraph" w:styleId="TOC8">
    <w:name w:val="toc 8"/>
    <w:basedOn w:val="Normal"/>
    <w:next w:val="Normal"/>
    <w:autoRedefine/>
    <w:semiHidden/>
    <w:pPr>
      <w:widowControl w:val="0"/>
      <w:overflowPunct w:val="0"/>
      <w:autoSpaceDE w:val="0"/>
      <w:autoSpaceDN w:val="0"/>
      <w:adjustRightInd w:val="0"/>
      <w:ind w:left="1540"/>
      <w:textAlignment w:val="baseline"/>
    </w:pPr>
  </w:style>
  <w:style w:type="paragraph" w:styleId="TOC9">
    <w:name w:val="toc 9"/>
    <w:basedOn w:val="Normal"/>
    <w:next w:val="Normal"/>
    <w:autoRedefine/>
    <w:semiHidden/>
    <w:pPr>
      <w:widowControl w:val="0"/>
      <w:overflowPunct w:val="0"/>
      <w:autoSpaceDE w:val="0"/>
      <w:autoSpaceDN w:val="0"/>
      <w:adjustRightInd w:val="0"/>
      <w:ind w:left="1760"/>
      <w:textAlignment w:val="baseline"/>
    </w:pPr>
  </w:style>
  <w:style w:type="character" w:styleId="PageNumber">
    <w:name w:val="page number"/>
    <w:basedOn w:val="DefaultParagraphFont"/>
  </w:style>
  <w:style w:type="paragraph" w:styleId="ListNumber">
    <w:name w:val="List Number"/>
    <w:basedOn w:val="Normal"/>
    <w:pPr>
      <w:spacing w:after="120"/>
      <w:ind w:left="720" w:hanging="720"/>
    </w:pPr>
  </w:style>
  <w:style w:type="paragraph" w:styleId="BodyTextIndent2">
    <w:name w:val="Body Text Indent 2"/>
    <w:basedOn w:val="Normal"/>
    <w:pPr>
      <w:ind w:left="1260" w:hanging="900"/>
    </w:pPr>
    <w:rPr>
      <w:lang w:val="en-US"/>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a">
    <w:name w:val="_"/>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rPr>
      <w:color w:val="800080"/>
      <w:u w:val="single"/>
    </w:rPr>
  </w:style>
  <w:style w:type="paragraph" w:customStyle="1" w:styleId="ver">
    <w:name w:val="ver"/>
    <w:basedOn w:val="Heading1"/>
    <w:pPr>
      <w:jc w:val="both"/>
    </w:pPr>
  </w:style>
  <w:style w:type="table" w:styleId="TableGrid">
    <w:name w:val="Table Grid"/>
    <w:basedOn w:val="TableNormal"/>
    <w:rsid w:val="00494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63754"/>
    <w:rPr>
      <w:rFonts w:ascii="Tahoma" w:hAnsi="Tahoma" w:cs="Tahoma"/>
      <w:sz w:val="16"/>
      <w:szCs w:val="16"/>
    </w:rPr>
  </w:style>
  <w:style w:type="character" w:styleId="Emphasis">
    <w:name w:val="Emphasis"/>
    <w:basedOn w:val="DefaultParagraphFont"/>
    <w:qFormat/>
    <w:rsid w:val="00A21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985721">
      <w:bodyDiv w:val="1"/>
      <w:marLeft w:val="0"/>
      <w:marRight w:val="0"/>
      <w:marTop w:val="0"/>
      <w:marBottom w:val="0"/>
      <w:divBdr>
        <w:top w:val="none" w:sz="0" w:space="0" w:color="auto"/>
        <w:left w:val="none" w:sz="0" w:space="0" w:color="auto"/>
        <w:bottom w:val="none" w:sz="0" w:space="0" w:color="auto"/>
        <w:right w:val="none" w:sz="0" w:space="0" w:color="auto"/>
      </w:divBdr>
      <w:divsChild>
        <w:div w:id="362173492">
          <w:marLeft w:val="0"/>
          <w:marRight w:val="0"/>
          <w:marTop w:val="0"/>
          <w:marBottom w:val="0"/>
          <w:divBdr>
            <w:top w:val="none" w:sz="0" w:space="0" w:color="auto"/>
            <w:left w:val="none" w:sz="0" w:space="0" w:color="auto"/>
            <w:bottom w:val="none" w:sz="0" w:space="0" w:color="auto"/>
            <w:right w:val="none" w:sz="0" w:space="0" w:color="auto"/>
          </w:divBdr>
          <w:divsChild>
            <w:div w:id="392199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ria.trombin@dhs.vic.gov.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la.org.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ila.org.au/Tila%20PDFs/TILA%20Program%20Guidelines%20July%202009.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tila.org.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BCBD20D-E8BD-40AF-AFBC-8ACABED6F2CA}"/>
</file>

<file path=customXml/itemProps2.xml><?xml version="1.0" encoding="utf-8"?>
<ds:datastoreItem xmlns:ds="http://schemas.openxmlformats.org/officeDocument/2006/customXml" ds:itemID="{A3268FD3-FF8E-4429-A6F8-22EEA71C7F75}"/>
</file>

<file path=customXml/itemProps3.xml><?xml version="1.0" encoding="utf-8"?>
<ds:datastoreItem xmlns:ds="http://schemas.openxmlformats.org/officeDocument/2006/customXml" ds:itemID="{55A01E9D-C546-4987-8479-72267FCF0EE1}"/>
</file>

<file path=docProps/app.xml><?xml version="1.0" encoding="utf-8"?>
<Properties xmlns="http://schemas.openxmlformats.org/officeDocument/2006/extended-properties" xmlns:vt="http://schemas.openxmlformats.org/officeDocument/2006/docPropsVTypes">
  <Template>Normal.dotm</Template>
  <TotalTime>3</TotalTime>
  <Pages>7</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Leaving Care Brokerage Funds Guidelines</vt:lpstr>
    </vt:vector>
  </TitlesOfParts>
  <Company>Department of Health and Human Services</Company>
  <LinksUpToDate>false</LinksUpToDate>
  <CharactersWithSpaces>14225</CharactersWithSpaces>
  <SharedDoc>false</SharedDoc>
  <HLinks>
    <vt:vector size="24" baseType="variant">
      <vt:variant>
        <vt:i4>7929882</vt:i4>
      </vt:variant>
      <vt:variant>
        <vt:i4>9</vt:i4>
      </vt:variant>
      <vt:variant>
        <vt:i4>0</vt:i4>
      </vt:variant>
      <vt:variant>
        <vt:i4>5</vt:i4>
      </vt:variant>
      <vt:variant>
        <vt:lpwstr>mailto:maria.trombin@dhs.vic.gov.au</vt:lpwstr>
      </vt:variant>
      <vt:variant>
        <vt:lpwstr/>
      </vt:variant>
      <vt:variant>
        <vt:i4>3407921</vt:i4>
      </vt:variant>
      <vt:variant>
        <vt:i4>6</vt:i4>
      </vt:variant>
      <vt:variant>
        <vt:i4>0</vt:i4>
      </vt:variant>
      <vt:variant>
        <vt:i4>5</vt:i4>
      </vt:variant>
      <vt:variant>
        <vt:lpwstr>http://www.tila.org.au/</vt:lpwstr>
      </vt:variant>
      <vt:variant>
        <vt:lpwstr/>
      </vt:variant>
      <vt:variant>
        <vt:i4>3014692</vt:i4>
      </vt:variant>
      <vt:variant>
        <vt:i4>3</vt:i4>
      </vt:variant>
      <vt:variant>
        <vt:i4>0</vt:i4>
      </vt:variant>
      <vt:variant>
        <vt:i4>5</vt:i4>
      </vt:variant>
      <vt:variant>
        <vt:lpwstr>http://www.tila.org.au/Tila PDFs/TILA Program Guidelines July 2009.pdf</vt:lpwstr>
      </vt:variant>
      <vt:variant>
        <vt:lpwstr/>
      </vt:variant>
      <vt:variant>
        <vt:i4>3407921</vt:i4>
      </vt:variant>
      <vt:variant>
        <vt:i4>0</vt:i4>
      </vt:variant>
      <vt:variant>
        <vt:i4>0</vt:i4>
      </vt:variant>
      <vt:variant>
        <vt:i4>5</vt:i4>
      </vt:variant>
      <vt:variant>
        <vt:lpwstr>http://www.tila.org.au/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Leaving Care Brokerage Funds Guidelines</dc:title>
  <dc:subject>Leaving Care Brokerage Funds Guidelines</dc:subject>
  <dc:creator>Children, Youth and Families</dc:creator>
  <cp:keywords>eligibility, independent living allowance, TILA,</cp:keywords>
  <cp:lastModifiedBy>Julianne Van Veenendaal</cp:lastModifiedBy>
  <cp:revision>3</cp:revision>
  <cp:lastPrinted>2008-09-01T23:01:00Z</cp:lastPrinted>
  <dcterms:created xsi:type="dcterms:W3CDTF">2017-06-22T01:36:00Z</dcterms:created>
  <dcterms:modified xsi:type="dcterms:W3CDTF">2017-06-22T01:39:00Z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