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numbering" Target="numbering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providers.dffh.vic.gov.au/families-fairness-housing-health-activity-search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sapolicy@dffh.vic.gov.au" TargetMode="External"/><Relationship Id="rId5" Type="http://schemas.openxmlformats.org/officeDocument/2006/relationships/theme" Target="theme/theme1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fontTable" Target="fontTable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88B937A5-433B-4A20-88AC-BE6CB3292024}"/>
</file>

<file path=customXml/itemProps2.xml><?xml version="1.0" encoding="utf-8"?>
<ds:datastoreItem xmlns:ds="http://schemas.openxmlformats.org/officeDocument/2006/customXml" ds:itemID="{5975FB2C-FFF3-4A5B-8935-95D38DBAE985}"/>
</file>

<file path=customXml/itemProps3.xml><?xml version="1.0" encoding="utf-8"?>
<ds:datastoreItem xmlns:ds="http://schemas.openxmlformats.org/officeDocument/2006/customXml" ds:itemID="{17F303B8-C223-4CD6-BFA9-ECD9EDB3AE6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Justice Connect 37068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</Propertie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Justice Connect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37068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Empowering Individuals and Communities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Community Participation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Provide Victorian not-for-profit community organisations with:</w:t>
      </w:r>
      <w:r>
        <w:br/>
      </w:r>
      <w:r>
        <w:rPr>
          <w:rFonts w:ascii="Arial" w:hAnsi="Arial" w:eastAsia="Arial" w:cs="Arial"/>
          <w:color w:val="000000"/>
          <w:sz w:val="20"/>
        </w:rPr>
        <w:t>• free, online, up-to-date, plain language legal information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provide low-cost training programs;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free telephone advisory service; and </w:t>
      </w:r>
      <w:r>
        <w:br/>
      </w:r>
      <w:r>
        <w:rPr>
          <w:rFonts w:ascii="Arial" w:hAnsi="Arial" w:eastAsia="Arial" w:cs="Arial"/>
          <w:color w:val="000000"/>
          <w:sz w:val="20"/>
        </w:rPr>
        <w:t>• legal advice for small-to-medium 'public interest' Victorian not-for-profit community organisations.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• Provide quality not-for-profit-specific legal advice and expand the number of lawyers that are skilled to help not-for-profit organisations with legal and regulatory compliance issues, including mobilising pro bono Victorian lawyers to contribute free legal support to the Victorian not-for-profit sector.</w:t>
      </w:r>
      <w:r>
        <w:br/>
      </w:r>
      <w:r>
        <w:rPr>
          <w:rFonts w:ascii="Arial" w:hAnsi="Arial" w:eastAsia="Arial" w:cs="Arial"/>
          <w:color w:val="000000"/>
          <w:sz w:val="20"/>
        </w:rPr>
        <w:t>• Provide free and low cost legal help for public interest not-for-profit community organisations in outer metro and regional areas of Victoria.</w:t>
      </w:r>
      <w:r>
        <w:br/>
      </w:r>
      <w:r>
        <w:rPr>
          <w:rFonts w:ascii="Arial" w:hAnsi="Arial" w:eastAsia="Arial" w:cs="Arial"/>
          <w:color w:val="000000"/>
          <w:sz w:val="20"/>
        </w:rPr>
        <w:t>• Collect data on the needs and experiences of not-for-profit community organisations, particularly in terms of compliance challenges associated with Victorian laws and regulations, and suggest strategies for addressing these needs and improving the experiences of not-for-profit organisations.</w:t>
      </w:r>
      <w:r>
        <w:br/>
      </w:r>
      <w:r>
        <w:rPr>
          <w:rFonts w:ascii="Arial" w:hAnsi="Arial" w:eastAsia="Arial" w:cs="Arial"/>
          <w:color w:val="000000"/>
          <w:sz w:val="20"/>
        </w:rPr>
        <w:t>• Provide 'legal health checks' for small and/or rural public interest not-for-profit Victorian community organisations, such as domestic violence support services and disability service providers.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Not-for-Profit community organisations.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Provision of report detailing activities and outcomes achieved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Provide free and low-cost support to Victorian not-for-profit community organisations on a range of legal, governance and regulatory matters.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Visitor numbers to program website, hours spent providing free legal advice, participation numbers in training programs.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Progress reports and annual reports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Final Report and Acquittal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Provide a report detailing activities and outcomes achieved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Progress reports and annual reports submitted to the Department from Justice Connect.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Progress reports and annual reports to include Number of inquiries,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Training participation, Pro bono hours provided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Final Report and Acquittal to include Financial acquittal and program evaluation report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Progress reports and annual reports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Excel spreadsheet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Half-yearly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Final Report and Acquittal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Excel spreadsheet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As Required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 </w:t>
            </w:r>
            <w:r>
              <w:rPr>
                <w:rFonts w:ascii="Arial" w:hAnsi="Arial" w:eastAsia="Arial" w:cs="Arial"/>
                <w:color w:val="000000"/>
                <w:sz w:val="20"/>
              </w:rPr>
              <w:t>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Service Agreement Strategy and Practice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 </w:t>
            </w:r>
            <w:hyperlink r:id="rId11" w:tgtFrame="_blank" w:history="1">
              <w:r>
                <w:rPr>
                  <w:rFonts w:ascii="Arial" w:hAnsi="Arial" w:eastAsia="Arial" w:cs="Arial"/>
                  <w:color w:val="3366FF"/>
                  <w:sz w:val="24"/>
                </w:rPr>
                <w:t>&lt;sapolicy@dffh.vic.gov.au</w:t>
              </w:r>
            </w:hyperlink>
            <w:r>
              <w:rPr>
                <w:rFonts w:ascii="Arial" w:hAnsi="Arial" w:eastAsia="Arial" w:cs="Arial"/>
                <w:color w:val="000000"/>
                <w:sz w:val="24"/>
              </w:rPr>
              <w:t>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August 2021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111" w:type="dxa"/>
      <w:tblLayout w:type="fixed"/>
      <w:tblCellMar>
        <w:left w:w="0" w:type="dxa"/>
        <w:right w:w="0" w:type="dxa"/>
      </w:tblCellMar>
    </w:tblPr>
    <w:tblGrid>
      <w:gridCol w:w="3185"/>
      <w:gridCol w:w="3473"/>
      <w:gridCol w:w="3692"/>
    </w:tblGrid>
    <w:tr>
      <w:tc>
        <w:tcPr>
          <w:tcW w:w="3185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1" w:type="dxa"/>
      <w:tblLayout w:type="fixed"/>
      <w:tblCellMar>
        <w:left w:w="0" w:type="dxa"/>
        <w:right w:w="0" w:type="dxa"/>
      </w:tblCellMar>
    </w:tblPr>
    <w:tblGrid>
      <w:gridCol w:w="3185"/>
      <w:gridCol w:w="3473"/>
      <w:gridCol w:w="3473"/>
    </w:tblGrid>
    <w:tr>
      <w:tc>
        <w:tcPr>
          <w:tcW w:w="3185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Empowering Individuals and Communities 37068 Justice Connect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